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B76" w:rsidRPr="00AA597D" w:rsidRDefault="00AA597D" w:rsidP="00AA597D">
      <w:pPr>
        <w:jc w:val="center"/>
        <w:rPr>
          <w:rFonts w:cs="Arial"/>
        </w:rPr>
      </w:pPr>
      <w:bookmarkStart w:id="0" w:name="_GoBack"/>
      <w:bookmarkEnd w:id="0"/>
      <w:r w:rsidRPr="00AA597D">
        <w:rPr>
          <w:rFonts w:cs="Arial"/>
        </w:rPr>
        <w:t>CHEM 20</w:t>
      </w:r>
      <w:r w:rsidR="00D24581">
        <w:rPr>
          <w:rFonts w:cs="Arial"/>
        </w:rPr>
        <w:t>1</w:t>
      </w:r>
      <w:r w:rsidRPr="00AA597D">
        <w:rPr>
          <w:rFonts w:cs="Arial"/>
        </w:rPr>
        <w:t>0 – Organic Chemistry</w:t>
      </w:r>
    </w:p>
    <w:p w:rsidR="00AA597D" w:rsidRPr="00AA597D" w:rsidRDefault="00AA597D" w:rsidP="00AA597D">
      <w:pPr>
        <w:jc w:val="center"/>
        <w:rPr>
          <w:rFonts w:cs="Arial"/>
        </w:rPr>
      </w:pPr>
    </w:p>
    <w:p w:rsidR="00AA597D" w:rsidRDefault="00AA597D" w:rsidP="00AA597D">
      <w:pPr>
        <w:outlineLvl w:val="0"/>
        <w:rPr>
          <w:rFonts w:cs="Arial"/>
        </w:rPr>
      </w:pPr>
      <w:r w:rsidRPr="00AA597D">
        <w:rPr>
          <w:rFonts w:cs="Arial"/>
          <w:b/>
        </w:rPr>
        <w:t>Text:</w:t>
      </w:r>
      <w:r w:rsidRPr="00AA597D">
        <w:rPr>
          <w:rFonts w:cs="Arial"/>
        </w:rPr>
        <w:tab/>
      </w:r>
      <w:r w:rsidRPr="00AA597D">
        <w:rPr>
          <w:rFonts w:cs="Arial"/>
        </w:rPr>
        <w:tab/>
      </w:r>
      <w:r w:rsidRPr="00AA597D">
        <w:rPr>
          <w:rFonts w:cs="Arial"/>
        </w:rPr>
        <w:tab/>
        <w:t xml:space="preserve">John McMurry:  </w:t>
      </w:r>
      <w:r w:rsidRPr="00AA597D">
        <w:rPr>
          <w:rFonts w:cs="Arial"/>
          <w:i/>
        </w:rPr>
        <w:t>Organic Chemistry</w:t>
      </w:r>
      <w:r w:rsidRPr="00AA597D">
        <w:rPr>
          <w:rFonts w:cs="Arial"/>
        </w:rPr>
        <w:t>, 7</w:t>
      </w:r>
      <w:r w:rsidRPr="00AA597D">
        <w:rPr>
          <w:rFonts w:cs="Arial"/>
          <w:vertAlign w:val="superscript"/>
        </w:rPr>
        <w:t>th</w:t>
      </w:r>
      <w:r w:rsidRPr="00AA597D">
        <w:rPr>
          <w:rFonts w:cs="Arial"/>
        </w:rPr>
        <w:t xml:space="preserve"> Ed.</w:t>
      </w:r>
    </w:p>
    <w:p w:rsidR="00FF3180" w:rsidRDefault="00FF3180" w:rsidP="00AA597D">
      <w:pPr>
        <w:outlineLvl w:val="0"/>
        <w:rPr>
          <w:rFonts w:cs="Arial"/>
        </w:rPr>
      </w:pPr>
    </w:p>
    <w:p w:rsidR="00FF3180" w:rsidRDefault="00FF3180" w:rsidP="00AA597D">
      <w:pPr>
        <w:outlineLvl w:val="0"/>
        <w:rPr>
          <w:rFonts w:cs="Arial"/>
          <w:i/>
        </w:rPr>
      </w:pPr>
      <w:r>
        <w:rPr>
          <w:rFonts w:cs="Arial"/>
          <w:b/>
        </w:rPr>
        <w:t>Supplemental</w:t>
      </w:r>
      <w:r>
        <w:rPr>
          <w:rFonts w:cs="Arial"/>
          <w:b/>
        </w:rPr>
        <w:tab/>
      </w:r>
      <w:r>
        <w:rPr>
          <w:rFonts w:cs="Arial"/>
        </w:rPr>
        <w:t xml:space="preserve">John McMurray:  </w:t>
      </w:r>
      <w:r>
        <w:rPr>
          <w:rFonts w:cs="Arial"/>
          <w:i/>
        </w:rPr>
        <w:t>Study Guide and Solutions Manual</w:t>
      </w:r>
    </w:p>
    <w:p w:rsidR="00FF3180" w:rsidRPr="00FF3180" w:rsidRDefault="00FF3180" w:rsidP="00AA597D">
      <w:pPr>
        <w:outlineLvl w:val="0"/>
        <w:rPr>
          <w:rFonts w:cs="Arial"/>
        </w:rPr>
      </w:pPr>
      <w:r>
        <w:rPr>
          <w:rFonts w:cs="Arial"/>
          <w:b/>
        </w:rPr>
        <w:t>Items:</w:t>
      </w:r>
      <w:r>
        <w:rPr>
          <w:rFonts w:cs="Arial"/>
          <w:b/>
        </w:rPr>
        <w:tab/>
      </w:r>
      <w:r>
        <w:rPr>
          <w:rFonts w:cs="Arial"/>
          <w:b/>
        </w:rPr>
        <w:tab/>
      </w:r>
      <w:r>
        <w:rPr>
          <w:rFonts w:cs="Arial"/>
          <w:b/>
        </w:rPr>
        <w:tab/>
      </w:r>
      <w:r>
        <w:rPr>
          <w:rFonts w:cs="Arial"/>
        </w:rPr>
        <w:t xml:space="preserve">Get this </w:t>
      </w:r>
      <w:r>
        <w:rPr>
          <w:rFonts w:cs="Arial"/>
          <w:u w:val="single"/>
        </w:rPr>
        <w:t>only</w:t>
      </w:r>
      <w:r>
        <w:rPr>
          <w:rFonts w:cs="Arial"/>
        </w:rPr>
        <w:t xml:space="preserve"> if you will use it.</w:t>
      </w:r>
    </w:p>
    <w:p w:rsidR="00AA597D" w:rsidRPr="00AA597D" w:rsidRDefault="00AA597D" w:rsidP="00AA597D">
      <w:pPr>
        <w:rPr>
          <w:rFonts w:cs="Arial"/>
        </w:rPr>
      </w:pPr>
    </w:p>
    <w:p w:rsidR="003C717C" w:rsidRPr="00AA597D" w:rsidRDefault="00AA597D" w:rsidP="003C717C">
      <w:pPr>
        <w:outlineLvl w:val="0"/>
        <w:rPr>
          <w:rFonts w:cs="Arial"/>
          <w:b/>
        </w:rPr>
      </w:pPr>
      <w:r w:rsidRPr="00AA597D">
        <w:rPr>
          <w:rFonts w:cs="Arial"/>
          <w:b/>
        </w:rPr>
        <w:t>Brief Course</w:t>
      </w:r>
      <w:r w:rsidRPr="00AA597D">
        <w:rPr>
          <w:rFonts w:cs="Arial"/>
        </w:rPr>
        <w:t xml:space="preserve"> </w:t>
      </w:r>
      <w:r>
        <w:rPr>
          <w:rFonts w:cs="Arial"/>
        </w:rPr>
        <w:tab/>
      </w:r>
      <w:r>
        <w:rPr>
          <w:rFonts w:cs="Arial"/>
        </w:rPr>
        <w:tab/>
      </w:r>
    </w:p>
    <w:p w:rsidR="003C717C" w:rsidRDefault="00AA597D" w:rsidP="00AA597D">
      <w:pPr>
        <w:ind w:left="2160" w:hanging="2160"/>
        <w:rPr>
          <w:rFonts w:cs="Arial"/>
        </w:rPr>
      </w:pPr>
      <w:r w:rsidRPr="00AA597D">
        <w:rPr>
          <w:rFonts w:cs="Arial"/>
          <w:b/>
        </w:rPr>
        <w:t>Description:</w:t>
      </w:r>
      <w:r w:rsidRPr="00AA597D">
        <w:rPr>
          <w:rFonts w:cs="Arial"/>
          <w:b/>
        </w:rPr>
        <w:tab/>
      </w:r>
    </w:p>
    <w:p w:rsidR="003C717C" w:rsidRDefault="003C717C" w:rsidP="00AA597D">
      <w:pPr>
        <w:ind w:left="2160" w:hanging="2160"/>
        <w:rPr>
          <w:rFonts w:cs="Arial"/>
        </w:rPr>
      </w:pPr>
    </w:p>
    <w:p w:rsidR="003C717C" w:rsidRDefault="003C717C" w:rsidP="003C717C">
      <w:pPr>
        <w:ind w:left="2160" w:hanging="2160"/>
        <w:rPr>
          <w:rFonts w:cs="Arial"/>
        </w:rPr>
      </w:pPr>
      <w:r w:rsidRPr="00AA597D">
        <w:rPr>
          <w:rFonts w:cs="Arial"/>
        </w:rPr>
        <w:t>The list of topics to be covered is given below (not necessarily in the order</w:t>
      </w:r>
      <w:r w:rsidRPr="003C717C">
        <w:rPr>
          <w:rFonts w:cs="Arial"/>
        </w:rPr>
        <w:t xml:space="preserve"> </w:t>
      </w:r>
      <w:r w:rsidRPr="00AA597D">
        <w:rPr>
          <w:rFonts w:cs="Arial"/>
        </w:rPr>
        <w:t>shown):</w:t>
      </w:r>
    </w:p>
    <w:p w:rsidR="00FF3180" w:rsidRPr="00FF3180" w:rsidRDefault="00FF3180" w:rsidP="003C717C">
      <w:pPr>
        <w:numPr>
          <w:ilvl w:val="0"/>
          <w:numId w:val="4"/>
        </w:numPr>
        <w:tabs>
          <w:tab w:val="clear" w:pos="720"/>
          <w:tab w:val="num" w:pos="360"/>
        </w:tabs>
        <w:spacing w:before="100" w:beforeAutospacing="1" w:after="100" w:afterAutospacing="1"/>
        <w:ind w:left="360"/>
        <w:rPr>
          <w:rFonts w:cs="Arial"/>
        </w:rPr>
      </w:pPr>
      <w:r w:rsidRPr="00FF3180">
        <w:rPr>
          <w:rFonts w:cs="Arial"/>
        </w:rPr>
        <w:t xml:space="preserve">Introduction to orbitals, molecular orbital description of bonding, hybridization, structure of methane. </w:t>
      </w:r>
    </w:p>
    <w:p w:rsidR="00FF3180" w:rsidRPr="00FF3180" w:rsidRDefault="00FF3180" w:rsidP="003C717C">
      <w:pPr>
        <w:numPr>
          <w:ilvl w:val="0"/>
          <w:numId w:val="4"/>
        </w:numPr>
        <w:tabs>
          <w:tab w:val="clear" w:pos="720"/>
          <w:tab w:val="num" w:pos="360"/>
          <w:tab w:val="num" w:pos="2160"/>
        </w:tabs>
        <w:spacing w:before="100" w:beforeAutospacing="1" w:after="100" w:afterAutospacing="1"/>
        <w:ind w:left="360"/>
        <w:rPr>
          <w:rFonts w:cs="Arial"/>
        </w:rPr>
      </w:pPr>
      <w:r w:rsidRPr="00FF3180">
        <w:rPr>
          <w:rFonts w:cs="Arial"/>
        </w:rPr>
        <w:t xml:space="preserve">Atoms, molecules, bonding, polar and nonpolar molecules, intermolecular forces, </w:t>
      </w:r>
      <w:proofErr w:type="spellStart"/>
      <w:r w:rsidRPr="00FF3180">
        <w:rPr>
          <w:rFonts w:cs="Arial"/>
        </w:rPr>
        <w:t>solubilities</w:t>
      </w:r>
      <w:proofErr w:type="spellEnd"/>
      <w:r w:rsidRPr="00FF3180">
        <w:rPr>
          <w:rFonts w:cs="Arial"/>
        </w:rPr>
        <w:t xml:space="preserve">, Lewis structures, preliminary ideas of resonance, arrow formalism, acids and bases. </w:t>
      </w:r>
    </w:p>
    <w:p w:rsidR="00FF3180" w:rsidRPr="00FF3180" w:rsidRDefault="00FF3180" w:rsidP="003C717C">
      <w:pPr>
        <w:numPr>
          <w:ilvl w:val="0"/>
          <w:numId w:val="4"/>
        </w:numPr>
        <w:tabs>
          <w:tab w:val="clear" w:pos="720"/>
          <w:tab w:val="num" w:pos="360"/>
          <w:tab w:val="num" w:pos="2160"/>
        </w:tabs>
        <w:spacing w:before="100" w:beforeAutospacing="1" w:after="100" w:afterAutospacing="1"/>
        <w:ind w:left="360"/>
        <w:rPr>
          <w:rFonts w:cs="Arial"/>
        </w:rPr>
      </w:pPr>
      <w:r w:rsidRPr="00FF3180">
        <w:rPr>
          <w:rFonts w:cs="Arial"/>
        </w:rPr>
        <w:t xml:space="preserve">Alkanes-conformational analysis, structural isomerism and nomenclature, alkyl groups. </w:t>
      </w:r>
    </w:p>
    <w:p w:rsidR="00FF3180" w:rsidRPr="00FF3180" w:rsidRDefault="00FF3180" w:rsidP="003C717C">
      <w:pPr>
        <w:numPr>
          <w:ilvl w:val="0"/>
          <w:numId w:val="4"/>
        </w:numPr>
        <w:tabs>
          <w:tab w:val="clear" w:pos="720"/>
          <w:tab w:val="num" w:pos="360"/>
          <w:tab w:val="num" w:pos="2160"/>
        </w:tabs>
        <w:spacing w:before="100" w:beforeAutospacing="1" w:after="100" w:afterAutospacing="1"/>
        <w:ind w:left="360"/>
        <w:rPr>
          <w:rFonts w:cs="Arial"/>
        </w:rPr>
      </w:pPr>
      <w:r w:rsidRPr="00FF3180">
        <w:rPr>
          <w:rFonts w:cs="Arial"/>
        </w:rPr>
        <w:t xml:space="preserve">Alkenes- structure and bonding, nomenclature, E-Z notation, hydrogenation, relative stabilities. Alkynes-structure and bonding, relative stabilities, double and triple bonds in rings. </w:t>
      </w:r>
    </w:p>
    <w:p w:rsidR="00FF3180" w:rsidRPr="00FF3180" w:rsidRDefault="00FF3180" w:rsidP="003C717C">
      <w:pPr>
        <w:numPr>
          <w:ilvl w:val="0"/>
          <w:numId w:val="4"/>
        </w:numPr>
        <w:tabs>
          <w:tab w:val="clear" w:pos="720"/>
          <w:tab w:val="num" w:pos="360"/>
          <w:tab w:val="num" w:pos="2160"/>
        </w:tabs>
        <w:spacing w:before="100" w:beforeAutospacing="1" w:after="100" w:afterAutospacing="1"/>
        <w:ind w:left="360"/>
        <w:rPr>
          <w:rFonts w:cs="Arial"/>
        </w:rPr>
      </w:pPr>
      <w:proofErr w:type="spellStart"/>
      <w:r w:rsidRPr="00FF3180">
        <w:rPr>
          <w:rFonts w:cs="Arial"/>
        </w:rPr>
        <w:t>Dienes</w:t>
      </w:r>
      <w:proofErr w:type="spellEnd"/>
      <w:r w:rsidRPr="00FF3180">
        <w:rPr>
          <w:rFonts w:cs="Arial"/>
        </w:rPr>
        <w:t xml:space="preserve"> and the </w:t>
      </w:r>
      <w:proofErr w:type="spellStart"/>
      <w:r w:rsidRPr="00FF3180">
        <w:rPr>
          <w:rFonts w:cs="Arial"/>
        </w:rPr>
        <w:t>allyl</w:t>
      </w:r>
      <w:proofErr w:type="spellEnd"/>
      <w:r w:rsidRPr="00FF3180">
        <w:rPr>
          <w:rFonts w:cs="Arial"/>
        </w:rPr>
        <w:t xml:space="preserve"> system, conjugation, introduction to the concept of aromaticity. </w:t>
      </w:r>
    </w:p>
    <w:p w:rsidR="00FF3180" w:rsidRPr="00FF3180" w:rsidRDefault="00FF3180" w:rsidP="003C717C">
      <w:pPr>
        <w:numPr>
          <w:ilvl w:val="0"/>
          <w:numId w:val="4"/>
        </w:numPr>
        <w:tabs>
          <w:tab w:val="clear" w:pos="720"/>
          <w:tab w:val="num" w:pos="360"/>
          <w:tab w:val="num" w:pos="2160"/>
        </w:tabs>
        <w:spacing w:before="100" w:beforeAutospacing="1" w:after="100" w:afterAutospacing="1"/>
        <w:ind w:left="360"/>
        <w:rPr>
          <w:rFonts w:cs="Arial"/>
        </w:rPr>
      </w:pPr>
      <w:r w:rsidRPr="00FF3180">
        <w:rPr>
          <w:rFonts w:cs="Arial"/>
        </w:rPr>
        <w:t xml:space="preserve">Stereochemistry-chirality, </w:t>
      </w:r>
      <w:proofErr w:type="spellStart"/>
      <w:r w:rsidRPr="00FF3180">
        <w:rPr>
          <w:rFonts w:cs="Arial"/>
        </w:rPr>
        <w:t>enantiomerism</w:t>
      </w:r>
      <w:proofErr w:type="spellEnd"/>
      <w:r w:rsidRPr="00FF3180">
        <w:rPr>
          <w:rFonts w:cs="Arial"/>
        </w:rPr>
        <w:t xml:space="preserve">, R-S notation, </w:t>
      </w:r>
      <w:proofErr w:type="spellStart"/>
      <w:r w:rsidRPr="00FF3180">
        <w:rPr>
          <w:rFonts w:cs="Arial"/>
        </w:rPr>
        <w:t>diastereomerism</w:t>
      </w:r>
      <w:proofErr w:type="spellEnd"/>
      <w:r w:rsidRPr="00FF3180">
        <w:rPr>
          <w:rFonts w:cs="Arial"/>
        </w:rPr>
        <w:t xml:space="preserve">, optical resolution. </w:t>
      </w:r>
    </w:p>
    <w:p w:rsidR="00FF3180" w:rsidRPr="00FF3180" w:rsidRDefault="00FF3180" w:rsidP="003C717C">
      <w:pPr>
        <w:numPr>
          <w:ilvl w:val="0"/>
          <w:numId w:val="4"/>
        </w:numPr>
        <w:tabs>
          <w:tab w:val="clear" w:pos="720"/>
          <w:tab w:val="num" w:pos="360"/>
          <w:tab w:val="num" w:pos="2160"/>
        </w:tabs>
        <w:spacing w:before="100" w:beforeAutospacing="1" w:after="100" w:afterAutospacing="1"/>
        <w:ind w:left="360"/>
        <w:rPr>
          <w:rFonts w:cs="Arial"/>
        </w:rPr>
      </w:pPr>
      <w:r w:rsidRPr="00FF3180">
        <w:rPr>
          <w:rFonts w:cs="Arial"/>
        </w:rPr>
        <w:t xml:space="preserve">Ring systems- strain, stereochemistry of cyclohexane, conformational analysis of cyclohexane and its substituted derivatives, bicyclic and polycyclic compounds. </w:t>
      </w:r>
    </w:p>
    <w:p w:rsidR="00FF3180" w:rsidRPr="00FF3180" w:rsidRDefault="00FF3180" w:rsidP="003C717C">
      <w:pPr>
        <w:numPr>
          <w:ilvl w:val="0"/>
          <w:numId w:val="4"/>
        </w:numPr>
        <w:tabs>
          <w:tab w:val="clear" w:pos="720"/>
          <w:tab w:val="num" w:pos="360"/>
          <w:tab w:val="num" w:pos="2160"/>
        </w:tabs>
        <w:spacing w:before="100" w:beforeAutospacing="1" w:after="100" w:afterAutospacing="1"/>
        <w:ind w:left="360"/>
        <w:rPr>
          <w:rFonts w:cs="Arial"/>
        </w:rPr>
      </w:pPr>
      <w:r w:rsidRPr="00FF3180">
        <w:rPr>
          <w:rFonts w:cs="Arial"/>
        </w:rPr>
        <w:t>Infrared (IR) spectroscopy.</w:t>
      </w:r>
    </w:p>
    <w:p w:rsidR="00FF3180" w:rsidRPr="00FF3180" w:rsidRDefault="00FF3180" w:rsidP="003C717C">
      <w:pPr>
        <w:numPr>
          <w:ilvl w:val="0"/>
          <w:numId w:val="4"/>
        </w:numPr>
        <w:tabs>
          <w:tab w:val="clear" w:pos="720"/>
          <w:tab w:val="num" w:pos="360"/>
          <w:tab w:val="num" w:pos="2160"/>
        </w:tabs>
        <w:spacing w:before="100" w:beforeAutospacing="1" w:after="100" w:afterAutospacing="1"/>
        <w:ind w:left="360"/>
        <w:rPr>
          <w:rFonts w:cs="Arial"/>
        </w:rPr>
      </w:pPr>
      <w:r w:rsidRPr="00FF3180">
        <w:rPr>
          <w:rFonts w:cs="Arial"/>
        </w:rPr>
        <w:t xml:space="preserve">Mass Spectrometry </w:t>
      </w:r>
    </w:p>
    <w:p w:rsidR="00FF3180" w:rsidRPr="00FF3180" w:rsidRDefault="00FF3180" w:rsidP="003C717C">
      <w:pPr>
        <w:numPr>
          <w:ilvl w:val="0"/>
          <w:numId w:val="4"/>
        </w:numPr>
        <w:tabs>
          <w:tab w:val="clear" w:pos="720"/>
          <w:tab w:val="num" w:pos="360"/>
          <w:tab w:val="num" w:pos="2160"/>
        </w:tabs>
        <w:spacing w:before="100" w:beforeAutospacing="1" w:after="100" w:afterAutospacing="1"/>
        <w:ind w:left="360"/>
        <w:rPr>
          <w:rFonts w:cs="Arial"/>
        </w:rPr>
      </w:pPr>
      <w:r w:rsidRPr="00FF3180">
        <w:rPr>
          <w:rFonts w:cs="Arial"/>
        </w:rPr>
        <w:t>Free radicals and typical reactions involving them</w:t>
      </w:r>
      <w:r w:rsidRPr="00FF3180">
        <w:rPr>
          <w:rFonts w:cs="Arial"/>
          <w:b/>
        </w:rPr>
        <w:t xml:space="preserve"> </w:t>
      </w:r>
    </w:p>
    <w:p w:rsidR="003C717C" w:rsidRDefault="00AA597D" w:rsidP="00AA597D">
      <w:pPr>
        <w:rPr>
          <w:rFonts w:cs="Arial"/>
        </w:rPr>
      </w:pPr>
      <w:r w:rsidRPr="00AA597D">
        <w:rPr>
          <w:rFonts w:cs="Arial"/>
          <w:b/>
        </w:rPr>
        <w:t>Exams and Grading:</w:t>
      </w:r>
    </w:p>
    <w:p w:rsidR="003C717C" w:rsidRDefault="003C717C" w:rsidP="00AA597D">
      <w:pPr>
        <w:rPr>
          <w:rFonts w:cs="Arial"/>
        </w:rPr>
      </w:pPr>
    </w:p>
    <w:p w:rsidR="00AA597D" w:rsidRPr="00AA597D" w:rsidRDefault="00AA597D" w:rsidP="00AA597D">
      <w:pPr>
        <w:rPr>
          <w:rFonts w:cs="Arial"/>
        </w:rPr>
      </w:pPr>
      <w:r w:rsidRPr="00AA597D">
        <w:rPr>
          <w:rFonts w:cs="Arial"/>
        </w:rPr>
        <w:t>Exams in this course will reflect problems given in the text and practice exams.</w:t>
      </w:r>
    </w:p>
    <w:p w:rsidR="00AA597D" w:rsidRPr="00AA597D" w:rsidRDefault="00AA597D" w:rsidP="00AA597D">
      <w:pPr>
        <w:rPr>
          <w:rFonts w:cs="Arial"/>
        </w:rPr>
      </w:pPr>
    </w:p>
    <w:p w:rsidR="003C717C" w:rsidRDefault="00AA597D" w:rsidP="003C717C">
      <w:pPr>
        <w:rPr>
          <w:rFonts w:cs="Arial"/>
          <w:u w:val="single"/>
        </w:rPr>
      </w:pPr>
      <w:r w:rsidRPr="00AA597D">
        <w:rPr>
          <w:rFonts w:cs="Arial"/>
        </w:rPr>
        <w:t xml:space="preserve">NOTE:  </w:t>
      </w:r>
      <w:r w:rsidRPr="00AA597D">
        <w:rPr>
          <w:rFonts w:cs="Arial"/>
          <w:u w:val="single"/>
        </w:rPr>
        <w:t>Due to the brevity of the course, there will be NO MAKE-UP exams.</w:t>
      </w:r>
    </w:p>
    <w:p w:rsidR="003C717C" w:rsidRDefault="003C717C" w:rsidP="003C717C">
      <w:pPr>
        <w:rPr>
          <w:rFonts w:cs="Arial"/>
          <w:u w:val="single"/>
        </w:rPr>
      </w:pPr>
    </w:p>
    <w:p w:rsidR="003C717C" w:rsidRDefault="00AA597D" w:rsidP="003C717C">
      <w:pPr>
        <w:rPr>
          <w:rFonts w:cs="Arial"/>
        </w:rPr>
      </w:pPr>
      <w:r w:rsidRPr="00AA597D">
        <w:rPr>
          <w:rFonts w:cs="Arial"/>
        </w:rPr>
        <w:t xml:space="preserve">Each exam will be worth 100 points. Grades will be calculated based upon the sum of the </w:t>
      </w:r>
      <w:r w:rsidR="00FF3180">
        <w:rPr>
          <w:rFonts w:cs="Arial"/>
        </w:rPr>
        <w:t xml:space="preserve">highest </w:t>
      </w:r>
      <w:r w:rsidRPr="00AA597D">
        <w:rPr>
          <w:rFonts w:cs="Arial"/>
        </w:rPr>
        <w:t>point total</w:t>
      </w:r>
      <w:r w:rsidR="00FF3180">
        <w:rPr>
          <w:rFonts w:cs="Arial"/>
        </w:rPr>
        <w:t xml:space="preserve"> for the four exams</w:t>
      </w:r>
      <w:r w:rsidRPr="00AA597D">
        <w:rPr>
          <w:rFonts w:cs="Arial"/>
        </w:rPr>
        <w:t xml:space="preserve">. A maximum of </w:t>
      </w:r>
      <w:r w:rsidR="00FF3180">
        <w:rPr>
          <w:rFonts w:cs="Arial"/>
        </w:rPr>
        <w:t>5</w:t>
      </w:r>
      <w:r w:rsidRPr="00AA597D">
        <w:rPr>
          <w:rFonts w:cs="Arial"/>
        </w:rPr>
        <w:t xml:space="preserve">00 points are available for this course.  The final course average </w:t>
      </w:r>
      <w:r w:rsidR="00FF3180">
        <w:rPr>
          <w:rFonts w:cs="Arial"/>
        </w:rPr>
        <w:t xml:space="preserve">(percentage) </w:t>
      </w:r>
      <w:r w:rsidRPr="00AA597D">
        <w:rPr>
          <w:rFonts w:cs="Arial"/>
        </w:rPr>
        <w:t>will be calculated as follows</w:t>
      </w:r>
      <w:r w:rsidR="003C717C">
        <w:rPr>
          <w:rFonts w:cs="Arial"/>
        </w:rPr>
        <w:t>:</w:t>
      </w:r>
    </w:p>
    <w:p w:rsidR="003C717C" w:rsidRDefault="003C717C" w:rsidP="003C717C">
      <w:pPr>
        <w:rPr>
          <w:rFonts w:cs="Arial"/>
        </w:rPr>
      </w:pPr>
    </w:p>
    <w:p w:rsidR="003C717C" w:rsidRDefault="00AA597D" w:rsidP="003C717C">
      <w:pPr>
        <w:rPr>
          <w:rFonts w:cs="Arial"/>
        </w:rPr>
      </w:pPr>
      <w:r w:rsidRPr="00FF3180">
        <w:rPr>
          <w:rFonts w:cs="Arial"/>
        </w:rPr>
        <w:t xml:space="preserve">Final course average = </w:t>
      </w:r>
      <w:r w:rsidR="00FF3180" w:rsidRPr="00FF3180">
        <w:rPr>
          <w:rFonts w:cs="Arial"/>
        </w:rPr>
        <w:t xml:space="preserve">500 </w:t>
      </w:r>
      <w:r w:rsidRPr="00FF3180">
        <w:rPr>
          <w:rFonts w:cs="Arial"/>
        </w:rPr>
        <w:t xml:space="preserve">points </w:t>
      </w:r>
      <w:r w:rsidR="00FF3180" w:rsidRPr="00FF3180">
        <w:rPr>
          <w:rFonts w:cs="Arial"/>
        </w:rPr>
        <w:t xml:space="preserve">maximum </w:t>
      </w:r>
      <w:r w:rsidRPr="00FF3180">
        <w:rPr>
          <w:rFonts w:cs="Arial"/>
        </w:rPr>
        <w:t>x 100%</w:t>
      </w:r>
      <w:r w:rsidR="00FF3180" w:rsidRPr="00FF3180">
        <w:rPr>
          <w:rFonts w:cs="Arial"/>
        </w:rPr>
        <w:t xml:space="preserve"> = Final course average (%)</w:t>
      </w:r>
    </w:p>
    <w:p w:rsidR="003C717C" w:rsidRDefault="003C717C" w:rsidP="003C717C">
      <w:pPr>
        <w:rPr>
          <w:rFonts w:cs="Arial"/>
        </w:rPr>
      </w:pPr>
    </w:p>
    <w:p w:rsidR="00AA597D" w:rsidRPr="003C717C" w:rsidRDefault="00AA597D" w:rsidP="003C717C">
      <w:pPr>
        <w:rPr>
          <w:rFonts w:cs="Arial"/>
          <w:u w:val="single"/>
        </w:rPr>
      </w:pPr>
      <w:r w:rsidRPr="00AA597D">
        <w:rPr>
          <w:rFonts w:cs="Arial"/>
        </w:rPr>
        <w:t>The scale below will be used to assign final letter grades.</w:t>
      </w:r>
    </w:p>
    <w:p w:rsidR="00AA597D" w:rsidRPr="00AA597D" w:rsidRDefault="00AA597D" w:rsidP="00AA597D">
      <w:pPr>
        <w:rPr>
          <w:rFonts w:cs="Arial"/>
        </w:rPr>
      </w:pPr>
      <w:r w:rsidRPr="00AA597D">
        <w:rPr>
          <w:rFonts w:cs="Arial"/>
        </w:rPr>
        <w:tab/>
      </w:r>
      <w:r w:rsidRPr="00AA597D">
        <w:rPr>
          <w:rFonts w:cs="Arial"/>
        </w:rPr>
        <w:tab/>
      </w:r>
      <w:r w:rsidRPr="00AA597D">
        <w:rPr>
          <w:rFonts w:cs="Arial"/>
        </w:rPr>
        <w:tab/>
      </w:r>
    </w:p>
    <w:tbl>
      <w:tblPr>
        <w:tblW w:w="7279" w:type="dxa"/>
        <w:tblInd w:w="918" w:type="dxa"/>
        <w:tblLook w:val="0000" w:firstRow="0" w:lastRow="0" w:firstColumn="0" w:lastColumn="0" w:noHBand="0" w:noVBand="0"/>
      </w:tblPr>
      <w:tblGrid>
        <w:gridCol w:w="720"/>
        <w:gridCol w:w="1440"/>
        <w:gridCol w:w="716"/>
        <w:gridCol w:w="1264"/>
        <w:gridCol w:w="180"/>
        <w:gridCol w:w="540"/>
        <w:gridCol w:w="259"/>
        <w:gridCol w:w="1901"/>
        <w:gridCol w:w="259"/>
      </w:tblGrid>
      <w:tr w:rsidR="00AA597D" w:rsidRPr="00AA597D" w:rsidTr="003C717C">
        <w:trPr>
          <w:gridAfter w:val="1"/>
          <w:wAfter w:w="259" w:type="dxa"/>
        </w:trPr>
        <w:tc>
          <w:tcPr>
            <w:tcW w:w="720"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A   =</w:t>
            </w:r>
          </w:p>
        </w:tc>
        <w:tc>
          <w:tcPr>
            <w:tcW w:w="1440"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91 – 100%</w:t>
            </w:r>
          </w:p>
        </w:tc>
        <w:tc>
          <w:tcPr>
            <w:tcW w:w="716"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B-  =</w:t>
            </w:r>
          </w:p>
        </w:tc>
        <w:tc>
          <w:tcPr>
            <w:tcW w:w="1264"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75 – 78%</w:t>
            </w:r>
          </w:p>
        </w:tc>
        <w:tc>
          <w:tcPr>
            <w:tcW w:w="720" w:type="dxa"/>
            <w:gridSpan w:val="2"/>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D+ =</w:t>
            </w:r>
          </w:p>
        </w:tc>
        <w:tc>
          <w:tcPr>
            <w:tcW w:w="2160" w:type="dxa"/>
            <w:gridSpan w:val="2"/>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59 – 62%</w:t>
            </w:r>
          </w:p>
        </w:tc>
      </w:tr>
      <w:tr w:rsidR="00AA597D" w:rsidRPr="00AA597D" w:rsidTr="003C717C">
        <w:trPr>
          <w:gridAfter w:val="1"/>
          <w:wAfter w:w="259" w:type="dxa"/>
        </w:trPr>
        <w:tc>
          <w:tcPr>
            <w:tcW w:w="720"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A-  =</w:t>
            </w:r>
          </w:p>
        </w:tc>
        <w:tc>
          <w:tcPr>
            <w:tcW w:w="1440"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87 – 90%</w:t>
            </w:r>
          </w:p>
        </w:tc>
        <w:tc>
          <w:tcPr>
            <w:tcW w:w="716"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C+ =</w:t>
            </w:r>
          </w:p>
        </w:tc>
        <w:tc>
          <w:tcPr>
            <w:tcW w:w="1264"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71 – 74%</w:t>
            </w:r>
          </w:p>
        </w:tc>
        <w:tc>
          <w:tcPr>
            <w:tcW w:w="720" w:type="dxa"/>
            <w:gridSpan w:val="2"/>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D   =</w:t>
            </w:r>
          </w:p>
        </w:tc>
        <w:tc>
          <w:tcPr>
            <w:tcW w:w="2160" w:type="dxa"/>
            <w:gridSpan w:val="2"/>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55 – 58%</w:t>
            </w:r>
          </w:p>
        </w:tc>
      </w:tr>
      <w:tr w:rsidR="00AA597D" w:rsidRPr="00AA597D" w:rsidTr="003C717C">
        <w:trPr>
          <w:gridAfter w:val="1"/>
          <w:wAfter w:w="259" w:type="dxa"/>
        </w:trPr>
        <w:tc>
          <w:tcPr>
            <w:tcW w:w="720"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B+ =</w:t>
            </w:r>
          </w:p>
        </w:tc>
        <w:tc>
          <w:tcPr>
            <w:tcW w:w="1440"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83 – 86%</w:t>
            </w:r>
          </w:p>
        </w:tc>
        <w:tc>
          <w:tcPr>
            <w:tcW w:w="716"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C   =</w:t>
            </w:r>
          </w:p>
        </w:tc>
        <w:tc>
          <w:tcPr>
            <w:tcW w:w="1264"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67 – 70%</w:t>
            </w:r>
          </w:p>
        </w:tc>
        <w:tc>
          <w:tcPr>
            <w:tcW w:w="720" w:type="dxa"/>
            <w:gridSpan w:val="2"/>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F   =</w:t>
            </w:r>
          </w:p>
        </w:tc>
        <w:tc>
          <w:tcPr>
            <w:tcW w:w="2160" w:type="dxa"/>
            <w:gridSpan w:val="2"/>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54% and less</w:t>
            </w:r>
          </w:p>
        </w:tc>
      </w:tr>
      <w:tr w:rsidR="00AA597D" w:rsidRPr="00AA597D" w:rsidTr="003C717C">
        <w:tc>
          <w:tcPr>
            <w:tcW w:w="720"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B   =</w:t>
            </w:r>
          </w:p>
        </w:tc>
        <w:tc>
          <w:tcPr>
            <w:tcW w:w="1440"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79 – 82%</w:t>
            </w:r>
          </w:p>
        </w:tc>
        <w:tc>
          <w:tcPr>
            <w:tcW w:w="716"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C-  =</w:t>
            </w:r>
          </w:p>
        </w:tc>
        <w:tc>
          <w:tcPr>
            <w:tcW w:w="1444" w:type="dxa"/>
            <w:gridSpan w:val="2"/>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63 – 66%</w:t>
            </w:r>
          </w:p>
        </w:tc>
        <w:tc>
          <w:tcPr>
            <w:tcW w:w="799" w:type="dxa"/>
            <w:gridSpan w:val="2"/>
          </w:tcPr>
          <w:p w:rsidR="00AA597D" w:rsidRPr="00AA597D" w:rsidRDefault="00AA597D" w:rsidP="00620BAA">
            <w:pPr>
              <w:pStyle w:val="NormalWeb"/>
              <w:rPr>
                <w:rFonts w:ascii="Arial" w:hAnsi="Arial" w:cs="Arial"/>
                <w:b/>
                <w:sz w:val="22"/>
                <w:szCs w:val="22"/>
              </w:rPr>
            </w:pPr>
          </w:p>
        </w:tc>
        <w:tc>
          <w:tcPr>
            <w:tcW w:w="2160" w:type="dxa"/>
            <w:gridSpan w:val="2"/>
          </w:tcPr>
          <w:p w:rsidR="00AA597D" w:rsidRPr="00AA597D" w:rsidRDefault="00AA597D" w:rsidP="00620BAA">
            <w:pPr>
              <w:pStyle w:val="NormalWeb"/>
              <w:rPr>
                <w:rFonts w:ascii="Arial" w:hAnsi="Arial" w:cs="Arial"/>
                <w:b/>
                <w:sz w:val="22"/>
                <w:szCs w:val="22"/>
              </w:rPr>
            </w:pPr>
          </w:p>
        </w:tc>
      </w:tr>
    </w:tbl>
    <w:p w:rsidR="003C717C" w:rsidRDefault="003C717C" w:rsidP="00AA597D">
      <w:pPr>
        <w:ind w:firstLine="2160"/>
        <w:rPr>
          <w:rFonts w:cs="Arial"/>
        </w:rPr>
      </w:pPr>
    </w:p>
    <w:p w:rsidR="00AA597D" w:rsidRPr="00AA597D" w:rsidRDefault="00AA597D" w:rsidP="003C717C">
      <w:pPr>
        <w:rPr>
          <w:rFonts w:cs="Arial"/>
        </w:rPr>
      </w:pPr>
      <w:r w:rsidRPr="00AA597D">
        <w:rPr>
          <w:rFonts w:cs="Arial"/>
        </w:rPr>
        <w:t>We reserve the right to lower this scale as appropriate, but will not raise it.</w:t>
      </w:r>
    </w:p>
    <w:p w:rsidR="00AA597D" w:rsidRDefault="00FF3180" w:rsidP="00AA597D">
      <w:pPr>
        <w:rPr>
          <w:rFonts w:cs="Arial"/>
        </w:rPr>
      </w:pPr>
      <w:r>
        <w:rPr>
          <w:rFonts w:cs="Arial"/>
        </w:rPr>
        <w:tab/>
      </w:r>
      <w:r>
        <w:rPr>
          <w:rFonts w:cs="Arial"/>
        </w:rPr>
        <w:tab/>
      </w:r>
      <w:r>
        <w:rPr>
          <w:rFonts w:cs="Arial"/>
        </w:rPr>
        <w:tab/>
      </w:r>
    </w:p>
    <w:p w:rsidR="00FF3180" w:rsidRPr="00FF3180" w:rsidRDefault="00FF3180" w:rsidP="003C717C">
      <w:pPr>
        <w:rPr>
          <w:rFonts w:cs="Arial"/>
          <w:u w:val="single"/>
        </w:rPr>
      </w:pPr>
      <w:r>
        <w:rPr>
          <w:rFonts w:cs="Arial"/>
        </w:rPr>
        <w:t xml:space="preserve">Other than bonus points on exams, there are no opportunities for extra credit.  Please put your time and efforts into mastering the concepts in the first place.  </w:t>
      </w:r>
      <w:r>
        <w:rPr>
          <w:rFonts w:cs="Arial"/>
          <w:u w:val="single"/>
        </w:rPr>
        <w:t>So please do not request extra credit projects.</w:t>
      </w:r>
    </w:p>
    <w:p w:rsidR="00FF3180" w:rsidRPr="00AA597D" w:rsidRDefault="00FF3180" w:rsidP="00AA597D">
      <w:pPr>
        <w:rPr>
          <w:rFonts w:cs="Arial"/>
        </w:rPr>
      </w:pPr>
    </w:p>
    <w:p w:rsidR="003C717C" w:rsidRDefault="003C717C">
      <w:pPr>
        <w:rPr>
          <w:rFonts w:cs="Arial"/>
          <w:b/>
        </w:rPr>
      </w:pPr>
      <w:r>
        <w:rPr>
          <w:rFonts w:cs="Arial"/>
          <w:b/>
        </w:rPr>
        <w:br w:type="page"/>
      </w:r>
    </w:p>
    <w:p w:rsidR="003C717C" w:rsidRDefault="00AA597D" w:rsidP="00AA597D">
      <w:pPr>
        <w:ind w:left="720" w:hanging="720"/>
        <w:outlineLvl w:val="0"/>
        <w:rPr>
          <w:rFonts w:cs="Arial"/>
          <w:b/>
        </w:rPr>
      </w:pPr>
      <w:r w:rsidRPr="00AA597D">
        <w:rPr>
          <w:rFonts w:cs="Arial"/>
          <w:b/>
        </w:rPr>
        <w:lastRenderedPageBreak/>
        <w:t>Class attendance</w:t>
      </w:r>
      <w:r w:rsidR="003C717C" w:rsidRPr="003C717C">
        <w:rPr>
          <w:rFonts w:cs="Arial"/>
          <w:b/>
        </w:rPr>
        <w:t xml:space="preserve"> </w:t>
      </w:r>
      <w:r w:rsidR="003C717C">
        <w:rPr>
          <w:rFonts w:cs="Arial"/>
          <w:b/>
        </w:rPr>
        <w:t>and exams:</w:t>
      </w:r>
    </w:p>
    <w:p w:rsidR="00A846E5" w:rsidRDefault="00A846E5" w:rsidP="00AA597D">
      <w:pPr>
        <w:ind w:left="720" w:hanging="720"/>
        <w:outlineLvl w:val="0"/>
        <w:rPr>
          <w:rFonts w:cs="Arial"/>
          <w:b/>
        </w:rPr>
      </w:pPr>
    </w:p>
    <w:p w:rsidR="00AA597D" w:rsidRDefault="00AA597D" w:rsidP="003C717C">
      <w:pPr>
        <w:outlineLvl w:val="0"/>
        <w:rPr>
          <w:rFonts w:cs="Arial"/>
        </w:rPr>
      </w:pPr>
      <w:r w:rsidRPr="00AA597D">
        <w:rPr>
          <w:rFonts w:cs="Arial"/>
        </w:rPr>
        <w:t xml:space="preserve">There is a direct correlation between class attendance and how well a student does in the course.  Some absences are unavoidable, but every effort should be made to attend class regularly because inevitably everything covered in lecture will show up on the exams in one form or another.  </w:t>
      </w:r>
      <w:r>
        <w:rPr>
          <w:rFonts w:cs="Arial"/>
        </w:rPr>
        <w:t>See</w:t>
      </w:r>
      <w:r w:rsidRPr="00AA597D">
        <w:rPr>
          <w:rFonts w:cs="Arial"/>
        </w:rPr>
        <w:t xml:space="preserve">:  </w:t>
      </w:r>
      <w:hyperlink r:id="rId6" w:history="1">
        <w:r w:rsidRPr="00AA597D">
          <w:rPr>
            <w:rStyle w:val="Hyperlink"/>
            <w:rFonts w:cs="Arial"/>
          </w:rPr>
          <w:t>ETSU Class Attendance Policy</w:t>
        </w:r>
      </w:hyperlink>
      <w:r w:rsidRPr="00AA597D">
        <w:rPr>
          <w:rFonts w:cs="Arial"/>
        </w:rPr>
        <w:t xml:space="preserve"> </w:t>
      </w:r>
      <w:r>
        <w:rPr>
          <w:rFonts w:cs="Arial"/>
        </w:rPr>
        <w:t>.</w:t>
      </w:r>
    </w:p>
    <w:p w:rsidR="00FF3180" w:rsidRPr="00AA597D" w:rsidRDefault="00FF3180" w:rsidP="00AA597D">
      <w:pPr>
        <w:ind w:left="2160" w:hanging="2160"/>
        <w:outlineLvl w:val="0"/>
        <w:rPr>
          <w:rFonts w:cs="Arial"/>
        </w:rPr>
      </w:pPr>
    </w:p>
    <w:p w:rsidR="003C717C" w:rsidRDefault="00AA597D" w:rsidP="00AA597D">
      <w:pPr>
        <w:ind w:left="2160" w:hanging="2160"/>
        <w:outlineLvl w:val="0"/>
        <w:rPr>
          <w:rFonts w:cs="Arial"/>
          <w:b/>
        </w:rPr>
      </w:pPr>
      <w:r w:rsidRPr="00AA597D">
        <w:rPr>
          <w:rFonts w:cs="Arial"/>
          <w:b/>
        </w:rPr>
        <w:t>A Word to the Wise:</w:t>
      </w:r>
    </w:p>
    <w:p w:rsidR="003C717C" w:rsidRDefault="003C717C" w:rsidP="00AA597D">
      <w:pPr>
        <w:ind w:left="2160" w:hanging="2160"/>
        <w:outlineLvl w:val="0"/>
        <w:rPr>
          <w:rFonts w:cs="Arial"/>
          <w:b/>
        </w:rPr>
      </w:pPr>
    </w:p>
    <w:p w:rsidR="00AA597D" w:rsidRDefault="00AA597D" w:rsidP="003C717C">
      <w:pPr>
        <w:outlineLvl w:val="0"/>
        <w:rPr>
          <w:rFonts w:cs="Arial"/>
        </w:rPr>
      </w:pPr>
      <w:r w:rsidRPr="00AA597D">
        <w:rPr>
          <w:rFonts w:cs="Arial"/>
        </w:rPr>
        <w:t>Please keep up with the material. It accumulates relentlessly and is used to develop subsequent concepts.  Thus you must develop a stable foundation and letting things slide is unwise.  As the term progresses and other demands on your time increase, catch-up will become harder to accomplish.  Furthermore, it is likely that many of the concepts in the course will become clear only after you have cogitated about them for a while. This digestion period is critical and hence the need for time. So please don’t wait until the last minute to “learn”. Regular study each day is preferred to an all-nighter.</w:t>
      </w:r>
    </w:p>
    <w:p w:rsidR="00AA597D" w:rsidRDefault="00AA597D" w:rsidP="00AA597D">
      <w:pPr>
        <w:ind w:left="2160" w:hanging="2160"/>
        <w:outlineLvl w:val="0"/>
        <w:rPr>
          <w:rFonts w:cs="Arial"/>
        </w:rPr>
      </w:pPr>
    </w:p>
    <w:p w:rsidR="00AA597D" w:rsidRDefault="00AA597D" w:rsidP="003C717C">
      <w:pPr>
        <w:outlineLvl w:val="0"/>
        <w:rPr>
          <w:rFonts w:cs="Arial"/>
        </w:rPr>
      </w:pPr>
      <w:r w:rsidRPr="00AA597D">
        <w:rPr>
          <w:rFonts w:cs="Arial"/>
        </w:rPr>
        <w:t xml:space="preserve">Write, write, and write again. </w:t>
      </w:r>
      <w:r>
        <w:rPr>
          <w:rFonts w:cs="Arial"/>
        </w:rPr>
        <w:t>We</w:t>
      </w:r>
      <w:r w:rsidRPr="00AA597D">
        <w:rPr>
          <w:rFonts w:cs="Arial"/>
        </w:rPr>
        <w:t xml:space="preserve"> cannot overemphasize the importance of writing. Simply listening to the lecture, or reading you</w:t>
      </w:r>
      <w:r>
        <w:rPr>
          <w:rFonts w:cs="Arial"/>
        </w:rPr>
        <w:t>r text is not enough. It is</w:t>
      </w:r>
      <w:r w:rsidRPr="00AA597D">
        <w:rPr>
          <w:rFonts w:cs="Arial"/>
        </w:rPr>
        <w:t xml:space="preserve"> easy to convince yourself that you understand the material, when in reality you do not.  We have all done this, and you should be alert to such.  If you choose to follow this advice, you will begin to note that expressing your knowledge of the subject indeed requires its understanding. To reach that level you must practice writing. Also, don’t skim over the problems.  Work them out completely on paper, just as you will need to do for an examination. Quite often, with the problem before you on paper, other viewpoints presents themselves, and then learning begins. </w:t>
      </w:r>
      <w:r>
        <w:rPr>
          <w:rFonts w:cs="Arial"/>
        </w:rPr>
        <w:t xml:space="preserve"> </w:t>
      </w:r>
      <w:r w:rsidRPr="00AA597D">
        <w:rPr>
          <w:rFonts w:cs="Arial"/>
        </w:rPr>
        <w:t xml:space="preserve">This is critical as the course progresses. </w:t>
      </w:r>
    </w:p>
    <w:p w:rsidR="00AA597D" w:rsidRDefault="00AA597D" w:rsidP="00AA597D">
      <w:pPr>
        <w:ind w:left="2160" w:hanging="2160"/>
        <w:outlineLvl w:val="0"/>
        <w:rPr>
          <w:rFonts w:cs="Arial"/>
        </w:rPr>
      </w:pPr>
    </w:p>
    <w:p w:rsidR="00AA597D" w:rsidRDefault="00AA597D" w:rsidP="003C717C">
      <w:pPr>
        <w:outlineLvl w:val="0"/>
        <w:rPr>
          <w:rFonts w:cs="Arial"/>
        </w:rPr>
      </w:pPr>
      <w:r w:rsidRPr="00AA597D">
        <w:rPr>
          <w:rFonts w:cs="Arial"/>
        </w:rPr>
        <w:t>Network with your classmates, if at all possible.  If you want to study alone, well that’s ok.  Being able to explain something to others is a sign of insight and understanding.  It might be advisable if each member of the group agrees to work a few problems and explains the solutions to the rest of the group.  More problems can be worked and each person has ample op</w:t>
      </w:r>
      <w:r>
        <w:rPr>
          <w:rFonts w:cs="Arial"/>
        </w:rPr>
        <w:t>portunity to discuss and debate</w:t>
      </w:r>
      <w:r w:rsidRPr="00AA597D">
        <w:rPr>
          <w:rFonts w:cs="Arial"/>
        </w:rPr>
        <w:t xml:space="preserve">. The group as a whole will be able to work a larger number of problems. If you choose to form groups, it is crucial for all members of the group to do their fair share.  One reason often responsible for group breakdown is that one or two people do all the work and the rest just piggy-back.  Avoid this from happening. </w:t>
      </w:r>
    </w:p>
    <w:p w:rsidR="00AA597D" w:rsidRDefault="00AA597D" w:rsidP="00AA597D">
      <w:pPr>
        <w:ind w:left="2160" w:hanging="2160"/>
        <w:outlineLvl w:val="0"/>
        <w:rPr>
          <w:rFonts w:cs="Arial"/>
        </w:rPr>
      </w:pPr>
      <w:r>
        <w:rPr>
          <w:rFonts w:cs="Arial"/>
        </w:rPr>
        <w:tab/>
      </w:r>
    </w:p>
    <w:p w:rsidR="00AA597D" w:rsidRPr="00AA597D" w:rsidRDefault="00AA597D" w:rsidP="003C717C">
      <w:pPr>
        <w:outlineLvl w:val="0"/>
        <w:rPr>
          <w:rFonts w:cs="Arial"/>
        </w:rPr>
      </w:pPr>
      <w:r w:rsidRPr="00AA597D">
        <w:rPr>
          <w:rFonts w:cs="Arial"/>
        </w:rPr>
        <w:t xml:space="preserve">Make the most of the resources available to you. We are here to help you learn. So, come talk to us.  If the course does not seem to be going well, please get help right away. Our chances of rescuing you are better the more lead-time we have. </w:t>
      </w:r>
    </w:p>
    <w:p w:rsidR="00AA597D" w:rsidRDefault="00AA597D" w:rsidP="003C717C">
      <w:pPr>
        <w:outlineLvl w:val="0"/>
        <w:rPr>
          <w:rFonts w:cs="Arial"/>
        </w:rPr>
      </w:pPr>
    </w:p>
    <w:p w:rsidR="00AA597D" w:rsidRDefault="00AA597D" w:rsidP="003C717C">
      <w:pPr>
        <w:outlineLvl w:val="0"/>
        <w:rPr>
          <w:rFonts w:cs="Arial"/>
        </w:rPr>
      </w:pPr>
      <w:r w:rsidRPr="00AA597D">
        <w:rPr>
          <w:rFonts w:cs="Arial"/>
        </w:rPr>
        <w:t>Stay involved and keep a positive attitude. Perseverance will be an important key to success. Yes, it is a hard course but, no, it is not impossible.</w:t>
      </w:r>
    </w:p>
    <w:p w:rsidR="00AA597D" w:rsidRPr="00AA597D" w:rsidRDefault="00AA597D" w:rsidP="003C717C">
      <w:pPr>
        <w:spacing w:before="100" w:beforeAutospacing="1" w:after="100" w:afterAutospacing="1"/>
        <w:outlineLvl w:val="0"/>
        <w:rPr>
          <w:rFonts w:cs="Arial"/>
          <w:b/>
        </w:rPr>
      </w:pPr>
      <w:r>
        <w:rPr>
          <w:rFonts w:cs="Arial"/>
          <w:b/>
        </w:rPr>
        <w:br/>
      </w:r>
      <w:r w:rsidRPr="00AA597D">
        <w:rPr>
          <w:rFonts w:cs="Arial"/>
          <w:b/>
        </w:rPr>
        <w:t>Some Comments by former Organic Chemistry Students:</w:t>
      </w:r>
    </w:p>
    <w:p w:rsidR="00AA597D" w:rsidRPr="00AA597D" w:rsidRDefault="00AA597D" w:rsidP="003C717C">
      <w:pPr>
        <w:pStyle w:val="NormalWeb"/>
        <w:numPr>
          <w:ilvl w:val="0"/>
          <w:numId w:val="3"/>
        </w:numPr>
        <w:spacing w:line="360" w:lineRule="auto"/>
        <w:ind w:left="0" w:firstLine="0"/>
        <w:rPr>
          <w:rFonts w:ascii="Arial" w:hAnsi="Arial" w:cs="Arial"/>
          <w:sz w:val="22"/>
          <w:szCs w:val="22"/>
        </w:rPr>
      </w:pPr>
      <w:r w:rsidRPr="00AA597D">
        <w:rPr>
          <w:rFonts w:ascii="Arial" w:hAnsi="Arial" w:cs="Arial"/>
          <w:sz w:val="22"/>
          <w:szCs w:val="22"/>
        </w:rPr>
        <w:t>"Organic is not as terrible as the rumors say, but it's labor intensive."</w:t>
      </w:r>
    </w:p>
    <w:p w:rsidR="00AA597D" w:rsidRPr="00AA597D" w:rsidRDefault="00AA597D" w:rsidP="003C717C">
      <w:pPr>
        <w:pStyle w:val="NormalWeb"/>
        <w:numPr>
          <w:ilvl w:val="0"/>
          <w:numId w:val="3"/>
        </w:numPr>
        <w:spacing w:line="360" w:lineRule="auto"/>
        <w:ind w:left="0" w:firstLine="0"/>
        <w:rPr>
          <w:rFonts w:ascii="Arial" w:hAnsi="Arial" w:cs="Arial"/>
          <w:sz w:val="22"/>
          <w:szCs w:val="22"/>
        </w:rPr>
      </w:pPr>
      <w:r w:rsidRPr="00AA597D">
        <w:rPr>
          <w:rFonts w:ascii="Arial" w:hAnsi="Arial" w:cs="Arial"/>
          <w:sz w:val="22"/>
          <w:szCs w:val="22"/>
        </w:rPr>
        <w:t>"Read the textbook. It was my best friend for the better part of the year."</w:t>
      </w:r>
    </w:p>
    <w:p w:rsidR="00AA597D" w:rsidRPr="00AA597D" w:rsidRDefault="00AA597D" w:rsidP="003C717C">
      <w:pPr>
        <w:pStyle w:val="NormalWeb"/>
        <w:numPr>
          <w:ilvl w:val="0"/>
          <w:numId w:val="3"/>
        </w:numPr>
        <w:spacing w:line="360" w:lineRule="auto"/>
        <w:ind w:left="0" w:firstLine="0"/>
        <w:rPr>
          <w:rFonts w:ascii="Arial" w:hAnsi="Arial" w:cs="Arial"/>
          <w:sz w:val="22"/>
          <w:szCs w:val="22"/>
        </w:rPr>
      </w:pPr>
      <w:r w:rsidRPr="00AA597D">
        <w:rPr>
          <w:rFonts w:ascii="Arial" w:hAnsi="Arial" w:cs="Arial"/>
          <w:sz w:val="22"/>
          <w:szCs w:val="22"/>
        </w:rPr>
        <w:t>"You have to study a little at a time; you can't cram everything in just before a test."</w:t>
      </w:r>
    </w:p>
    <w:p w:rsidR="00AA597D" w:rsidRPr="00AA597D" w:rsidRDefault="00AA597D" w:rsidP="003C717C">
      <w:pPr>
        <w:pStyle w:val="NormalWeb"/>
        <w:numPr>
          <w:ilvl w:val="0"/>
          <w:numId w:val="3"/>
        </w:numPr>
        <w:spacing w:line="360" w:lineRule="auto"/>
        <w:ind w:left="0" w:firstLine="0"/>
        <w:rPr>
          <w:rFonts w:ascii="Arial" w:hAnsi="Arial" w:cs="Arial"/>
          <w:sz w:val="22"/>
          <w:szCs w:val="22"/>
        </w:rPr>
      </w:pPr>
      <w:r w:rsidRPr="00AA597D">
        <w:rPr>
          <w:rFonts w:ascii="Arial" w:hAnsi="Arial" w:cs="Arial"/>
          <w:sz w:val="22"/>
          <w:szCs w:val="22"/>
        </w:rPr>
        <w:t>"Go to class. Go to group help sessions even if they are not mandatory."</w:t>
      </w:r>
    </w:p>
    <w:p w:rsidR="00AA597D" w:rsidRPr="00AA597D" w:rsidRDefault="00AA597D" w:rsidP="003C717C">
      <w:pPr>
        <w:pStyle w:val="NormalWeb"/>
        <w:numPr>
          <w:ilvl w:val="0"/>
          <w:numId w:val="3"/>
        </w:numPr>
        <w:spacing w:line="360" w:lineRule="auto"/>
        <w:ind w:left="0" w:firstLine="0"/>
        <w:rPr>
          <w:rFonts w:ascii="Arial" w:hAnsi="Arial" w:cs="Arial"/>
          <w:sz w:val="22"/>
          <w:szCs w:val="22"/>
        </w:rPr>
      </w:pPr>
      <w:r w:rsidRPr="00AA597D">
        <w:rPr>
          <w:rFonts w:ascii="Arial" w:hAnsi="Arial" w:cs="Arial"/>
          <w:sz w:val="22"/>
          <w:szCs w:val="22"/>
        </w:rPr>
        <w:lastRenderedPageBreak/>
        <w:t xml:space="preserve">"Work extra problems. Build models. Recopy your lecture notes--you may realize there are </w:t>
      </w:r>
      <w:r w:rsidR="003C717C">
        <w:rPr>
          <w:rFonts w:ascii="Arial" w:hAnsi="Arial" w:cs="Arial"/>
          <w:sz w:val="22"/>
          <w:szCs w:val="22"/>
        </w:rPr>
        <w:tab/>
      </w:r>
      <w:r w:rsidRPr="00AA597D">
        <w:rPr>
          <w:rFonts w:ascii="Arial" w:hAnsi="Arial" w:cs="Arial"/>
          <w:sz w:val="22"/>
          <w:szCs w:val="22"/>
        </w:rPr>
        <w:t>things you don't completely understand."</w:t>
      </w:r>
    </w:p>
    <w:p w:rsidR="00AA597D" w:rsidRPr="00AA597D" w:rsidRDefault="00AA597D" w:rsidP="003C717C">
      <w:pPr>
        <w:pStyle w:val="NormalWeb"/>
        <w:numPr>
          <w:ilvl w:val="0"/>
          <w:numId w:val="3"/>
        </w:numPr>
        <w:spacing w:line="360" w:lineRule="auto"/>
        <w:ind w:left="0" w:firstLine="0"/>
        <w:rPr>
          <w:rFonts w:ascii="Arial" w:hAnsi="Arial" w:cs="Arial"/>
          <w:sz w:val="22"/>
          <w:szCs w:val="22"/>
        </w:rPr>
      </w:pPr>
      <w:r w:rsidRPr="00AA597D">
        <w:rPr>
          <w:rFonts w:ascii="Arial" w:hAnsi="Arial" w:cs="Arial"/>
          <w:sz w:val="22"/>
          <w:szCs w:val="22"/>
        </w:rPr>
        <w:t xml:space="preserve">"Model sets are a great resource. They're essential to understanding stereochemistry. There's </w:t>
      </w:r>
      <w:r w:rsidR="003C717C">
        <w:rPr>
          <w:rFonts w:ascii="Arial" w:hAnsi="Arial" w:cs="Arial"/>
          <w:sz w:val="22"/>
          <w:szCs w:val="22"/>
        </w:rPr>
        <w:tab/>
      </w:r>
      <w:r w:rsidRPr="00AA597D">
        <w:rPr>
          <w:rFonts w:ascii="Arial" w:hAnsi="Arial" w:cs="Arial"/>
          <w:sz w:val="22"/>
          <w:szCs w:val="22"/>
        </w:rPr>
        <w:t>nothing better than being able to hold a model in your hand and twist it and turn it."</w:t>
      </w:r>
    </w:p>
    <w:p w:rsidR="00AA597D" w:rsidRPr="00AA597D" w:rsidRDefault="00AA597D" w:rsidP="003C717C">
      <w:pPr>
        <w:pStyle w:val="NormalWeb"/>
        <w:numPr>
          <w:ilvl w:val="0"/>
          <w:numId w:val="3"/>
        </w:numPr>
        <w:spacing w:line="360" w:lineRule="auto"/>
        <w:ind w:left="0" w:firstLine="0"/>
        <w:rPr>
          <w:rFonts w:ascii="Arial" w:hAnsi="Arial" w:cs="Arial"/>
          <w:sz w:val="22"/>
          <w:szCs w:val="22"/>
        </w:rPr>
      </w:pPr>
      <w:r w:rsidRPr="00AA597D">
        <w:rPr>
          <w:rFonts w:ascii="Arial" w:hAnsi="Arial" w:cs="Arial"/>
          <w:sz w:val="22"/>
          <w:szCs w:val="22"/>
        </w:rPr>
        <w:t>"Working on syntheses ties together everything you've learned."</w:t>
      </w:r>
    </w:p>
    <w:p w:rsidR="00AA597D" w:rsidRPr="00AA597D" w:rsidRDefault="00AA597D" w:rsidP="003C717C">
      <w:pPr>
        <w:pStyle w:val="NormalWeb"/>
        <w:numPr>
          <w:ilvl w:val="0"/>
          <w:numId w:val="3"/>
        </w:numPr>
        <w:spacing w:line="360" w:lineRule="auto"/>
        <w:ind w:left="0" w:firstLine="0"/>
        <w:rPr>
          <w:rFonts w:ascii="Arial" w:hAnsi="Arial" w:cs="Arial"/>
          <w:sz w:val="22"/>
          <w:szCs w:val="22"/>
        </w:rPr>
      </w:pPr>
      <w:r w:rsidRPr="00AA597D">
        <w:rPr>
          <w:rFonts w:ascii="Arial" w:hAnsi="Arial" w:cs="Arial"/>
          <w:sz w:val="22"/>
          <w:szCs w:val="22"/>
        </w:rPr>
        <w:t xml:space="preserve">"If you know the underlying reasons why stuff happens, you can figure out a reaction you've </w:t>
      </w:r>
      <w:r w:rsidR="003C717C">
        <w:rPr>
          <w:rFonts w:ascii="Arial" w:hAnsi="Arial" w:cs="Arial"/>
          <w:sz w:val="22"/>
          <w:szCs w:val="22"/>
        </w:rPr>
        <w:tab/>
      </w:r>
      <w:r w:rsidRPr="00AA597D">
        <w:rPr>
          <w:rFonts w:ascii="Arial" w:hAnsi="Arial" w:cs="Arial"/>
          <w:sz w:val="22"/>
          <w:szCs w:val="22"/>
        </w:rPr>
        <w:t>never seen before."</w:t>
      </w:r>
    </w:p>
    <w:sectPr w:rsidR="00AA597D" w:rsidRPr="00AA597D" w:rsidSect="00AA597D">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F56E0"/>
    <w:multiLevelType w:val="multilevel"/>
    <w:tmpl w:val="3310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9903E3"/>
    <w:multiLevelType w:val="hybridMultilevel"/>
    <w:tmpl w:val="25905F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711A4574"/>
    <w:multiLevelType w:val="hybridMultilevel"/>
    <w:tmpl w:val="071C33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79254378"/>
    <w:multiLevelType w:val="multilevel"/>
    <w:tmpl w:val="14F8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A597D"/>
    <w:rsid w:val="00017093"/>
    <w:rsid w:val="00301250"/>
    <w:rsid w:val="003C717C"/>
    <w:rsid w:val="006F54C3"/>
    <w:rsid w:val="0076317D"/>
    <w:rsid w:val="00937B76"/>
    <w:rsid w:val="00A846E5"/>
    <w:rsid w:val="00AA597D"/>
    <w:rsid w:val="00B65127"/>
    <w:rsid w:val="00D24581"/>
    <w:rsid w:val="00FF3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F784DB-A508-4FD1-A02C-97C69402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aj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A597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rsid w:val="00AA597D"/>
    <w:rPr>
      <w:color w:val="0000FF"/>
      <w:u w:val="single"/>
    </w:rPr>
  </w:style>
  <w:style w:type="paragraph" w:styleId="BalloonText">
    <w:name w:val="Balloon Text"/>
    <w:basedOn w:val="Normal"/>
    <w:link w:val="BalloonTextChar"/>
    <w:uiPriority w:val="99"/>
    <w:semiHidden/>
    <w:unhideWhenUsed/>
    <w:rsid w:val="00FF3180"/>
    <w:rPr>
      <w:rFonts w:ascii="Tahoma" w:hAnsi="Tahoma" w:cs="Tahoma"/>
      <w:sz w:val="16"/>
      <w:szCs w:val="16"/>
    </w:rPr>
  </w:style>
  <w:style w:type="character" w:customStyle="1" w:styleId="BalloonTextChar">
    <w:name w:val="Balloon Text Char"/>
    <w:basedOn w:val="DefaultParagraphFont"/>
    <w:link w:val="BalloonText"/>
    <w:uiPriority w:val="99"/>
    <w:semiHidden/>
    <w:rsid w:val="00FF31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tsu.edu/students/spectrum/pbc.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70EA8-7D20-4095-A428-5838A52F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rasnickb</dc:creator>
  <cp:keywords/>
  <dc:description/>
  <cp:lastModifiedBy>Ginger</cp:lastModifiedBy>
  <cp:revision>2</cp:revision>
  <cp:lastPrinted>2009-10-15T14:21:00Z</cp:lastPrinted>
  <dcterms:created xsi:type="dcterms:W3CDTF">2014-12-06T23:26:00Z</dcterms:created>
  <dcterms:modified xsi:type="dcterms:W3CDTF">2014-12-06T23:26:00Z</dcterms:modified>
</cp:coreProperties>
</file>