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7B76" w:rsidRPr="00AA597D" w:rsidRDefault="00AA597D" w:rsidP="00AA597D">
      <w:pPr>
        <w:jc w:val="center"/>
        <w:rPr>
          <w:rFonts w:cs="Arial"/>
        </w:rPr>
      </w:pPr>
      <w:r w:rsidRPr="00AA597D">
        <w:rPr>
          <w:rFonts w:cs="Arial"/>
        </w:rPr>
        <w:t>CHEM 2020 – Organic Chemistry</w:t>
      </w:r>
    </w:p>
    <w:p w:rsidR="00AA597D" w:rsidRPr="00AA597D" w:rsidRDefault="00AA597D" w:rsidP="00AA597D">
      <w:pPr>
        <w:jc w:val="center"/>
        <w:rPr>
          <w:rFonts w:cs="Arial"/>
        </w:rPr>
      </w:pPr>
    </w:p>
    <w:p w:rsidR="00AA597D" w:rsidRPr="00AA597D" w:rsidRDefault="00AA597D" w:rsidP="00AA597D">
      <w:pPr>
        <w:outlineLvl w:val="0"/>
        <w:rPr>
          <w:rFonts w:cs="Arial"/>
        </w:rPr>
      </w:pPr>
      <w:r w:rsidRPr="00AA597D">
        <w:rPr>
          <w:rFonts w:cs="Arial"/>
          <w:b/>
        </w:rPr>
        <w:t>Text:</w:t>
      </w:r>
      <w:r w:rsidRPr="00AA597D">
        <w:rPr>
          <w:rFonts w:cs="Arial"/>
        </w:rPr>
        <w:tab/>
      </w:r>
      <w:r w:rsidRPr="00AA597D">
        <w:rPr>
          <w:rFonts w:cs="Arial"/>
        </w:rPr>
        <w:tab/>
      </w:r>
      <w:r w:rsidRPr="00AA597D">
        <w:rPr>
          <w:rFonts w:cs="Arial"/>
        </w:rPr>
        <w:tab/>
        <w:t xml:space="preserve">John McMurry:  </w:t>
      </w:r>
      <w:r w:rsidRPr="00AA597D">
        <w:rPr>
          <w:rFonts w:cs="Arial"/>
          <w:i/>
        </w:rPr>
        <w:t>Organic Chemistry</w:t>
      </w:r>
      <w:r w:rsidRPr="00AA597D">
        <w:rPr>
          <w:rFonts w:cs="Arial"/>
        </w:rPr>
        <w:t>, 7</w:t>
      </w:r>
      <w:r w:rsidRPr="00AA597D">
        <w:rPr>
          <w:rFonts w:cs="Arial"/>
          <w:vertAlign w:val="superscript"/>
        </w:rPr>
        <w:t>th</w:t>
      </w:r>
      <w:r w:rsidRPr="00AA597D">
        <w:rPr>
          <w:rFonts w:cs="Arial"/>
        </w:rPr>
        <w:t xml:space="preserve"> Ed.</w:t>
      </w:r>
    </w:p>
    <w:p w:rsidR="00AA597D" w:rsidRPr="00AA597D" w:rsidRDefault="00AA597D" w:rsidP="00AA597D">
      <w:pPr>
        <w:rPr>
          <w:rFonts w:cs="Arial"/>
        </w:rPr>
      </w:pPr>
    </w:p>
    <w:p w:rsidR="00A7741D" w:rsidRPr="00AA597D" w:rsidRDefault="00AA597D" w:rsidP="00A7741D">
      <w:pPr>
        <w:ind w:left="2160" w:hanging="2160"/>
        <w:rPr>
          <w:rFonts w:cs="Arial"/>
        </w:rPr>
      </w:pPr>
      <w:r w:rsidRPr="00AA597D">
        <w:rPr>
          <w:rFonts w:cs="Arial"/>
          <w:b/>
        </w:rPr>
        <w:t>Brief Course</w:t>
      </w:r>
      <w:r w:rsidRPr="00AA597D">
        <w:rPr>
          <w:rFonts w:cs="Arial"/>
        </w:rPr>
        <w:t xml:space="preserve"> </w:t>
      </w:r>
      <w:r>
        <w:rPr>
          <w:rFonts w:cs="Arial"/>
        </w:rPr>
        <w:tab/>
      </w:r>
      <w:r w:rsidRPr="00AA597D">
        <w:rPr>
          <w:rFonts w:cs="Arial"/>
        </w:rPr>
        <w:t>The list of topics to be covered is given below (not necessarily in the order</w:t>
      </w:r>
      <w:r w:rsidR="00A7741D" w:rsidRPr="00A7741D">
        <w:rPr>
          <w:rFonts w:cs="Arial"/>
        </w:rPr>
        <w:t xml:space="preserve"> </w:t>
      </w:r>
      <w:r w:rsidR="00A7741D" w:rsidRPr="00AA597D">
        <w:rPr>
          <w:rFonts w:cs="Arial"/>
        </w:rPr>
        <w:t>shown):</w:t>
      </w:r>
    </w:p>
    <w:p w:rsidR="00AA597D" w:rsidRPr="00AA597D" w:rsidRDefault="00AA597D" w:rsidP="00AA597D">
      <w:pPr>
        <w:outlineLvl w:val="0"/>
        <w:rPr>
          <w:rFonts w:cs="Arial"/>
          <w:b/>
        </w:rPr>
      </w:pPr>
    </w:p>
    <w:p w:rsidR="00AA597D" w:rsidRPr="00AA597D" w:rsidRDefault="00AA597D" w:rsidP="00AA597D">
      <w:pPr>
        <w:ind w:left="2160" w:hanging="2160"/>
        <w:rPr>
          <w:rFonts w:cs="Arial"/>
        </w:rPr>
      </w:pPr>
      <w:r w:rsidRPr="00AA597D">
        <w:rPr>
          <w:rFonts w:cs="Arial"/>
          <w:b/>
        </w:rPr>
        <w:t>Description:</w:t>
      </w:r>
      <w:r w:rsidRPr="00AA597D">
        <w:rPr>
          <w:rFonts w:cs="Arial"/>
          <w:b/>
        </w:rPr>
        <w:tab/>
      </w:r>
    </w:p>
    <w:p w:rsidR="00AA597D" w:rsidRPr="00AA597D" w:rsidRDefault="00AA597D" w:rsidP="00AA597D">
      <w:pPr>
        <w:numPr>
          <w:ilvl w:val="0"/>
          <w:numId w:val="1"/>
        </w:numPr>
        <w:tabs>
          <w:tab w:val="clear" w:pos="1440"/>
          <w:tab w:val="num" w:pos="2520"/>
        </w:tabs>
        <w:ind w:firstLine="720"/>
        <w:rPr>
          <w:rFonts w:cs="Arial"/>
        </w:rPr>
      </w:pPr>
      <w:r w:rsidRPr="00AA597D">
        <w:rPr>
          <w:rFonts w:cs="Arial"/>
        </w:rPr>
        <w:t xml:space="preserve">Overview of nuclear magnetic resonance and its utility </w:t>
      </w:r>
    </w:p>
    <w:p w:rsidR="00AA597D" w:rsidRPr="00AA597D" w:rsidRDefault="00AA597D" w:rsidP="00AA597D">
      <w:pPr>
        <w:numPr>
          <w:ilvl w:val="0"/>
          <w:numId w:val="1"/>
        </w:numPr>
        <w:tabs>
          <w:tab w:val="clear" w:pos="1440"/>
          <w:tab w:val="num" w:pos="2520"/>
        </w:tabs>
        <w:ind w:firstLine="720"/>
        <w:rPr>
          <w:rFonts w:cs="Arial"/>
        </w:rPr>
      </w:pPr>
      <w:r w:rsidRPr="00AA597D">
        <w:rPr>
          <w:rFonts w:cs="Arial"/>
        </w:rPr>
        <w:t xml:space="preserve">Using </w:t>
      </w:r>
      <w:r w:rsidRPr="00AA597D">
        <w:rPr>
          <w:rFonts w:cs="Arial"/>
          <w:vertAlign w:val="superscript"/>
        </w:rPr>
        <w:t>1</w:t>
      </w:r>
      <w:r w:rsidRPr="00AA597D">
        <w:rPr>
          <w:rFonts w:cs="Arial"/>
        </w:rPr>
        <w:t xml:space="preserve">H and </w:t>
      </w:r>
      <w:r w:rsidRPr="00AA597D">
        <w:rPr>
          <w:rFonts w:cs="Arial"/>
          <w:vertAlign w:val="superscript"/>
        </w:rPr>
        <w:t>13</w:t>
      </w:r>
      <w:r w:rsidRPr="00AA597D">
        <w:rPr>
          <w:rFonts w:cs="Arial"/>
        </w:rPr>
        <w:t>C spectra for structure determinations</w:t>
      </w:r>
    </w:p>
    <w:p w:rsidR="00AA597D" w:rsidRPr="00AA597D" w:rsidRDefault="00AA597D" w:rsidP="00AA597D">
      <w:pPr>
        <w:numPr>
          <w:ilvl w:val="0"/>
          <w:numId w:val="1"/>
        </w:numPr>
        <w:tabs>
          <w:tab w:val="clear" w:pos="1440"/>
          <w:tab w:val="num" w:pos="2520"/>
        </w:tabs>
        <w:ind w:firstLine="720"/>
        <w:rPr>
          <w:rFonts w:cs="Arial"/>
        </w:rPr>
      </w:pPr>
      <w:r w:rsidRPr="00AA597D">
        <w:rPr>
          <w:rFonts w:cs="Arial"/>
        </w:rPr>
        <w:t>Conjugated unsaturation – allylic substitution, alkadiene stabilities</w:t>
      </w:r>
    </w:p>
    <w:p w:rsidR="00AA597D" w:rsidRPr="00AA597D" w:rsidRDefault="00AA597D" w:rsidP="00AA597D">
      <w:pPr>
        <w:numPr>
          <w:ilvl w:val="0"/>
          <w:numId w:val="1"/>
        </w:numPr>
        <w:tabs>
          <w:tab w:val="clear" w:pos="1440"/>
          <w:tab w:val="num" w:pos="2520"/>
        </w:tabs>
        <w:ind w:firstLine="720"/>
        <w:rPr>
          <w:rFonts w:cs="Arial"/>
        </w:rPr>
      </w:pPr>
      <w:r w:rsidRPr="00AA597D">
        <w:rPr>
          <w:rFonts w:cs="Arial"/>
        </w:rPr>
        <w:t>Diels-Alder reactions involving dienes</w:t>
      </w:r>
    </w:p>
    <w:p w:rsidR="00AA597D" w:rsidRPr="00AA597D" w:rsidRDefault="00AA597D" w:rsidP="00AA597D">
      <w:pPr>
        <w:numPr>
          <w:ilvl w:val="0"/>
          <w:numId w:val="1"/>
        </w:numPr>
        <w:tabs>
          <w:tab w:val="clear" w:pos="1440"/>
          <w:tab w:val="num" w:pos="2520"/>
        </w:tabs>
        <w:ind w:firstLine="720"/>
        <w:rPr>
          <w:rFonts w:cs="Arial"/>
        </w:rPr>
      </w:pPr>
      <w:r w:rsidRPr="00AA597D">
        <w:rPr>
          <w:rFonts w:cs="Arial"/>
        </w:rPr>
        <w:t>Chemistry of aromatic compounds</w:t>
      </w:r>
    </w:p>
    <w:p w:rsidR="00AA597D" w:rsidRPr="00AA597D" w:rsidRDefault="00AA597D" w:rsidP="00AA597D">
      <w:pPr>
        <w:numPr>
          <w:ilvl w:val="0"/>
          <w:numId w:val="1"/>
        </w:numPr>
        <w:tabs>
          <w:tab w:val="clear" w:pos="1440"/>
          <w:tab w:val="num" w:pos="2520"/>
        </w:tabs>
        <w:ind w:firstLine="720"/>
        <w:rPr>
          <w:rFonts w:cs="Arial"/>
        </w:rPr>
      </w:pPr>
      <w:r w:rsidRPr="00AA597D">
        <w:rPr>
          <w:rFonts w:cs="Arial"/>
        </w:rPr>
        <w:t>Concept of aromaticity</w:t>
      </w:r>
    </w:p>
    <w:p w:rsidR="00AA597D" w:rsidRPr="00AA597D" w:rsidRDefault="00AA597D" w:rsidP="00AA597D">
      <w:pPr>
        <w:numPr>
          <w:ilvl w:val="0"/>
          <w:numId w:val="1"/>
        </w:numPr>
        <w:tabs>
          <w:tab w:val="clear" w:pos="1440"/>
          <w:tab w:val="num" w:pos="2520"/>
        </w:tabs>
        <w:ind w:firstLine="720"/>
        <w:rPr>
          <w:rFonts w:cs="Arial"/>
        </w:rPr>
      </w:pPr>
      <w:r w:rsidRPr="00AA597D">
        <w:rPr>
          <w:rFonts w:cs="Arial"/>
        </w:rPr>
        <w:t>Electrophilic aromatic reactions</w:t>
      </w:r>
    </w:p>
    <w:p w:rsidR="00AA597D" w:rsidRPr="00AA597D" w:rsidRDefault="00AA597D" w:rsidP="00AA597D">
      <w:pPr>
        <w:numPr>
          <w:ilvl w:val="0"/>
          <w:numId w:val="1"/>
        </w:numPr>
        <w:tabs>
          <w:tab w:val="clear" w:pos="1440"/>
          <w:tab w:val="num" w:pos="2520"/>
        </w:tabs>
        <w:ind w:firstLine="720"/>
        <w:rPr>
          <w:rFonts w:cs="Arial"/>
        </w:rPr>
      </w:pPr>
      <w:r w:rsidRPr="00AA597D">
        <w:rPr>
          <w:rFonts w:cs="Arial"/>
        </w:rPr>
        <w:t>Aromatic substituent effects on reactivity and selectivity</w:t>
      </w:r>
    </w:p>
    <w:p w:rsidR="00AA597D" w:rsidRPr="00AA597D" w:rsidRDefault="00AA597D" w:rsidP="00AA597D">
      <w:pPr>
        <w:numPr>
          <w:ilvl w:val="0"/>
          <w:numId w:val="1"/>
        </w:numPr>
        <w:tabs>
          <w:tab w:val="clear" w:pos="1440"/>
          <w:tab w:val="num" w:pos="2520"/>
        </w:tabs>
        <w:ind w:firstLine="720"/>
        <w:rPr>
          <w:rFonts w:cs="Arial"/>
        </w:rPr>
      </w:pPr>
      <w:r w:rsidRPr="00AA597D">
        <w:rPr>
          <w:rFonts w:cs="Arial"/>
        </w:rPr>
        <w:t>Nucleophilic aromatic substitution</w:t>
      </w:r>
    </w:p>
    <w:p w:rsidR="00AA597D" w:rsidRPr="00AA597D" w:rsidRDefault="00AA597D" w:rsidP="00AA597D">
      <w:pPr>
        <w:numPr>
          <w:ilvl w:val="0"/>
          <w:numId w:val="1"/>
        </w:numPr>
        <w:tabs>
          <w:tab w:val="clear" w:pos="1440"/>
          <w:tab w:val="num" w:pos="2520"/>
        </w:tabs>
        <w:ind w:firstLine="720"/>
        <w:rPr>
          <w:rFonts w:cs="Arial"/>
        </w:rPr>
      </w:pPr>
      <w:r w:rsidRPr="00AA597D">
        <w:rPr>
          <w:rFonts w:cs="Arial"/>
        </w:rPr>
        <w:t xml:space="preserve">Chemical reactions, preparation, and properties of alcohols and </w:t>
      </w:r>
      <w:r w:rsidR="00A7741D">
        <w:rPr>
          <w:rFonts w:cs="Arial"/>
        </w:rPr>
        <w:t>p</w:t>
      </w:r>
      <w:r w:rsidRPr="00AA597D">
        <w:rPr>
          <w:rFonts w:cs="Arial"/>
        </w:rPr>
        <w:t>henols</w:t>
      </w:r>
    </w:p>
    <w:p w:rsidR="00AA597D" w:rsidRPr="00AA597D" w:rsidRDefault="00AA597D" w:rsidP="00AA597D">
      <w:pPr>
        <w:numPr>
          <w:ilvl w:val="0"/>
          <w:numId w:val="1"/>
        </w:numPr>
        <w:tabs>
          <w:tab w:val="clear" w:pos="1440"/>
          <w:tab w:val="num" w:pos="2520"/>
        </w:tabs>
        <w:ind w:firstLine="720"/>
        <w:rPr>
          <w:rFonts w:cs="Arial"/>
        </w:rPr>
      </w:pPr>
      <w:r w:rsidRPr="00AA597D">
        <w:rPr>
          <w:rFonts w:cs="Arial"/>
        </w:rPr>
        <w:t>Chemical reactions, preparation, and properties of ethers and epoxides</w:t>
      </w:r>
    </w:p>
    <w:p w:rsidR="00AA597D" w:rsidRPr="00AA597D" w:rsidRDefault="00AA597D" w:rsidP="00AA597D">
      <w:pPr>
        <w:numPr>
          <w:ilvl w:val="0"/>
          <w:numId w:val="1"/>
        </w:numPr>
        <w:tabs>
          <w:tab w:val="clear" w:pos="1440"/>
          <w:tab w:val="num" w:pos="2520"/>
        </w:tabs>
        <w:ind w:firstLine="720"/>
        <w:rPr>
          <w:rFonts w:cs="Arial"/>
        </w:rPr>
      </w:pPr>
      <w:r w:rsidRPr="00AA597D">
        <w:rPr>
          <w:rFonts w:cs="Arial"/>
        </w:rPr>
        <w:t xml:space="preserve">Chemical reactions, preparation, and properties of aldehydes and </w:t>
      </w:r>
      <w:r w:rsidRPr="00AA597D">
        <w:rPr>
          <w:rFonts w:cs="Arial"/>
        </w:rPr>
        <w:tab/>
        <w:t>ketones</w:t>
      </w:r>
    </w:p>
    <w:p w:rsidR="00AA597D" w:rsidRPr="00AA597D" w:rsidRDefault="00AA597D" w:rsidP="00AA597D">
      <w:pPr>
        <w:numPr>
          <w:ilvl w:val="0"/>
          <w:numId w:val="1"/>
        </w:numPr>
        <w:tabs>
          <w:tab w:val="clear" w:pos="1440"/>
          <w:tab w:val="num" w:pos="2520"/>
        </w:tabs>
        <w:ind w:firstLine="720"/>
        <w:rPr>
          <w:rFonts w:cs="Arial"/>
        </w:rPr>
      </w:pPr>
      <w:r w:rsidRPr="00AA597D">
        <w:rPr>
          <w:rFonts w:cs="Arial"/>
        </w:rPr>
        <w:t>Nucleophilic addition to carbonyl groups</w:t>
      </w:r>
    </w:p>
    <w:p w:rsidR="00AA597D" w:rsidRPr="00AA597D" w:rsidRDefault="00AA597D" w:rsidP="00AA597D">
      <w:pPr>
        <w:numPr>
          <w:ilvl w:val="0"/>
          <w:numId w:val="1"/>
        </w:numPr>
        <w:tabs>
          <w:tab w:val="clear" w:pos="1440"/>
          <w:tab w:val="num" w:pos="2520"/>
        </w:tabs>
        <w:ind w:firstLine="720"/>
        <w:rPr>
          <w:rFonts w:cs="Arial"/>
        </w:rPr>
      </w:pPr>
      <w:r w:rsidRPr="00AA597D">
        <w:rPr>
          <w:rFonts w:cs="Arial"/>
        </w:rPr>
        <w:t>Aldol reactions</w:t>
      </w:r>
    </w:p>
    <w:p w:rsidR="00AA597D" w:rsidRPr="00AA597D" w:rsidRDefault="00AA597D" w:rsidP="00AA597D">
      <w:pPr>
        <w:numPr>
          <w:ilvl w:val="0"/>
          <w:numId w:val="1"/>
        </w:numPr>
        <w:tabs>
          <w:tab w:val="clear" w:pos="1440"/>
          <w:tab w:val="num" w:pos="2520"/>
        </w:tabs>
        <w:ind w:firstLine="720"/>
        <w:rPr>
          <w:rFonts w:cs="Arial"/>
        </w:rPr>
      </w:pPr>
      <w:r w:rsidRPr="00AA597D">
        <w:rPr>
          <w:rFonts w:cs="Arial"/>
        </w:rPr>
        <w:t>Keto-enol tautomerization</w:t>
      </w:r>
    </w:p>
    <w:p w:rsidR="00AA597D" w:rsidRPr="00AA597D" w:rsidRDefault="00AA597D" w:rsidP="00AA597D">
      <w:pPr>
        <w:numPr>
          <w:ilvl w:val="0"/>
          <w:numId w:val="1"/>
        </w:numPr>
        <w:tabs>
          <w:tab w:val="clear" w:pos="1440"/>
          <w:tab w:val="num" w:pos="2520"/>
        </w:tabs>
        <w:ind w:firstLine="720"/>
        <w:rPr>
          <w:rFonts w:cs="Arial"/>
        </w:rPr>
      </w:pPr>
      <w:r w:rsidRPr="00AA597D">
        <w:rPr>
          <w:rFonts w:cs="Arial"/>
        </w:rPr>
        <w:t>Carboxylic acids and nitriles – properties, preparations, and reactions</w:t>
      </w:r>
    </w:p>
    <w:p w:rsidR="00AA597D" w:rsidRPr="00AA597D" w:rsidRDefault="00AA597D" w:rsidP="00AA597D">
      <w:pPr>
        <w:numPr>
          <w:ilvl w:val="0"/>
          <w:numId w:val="1"/>
        </w:numPr>
        <w:tabs>
          <w:tab w:val="clear" w:pos="1440"/>
          <w:tab w:val="num" w:pos="2520"/>
        </w:tabs>
        <w:ind w:right="-540" w:firstLine="720"/>
        <w:rPr>
          <w:rFonts w:cs="Arial"/>
        </w:rPr>
      </w:pPr>
      <w:r w:rsidRPr="00AA597D">
        <w:rPr>
          <w:rFonts w:cs="Arial"/>
        </w:rPr>
        <w:t xml:space="preserve">Reactions of </w:t>
      </w:r>
      <w:r w:rsidRPr="00AA597D">
        <w:rPr>
          <w:rFonts w:cs="Arial"/>
        </w:rPr>
        <w:sym w:font="Symbol" w:char="F062"/>
      </w:r>
      <w:r w:rsidRPr="00AA597D">
        <w:rPr>
          <w:rFonts w:cs="Arial"/>
        </w:rPr>
        <w:t>-dicarbonyl compounds</w:t>
      </w:r>
    </w:p>
    <w:p w:rsidR="00AA597D" w:rsidRPr="00AA597D" w:rsidRDefault="00AA597D" w:rsidP="00AA597D">
      <w:pPr>
        <w:numPr>
          <w:ilvl w:val="0"/>
          <w:numId w:val="1"/>
        </w:numPr>
        <w:tabs>
          <w:tab w:val="clear" w:pos="1440"/>
          <w:tab w:val="num" w:pos="2520"/>
        </w:tabs>
        <w:ind w:firstLine="720"/>
        <w:rPr>
          <w:rFonts w:cs="Arial"/>
        </w:rPr>
      </w:pPr>
      <w:r w:rsidRPr="00AA597D">
        <w:rPr>
          <w:rFonts w:cs="Arial"/>
        </w:rPr>
        <w:t>Enolate ion reactivities</w:t>
      </w:r>
    </w:p>
    <w:p w:rsidR="00AA597D" w:rsidRPr="00AA597D" w:rsidRDefault="00AA597D" w:rsidP="00AA597D">
      <w:pPr>
        <w:numPr>
          <w:ilvl w:val="0"/>
          <w:numId w:val="1"/>
        </w:numPr>
        <w:tabs>
          <w:tab w:val="clear" w:pos="1440"/>
          <w:tab w:val="num" w:pos="2520"/>
        </w:tabs>
        <w:ind w:firstLine="720"/>
        <w:rPr>
          <w:rFonts w:cs="Arial"/>
        </w:rPr>
      </w:pPr>
      <w:r w:rsidRPr="00AA597D">
        <w:rPr>
          <w:rFonts w:cs="Arial"/>
        </w:rPr>
        <w:t>Michael addition reactions</w:t>
      </w:r>
    </w:p>
    <w:p w:rsidR="00AA597D" w:rsidRPr="00AA597D" w:rsidRDefault="00AA597D" w:rsidP="00AA597D">
      <w:pPr>
        <w:numPr>
          <w:ilvl w:val="0"/>
          <w:numId w:val="1"/>
        </w:numPr>
        <w:tabs>
          <w:tab w:val="clear" w:pos="1440"/>
          <w:tab w:val="num" w:pos="2520"/>
        </w:tabs>
        <w:ind w:firstLine="720"/>
        <w:rPr>
          <w:rFonts w:cs="Arial"/>
        </w:rPr>
      </w:pPr>
      <w:r w:rsidRPr="00AA597D">
        <w:rPr>
          <w:rFonts w:cs="Arial"/>
        </w:rPr>
        <w:t>Claisen condensations</w:t>
      </w:r>
    </w:p>
    <w:p w:rsidR="00AA597D" w:rsidRPr="00AA597D" w:rsidRDefault="00AA597D" w:rsidP="00AA597D">
      <w:pPr>
        <w:numPr>
          <w:ilvl w:val="0"/>
          <w:numId w:val="1"/>
        </w:numPr>
        <w:tabs>
          <w:tab w:val="clear" w:pos="1440"/>
          <w:tab w:val="num" w:pos="2520"/>
        </w:tabs>
        <w:ind w:firstLine="720"/>
        <w:rPr>
          <w:rFonts w:cs="Arial"/>
          <w:b/>
        </w:rPr>
      </w:pPr>
      <w:r w:rsidRPr="00AA597D">
        <w:rPr>
          <w:rFonts w:cs="Arial"/>
        </w:rPr>
        <w:t>Amines and heterocycles – properties, preparations, and reactions</w:t>
      </w:r>
    </w:p>
    <w:p w:rsidR="00AA597D" w:rsidRPr="00AA597D" w:rsidRDefault="00AA597D" w:rsidP="00AA597D">
      <w:pPr>
        <w:rPr>
          <w:rFonts w:cs="Arial"/>
          <w:b/>
        </w:rPr>
      </w:pPr>
    </w:p>
    <w:p w:rsidR="00AA597D" w:rsidRPr="00AA597D" w:rsidRDefault="00AA597D" w:rsidP="00AA597D">
      <w:pPr>
        <w:rPr>
          <w:rFonts w:cs="Arial"/>
        </w:rPr>
      </w:pPr>
      <w:r w:rsidRPr="00AA597D">
        <w:rPr>
          <w:rFonts w:cs="Arial"/>
          <w:b/>
        </w:rPr>
        <w:t>Exams and Grading:</w:t>
      </w:r>
      <w:r w:rsidRPr="00AA597D">
        <w:rPr>
          <w:rFonts w:cs="Arial"/>
        </w:rPr>
        <w:tab/>
        <w:t>Exams in this course will reflect problems given in the text and practice exams.</w:t>
      </w:r>
    </w:p>
    <w:p w:rsidR="00AA597D" w:rsidRPr="00AA597D" w:rsidRDefault="00AA597D" w:rsidP="00AA597D">
      <w:pPr>
        <w:rPr>
          <w:rFonts w:cs="Arial"/>
        </w:rPr>
      </w:pPr>
    </w:p>
    <w:p w:rsidR="00AA597D" w:rsidRPr="00AA597D" w:rsidRDefault="00AA597D" w:rsidP="00AA597D">
      <w:pPr>
        <w:rPr>
          <w:rFonts w:cs="Arial"/>
          <w:u w:val="single"/>
        </w:rPr>
      </w:pPr>
      <w:r w:rsidRPr="00AA597D">
        <w:rPr>
          <w:rFonts w:cs="Arial"/>
        </w:rPr>
        <w:tab/>
      </w:r>
      <w:r w:rsidRPr="00AA597D">
        <w:rPr>
          <w:rFonts w:cs="Arial"/>
        </w:rPr>
        <w:tab/>
      </w:r>
      <w:r w:rsidRPr="00AA597D">
        <w:rPr>
          <w:rFonts w:cs="Arial"/>
        </w:rPr>
        <w:tab/>
        <w:t xml:space="preserve">NOTE:  </w:t>
      </w:r>
      <w:r w:rsidRPr="00AA597D">
        <w:rPr>
          <w:rFonts w:cs="Arial"/>
          <w:u w:val="single"/>
        </w:rPr>
        <w:t>Due to the brevity of the course, there will be NO MAKE-UP exams.</w:t>
      </w:r>
    </w:p>
    <w:p w:rsidR="00AA597D" w:rsidRPr="00AA597D" w:rsidRDefault="00AA597D" w:rsidP="00AA597D">
      <w:pPr>
        <w:pStyle w:val="NormalWeb"/>
        <w:ind w:left="2160"/>
        <w:rPr>
          <w:rFonts w:ascii="Arial" w:hAnsi="Arial" w:cs="Arial"/>
          <w:sz w:val="22"/>
          <w:szCs w:val="22"/>
        </w:rPr>
      </w:pPr>
      <w:r w:rsidRPr="00AA597D">
        <w:rPr>
          <w:rFonts w:ascii="Arial" w:hAnsi="Arial" w:cs="Arial"/>
          <w:sz w:val="22"/>
          <w:szCs w:val="22"/>
        </w:rPr>
        <w:t>Each exam will be worth 100 points. Grades will then be calculated based upon the sum of the point totals. A maximum of 400 points are available for this course.  The final course average will be calculated as follows:</w:t>
      </w:r>
    </w:p>
    <w:p w:rsidR="00AA597D" w:rsidRPr="00AA597D" w:rsidRDefault="00AA597D" w:rsidP="00AA597D">
      <w:pPr>
        <w:pStyle w:val="NormalWeb"/>
        <w:ind w:left="2160"/>
        <w:rPr>
          <w:rFonts w:ascii="Arial" w:hAnsi="Arial" w:cs="Arial"/>
          <w:b/>
          <w:sz w:val="22"/>
          <w:szCs w:val="22"/>
        </w:rPr>
      </w:pPr>
      <w:r w:rsidRPr="00AA597D">
        <w:rPr>
          <w:rFonts w:ascii="Arial" w:hAnsi="Arial" w:cs="Arial"/>
          <w:b/>
          <w:sz w:val="22"/>
          <w:szCs w:val="22"/>
        </w:rPr>
        <w:t>Final course average = ∑points earned ÷ 400  x 100%</w:t>
      </w:r>
    </w:p>
    <w:p w:rsidR="00AA597D" w:rsidRPr="00AA597D" w:rsidRDefault="00AA597D" w:rsidP="00AA597D">
      <w:pPr>
        <w:pStyle w:val="NormalWeb"/>
        <w:ind w:left="2160"/>
        <w:rPr>
          <w:rFonts w:ascii="Arial" w:hAnsi="Arial" w:cs="Arial"/>
          <w:sz w:val="22"/>
          <w:szCs w:val="22"/>
        </w:rPr>
      </w:pPr>
      <w:r w:rsidRPr="00AA597D">
        <w:rPr>
          <w:rFonts w:ascii="Arial" w:hAnsi="Arial" w:cs="Arial"/>
          <w:sz w:val="22"/>
          <w:szCs w:val="22"/>
        </w:rPr>
        <w:t>The scale below will be used to assign final letter grades.</w:t>
      </w:r>
    </w:p>
    <w:p w:rsidR="00AA597D" w:rsidRPr="00AA597D" w:rsidRDefault="00AA597D" w:rsidP="00AA597D">
      <w:pPr>
        <w:rPr>
          <w:rFonts w:cs="Arial"/>
        </w:rPr>
      </w:pPr>
      <w:r w:rsidRPr="00AA597D">
        <w:rPr>
          <w:rFonts w:cs="Arial"/>
        </w:rPr>
        <w:tab/>
      </w:r>
      <w:r w:rsidRPr="00AA597D">
        <w:rPr>
          <w:rFonts w:cs="Arial"/>
        </w:rPr>
        <w:tab/>
      </w:r>
      <w:r w:rsidRPr="00AA597D">
        <w:rPr>
          <w:rFonts w:cs="Arial"/>
        </w:rPr>
        <w:tab/>
      </w:r>
    </w:p>
    <w:tbl>
      <w:tblPr>
        <w:tblW w:w="7279" w:type="dxa"/>
        <w:tblInd w:w="2268" w:type="dxa"/>
        <w:tblLook w:val="0000" w:firstRow="0" w:lastRow="0" w:firstColumn="0" w:lastColumn="0" w:noHBand="0" w:noVBand="0"/>
      </w:tblPr>
      <w:tblGrid>
        <w:gridCol w:w="720"/>
        <w:gridCol w:w="1440"/>
        <w:gridCol w:w="716"/>
        <w:gridCol w:w="1264"/>
        <w:gridCol w:w="180"/>
        <w:gridCol w:w="540"/>
        <w:gridCol w:w="259"/>
        <w:gridCol w:w="1901"/>
        <w:gridCol w:w="259"/>
      </w:tblGrid>
      <w:tr w:rsidR="00AA597D" w:rsidRPr="00AA597D" w:rsidTr="00AA597D">
        <w:trPr>
          <w:gridAfter w:val="1"/>
          <w:wAfter w:w="259" w:type="dxa"/>
        </w:trPr>
        <w:tc>
          <w:tcPr>
            <w:tcW w:w="720" w:type="dxa"/>
          </w:tcPr>
          <w:p w:rsidR="00AA597D" w:rsidRPr="00AA597D" w:rsidRDefault="00AA597D" w:rsidP="00620BAA">
            <w:pPr>
              <w:pStyle w:val="NormalWeb"/>
              <w:rPr>
                <w:rFonts w:ascii="Arial" w:hAnsi="Arial" w:cs="Arial"/>
                <w:b/>
                <w:sz w:val="22"/>
                <w:szCs w:val="22"/>
              </w:rPr>
            </w:pPr>
            <w:r w:rsidRPr="00AA597D">
              <w:rPr>
                <w:rFonts w:ascii="Arial" w:hAnsi="Arial" w:cs="Arial"/>
                <w:b/>
                <w:sz w:val="22"/>
                <w:szCs w:val="22"/>
              </w:rPr>
              <w:t>A   =</w:t>
            </w:r>
          </w:p>
        </w:tc>
        <w:tc>
          <w:tcPr>
            <w:tcW w:w="1440" w:type="dxa"/>
          </w:tcPr>
          <w:p w:rsidR="00AA597D" w:rsidRPr="00AA597D" w:rsidRDefault="00AA597D" w:rsidP="00620BAA">
            <w:pPr>
              <w:pStyle w:val="NormalWeb"/>
              <w:rPr>
                <w:rFonts w:ascii="Arial" w:hAnsi="Arial" w:cs="Arial"/>
                <w:b/>
                <w:sz w:val="22"/>
                <w:szCs w:val="22"/>
              </w:rPr>
            </w:pPr>
            <w:r w:rsidRPr="00AA597D">
              <w:rPr>
                <w:rFonts w:ascii="Arial" w:hAnsi="Arial" w:cs="Arial"/>
                <w:b/>
                <w:sz w:val="22"/>
                <w:szCs w:val="22"/>
              </w:rPr>
              <w:t>91 – 100%</w:t>
            </w:r>
          </w:p>
        </w:tc>
        <w:tc>
          <w:tcPr>
            <w:tcW w:w="716" w:type="dxa"/>
          </w:tcPr>
          <w:p w:rsidR="00AA597D" w:rsidRPr="00AA597D" w:rsidRDefault="00AA597D" w:rsidP="00620BAA">
            <w:pPr>
              <w:pStyle w:val="NormalWeb"/>
              <w:rPr>
                <w:rFonts w:ascii="Arial" w:hAnsi="Arial" w:cs="Arial"/>
                <w:b/>
                <w:sz w:val="22"/>
                <w:szCs w:val="22"/>
              </w:rPr>
            </w:pPr>
            <w:r w:rsidRPr="00AA597D">
              <w:rPr>
                <w:rFonts w:ascii="Arial" w:hAnsi="Arial" w:cs="Arial"/>
                <w:b/>
                <w:sz w:val="22"/>
                <w:szCs w:val="22"/>
              </w:rPr>
              <w:t>B-  =</w:t>
            </w:r>
          </w:p>
        </w:tc>
        <w:tc>
          <w:tcPr>
            <w:tcW w:w="1264" w:type="dxa"/>
          </w:tcPr>
          <w:p w:rsidR="00AA597D" w:rsidRPr="00AA597D" w:rsidRDefault="00AA597D" w:rsidP="00620BAA">
            <w:pPr>
              <w:pStyle w:val="NormalWeb"/>
              <w:rPr>
                <w:rFonts w:ascii="Arial" w:hAnsi="Arial" w:cs="Arial"/>
                <w:b/>
                <w:sz w:val="22"/>
                <w:szCs w:val="22"/>
              </w:rPr>
            </w:pPr>
            <w:r w:rsidRPr="00AA597D">
              <w:rPr>
                <w:rFonts w:ascii="Arial" w:hAnsi="Arial" w:cs="Arial"/>
                <w:b/>
                <w:sz w:val="22"/>
                <w:szCs w:val="22"/>
              </w:rPr>
              <w:t>75 – 78%</w:t>
            </w:r>
          </w:p>
        </w:tc>
        <w:tc>
          <w:tcPr>
            <w:tcW w:w="720" w:type="dxa"/>
            <w:gridSpan w:val="2"/>
          </w:tcPr>
          <w:p w:rsidR="00AA597D" w:rsidRPr="00AA597D" w:rsidRDefault="00AA597D" w:rsidP="00620BAA">
            <w:pPr>
              <w:pStyle w:val="NormalWeb"/>
              <w:rPr>
                <w:rFonts w:ascii="Arial" w:hAnsi="Arial" w:cs="Arial"/>
                <w:b/>
                <w:sz w:val="22"/>
                <w:szCs w:val="22"/>
              </w:rPr>
            </w:pPr>
            <w:r w:rsidRPr="00AA597D">
              <w:rPr>
                <w:rFonts w:ascii="Arial" w:hAnsi="Arial" w:cs="Arial"/>
                <w:b/>
                <w:sz w:val="22"/>
                <w:szCs w:val="22"/>
              </w:rPr>
              <w:t>D+ =</w:t>
            </w:r>
          </w:p>
        </w:tc>
        <w:tc>
          <w:tcPr>
            <w:tcW w:w="2160" w:type="dxa"/>
            <w:gridSpan w:val="2"/>
          </w:tcPr>
          <w:p w:rsidR="00AA597D" w:rsidRPr="00AA597D" w:rsidRDefault="00AA597D" w:rsidP="00620BAA">
            <w:pPr>
              <w:pStyle w:val="NormalWeb"/>
              <w:rPr>
                <w:rFonts w:ascii="Arial" w:hAnsi="Arial" w:cs="Arial"/>
                <w:b/>
                <w:sz w:val="22"/>
                <w:szCs w:val="22"/>
              </w:rPr>
            </w:pPr>
            <w:r w:rsidRPr="00AA597D">
              <w:rPr>
                <w:rFonts w:ascii="Arial" w:hAnsi="Arial" w:cs="Arial"/>
                <w:b/>
                <w:sz w:val="22"/>
                <w:szCs w:val="22"/>
              </w:rPr>
              <w:t>59 – 62%</w:t>
            </w:r>
          </w:p>
        </w:tc>
      </w:tr>
      <w:tr w:rsidR="00AA597D" w:rsidRPr="00AA597D" w:rsidTr="00AA597D">
        <w:trPr>
          <w:gridAfter w:val="1"/>
          <w:wAfter w:w="259" w:type="dxa"/>
        </w:trPr>
        <w:tc>
          <w:tcPr>
            <w:tcW w:w="720" w:type="dxa"/>
          </w:tcPr>
          <w:p w:rsidR="00AA597D" w:rsidRPr="00AA597D" w:rsidRDefault="00AA597D" w:rsidP="00620BAA">
            <w:pPr>
              <w:pStyle w:val="NormalWeb"/>
              <w:rPr>
                <w:rFonts w:ascii="Arial" w:hAnsi="Arial" w:cs="Arial"/>
                <w:b/>
                <w:sz w:val="22"/>
                <w:szCs w:val="22"/>
              </w:rPr>
            </w:pPr>
            <w:r w:rsidRPr="00AA597D">
              <w:rPr>
                <w:rFonts w:ascii="Arial" w:hAnsi="Arial" w:cs="Arial"/>
                <w:b/>
                <w:sz w:val="22"/>
                <w:szCs w:val="22"/>
              </w:rPr>
              <w:t>A-  =</w:t>
            </w:r>
          </w:p>
        </w:tc>
        <w:tc>
          <w:tcPr>
            <w:tcW w:w="1440" w:type="dxa"/>
          </w:tcPr>
          <w:p w:rsidR="00AA597D" w:rsidRPr="00AA597D" w:rsidRDefault="00AA597D" w:rsidP="00620BAA">
            <w:pPr>
              <w:pStyle w:val="NormalWeb"/>
              <w:rPr>
                <w:rFonts w:ascii="Arial" w:hAnsi="Arial" w:cs="Arial"/>
                <w:b/>
                <w:sz w:val="22"/>
                <w:szCs w:val="22"/>
              </w:rPr>
            </w:pPr>
            <w:r w:rsidRPr="00AA597D">
              <w:rPr>
                <w:rFonts w:ascii="Arial" w:hAnsi="Arial" w:cs="Arial"/>
                <w:b/>
                <w:sz w:val="22"/>
                <w:szCs w:val="22"/>
              </w:rPr>
              <w:t>87 – 90%</w:t>
            </w:r>
          </w:p>
        </w:tc>
        <w:tc>
          <w:tcPr>
            <w:tcW w:w="716" w:type="dxa"/>
          </w:tcPr>
          <w:p w:rsidR="00AA597D" w:rsidRPr="00AA597D" w:rsidRDefault="00AA597D" w:rsidP="00620BAA">
            <w:pPr>
              <w:pStyle w:val="NormalWeb"/>
              <w:rPr>
                <w:rFonts w:ascii="Arial" w:hAnsi="Arial" w:cs="Arial"/>
                <w:b/>
                <w:sz w:val="22"/>
                <w:szCs w:val="22"/>
              </w:rPr>
            </w:pPr>
            <w:r w:rsidRPr="00AA597D">
              <w:rPr>
                <w:rFonts w:ascii="Arial" w:hAnsi="Arial" w:cs="Arial"/>
                <w:b/>
                <w:sz w:val="22"/>
                <w:szCs w:val="22"/>
              </w:rPr>
              <w:t>C+ =</w:t>
            </w:r>
          </w:p>
        </w:tc>
        <w:tc>
          <w:tcPr>
            <w:tcW w:w="1264" w:type="dxa"/>
          </w:tcPr>
          <w:p w:rsidR="00AA597D" w:rsidRPr="00AA597D" w:rsidRDefault="00AA597D" w:rsidP="00620BAA">
            <w:pPr>
              <w:pStyle w:val="NormalWeb"/>
              <w:rPr>
                <w:rFonts w:ascii="Arial" w:hAnsi="Arial" w:cs="Arial"/>
                <w:b/>
                <w:sz w:val="22"/>
                <w:szCs w:val="22"/>
              </w:rPr>
            </w:pPr>
            <w:r w:rsidRPr="00AA597D">
              <w:rPr>
                <w:rFonts w:ascii="Arial" w:hAnsi="Arial" w:cs="Arial"/>
                <w:b/>
                <w:sz w:val="22"/>
                <w:szCs w:val="22"/>
              </w:rPr>
              <w:t>71 – 74%</w:t>
            </w:r>
          </w:p>
        </w:tc>
        <w:tc>
          <w:tcPr>
            <w:tcW w:w="720" w:type="dxa"/>
            <w:gridSpan w:val="2"/>
          </w:tcPr>
          <w:p w:rsidR="00AA597D" w:rsidRPr="00AA597D" w:rsidRDefault="00AA597D" w:rsidP="00620BAA">
            <w:pPr>
              <w:pStyle w:val="NormalWeb"/>
              <w:rPr>
                <w:rFonts w:ascii="Arial" w:hAnsi="Arial" w:cs="Arial"/>
                <w:b/>
                <w:sz w:val="22"/>
                <w:szCs w:val="22"/>
              </w:rPr>
            </w:pPr>
            <w:r w:rsidRPr="00AA597D">
              <w:rPr>
                <w:rFonts w:ascii="Arial" w:hAnsi="Arial" w:cs="Arial"/>
                <w:b/>
                <w:sz w:val="22"/>
                <w:szCs w:val="22"/>
              </w:rPr>
              <w:t>D   =</w:t>
            </w:r>
          </w:p>
        </w:tc>
        <w:tc>
          <w:tcPr>
            <w:tcW w:w="2160" w:type="dxa"/>
            <w:gridSpan w:val="2"/>
          </w:tcPr>
          <w:p w:rsidR="00AA597D" w:rsidRPr="00AA597D" w:rsidRDefault="00AA597D" w:rsidP="00620BAA">
            <w:pPr>
              <w:pStyle w:val="NormalWeb"/>
              <w:rPr>
                <w:rFonts w:ascii="Arial" w:hAnsi="Arial" w:cs="Arial"/>
                <w:b/>
                <w:sz w:val="22"/>
                <w:szCs w:val="22"/>
              </w:rPr>
            </w:pPr>
            <w:r w:rsidRPr="00AA597D">
              <w:rPr>
                <w:rFonts w:ascii="Arial" w:hAnsi="Arial" w:cs="Arial"/>
                <w:b/>
                <w:sz w:val="22"/>
                <w:szCs w:val="22"/>
              </w:rPr>
              <w:t>55 – 58%</w:t>
            </w:r>
          </w:p>
        </w:tc>
      </w:tr>
      <w:tr w:rsidR="00AA597D" w:rsidRPr="00AA597D" w:rsidTr="00AA597D">
        <w:trPr>
          <w:gridAfter w:val="1"/>
          <w:wAfter w:w="259" w:type="dxa"/>
        </w:trPr>
        <w:tc>
          <w:tcPr>
            <w:tcW w:w="720" w:type="dxa"/>
          </w:tcPr>
          <w:p w:rsidR="00AA597D" w:rsidRPr="00AA597D" w:rsidRDefault="00AA597D" w:rsidP="00620BAA">
            <w:pPr>
              <w:pStyle w:val="NormalWeb"/>
              <w:rPr>
                <w:rFonts w:ascii="Arial" w:hAnsi="Arial" w:cs="Arial"/>
                <w:b/>
                <w:sz w:val="22"/>
                <w:szCs w:val="22"/>
              </w:rPr>
            </w:pPr>
            <w:r w:rsidRPr="00AA597D">
              <w:rPr>
                <w:rFonts w:ascii="Arial" w:hAnsi="Arial" w:cs="Arial"/>
                <w:b/>
                <w:sz w:val="22"/>
                <w:szCs w:val="22"/>
              </w:rPr>
              <w:t>B+ =</w:t>
            </w:r>
          </w:p>
        </w:tc>
        <w:tc>
          <w:tcPr>
            <w:tcW w:w="1440" w:type="dxa"/>
          </w:tcPr>
          <w:p w:rsidR="00AA597D" w:rsidRPr="00AA597D" w:rsidRDefault="00AA597D" w:rsidP="00620BAA">
            <w:pPr>
              <w:pStyle w:val="NormalWeb"/>
              <w:rPr>
                <w:rFonts w:ascii="Arial" w:hAnsi="Arial" w:cs="Arial"/>
                <w:b/>
                <w:sz w:val="22"/>
                <w:szCs w:val="22"/>
              </w:rPr>
            </w:pPr>
            <w:r w:rsidRPr="00AA597D">
              <w:rPr>
                <w:rFonts w:ascii="Arial" w:hAnsi="Arial" w:cs="Arial"/>
                <w:b/>
                <w:sz w:val="22"/>
                <w:szCs w:val="22"/>
              </w:rPr>
              <w:t>83 – 86%</w:t>
            </w:r>
          </w:p>
        </w:tc>
        <w:tc>
          <w:tcPr>
            <w:tcW w:w="716" w:type="dxa"/>
          </w:tcPr>
          <w:p w:rsidR="00AA597D" w:rsidRPr="00AA597D" w:rsidRDefault="00AA597D" w:rsidP="00620BAA">
            <w:pPr>
              <w:pStyle w:val="NormalWeb"/>
              <w:rPr>
                <w:rFonts w:ascii="Arial" w:hAnsi="Arial" w:cs="Arial"/>
                <w:b/>
                <w:sz w:val="22"/>
                <w:szCs w:val="22"/>
              </w:rPr>
            </w:pPr>
            <w:r w:rsidRPr="00AA597D">
              <w:rPr>
                <w:rFonts w:ascii="Arial" w:hAnsi="Arial" w:cs="Arial"/>
                <w:b/>
                <w:sz w:val="22"/>
                <w:szCs w:val="22"/>
              </w:rPr>
              <w:t>C   =</w:t>
            </w:r>
          </w:p>
        </w:tc>
        <w:tc>
          <w:tcPr>
            <w:tcW w:w="1264" w:type="dxa"/>
          </w:tcPr>
          <w:p w:rsidR="00AA597D" w:rsidRPr="00AA597D" w:rsidRDefault="00AA597D" w:rsidP="00620BAA">
            <w:pPr>
              <w:pStyle w:val="NormalWeb"/>
              <w:rPr>
                <w:rFonts w:ascii="Arial" w:hAnsi="Arial" w:cs="Arial"/>
                <w:b/>
                <w:sz w:val="22"/>
                <w:szCs w:val="22"/>
              </w:rPr>
            </w:pPr>
            <w:r w:rsidRPr="00AA597D">
              <w:rPr>
                <w:rFonts w:ascii="Arial" w:hAnsi="Arial" w:cs="Arial"/>
                <w:b/>
                <w:sz w:val="22"/>
                <w:szCs w:val="22"/>
              </w:rPr>
              <w:t>67 – 70%</w:t>
            </w:r>
          </w:p>
        </w:tc>
        <w:tc>
          <w:tcPr>
            <w:tcW w:w="720" w:type="dxa"/>
            <w:gridSpan w:val="2"/>
          </w:tcPr>
          <w:p w:rsidR="00AA597D" w:rsidRPr="00AA597D" w:rsidRDefault="00AA597D" w:rsidP="00620BAA">
            <w:pPr>
              <w:pStyle w:val="NormalWeb"/>
              <w:rPr>
                <w:rFonts w:ascii="Arial" w:hAnsi="Arial" w:cs="Arial"/>
                <w:b/>
                <w:sz w:val="22"/>
                <w:szCs w:val="22"/>
              </w:rPr>
            </w:pPr>
            <w:r w:rsidRPr="00AA597D">
              <w:rPr>
                <w:rFonts w:ascii="Arial" w:hAnsi="Arial" w:cs="Arial"/>
                <w:b/>
                <w:sz w:val="22"/>
                <w:szCs w:val="22"/>
              </w:rPr>
              <w:t>F   =</w:t>
            </w:r>
          </w:p>
        </w:tc>
        <w:tc>
          <w:tcPr>
            <w:tcW w:w="2160" w:type="dxa"/>
            <w:gridSpan w:val="2"/>
          </w:tcPr>
          <w:p w:rsidR="00AA597D" w:rsidRPr="00AA597D" w:rsidRDefault="00AA597D" w:rsidP="00620BAA">
            <w:pPr>
              <w:pStyle w:val="NormalWeb"/>
              <w:rPr>
                <w:rFonts w:ascii="Arial" w:hAnsi="Arial" w:cs="Arial"/>
                <w:b/>
                <w:sz w:val="22"/>
                <w:szCs w:val="22"/>
              </w:rPr>
            </w:pPr>
            <w:r w:rsidRPr="00AA597D">
              <w:rPr>
                <w:rFonts w:ascii="Arial" w:hAnsi="Arial" w:cs="Arial"/>
                <w:b/>
                <w:sz w:val="22"/>
                <w:szCs w:val="22"/>
              </w:rPr>
              <w:t>54% and less</w:t>
            </w:r>
          </w:p>
        </w:tc>
      </w:tr>
      <w:tr w:rsidR="00AA597D" w:rsidRPr="00AA597D" w:rsidTr="00AA597D">
        <w:tc>
          <w:tcPr>
            <w:tcW w:w="720" w:type="dxa"/>
          </w:tcPr>
          <w:p w:rsidR="00AA597D" w:rsidRPr="00AA597D" w:rsidRDefault="00AA597D" w:rsidP="00620BAA">
            <w:pPr>
              <w:pStyle w:val="NormalWeb"/>
              <w:rPr>
                <w:rFonts w:ascii="Arial" w:hAnsi="Arial" w:cs="Arial"/>
                <w:b/>
                <w:sz w:val="22"/>
                <w:szCs w:val="22"/>
              </w:rPr>
            </w:pPr>
            <w:r w:rsidRPr="00AA597D">
              <w:rPr>
                <w:rFonts w:ascii="Arial" w:hAnsi="Arial" w:cs="Arial"/>
                <w:b/>
                <w:sz w:val="22"/>
                <w:szCs w:val="22"/>
              </w:rPr>
              <w:t>B   =</w:t>
            </w:r>
          </w:p>
        </w:tc>
        <w:tc>
          <w:tcPr>
            <w:tcW w:w="1440" w:type="dxa"/>
          </w:tcPr>
          <w:p w:rsidR="00AA597D" w:rsidRPr="00AA597D" w:rsidRDefault="00AA597D" w:rsidP="00620BAA">
            <w:pPr>
              <w:pStyle w:val="NormalWeb"/>
              <w:rPr>
                <w:rFonts w:ascii="Arial" w:hAnsi="Arial" w:cs="Arial"/>
                <w:b/>
                <w:sz w:val="22"/>
                <w:szCs w:val="22"/>
              </w:rPr>
            </w:pPr>
            <w:r w:rsidRPr="00AA597D">
              <w:rPr>
                <w:rFonts w:ascii="Arial" w:hAnsi="Arial" w:cs="Arial"/>
                <w:b/>
                <w:sz w:val="22"/>
                <w:szCs w:val="22"/>
              </w:rPr>
              <w:t>79 – 82%</w:t>
            </w:r>
          </w:p>
        </w:tc>
        <w:tc>
          <w:tcPr>
            <w:tcW w:w="716" w:type="dxa"/>
          </w:tcPr>
          <w:p w:rsidR="00AA597D" w:rsidRPr="00AA597D" w:rsidRDefault="00AA597D" w:rsidP="00620BAA">
            <w:pPr>
              <w:pStyle w:val="NormalWeb"/>
              <w:rPr>
                <w:rFonts w:ascii="Arial" w:hAnsi="Arial" w:cs="Arial"/>
                <w:b/>
                <w:sz w:val="22"/>
                <w:szCs w:val="22"/>
              </w:rPr>
            </w:pPr>
            <w:r w:rsidRPr="00AA597D">
              <w:rPr>
                <w:rFonts w:ascii="Arial" w:hAnsi="Arial" w:cs="Arial"/>
                <w:b/>
                <w:sz w:val="22"/>
                <w:szCs w:val="22"/>
              </w:rPr>
              <w:t>C-  =</w:t>
            </w:r>
          </w:p>
        </w:tc>
        <w:tc>
          <w:tcPr>
            <w:tcW w:w="1444" w:type="dxa"/>
            <w:gridSpan w:val="2"/>
          </w:tcPr>
          <w:p w:rsidR="00AA597D" w:rsidRPr="00AA597D" w:rsidRDefault="00AA597D" w:rsidP="00620BAA">
            <w:pPr>
              <w:pStyle w:val="NormalWeb"/>
              <w:rPr>
                <w:rFonts w:ascii="Arial" w:hAnsi="Arial" w:cs="Arial"/>
                <w:b/>
                <w:sz w:val="22"/>
                <w:szCs w:val="22"/>
              </w:rPr>
            </w:pPr>
            <w:r w:rsidRPr="00AA597D">
              <w:rPr>
                <w:rFonts w:ascii="Arial" w:hAnsi="Arial" w:cs="Arial"/>
                <w:b/>
                <w:sz w:val="22"/>
                <w:szCs w:val="22"/>
              </w:rPr>
              <w:t>63 – 66%</w:t>
            </w:r>
          </w:p>
        </w:tc>
        <w:tc>
          <w:tcPr>
            <w:tcW w:w="799" w:type="dxa"/>
            <w:gridSpan w:val="2"/>
          </w:tcPr>
          <w:p w:rsidR="00AA597D" w:rsidRPr="00AA597D" w:rsidRDefault="00AA597D" w:rsidP="00620BAA">
            <w:pPr>
              <w:pStyle w:val="NormalWeb"/>
              <w:rPr>
                <w:rFonts w:ascii="Arial" w:hAnsi="Arial" w:cs="Arial"/>
                <w:b/>
                <w:sz w:val="22"/>
                <w:szCs w:val="22"/>
              </w:rPr>
            </w:pPr>
          </w:p>
        </w:tc>
        <w:tc>
          <w:tcPr>
            <w:tcW w:w="2160" w:type="dxa"/>
            <w:gridSpan w:val="2"/>
          </w:tcPr>
          <w:p w:rsidR="00AA597D" w:rsidRPr="00AA597D" w:rsidRDefault="00AA597D" w:rsidP="00620BAA">
            <w:pPr>
              <w:pStyle w:val="NormalWeb"/>
              <w:rPr>
                <w:rFonts w:ascii="Arial" w:hAnsi="Arial" w:cs="Arial"/>
                <w:b/>
                <w:sz w:val="22"/>
                <w:szCs w:val="22"/>
              </w:rPr>
            </w:pPr>
          </w:p>
        </w:tc>
      </w:tr>
    </w:tbl>
    <w:p w:rsidR="00AA597D" w:rsidRPr="00AA597D" w:rsidRDefault="00AA597D" w:rsidP="00AA597D">
      <w:pPr>
        <w:rPr>
          <w:rFonts w:cs="Arial"/>
        </w:rPr>
      </w:pPr>
    </w:p>
    <w:p w:rsidR="00AA597D" w:rsidRPr="00AA597D" w:rsidRDefault="00AA597D" w:rsidP="00AA597D">
      <w:pPr>
        <w:ind w:firstLine="2160"/>
        <w:rPr>
          <w:rFonts w:cs="Arial"/>
        </w:rPr>
      </w:pPr>
      <w:r w:rsidRPr="00AA597D">
        <w:rPr>
          <w:rFonts w:cs="Arial"/>
        </w:rPr>
        <w:t>We reserve the right to lower this scale as appropriate, but will not raise it.</w:t>
      </w:r>
    </w:p>
    <w:p w:rsidR="00AA597D" w:rsidRPr="00AA597D" w:rsidRDefault="00AA597D" w:rsidP="00AA597D">
      <w:pPr>
        <w:rPr>
          <w:rFonts w:cs="Arial"/>
        </w:rPr>
      </w:pPr>
    </w:p>
    <w:p w:rsidR="00AA597D" w:rsidRPr="00AA597D" w:rsidRDefault="00AA597D" w:rsidP="00AA597D">
      <w:pPr>
        <w:ind w:left="720" w:hanging="720"/>
        <w:outlineLvl w:val="0"/>
        <w:rPr>
          <w:rFonts w:cs="Arial"/>
          <w:b/>
        </w:rPr>
      </w:pPr>
      <w:r w:rsidRPr="00AA597D">
        <w:rPr>
          <w:rFonts w:cs="Arial"/>
          <w:b/>
        </w:rPr>
        <w:t>Class attendance</w:t>
      </w:r>
      <w:r w:rsidRPr="00AA597D">
        <w:rPr>
          <w:rFonts w:cs="Arial"/>
          <w:b/>
        </w:rPr>
        <w:tab/>
      </w:r>
      <w:r w:rsidRPr="00AA597D">
        <w:rPr>
          <w:rFonts w:cs="Arial"/>
        </w:rPr>
        <w:t xml:space="preserve">There is a direct correlation between class attendance and how well a student </w:t>
      </w:r>
    </w:p>
    <w:p w:rsidR="00AA597D" w:rsidRDefault="00AA597D" w:rsidP="00AA597D">
      <w:pPr>
        <w:ind w:left="2160" w:hanging="2160"/>
        <w:outlineLvl w:val="0"/>
        <w:rPr>
          <w:rFonts w:cs="Arial"/>
        </w:rPr>
      </w:pPr>
      <w:r w:rsidRPr="00AA597D">
        <w:rPr>
          <w:rFonts w:cs="Arial"/>
          <w:b/>
        </w:rPr>
        <w:t xml:space="preserve">and exams:  </w:t>
      </w:r>
      <w:r w:rsidRPr="00AA597D">
        <w:rPr>
          <w:rFonts w:cs="Arial"/>
          <w:b/>
        </w:rPr>
        <w:tab/>
      </w:r>
      <w:r w:rsidRPr="00AA597D">
        <w:rPr>
          <w:rFonts w:cs="Arial"/>
        </w:rPr>
        <w:t>does in the course.  Some absences are unavoidable, but every effort should be made to attend class regularl</w:t>
      </w:r>
      <w:bookmarkStart w:id="0" w:name="_GoBack"/>
      <w:bookmarkEnd w:id="0"/>
      <w:r w:rsidRPr="00AA597D">
        <w:rPr>
          <w:rFonts w:cs="Arial"/>
        </w:rPr>
        <w:t xml:space="preserve">y because inevitably everything covered in lecture will show up on the exams in one form or another.  </w:t>
      </w:r>
      <w:r>
        <w:rPr>
          <w:rFonts w:cs="Arial"/>
        </w:rPr>
        <w:t>See</w:t>
      </w:r>
      <w:r w:rsidRPr="00AA597D">
        <w:rPr>
          <w:rFonts w:cs="Arial"/>
        </w:rPr>
        <w:t xml:space="preserve">:  </w:t>
      </w:r>
      <w:hyperlink r:id="rId8" w:history="1">
        <w:r w:rsidRPr="00AA597D">
          <w:rPr>
            <w:rStyle w:val="Hyperlink"/>
            <w:rFonts w:cs="Arial"/>
          </w:rPr>
          <w:t>ETSU Class Attendance Policy</w:t>
        </w:r>
      </w:hyperlink>
      <w:r w:rsidRPr="00AA597D">
        <w:rPr>
          <w:rFonts w:cs="Arial"/>
        </w:rPr>
        <w:t xml:space="preserve"> </w:t>
      </w:r>
      <w:r>
        <w:rPr>
          <w:rFonts w:cs="Arial"/>
        </w:rPr>
        <w:t>.</w:t>
      </w:r>
    </w:p>
    <w:p w:rsidR="00A7741D" w:rsidRPr="00AA597D" w:rsidRDefault="00A7741D" w:rsidP="00AA597D">
      <w:pPr>
        <w:ind w:left="2160" w:hanging="2160"/>
        <w:outlineLvl w:val="0"/>
        <w:rPr>
          <w:rFonts w:cs="Arial"/>
        </w:rPr>
      </w:pPr>
    </w:p>
    <w:p w:rsidR="00AA597D" w:rsidRDefault="00AA597D" w:rsidP="00AA597D">
      <w:pPr>
        <w:ind w:left="2160" w:hanging="2160"/>
        <w:outlineLvl w:val="0"/>
        <w:rPr>
          <w:rFonts w:cs="Arial"/>
        </w:rPr>
      </w:pPr>
      <w:r w:rsidRPr="00AA597D">
        <w:rPr>
          <w:rFonts w:cs="Arial"/>
          <w:b/>
        </w:rPr>
        <w:t>Communications:</w:t>
      </w:r>
      <w:r w:rsidRPr="00AA597D">
        <w:rPr>
          <w:rFonts w:cs="Arial"/>
          <w:b/>
        </w:rPr>
        <w:tab/>
      </w:r>
      <w:r w:rsidRPr="00AA597D">
        <w:rPr>
          <w:rFonts w:cs="Arial"/>
        </w:rPr>
        <w:t xml:space="preserve">It is </w:t>
      </w:r>
      <w:r w:rsidRPr="00AA597D">
        <w:rPr>
          <w:rFonts w:cs="Arial"/>
          <w:u w:val="single"/>
        </w:rPr>
        <w:t>your</w:t>
      </w:r>
      <w:r w:rsidRPr="00AA597D">
        <w:rPr>
          <w:rFonts w:cs="Arial"/>
        </w:rPr>
        <w:t xml:space="preserve"> responsibility to be pro-active in this course and to be up to date with exam schedules, lectures, documentation, etc.   All formal course communications will be carried out using </w:t>
      </w:r>
      <w:hyperlink r:id="rId9" w:history="1">
        <w:r w:rsidRPr="00AA597D">
          <w:rPr>
            <w:rStyle w:val="Hyperlink"/>
            <w:rFonts w:cs="Arial"/>
          </w:rPr>
          <w:t>D2L</w:t>
        </w:r>
      </w:hyperlink>
      <w:r w:rsidRPr="00AA597D">
        <w:rPr>
          <w:rFonts w:cs="Arial"/>
        </w:rPr>
        <w:t xml:space="preserve"> and email.  Announcements, study guides, practice exams, answer keys, etc. will be posted on the course D2L website</w:t>
      </w:r>
      <w:r>
        <w:rPr>
          <w:rFonts w:cs="Arial"/>
        </w:rPr>
        <w:t>.</w:t>
      </w:r>
      <w:r w:rsidRPr="00AA597D">
        <w:rPr>
          <w:rFonts w:cs="Arial"/>
        </w:rPr>
        <w:t xml:space="preserve"> </w:t>
      </w:r>
    </w:p>
    <w:p w:rsidR="00AA597D" w:rsidRDefault="00AA597D" w:rsidP="00AA597D">
      <w:pPr>
        <w:ind w:left="2160" w:hanging="2160"/>
        <w:outlineLvl w:val="0"/>
        <w:rPr>
          <w:rFonts w:cs="Arial"/>
          <w:b/>
        </w:rPr>
      </w:pPr>
    </w:p>
    <w:p w:rsidR="00AA597D" w:rsidRDefault="00AA597D" w:rsidP="00AA597D">
      <w:pPr>
        <w:ind w:left="2160" w:hanging="2160"/>
        <w:outlineLvl w:val="0"/>
        <w:rPr>
          <w:rFonts w:cs="Arial"/>
        </w:rPr>
      </w:pPr>
      <w:r w:rsidRPr="00AA597D">
        <w:rPr>
          <w:rFonts w:cs="Arial"/>
          <w:b/>
        </w:rPr>
        <w:t>A Word to the Wise:</w:t>
      </w:r>
      <w:r w:rsidRPr="00AA597D">
        <w:rPr>
          <w:rFonts w:cs="Arial"/>
          <w:b/>
        </w:rPr>
        <w:tab/>
      </w:r>
      <w:r w:rsidRPr="00AA597D">
        <w:rPr>
          <w:rFonts w:cs="Arial"/>
        </w:rPr>
        <w:t>Please keep up with the material. It accumulates relentlessly and is used to develop subsequent concepts.  Thus you must develop a stable foundation and letting things slide is unwise.  As the term progresses and other demands on your time increase, catch-up will become harder to accomplish.  Furthermore, it is likely that many of the concepts in the course will become clear only after you have cogitated about them for a while. This digestion period is critical and hence the need for time. So please don’t wait until the last minute to “learn”. Regular study each day is preferred to an all-nighter.</w:t>
      </w:r>
    </w:p>
    <w:p w:rsidR="00AA597D" w:rsidRDefault="00AA597D" w:rsidP="00AA597D">
      <w:pPr>
        <w:ind w:left="2160" w:hanging="2160"/>
        <w:outlineLvl w:val="0"/>
        <w:rPr>
          <w:rFonts w:cs="Arial"/>
        </w:rPr>
      </w:pPr>
    </w:p>
    <w:p w:rsidR="00AA597D" w:rsidRDefault="00AA597D" w:rsidP="00AA597D">
      <w:pPr>
        <w:ind w:left="2160" w:hanging="2160"/>
        <w:outlineLvl w:val="0"/>
        <w:rPr>
          <w:rFonts w:cs="Arial"/>
        </w:rPr>
      </w:pPr>
      <w:r>
        <w:rPr>
          <w:rFonts w:cs="Arial"/>
        </w:rPr>
        <w:tab/>
      </w:r>
      <w:r w:rsidRPr="00AA597D">
        <w:rPr>
          <w:rFonts w:cs="Arial"/>
        </w:rPr>
        <w:t xml:space="preserve">Write, write, and write again. </w:t>
      </w:r>
      <w:r>
        <w:rPr>
          <w:rFonts w:cs="Arial"/>
        </w:rPr>
        <w:t>We</w:t>
      </w:r>
      <w:r w:rsidRPr="00AA597D">
        <w:rPr>
          <w:rFonts w:cs="Arial"/>
        </w:rPr>
        <w:t xml:space="preserve"> cannot overemphasize the importance of writing. Simply listening to the lecture, or reading you</w:t>
      </w:r>
      <w:r>
        <w:rPr>
          <w:rFonts w:cs="Arial"/>
        </w:rPr>
        <w:t>r text is not enough. It is</w:t>
      </w:r>
      <w:r w:rsidRPr="00AA597D">
        <w:rPr>
          <w:rFonts w:cs="Arial"/>
        </w:rPr>
        <w:t xml:space="preserve"> easy to convince yourself that you understand the material, when in reality you do not.  We have all done this, and you should be alert to such.  If you choose to follow this advice, you will begin to note that expressing your knowledge of the subject indeed requires its understanding. To reach that level you must practice writing. Also, don’t skim over the problems.  Work them out completely on paper, just as you will need to do for an examination. Quite often, with the problem before you on paper, other viewpoints presents themselves, and then learning begins. </w:t>
      </w:r>
      <w:r>
        <w:rPr>
          <w:rFonts w:cs="Arial"/>
        </w:rPr>
        <w:t xml:space="preserve"> </w:t>
      </w:r>
      <w:r w:rsidRPr="00AA597D">
        <w:rPr>
          <w:rFonts w:cs="Arial"/>
        </w:rPr>
        <w:t xml:space="preserve">This is critical as the course progresses. </w:t>
      </w:r>
    </w:p>
    <w:p w:rsidR="00AA597D" w:rsidRDefault="00AA597D" w:rsidP="00AA597D">
      <w:pPr>
        <w:ind w:left="2160" w:hanging="2160"/>
        <w:outlineLvl w:val="0"/>
        <w:rPr>
          <w:rFonts w:cs="Arial"/>
        </w:rPr>
      </w:pPr>
    </w:p>
    <w:p w:rsidR="00AA597D" w:rsidRDefault="00AA597D" w:rsidP="00AA597D">
      <w:pPr>
        <w:ind w:left="2160" w:hanging="2160"/>
        <w:outlineLvl w:val="0"/>
        <w:rPr>
          <w:rFonts w:cs="Arial"/>
        </w:rPr>
      </w:pPr>
      <w:r>
        <w:rPr>
          <w:rFonts w:cs="Arial"/>
        </w:rPr>
        <w:tab/>
      </w:r>
      <w:r w:rsidRPr="00AA597D">
        <w:rPr>
          <w:rFonts w:cs="Arial"/>
        </w:rPr>
        <w:t>Network with your classmates, if at all possible.  If you want to study alone, well that’s ok.  Being able to explain something to others is a sign of insight and understanding.  It might be advisable if each member of the group agrees to work a few problems and explains the solutions to the rest of the group.  More problems can be worked and each person has ample op</w:t>
      </w:r>
      <w:r>
        <w:rPr>
          <w:rFonts w:cs="Arial"/>
        </w:rPr>
        <w:t>portunity to discuss and debate</w:t>
      </w:r>
      <w:r w:rsidRPr="00AA597D">
        <w:rPr>
          <w:rFonts w:cs="Arial"/>
        </w:rPr>
        <w:t xml:space="preserve">. The group as a whole will be able to work a larger number of problems. If you choose to form groups, it is crucial for all members of the group to do their fair share.  One reason often responsible for group breakdown is that one or two people do all the work and the rest just piggy-back.  Avoid this from happening. </w:t>
      </w:r>
    </w:p>
    <w:p w:rsidR="00AA597D" w:rsidRDefault="00AA597D" w:rsidP="00AA597D">
      <w:pPr>
        <w:ind w:left="2160" w:hanging="2160"/>
        <w:outlineLvl w:val="0"/>
        <w:rPr>
          <w:rFonts w:cs="Arial"/>
        </w:rPr>
      </w:pPr>
      <w:r>
        <w:rPr>
          <w:rFonts w:cs="Arial"/>
        </w:rPr>
        <w:tab/>
      </w:r>
    </w:p>
    <w:p w:rsidR="00AA597D" w:rsidRPr="00AA597D" w:rsidRDefault="00AA597D" w:rsidP="00AA597D">
      <w:pPr>
        <w:ind w:left="2160" w:hanging="2160"/>
        <w:outlineLvl w:val="0"/>
        <w:rPr>
          <w:rFonts w:cs="Arial"/>
        </w:rPr>
      </w:pPr>
      <w:r>
        <w:rPr>
          <w:rFonts w:cs="Arial"/>
        </w:rPr>
        <w:tab/>
      </w:r>
      <w:r w:rsidRPr="00AA597D">
        <w:rPr>
          <w:rFonts w:cs="Arial"/>
        </w:rPr>
        <w:t xml:space="preserve">Make the most of the resources available to you. We are here to help you learn. So, come talk to us.  If the course does not seem to be going well, please get help right away. Our chances of rescuing you are better the more lead-time we have. </w:t>
      </w:r>
    </w:p>
    <w:p w:rsidR="00AA597D" w:rsidRDefault="00AA597D" w:rsidP="00AA597D">
      <w:pPr>
        <w:ind w:left="2160"/>
        <w:outlineLvl w:val="0"/>
        <w:rPr>
          <w:rFonts w:cs="Arial"/>
        </w:rPr>
      </w:pPr>
    </w:p>
    <w:p w:rsidR="00AA597D" w:rsidRDefault="00AA597D" w:rsidP="00AA597D">
      <w:pPr>
        <w:ind w:left="2160"/>
        <w:outlineLvl w:val="0"/>
        <w:rPr>
          <w:rFonts w:cs="Arial"/>
        </w:rPr>
      </w:pPr>
      <w:r w:rsidRPr="00AA597D">
        <w:rPr>
          <w:rFonts w:cs="Arial"/>
        </w:rPr>
        <w:t>Stay involved and keep a positive attitude. Perseverance will be an important key to success. Yes, it is a hard course but, no, it is not impossible.</w:t>
      </w:r>
    </w:p>
    <w:sectPr w:rsidR="00AA597D" w:rsidSect="00A7741D">
      <w:footerReference w:type="default" r:id="rId10"/>
      <w:pgSz w:w="12240" w:h="15840"/>
      <w:pgMar w:top="1440" w:right="72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035D" w:rsidRDefault="009E035D" w:rsidP="00A7741D">
      <w:r>
        <w:separator/>
      </w:r>
    </w:p>
  </w:endnote>
  <w:endnote w:type="continuationSeparator" w:id="0">
    <w:p w:rsidR="009E035D" w:rsidRDefault="009E035D" w:rsidP="00A774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741D" w:rsidRDefault="00A7741D">
    <w:pPr>
      <w:pStyle w:val="Footer"/>
    </w:pPr>
    <w:r>
      <w:t>Revised:  November 3, 2009</w:t>
    </w:r>
  </w:p>
  <w:p w:rsidR="00A7741D" w:rsidRDefault="00A774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035D" w:rsidRDefault="009E035D" w:rsidP="00A7741D">
      <w:r>
        <w:separator/>
      </w:r>
    </w:p>
  </w:footnote>
  <w:footnote w:type="continuationSeparator" w:id="0">
    <w:p w:rsidR="009E035D" w:rsidRDefault="009E035D" w:rsidP="00A7741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1F56E0"/>
    <w:multiLevelType w:val="multilevel"/>
    <w:tmpl w:val="33105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29903E3"/>
    <w:multiLevelType w:val="hybridMultilevel"/>
    <w:tmpl w:val="25905F0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Symbo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Symbo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nsid w:val="711A4574"/>
    <w:multiLevelType w:val="hybridMultilevel"/>
    <w:tmpl w:val="071C339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97D"/>
    <w:rsid w:val="00166699"/>
    <w:rsid w:val="001A6DF5"/>
    <w:rsid w:val="00301250"/>
    <w:rsid w:val="00627229"/>
    <w:rsid w:val="0076317D"/>
    <w:rsid w:val="00937B76"/>
    <w:rsid w:val="009E035D"/>
    <w:rsid w:val="00A7741D"/>
    <w:rsid w:val="00AA597D"/>
    <w:rsid w:val="00B65127"/>
    <w:rsid w:val="00E64C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132D3B0-03CD-4DB2-B00D-FF74172E2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aj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7B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AA597D"/>
    <w:pPr>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rsid w:val="00AA597D"/>
    <w:rPr>
      <w:color w:val="0000FF"/>
      <w:u w:val="single"/>
    </w:rPr>
  </w:style>
  <w:style w:type="paragraph" w:styleId="Header">
    <w:name w:val="header"/>
    <w:basedOn w:val="Normal"/>
    <w:link w:val="HeaderChar"/>
    <w:uiPriority w:val="99"/>
    <w:semiHidden/>
    <w:unhideWhenUsed/>
    <w:rsid w:val="00A7741D"/>
    <w:pPr>
      <w:tabs>
        <w:tab w:val="center" w:pos="4680"/>
        <w:tab w:val="right" w:pos="9360"/>
      </w:tabs>
    </w:pPr>
  </w:style>
  <w:style w:type="character" w:customStyle="1" w:styleId="HeaderChar">
    <w:name w:val="Header Char"/>
    <w:basedOn w:val="DefaultParagraphFont"/>
    <w:link w:val="Header"/>
    <w:uiPriority w:val="99"/>
    <w:semiHidden/>
    <w:rsid w:val="00A7741D"/>
  </w:style>
  <w:style w:type="paragraph" w:styleId="Footer">
    <w:name w:val="footer"/>
    <w:basedOn w:val="Normal"/>
    <w:link w:val="FooterChar"/>
    <w:uiPriority w:val="99"/>
    <w:unhideWhenUsed/>
    <w:rsid w:val="00A7741D"/>
    <w:pPr>
      <w:tabs>
        <w:tab w:val="center" w:pos="4680"/>
        <w:tab w:val="right" w:pos="9360"/>
      </w:tabs>
    </w:pPr>
  </w:style>
  <w:style w:type="character" w:customStyle="1" w:styleId="FooterChar">
    <w:name w:val="Footer Char"/>
    <w:basedOn w:val="DefaultParagraphFont"/>
    <w:link w:val="Footer"/>
    <w:uiPriority w:val="99"/>
    <w:rsid w:val="00A7741D"/>
  </w:style>
  <w:style w:type="paragraph" w:styleId="BalloonText">
    <w:name w:val="Balloon Text"/>
    <w:basedOn w:val="Normal"/>
    <w:link w:val="BalloonTextChar"/>
    <w:uiPriority w:val="99"/>
    <w:semiHidden/>
    <w:unhideWhenUsed/>
    <w:rsid w:val="00A7741D"/>
    <w:rPr>
      <w:rFonts w:ascii="Tahoma" w:hAnsi="Tahoma" w:cs="Tahoma"/>
      <w:sz w:val="16"/>
      <w:szCs w:val="16"/>
    </w:rPr>
  </w:style>
  <w:style w:type="character" w:customStyle="1" w:styleId="BalloonTextChar">
    <w:name w:val="Balloon Text Char"/>
    <w:basedOn w:val="DefaultParagraphFont"/>
    <w:link w:val="BalloonText"/>
    <w:uiPriority w:val="99"/>
    <w:semiHidden/>
    <w:rsid w:val="00A7741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tsu.edu/students/spectrum/pbc.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learn.ets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69056C-83C6-46DC-B2EE-CF9A3F062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779</Words>
  <Characters>4444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ETSU</Company>
  <LinksUpToDate>false</LinksUpToDate>
  <CharactersWithSpaces>5213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rasnickb</dc:creator>
  <cp:keywords/>
  <dc:description/>
  <cp:lastModifiedBy>Ginger</cp:lastModifiedBy>
  <cp:revision>3</cp:revision>
  <cp:lastPrinted>2009-11-03T20:38:00Z</cp:lastPrinted>
  <dcterms:created xsi:type="dcterms:W3CDTF">2014-12-06T23:27:00Z</dcterms:created>
  <dcterms:modified xsi:type="dcterms:W3CDTF">2014-12-08T02:55:00Z</dcterms:modified>
</cp:coreProperties>
</file>