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0E" w:rsidRPr="005F70A5" w:rsidRDefault="00161F1C" w:rsidP="003F58E1">
      <w:pPr>
        <w:jc w:val="center"/>
        <w:rPr>
          <w:rFonts w:asciiTheme="majorHAnsi" w:hAnsiTheme="majorHAnsi"/>
          <w:b/>
          <w:sz w:val="28"/>
        </w:rPr>
      </w:pPr>
      <w:r>
        <w:rPr>
          <w:rFonts w:asciiTheme="majorHAnsi" w:hAnsiTheme="majorHAnsi"/>
          <w:b/>
          <w:sz w:val="28"/>
        </w:rPr>
        <w:t xml:space="preserve">CHEM – 4110-010 - </w:t>
      </w:r>
      <w:r w:rsidR="0023032E">
        <w:rPr>
          <w:rFonts w:asciiTheme="majorHAnsi" w:hAnsiTheme="majorHAnsi"/>
          <w:b/>
          <w:sz w:val="28"/>
        </w:rPr>
        <w:t>Advanced Inorganic Chemistry</w:t>
      </w:r>
    </w:p>
    <w:p w:rsidR="00161F1C" w:rsidRDefault="00161F1C" w:rsidP="003F58E1">
      <w:pPr>
        <w:tabs>
          <w:tab w:val="left" w:pos="-1440"/>
        </w:tabs>
        <w:rPr>
          <w:rFonts w:asciiTheme="majorHAnsi" w:hAnsiTheme="majorHAnsi"/>
          <w:b/>
        </w:rPr>
      </w:pPr>
    </w:p>
    <w:p w:rsidR="00161F1C" w:rsidRPr="005F70A5" w:rsidRDefault="00161F1C" w:rsidP="00161F1C">
      <w:pPr>
        <w:tabs>
          <w:tab w:val="left" w:pos="-1440"/>
        </w:tabs>
        <w:ind w:left="1440" w:hanging="1440"/>
        <w:rPr>
          <w:rFonts w:asciiTheme="majorHAnsi" w:hAnsiTheme="majorHAnsi"/>
          <w:b/>
        </w:rPr>
      </w:pPr>
      <w:r w:rsidRPr="005F70A5">
        <w:rPr>
          <w:rFonts w:asciiTheme="majorHAnsi" w:hAnsiTheme="majorHAnsi"/>
          <w:b/>
        </w:rPr>
        <w:t>Textbook</w:t>
      </w:r>
      <w:r>
        <w:rPr>
          <w:rFonts w:asciiTheme="majorHAnsi" w:hAnsiTheme="majorHAnsi"/>
          <w:b/>
        </w:rPr>
        <w:t>s</w:t>
      </w:r>
      <w:r w:rsidRPr="005F70A5">
        <w:rPr>
          <w:rFonts w:asciiTheme="majorHAnsi" w:hAnsiTheme="majorHAnsi"/>
          <w:b/>
        </w:rPr>
        <w:t>:</w:t>
      </w:r>
      <w:r w:rsidRPr="005F70A5">
        <w:rPr>
          <w:rFonts w:asciiTheme="majorHAnsi" w:hAnsiTheme="majorHAnsi"/>
          <w:b/>
        </w:rPr>
        <w:tab/>
      </w:r>
    </w:p>
    <w:p w:rsidR="00161F1C" w:rsidRPr="005F70A5" w:rsidRDefault="00161F1C" w:rsidP="00161F1C">
      <w:pPr>
        <w:pStyle w:val="ListParagraph"/>
        <w:numPr>
          <w:ilvl w:val="0"/>
          <w:numId w:val="3"/>
        </w:numPr>
        <w:tabs>
          <w:tab w:val="left" w:pos="-1440"/>
        </w:tabs>
        <w:ind w:left="720"/>
        <w:rPr>
          <w:rFonts w:asciiTheme="majorHAnsi" w:hAnsiTheme="majorHAnsi"/>
        </w:rPr>
      </w:pPr>
      <w:r>
        <w:rPr>
          <w:rFonts w:asciiTheme="majorHAnsi" w:hAnsiTheme="majorHAnsi"/>
          <w:i/>
          <w:iCs/>
          <w:u w:val="single"/>
        </w:rPr>
        <w:t xml:space="preserve">Inorganic </w:t>
      </w:r>
      <w:r w:rsidRPr="005F70A5">
        <w:rPr>
          <w:rFonts w:asciiTheme="majorHAnsi" w:hAnsiTheme="majorHAnsi"/>
          <w:i/>
          <w:iCs/>
          <w:u w:val="single"/>
        </w:rPr>
        <w:t>Chemistry</w:t>
      </w:r>
      <w:r w:rsidRPr="005F70A5">
        <w:rPr>
          <w:rFonts w:asciiTheme="majorHAnsi" w:hAnsiTheme="majorHAnsi"/>
          <w:i/>
          <w:iCs/>
        </w:rPr>
        <w:t>,</w:t>
      </w:r>
      <w:r w:rsidRPr="005F70A5">
        <w:rPr>
          <w:rFonts w:asciiTheme="majorHAnsi" w:hAnsiTheme="majorHAnsi"/>
        </w:rPr>
        <w:t xml:space="preserve"> </w:t>
      </w:r>
      <w:r>
        <w:rPr>
          <w:rFonts w:asciiTheme="majorHAnsi" w:hAnsiTheme="majorHAnsi"/>
        </w:rPr>
        <w:t>3</w:t>
      </w:r>
      <w:r w:rsidRPr="00236329">
        <w:rPr>
          <w:rFonts w:asciiTheme="majorHAnsi" w:hAnsiTheme="majorHAnsi"/>
          <w:vertAlign w:val="superscript"/>
        </w:rPr>
        <w:t>rd</w:t>
      </w:r>
      <w:r w:rsidRPr="005F70A5">
        <w:rPr>
          <w:rFonts w:asciiTheme="majorHAnsi" w:hAnsiTheme="majorHAnsi"/>
        </w:rPr>
        <w:t xml:space="preserve"> edition by </w:t>
      </w:r>
      <w:proofErr w:type="spellStart"/>
      <w:r>
        <w:rPr>
          <w:rFonts w:asciiTheme="majorHAnsi" w:hAnsiTheme="majorHAnsi"/>
        </w:rPr>
        <w:t>Miessler</w:t>
      </w:r>
      <w:proofErr w:type="spellEnd"/>
      <w:r>
        <w:rPr>
          <w:rFonts w:asciiTheme="majorHAnsi" w:hAnsiTheme="majorHAnsi"/>
        </w:rPr>
        <w:t xml:space="preserve"> and </w:t>
      </w:r>
      <w:proofErr w:type="spellStart"/>
      <w:r>
        <w:rPr>
          <w:rFonts w:asciiTheme="majorHAnsi" w:hAnsiTheme="majorHAnsi"/>
        </w:rPr>
        <w:t>Tarr</w:t>
      </w:r>
      <w:proofErr w:type="spellEnd"/>
      <w:r w:rsidRPr="005F70A5">
        <w:rPr>
          <w:rFonts w:asciiTheme="majorHAnsi" w:hAnsiTheme="majorHAnsi"/>
        </w:rPr>
        <w:t xml:space="preserve">, </w:t>
      </w:r>
      <w:r>
        <w:rPr>
          <w:rFonts w:asciiTheme="majorHAnsi" w:hAnsiTheme="majorHAnsi"/>
        </w:rPr>
        <w:t>Prentice-Hall</w:t>
      </w:r>
      <w:r w:rsidRPr="005F70A5">
        <w:rPr>
          <w:rFonts w:asciiTheme="majorHAnsi" w:hAnsiTheme="majorHAnsi"/>
        </w:rPr>
        <w:t xml:space="preserve">, Inc. </w:t>
      </w:r>
      <w:r>
        <w:rPr>
          <w:rFonts w:asciiTheme="majorHAnsi" w:hAnsiTheme="majorHAnsi"/>
        </w:rPr>
        <w:t>2004</w:t>
      </w:r>
      <w:r w:rsidRPr="005F70A5">
        <w:rPr>
          <w:rFonts w:asciiTheme="majorHAnsi" w:hAnsiTheme="majorHAnsi"/>
        </w:rPr>
        <w:t xml:space="preserve">. </w:t>
      </w:r>
    </w:p>
    <w:p w:rsidR="00161F1C" w:rsidRDefault="00161F1C" w:rsidP="00161F1C">
      <w:pPr>
        <w:pStyle w:val="ListParagraph"/>
        <w:numPr>
          <w:ilvl w:val="0"/>
          <w:numId w:val="3"/>
        </w:numPr>
        <w:tabs>
          <w:tab w:val="left" w:pos="-1440"/>
        </w:tabs>
        <w:ind w:left="720"/>
        <w:rPr>
          <w:rFonts w:asciiTheme="majorHAnsi" w:hAnsiTheme="majorHAnsi"/>
        </w:rPr>
      </w:pPr>
      <w:r w:rsidRPr="00236329">
        <w:rPr>
          <w:rFonts w:asciiTheme="majorHAnsi" w:hAnsiTheme="majorHAnsi"/>
          <w:i/>
          <w:u w:val="single"/>
        </w:rPr>
        <w:t>Inorganic Chemistry: Principles of Structure and Reactivity</w:t>
      </w:r>
      <w:r>
        <w:rPr>
          <w:rFonts w:asciiTheme="majorHAnsi" w:hAnsiTheme="majorHAnsi"/>
          <w:i/>
          <w:u w:val="single"/>
        </w:rPr>
        <w:t>,</w:t>
      </w:r>
      <w:r>
        <w:rPr>
          <w:rFonts w:asciiTheme="majorHAnsi" w:hAnsiTheme="majorHAnsi"/>
        </w:rPr>
        <w:t xml:space="preserve"> </w:t>
      </w:r>
      <w:r w:rsidRPr="00D81F8F">
        <w:rPr>
          <w:rFonts w:asciiTheme="majorHAnsi" w:hAnsiTheme="majorHAnsi"/>
        </w:rPr>
        <w:t>4</w:t>
      </w:r>
      <w:r w:rsidRPr="00D81F8F">
        <w:rPr>
          <w:rFonts w:asciiTheme="majorHAnsi" w:hAnsiTheme="majorHAnsi"/>
          <w:vertAlign w:val="superscript"/>
        </w:rPr>
        <w:t>th</w:t>
      </w:r>
      <w:r>
        <w:rPr>
          <w:rFonts w:asciiTheme="majorHAnsi" w:hAnsiTheme="majorHAnsi"/>
        </w:rPr>
        <w:t xml:space="preserve"> e</w:t>
      </w:r>
      <w:r w:rsidRPr="00D81F8F">
        <w:rPr>
          <w:rFonts w:asciiTheme="majorHAnsi" w:hAnsiTheme="majorHAnsi"/>
        </w:rPr>
        <w:t xml:space="preserve">dition by </w:t>
      </w:r>
      <w:proofErr w:type="spellStart"/>
      <w:r>
        <w:rPr>
          <w:rFonts w:asciiTheme="majorHAnsi" w:hAnsiTheme="majorHAnsi"/>
        </w:rPr>
        <w:t>Huheey</w:t>
      </w:r>
      <w:proofErr w:type="spellEnd"/>
      <w:r>
        <w:rPr>
          <w:rFonts w:asciiTheme="majorHAnsi" w:hAnsiTheme="majorHAnsi"/>
        </w:rPr>
        <w:t>,</w:t>
      </w:r>
      <w:r w:rsidRPr="00D81F8F">
        <w:rPr>
          <w:rFonts w:asciiTheme="majorHAnsi" w:hAnsiTheme="majorHAnsi"/>
        </w:rPr>
        <w:t xml:space="preserve"> </w:t>
      </w:r>
      <w:proofErr w:type="spellStart"/>
      <w:r w:rsidRPr="00D81F8F">
        <w:rPr>
          <w:rFonts w:asciiTheme="majorHAnsi" w:hAnsiTheme="majorHAnsi"/>
        </w:rPr>
        <w:t>Keiter</w:t>
      </w:r>
      <w:proofErr w:type="spellEnd"/>
      <w:r>
        <w:rPr>
          <w:rFonts w:asciiTheme="majorHAnsi" w:hAnsiTheme="majorHAnsi"/>
        </w:rPr>
        <w:t xml:space="preserve"> and </w:t>
      </w:r>
      <w:proofErr w:type="spellStart"/>
      <w:r w:rsidRPr="00D81F8F">
        <w:rPr>
          <w:rFonts w:asciiTheme="majorHAnsi" w:hAnsiTheme="majorHAnsi"/>
        </w:rPr>
        <w:t>Keiter</w:t>
      </w:r>
      <w:proofErr w:type="spellEnd"/>
      <w:r>
        <w:rPr>
          <w:rFonts w:asciiTheme="majorHAnsi" w:hAnsiTheme="majorHAnsi"/>
        </w:rPr>
        <w:t>, Prentice-Hall</w:t>
      </w:r>
      <w:r w:rsidRPr="005F70A5">
        <w:rPr>
          <w:rFonts w:asciiTheme="majorHAnsi" w:hAnsiTheme="majorHAnsi"/>
        </w:rPr>
        <w:t xml:space="preserve">, Inc. </w:t>
      </w:r>
      <w:r>
        <w:rPr>
          <w:rFonts w:asciiTheme="majorHAnsi" w:hAnsiTheme="majorHAnsi"/>
        </w:rPr>
        <w:t xml:space="preserve">1997 </w:t>
      </w:r>
      <w:r w:rsidRPr="00D81F8F">
        <w:rPr>
          <w:rFonts w:asciiTheme="majorHAnsi" w:hAnsiTheme="majorHAnsi"/>
        </w:rPr>
        <w:t>(</w:t>
      </w:r>
      <w:r w:rsidRPr="00D81F8F">
        <w:rPr>
          <w:rFonts w:asciiTheme="majorHAnsi" w:hAnsiTheme="majorHAnsi"/>
          <w:bCs/>
        </w:rPr>
        <w:t>suggested</w:t>
      </w:r>
      <w:r w:rsidRPr="00D81F8F">
        <w:rPr>
          <w:rFonts w:asciiTheme="majorHAnsi" w:hAnsiTheme="majorHAnsi"/>
        </w:rPr>
        <w:t>)</w:t>
      </w:r>
      <w:r>
        <w:rPr>
          <w:rFonts w:asciiTheme="majorHAnsi" w:hAnsiTheme="majorHAnsi"/>
        </w:rPr>
        <w:t>.</w:t>
      </w:r>
    </w:p>
    <w:p w:rsidR="00161F1C" w:rsidRPr="006000D5" w:rsidRDefault="00161F1C" w:rsidP="00161F1C">
      <w:pPr>
        <w:pStyle w:val="ListParagraph"/>
        <w:numPr>
          <w:ilvl w:val="0"/>
          <w:numId w:val="3"/>
        </w:numPr>
        <w:tabs>
          <w:tab w:val="left" w:pos="-1440"/>
        </w:tabs>
        <w:ind w:left="720"/>
        <w:rPr>
          <w:rFonts w:asciiTheme="majorHAnsi" w:hAnsiTheme="majorHAnsi"/>
          <w:i/>
          <w:u w:val="single"/>
        </w:rPr>
      </w:pPr>
      <w:r w:rsidRPr="00944B95">
        <w:rPr>
          <w:rFonts w:asciiTheme="majorHAnsi" w:hAnsiTheme="majorHAnsi" w:cs="Arial"/>
          <w:i/>
          <w:color w:val="000000"/>
          <w:u w:val="single"/>
        </w:rPr>
        <w:t>Concepts and Models of Inorganic Chemistr</w:t>
      </w:r>
      <w:r>
        <w:rPr>
          <w:rFonts w:asciiTheme="majorHAnsi" w:hAnsiTheme="majorHAnsi" w:cs="Arial"/>
          <w:i/>
          <w:color w:val="000000"/>
          <w:u w:val="single"/>
        </w:rPr>
        <w:t>y,</w:t>
      </w:r>
      <w:r>
        <w:rPr>
          <w:rFonts w:asciiTheme="majorHAnsi" w:hAnsiTheme="majorHAnsi" w:cs="Arial"/>
          <w:i/>
          <w:color w:val="000000"/>
        </w:rPr>
        <w:t xml:space="preserve"> </w:t>
      </w:r>
      <w:r>
        <w:rPr>
          <w:rFonts w:asciiTheme="majorHAnsi" w:hAnsiTheme="majorHAnsi"/>
        </w:rPr>
        <w:t>3</w:t>
      </w:r>
      <w:r w:rsidRPr="00944B95">
        <w:rPr>
          <w:rFonts w:asciiTheme="majorHAnsi" w:hAnsiTheme="majorHAnsi"/>
          <w:vertAlign w:val="superscript"/>
        </w:rPr>
        <w:t>rd</w:t>
      </w:r>
      <w:r w:rsidRPr="00944B95">
        <w:rPr>
          <w:rFonts w:asciiTheme="majorHAnsi" w:hAnsiTheme="majorHAnsi"/>
        </w:rPr>
        <w:t xml:space="preserve"> edition</w:t>
      </w:r>
      <w:r w:rsidRPr="00944B95">
        <w:rPr>
          <w:rFonts w:asciiTheme="majorHAnsi" w:hAnsiTheme="majorHAnsi"/>
          <w:color w:val="000000"/>
        </w:rPr>
        <w:t xml:space="preserve"> by Douglas</w:t>
      </w:r>
      <w:r>
        <w:rPr>
          <w:rFonts w:asciiTheme="majorHAnsi" w:hAnsiTheme="majorHAnsi"/>
          <w:color w:val="000000"/>
        </w:rPr>
        <w:t xml:space="preserve">, </w:t>
      </w:r>
      <w:r w:rsidRPr="00944B95">
        <w:rPr>
          <w:rFonts w:asciiTheme="majorHAnsi" w:hAnsiTheme="majorHAnsi"/>
          <w:color w:val="000000"/>
        </w:rPr>
        <w:t>McDaniel</w:t>
      </w:r>
      <w:r>
        <w:rPr>
          <w:rFonts w:asciiTheme="majorHAnsi" w:hAnsiTheme="majorHAnsi"/>
          <w:color w:val="000000"/>
        </w:rPr>
        <w:t xml:space="preserve"> and </w:t>
      </w:r>
      <w:r w:rsidRPr="00944B95">
        <w:rPr>
          <w:rFonts w:asciiTheme="majorHAnsi" w:hAnsiTheme="majorHAnsi"/>
          <w:color w:val="000000"/>
        </w:rPr>
        <w:t>Alexander</w:t>
      </w:r>
      <w:r w:rsidRPr="00944B95">
        <w:rPr>
          <w:rFonts w:asciiTheme="majorHAnsi" w:hAnsiTheme="majorHAnsi"/>
        </w:rPr>
        <w:t xml:space="preserve">, </w:t>
      </w:r>
      <w:r w:rsidRPr="005F70A5">
        <w:rPr>
          <w:rFonts w:asciiTheme="majorHAnsi" w:hAnsiTheme="majorHAnsi"/>
        </w:rPr>
        <w:t xml:space="preserve">John Wiley &amp; Sons, Inc. </w:t>
      </w:r>
      <w:r>
        <w:rPr>
          <w:rFonts w:asciiTheme="majorHAnsi" w:hAnsiTheme="majorHAnsi"/>
        </w:rPr>
        <w:t>1994</w:t>
      </w:r>
      <w:r w:rsidRPr="00944B95">
        <w:rPr>
          <w:rFonts w:asciiTheme="majorHAnsi" w:hAnsiTheme="majorHAnsi"/>
        </w:rPr>
        <w:t xml:space="preserve"> (suggested)</w:t>
      </w:r>
      <w:r w:rsidRPr="006000D5">
        <w:rPr>
          <w:rFonts w:asciiTheme="majorHAnsi" w:hAnsiTheme="majorHAnsi"/>
        </w:rPr>
        <w:tab/>
      </w:r>
    </w:p>
    <w:p w:rsidR="00161F1C" w:rsidRDefault="00161F1C" w:rsidP="003F58E1">
      <w:pPr>
        <w:tabs>
          <w:tab w:val="left" w:pos="-1440"/>
        </w:tabs>
        <w:rPr>
          <w:rFonts w:asciiTheme="majorHAnsi" w:hAnsiTheme="majorHAnsi"/>
          <w:b/>
        </w:rPr>
      </w:pPr>
    </w:p>
    <w:p w:rsidR="00E72031" w:rsidRPr="005F70A5" w:rsidRDefault="00E72031" w:rsidP="003F58E1">
      <w:pPr>
        <w:tabs>
          <w:tab w:val="left" w:pos="-1440"/>
        </w:tabs>
        <w:rPr>
          <w:rFonts w:asciiTheme="majorHAnsi" w:hAnsiTheme="majorHAnsi"/>
          <w:b/>
        </w:rPr>
      </w:pPr>
      <w:r w:rsidRPr="005F70A5">
        <w:rPr>
          <w:rFonts w:asciiTheme="majorHAnsi" w:hAnsiTheme="majorHAnsi"/>
          <w:b/>
        </w:rPr>
        <w:t>Course Description</w:t>
      </w:r>
      <w:r w:rsidR="00FD3B6B">
        <w:rPr>
          <w:rFonts w:asciiTheme="majorHAnsi" w:hAnsiTheme="majorHAnsi"/>
          <w:b/>
        </w:rPr>
        <w:t xml:space="preserve"> and Objectives</w:t>
      </w:r>
      <w:r w:rsidRPr="005F70A5">
        <w:rPr>
          <w:rFonts w:asciiTheme="majorHAnsi" w:hAnsiTheme="majorHAnsi"/>
          <w:b/>
        </w:rPr>
        <w:t>:</w:t>
      </w:r>
    </w:p>
    <w:p w:rsidR="00E72031" w:rsidRDefault="00982009" w:rsidP="00161F1C">
      <w:pPr>
        <w:tabs>
          <w:tab w:val="left" w:pos="-1440"/>
        </w:tabs>
        <w:ind w:firstLine="720"/>
        <w:rPr>
          <w:rFonts w:asciiTheme="majorHAnsi" w:hAnsiTheme="majorHAnsi"/>
        </w:rPr>
      </w:pPr>
      <w:r>
        <w:rPr>
          <w:rFonts w:asciiTheme="majorHAnsi" w:hAnsiTheme="majorHAnsi"/>
        </w:rPr>
        <w:t>This course is designed for chemistry majors who are interested in inorganic chemistry</w:t>
      </w:r>
      <w:r w:rsidR="003F5BF7">
        <w:rPr>
          <w:rFonts w:asciiTheme="majorHAnsi" w:hAnsiTheme="majorHAnsi"/>
        </w:rPr>
        <w:t>,</w:t>
      </w:r>
      <w:r>
        <w:rPr>
          <w:rFonts w:asciiTheme="majorHAnsi" w:hAnsiTheme="majorHAnsi"/>
        </w:rPr>
        <w:t xml:space="preserve"> as well as </w:t>
      </w:r>
      <w:r w:rsidR="002507A3">
        <w:rPr>
          <w:rFonts w:asciiTheme="majorHAnsi" w:hAnsiTheme="majorHAnsi"/>
        </w:rPr>
        <w:t xml:space="preserve">for </w:t>
      </w:r>
      <w:r>
        <w:rPr>
          <w:rFonts w:asciiTheme="majorHAnsi" w:hAnsiTheme="majorHAnsi"/>
        </w:rPr>
        <w:t xml:space="preserve">those who will </w:t>
      </w:r>
      <w:r w:rsidR="00CC1E99">
        <w:rPr>
          <w:rFonts w:asciiTheme="majorHAnsi" w:hAnsiTheme="majorHAnsi"/>
        </w:rPr>
        <w:t xml:space="preserve">pursue further work at </w:t>
      </w:r>
      <w:r>
        <w:rPr>
          <w:rFonts w:asciiTheme="majorHAnsi" w:hAnsiTheme="majorHAnsi"/>
        </w:rPr>
        <w:t xml:space="preserve">graduate school or </w:t>
      </w:r>
      <w:r w:rsidR="00CC1E99">
        <w:rPr>
          <w:rFonts w:asciiTheme="majorHAnsi" w:hAnsiTheme="majorHAnsi"/>
        </w:rPr>
        <w:t xml:space="preserve">employment at </w:t>
      </w:r>
      <w:r>
        <w:rPr>
          <w:rFonts w:asciiTheme="majorHAnsi" w:hAnsiTheme="majorHAnsi"/>
        </w:rPr>
        <w:t>chemical industries. It will briefly review the p</w:t>
      </w:r>
      <w:r w:rsidRPr="00982009">
        <w:rPr>
          <w:rFonts w:asciiTheme="majorHAnsi" w:hAnsiTheme="majorHAnsi"/>
        </w:rPr>
        <w:t xml:space="preserve">rinciples </w:t>
      </w:r>
      <w:r>
        <w:rPr>
          <w:rFonts w:asciiTheme="majorHAnsi" w:hAnsiTheme="majorHAnsi"/>
        </w:rPr>
        <w:t>and concepts of modern inorganic chemistry including atomic and molecular structure, symmetry and group, bonding, acid and base, and coordination chemistry.</w:t>
      </w:r>
    </w:p>
    <w:p w:rsidR="00982009" w:rsidRDefault="001B4B1E" w:rsidP="00161F1C">
      <w:pPr>
        <w:tabs>
          <w:tab w:val="left" w:pos="-1440"/>
        </w:tabs>
        <w:ind w:firstLine="720"/>
        <w:rPr>
          <w:rFonts w:asciiTheme="majorHAnsi" w:hAnsiTheme="majorHAnsi"/>
        </w:rPr>
      </w:pPr>
      <w:r>
        <w:rPr>
          <w:rFonts w:asciiTheme="majorHAnsi" w:hAnsiTheme="majorHAnsi"/>
        </w:rPr>
        <w:t>The objective</w:t>
      </w:r>
      <w:r w:rsidR="002507A3">
        <w:rPr>
          <w:rFonts w:asciiTheme="majorHAnsi" w:hAnsiTheme="majorHAnsi"/>
        </w:rPr>
        <w:t xml:space="preserve"> </w:t>
      </w:r>
      <w:r>
        <w:rPr>
          <w:rFonts w:asciiTheme="majorHAnsi" w:hAnsiTheme="majorHAnsi"/>
        </w:rPr>
        <w:t>of</w:t>
      </w:r>
      <w:r w:rsidR="002507A3">
        <w:rPr>
          <w:rFonts w:asciiTheme="majorHAnsi" w:hAnsiTheme="majorHAnsi"/>
        </w:rPr>
        <w:t xml:space="preserve"> the course is </w:t>
      </w:r>
      <w:r>
        <w:rPr>
          <w:rFonts w:asciiTheme="majorHAnsi" w:hAnsiTheme="majorHAnsi"/>
        </w:rPr>
        <w:t>t</w:t>
      </w:r>
      <w:r w:rsidR="002507A3" w:rsidRPr="002507A3">
        <w:rPr>
          <w:rFonts w:asciiTheme="majorHAnsi" w:hAnsiTheme="majorHAnsi"/>
        </w:rPr>
        <w:t xml:space="preserve">o provide students with </w:t>
      </w:r>
      <w:r>
        <w:rPr>
          <w:rFonts w:asciiTheme="majorHAnsi" w:hAnsiTheme="majorHAnsi"/>
        </w:rPr>
        <w:t xml:space="preserve">a broad background in inorganic chemistry, and </w:t>
      </w:r>
      <w:r w:rsidR="002507A3" w:rsidRPr="002507A3">
        <w:rPr>
          <w:rFonts w:asciiTheme="majorHAnsi" w:hAnsiTheme="majorHAnsi"/>
        </w:rPr>
        <w:t xml:space="preserve">introduce students to fundamental concepts of </w:t>
      </w:r>
      <w:r>
        <w:rPr>
          <w:rFonts w:asciiTheme="majorHAnsi" w:hAnsiTheme="majorHAnsi"/>
        </w:rPr>
        <w:t xml:space="preserve">coordination, </w:t>
      </w:r>
      <w:r w:rsidR="002507A3" w:rsidRPr="002507A3">
        <w:rPr>
          <w:rFonts w:asciiTheme="majorHAnsi" w:hAnsiTheme="majorHAnsi"/>
        </w:rPr>
        <w:t>organometallic and bioinorganic chemistry.</w:t>
      </w:r>
    </w:p>
    <w:p w:rsidR="006000D5" w:rsidRPr="006000D5" w:rsidRDefault="006000D5" w:rsidP="006000D5">
      <w:pPr>
        <w:tabs>
          <w:tab w:val="left" w:pos="-1440"/>
        </w:tabs>
        <w:ind w:left="360" w:firstLine="360"/>
        <w:rPr>
          <w:rFonts w:asciiTheme="majorHAnsi" w:hAnsiTheme="majorHAnsi"/>
        </w:rPr>
      </w:pPr>
    </w:p>
    <w:p w:rsidR="00EE5500" w:rsidRPr="005F70A5" w:rsidRDefault="00EE5500" w:rsidP="003F58E1">
      <w:pPr>
        <w:rPr>
          <w:rFonts w:asciiTheme="majorHAnsi" w:hAnsiTheme="majorHAnsi"/>
          <w:b/>
        </w:rPr>
      </w:pPr>
      <w:r w:rsidRPr="005F70A5">
        <w:rPr>
          <w:rFonts w:asciiTheme="majorHAnsi" w:hAnsiTheme="majorHAnsi"/>
          <w:b/>
        </w:rPr>
        <w:t>Prerequisites &amp; Co-requisites:</w:t>
      </w:r>
    </w:p>
    <w:p w:rsidR="00982009" w:rsidRPr="006000D5" w:rsidRDefault="00982009" w:rsidP="00161F1C">
      <w:pPr>
        <w:ind w:firstLine="720"/>
        <w:rPr>
          <w:rFonts w:asciiTheme="majorHAnsi" w:hAnsiTheme="majorHAnsi"/>
        </w:rPr>
      </w:pPr>
      <w:r>
        <w:rPr>
          <w:rFonts w:asciiTheme="majorHAnsi" w:hAnsiTheme="majorHAnsi"/>
        </w:rPr>
        <w:t>Prerequisite is Physical Chemistry (</w:t>
      </w:r>
      <w:r w:rsidRPr="00982009">
        <w:rPr>
          <w:rFonts w:asciiTheme="majorHAnsi" w:hAnsiTheme="majorHAnsi"/>
        </w:rPr>
        <w:t>CHEM 3750/60</w:t>
      </w:r>
      <w:r>
        <w:rPr>
          <w:rFonts w:asciiTheme="majorHAnsi" w:hAnsiTheme="majorHAnsi"/>
        </w:rPr>
        <w:t>)</w:t>
      </w:r>
      <w:r w:rsidR="00236329">
        <w:rPr>
          <w:rFonts w:asciiTheme="majorHAnsi" w:hAnsiTheme="majorHAnsi"/>
        </w:rPr>
        <w:t>. Students are assumed to understand</w:t>
      </w:r>
      <w:r>
        <w:rPr>
          <w:rFonts w:asciiTheme="majorHAnsi" w:hAnsiTheme="majorHAnsi"/>
        </w:rPr>
        <w:t xml:space="preserve"> </w:t>
      </w:r>
      <w:r w:rsidR="00236329">
        <w:rPr>
          <w:rFonts w:asciiTheme="majorHAnsi" w:hAnsiTheme="majorHAnsi"/>
        </w:rPr>
        <w:t>basic</w:t>
      </w:r>
      <w:r>
        <w:rPr>
          <w:rFonts w:asciiTheme="majorHAnsi" w:hAnsiTheme="majorHAnsi"/>
        </w:rPr>
        <w:t xml:space="preserve"> principles of general and physical chemistry.</w:t>
      </w:r>
    </w:p>
    <w:p w:rsidR="006000D5" w:rsidRDefault="006000D5" w:rsidP="003F58E1">
      <w:pPr>
        <w:rPr>
          <w:rFonts w:asciiTheme="majorHAnsi" w:hAnsiTheme="majorHAnsi"/>
          <w:b/>
        </w:rPr>
      </w:pPr>
    </w:p>
    <w:p w:rsidR="00D51D82" w:rsidRPr="005F70A5" w:rsidRDefault="00DE7BB3" w:rsidP="003F58E1">
      <w:pPr>
        <w:rPr>
          <w:rFonts w:asciiTheme="majorHAnsi" w:hAnsiTheme="majorHAnsi"/>
          <w:b/>
        </w:rPr>
      </w:pPr>
      <w:r w:rsidRPr="005F70A5">
        <w:rPr>
          <w:rFonts w:asciiTheme="majorHAnsi" w:hAnsiTheme="majorHAnsi"/>
          <w:b/>
        </w:rPr>
        <w:t>Grading</w:t>
      </w:r>
      <w:r w:rsidR="00D51D82" w:rsidRPr="005F70A5">
        <w:rPr>
          <w:rFonts w:asciiTheme="majorHAnsi" w:hAnsiTheme="majorHAnsi"/>
          <w:b/>
        </w:rPr>
        <w:t>:</w:t>
      </w:r>
    </w:p>
    <w:p w:rsidR="00D537E0" w:rsidRPr="00161F1C" w:rsidRDefault="00D537E0" w:rsidP="00161F1C">
      <w:pPr>
        <w:tabs>
          <w:tab w:val="left" w:pos="-1440"/>
        </w:tabs>
        <w:ind w:firstLine="720"/>
        <w:rPr>
          <w:rFonts w:asciiTheme="majorHAnsi" w:hAnsiTheme="majorHAnsi"/>
        </w:rPr>
      </w:pPr>
      <w:r w:rsidRPr="005F70A5">
        <w:rPr>
          <w:rFonts w:asciiTheme="majorHAnsi" w:hAnsiTheme="majorHAnsi"/>
        </w:rPr>
        <w:t>Th</w:t>
      </w:r>
      <w:r w:rsidR="00D45B17">
        <w:rPr>
          <w:rFonts w:asciiTheme="majorHAnsi" w:hAnsiTheme="majorHAnsi"/>
        </w:rPr>
        <w:t xml:space="preserve">ere will be three </w:t>
      </w:r>
      <w:r w:rsidR="00B740E2">
        <w:rPr>
          <w:rFonts w:asciiTheme="majorHAnsi" w:hAnsiTheme="majorHAnsi"/>
        </w:rPr>
        <w:t>one-</w:t>
      </w:r>
      <w:r w:rsidR="00D45B17">
        <w:rPr>
          <w:rFonts w:asciiTheme="majorHAnsi" w:hAnsiTheme="majorHAnsi"/>
        </w:rPr>
        <w:t>hour</w:t>
      </w:r>
      <w:r w:rsidR="00B740E2">
        <w:rPr>
          <w:rFonts w:asciiTheme="majorHAnsi" w:hAnsiTheme="majorHAnsi"/>
        </w:rPr>
        <w:t xml:space="preserve"> </w:t>
      </w:r>
      <w:r w:rsidR="00D45B17">
        <w:rPr>
          <w:rFonts w:asciiTheme="majorHAnsi" w:hAnsiTheme="majorHAnsi"/>
        </w:rPr>
        <w:t>exams (20% each) and a final (30</w:t>
      </w:r>
      <w:r w:rsidRPr="005F70A5">
        <w:rPr>
          <w:rFonts w:asciiTheme="majorHAnsi" w:hAnsiTheme="majorHAnsi"/>
        </w:rPr>
        <w:t xml:space="preserve">%). </w:t>
      </w:r>
      <w:r w:rsidRPr="00161F1C">
        <w:rPr>
          <w:rFonts w:asciiTheme="majorHAnsi" w:hAnsiTheme="majorHAnsi"/>
        </w:rPr>
        <w:t xml:space="preserve">Missing any one of the </w:t>
      </w:r>
      <w:r w:rsidR="00B740E2">
        <w:rPr>
          <w:rFonts w:asciiTheme="majorHAnsi" w:hAnsiTheme="majorHAnsi"/>
        </w:rPr>
        <w:t xml:space="preserve">one-hour </w:t>
      </w:r>
      <w:r w:rsidRPr="00161F1C">
        <w:rPr>
          <w:rFonts w:asciiTheme="majorHAnsi" w:hAnsiTheme="majorHAnsi"/>
        </w:rPr>
        <w:t>exam</w:t>
      </w:r>
      <w:r w:rsidR="00B740E2">
        <w:rPr>
          <w:rFonts w:asciiTheme="majorHAnsi" w:hAnsiTheme="majorHAnsi"/>
        </w:rPr>
        <w:t>s</w:t>
      </w:r>
      <w:r w:rsidRPr="00161F1C">
        <w:rPr>
          <w:rFonts w:asciiTheme="majorHAnsi" w:hAnsiTheme="majorHAnsi"/>
        </w:rPr>
        <w:t xml:space="preserve"> will cause the </w:t>
      </w:r>
      <w:r w:rsidR="00B740E2">
        <w:rPr>
          <w:rFonts w:asciiTheme="majorHAnsi" w:hAnsiTheme="majorHAnsi"/>
        </w:rPr>
        <w:t>other</w:t>
      </w:r>
      <w:r w:rsidRPr="00161F1C">
        <w:rPr>
          <w:rFonts w:asciiTheme="majorHAnsi" w:hAnsiTheme="majorHAnsi"/>
        </w:rPr>
        <w:t xml:space="preserve"> two to count </w:t>
      </w:r>
      <w:r w:rsidR="004A35CC" w:rsidRPr="00161F1C">
        <w:rPr>
          <w:rFonts w:asciiTheme="majorHAnsi" w:hAnsiTheme="majorHAnsi"/>
        </w:rPr>
        <w:t>for 30</w:t>
      </w:r>
      <w:r w:rsidRPr="00161F1C">
        <w:rPr>
          <w:rFonts w:asciiTheme="majorHAnsi" w:hAnsiTheme="majorHAnsi"/>
        </w:rPr>
        <w:t>% each, and the final sta</w:t>
      </w:r>
      <w:r w:rsidR="004A35CC" w:rsidRPr="00161F1C">
        <w:rPr>
          <w:rFonts w:asciiTheme="majorHAnsi" w:hAnsiTheme="majorHAnsi"/>
        </w:rPr>
        <w:t>ys at 30</w:t>
      </w:r>
      <w:r w:rsidR="00C22233" w:rsidRPr="00161F1C">
        <w:rPr>
          <w:rFonts w:asciiTheme="majorHAnsi" w:hAnsiTheme="majorHAnsi"/>
        </w:rPr>
        <w:t>%. If you miss two hour-</w:t>
      </w:r>
      <w:r w:rsidRPr="00161F1C">
        <w:rPr>
          <w:rFonts w:asciiTheme="majorHAnsi" w:hAnsiTheme="majorHAnsi"/>
        </w:rPr>
        <w:t>exams</w:t>
      </w:r>
      <w:r w:rsidR="004A35CC" w:rsidRPr="00161F1C">
        <w:rPr>
          <w:rFonts w:asciiTheme="majorHAnsi" w:hAnsiTheme="majorHAnsi"/>
        </w:rPr>
        <w:t>, the third one will count for 3</w:t>
      </w:r>
      <w:r w:rsidRPr="00161F1C">
        <w:rPr>
          <w:rFonts w:asciiTheme="majorHAnsi" w:hAnsiTheme="majorHAnsi"/>
        </w:rPr>
        <w:t>0% and the fina</w:t>
      </w:r>
      <w:r w:rsidR="00C22233" w:rsidRPr="00161F1C">
        <w:rPr>
          <w:rFonts w:asciiTheme="majorHAnsi" w:hAnsiTheme="majorHAnsi"/>
        </w:rPr>
        <w:t xml:space="preserve">l is </w:t>
      </w:r>
      <w:r w:rsidR="004A35CC" w:rsidRPr="00161F1C">
        <w:rPr>
          <w:rFonts w:asciiTheme="majorHAnsi" w:hAnsiTheme="majorHAnsi"/>
        </w:rPr>
        <w:t>60</w:t>
      </w:r>
      <w:r w:rsidR="00C22233" w:rsidRPr="00161F1C">
        <w:rPr>
          <w:rFonts w:asciiTheme="majorHAnsi" w:hAnsiTheme="majorHAnsi"/>
        </w:rPr>
        <w:t xml:space="preserve">%. If you miss all three </w:t>
      </w:r>
      <w:r w:rsidRPr="00161F1C">
        <w:rPr>
          <w:rFonts w:asciiTheme="majorHAnsi" w:hAnsiTheme="majorHAnsi"/>
        </w:rPr>
        <w:t>hour</w:t>
      </w:r>
      <w:r w:rsidR="00C22233" w:rsidRPr="00161F1C">
        <w:rPr>
          <w:rFonts w:asciiTheme="majorHAnsi" w:hAnsiTheme="majorHAnsi"/>
        </w:rPr>
        <w:t>-</w:t>
      </w:r>
      <w:r w:rsidRPr="00161F1C">
        <w:rPr>
          <w:rFonts w:asciiTheme="majorHAnsi" w:hAnsiTheme="majorHAnsi"/>
        </w:rPr>
        <w:t xml:space="preserve">exams, the final then count for </w:t>
      </w:r>
      <w:r w:rsidR="004A35CC" w:rsidRPr="00161F1C">
        <w:rPr>
          <w:rFonts w:asciiTheme="majorHAnsi" w:hAnsiTheme="majorHAnsi"/>
        </w:rPr>
        <w:t>90</w:t>
      </w:r>
      <w:r w:rsidRPr="00161F1C">
        <w:rPr>
          <w:rFonts w:asciiTheme="majorHAnsi" w:hAnsiTheme="majorHAnsi"/>
        </w:rPr>
        <w:t>%. Missing the final will cause a grade of F.</w:t>
      </w:r>
    </w:p>
    <w:p w:rsidR="00943BEE" w:rsidRDefault="00D537E0" w:rsidP="00943BEE">
      <w:pPr>
        <w:tabs>
          <w:tab w:val="left" w:pos="-1440"/>
        </w:tabs>
        <w:ind w:firstLine="720"/>
        <w:rPr>
          <w:rFonts w:asciiTheme="majorHAnsi" w:hAnsiTheme="majorHAnsi"/>
        </w:rPr>
      </w:pPr>
      <w:r w:rsidRPr="00161F1C">
        <w:rPr>
          <w:rFonts w:asciiTheme="majorHAnsi" w:hAnsiTheme="majorHAnsi"/>
        </w:rPr>
        <w:t xml:space="preserve">Homework will be assigned </w:t>
      </w:r>
      <w:r w:rsidR="004A35CC" w:rsidRPr="00161F1C">
        <w:rPr>
          <w:rFonts w:asciiTheme="majorHAnsi" w:hAnsiTheme="majorHAnsi"/>
        </w:rPr>
        <w:t>but not graded</w:t>
      </w:r>
      <w:r w:rsidRPr="00161F1C">
        <w:rPr>
          <w:rFonts w:asciiTheme="majorHAnsi" w:hAnsiTheme="majorHAnsi"/>
        </w:rPr>
        <w:t xml:space="preserve">. </w:t>
      </w:r>
      <w:r w:rsidR="004A35CC" w:rsidRPr="00161F1C">
        <w:rPr>
          <w:rFonts w:asciiTheme="majorHAnsi" w:hAnsiTheme="majorHAnsi"/>
        </w:rPr>
        <w:t>There will be randomized attendance</w:t>
      </w:r>
      <w:r w:rsidR="004A35CC" w:rsidRPr="005F70A5">
        <w:rPr>
          <w:rFonts w:asciiTheme="majorHAnsi" w:hAnsiTheme="majorHAnsi"/>
        </w:rPr>
        <w:t xml:space="preserve"> checks </w:t>
      </w:r>
      <w:r w:rsidR="004A35CC">
        <w:rPr>
          <w:rFonts w:asciiTheme="majorHAnsi" w:hAnsiTheme="majorHAnsi"/>
        </w:rPr>
        <w:t>and students are expected to participate in the lecture actively (10</w:t>
      </w:r>
      <w:r w:rsidR="006F202D" w:rsidRPr="005F70A5">
        <w:rPr>
          <w:rFonts w:asciiTheme="majorHAnsi" w:hAnsiTheme="majorHAnsi"/>
        </w:rPr>
        <w:t>%)</w:t>
      </w:r>
      <w:r w:rsidRPr="005F70A5">
        <w:rPr>
          <w:rFonts w:asciiTheme="majorHAnsi" w:hAnsiTheme="majorHAnsi"/>
        </w:rPr>
        <w:t xml:space="preserve">. </w:t>
      </w:r>
      <w:r w:rsidR="004A35CC">
        <w:rPr>
          <w:rFonts w:asciiTheme="majorHAnsi" w:hAnsiTheme="majorHAnsi"/>
        </w:rPr>
        <w:t>Final</w:t>
      </w:r>
      <w:r w:rsidRPr="005F70A5">
        <w:rPr>
          <w:rFonts w:asciiTheme="majorHAnsi" w:hAnsiTheme="majorHAnsi"/>
        </w:rPr>
        <w:t xml:space="preserve"> grade will be given based on following:</w:t>
      </w:r>
    </w:p>
    <w:p w:rsidR="00943BEE" w:rsidRPr="005F70A5" w:rsidRDefault="00943BEE" w:rsidP="00943BEE">
      <w:pPr>
        <w:tabs>
          <w:tab w:val="left" w:pos="-1440"/>
        </w:tabs>
        <w:ind w:firstLine="720"/>
        <w:rPr>
          <w:rFonts w:asciiTheme="majorHAnsi" w:hAnsiTheme="majorHAnsi"/>
        </w:rPr>
      </w:pPr>
      <w:r w:rsidRPr="005F70A5">
        <w:rPr>
          <w:rFonts w:asciiTheme="majorHAnsi" w:hAnsiTheme="majorHAnsi"/>
        </w:rPr>
        <w:t xml:space="preserve"> </w:t>
      </w:r>
    </w:p>
    <w:p w:rsidR="00E60865" w:rsidRPr="005F70A5" w:rsidRDefault="00DF6F3E" w:rsidP="003F58E1">
      <w:pPr>
        <w:tabs>
          <w:tab w:val="left" w:pos="-1440"/>
        </w:tabs>
        <w:rPr>
          <w:rFonts w:asciiTheme="majorHAnsi" w:hAnsiTheme="majorHAnsi"/>
        </w:rPr>
      </w:pPr>
      <w:r w:rsidRPr="005F70A5">
        <w:rPr>
          <w:rFonts w:asciiTheme="majorHAnsi" w:hAnsiTheme="majorHAnsi"/>
        </w:rPr>
        <w:t>A = 90</w:t>
      </w:r>
      <w:r w:rsidR="00E60865" w:rsidRPr="005F70A5">
        <w:rPr>
          <w:rFonts w:asciiTheme="majorHAnsi" w:hAnsiTheme="majorHAnsi"/>
        </w:rPr>
        <w:t xml:space="preserve"> – 100%</w:t>
      </w:r>
      <w:r w:rsidR="00E60865" w:rsidRPr="005F70A5">
        <w:rPr>
          <w:rFonts w:asciiTheme="majorHAnsi" w:hAnsiTheme="majorHAnsi"/>
        </w:rPr>
        <w:tab/>
      </w:r>
      <w:r w:rsidR="004A35CC">
        <w:rPr>
          <w:rFonts w:asciiTheme="majorHAnsi" w:hAnsiTheme="majorHAnsi"/>
        </w:rPr>
        <w:tab/>
        <w:t>B+ = 82 – 85</w:t>
      </w:r>
      <w:r w:rsidR="00E60865" w:rsidRPr="005F70A5">
        <w:rPr>
          <w:rFonts w:asciiTheme="majorHAnsi" w:hAnsiTheme="majorHAnsi"/>
        </w:rPr>
        <w:t>%</w:t>
      </w:r>
      <w:r w:rsidR="00E60865" w:rsidRPr="005F70A5">
        <w:rPr>
          <w:rFonts w:asciiTheme="majorHAnsi" w:hAnsiTheme="majorHAnsi"/>
        </w:rPr>
        <w:tab/>
      </w:r>
      <w:r w:rsidR="00976EB2">
        <w:rPr>
          <w:rFonts w:asciiTheme="majorHAnsi" w:hAnsiTheme="majorHAnsi"/>
        </w:rPr>
        <w:tab/>
      </w:r>
      <w:r w:rsidR="00E60865" w:rsidRPr="005F70A5">
        <w:rPr>
          <w:rFonts w:asciiTheme="majorHAnsi" w:hAnsiTheme="majorHAnsi"/>
        </w:rPr>
        <w:t xml:space="preserve">C+ = </w:t>
      </w:r>
      <w:r w:rsidR="004A35CC">
        <w:rPr>
          <w:rFonts w:asciiTheme="majorHAnsi" w:hAnsiTheme="majorHAnsi"/>
        </w:rPr>
        <w:t>70 – 75</w:t>
      </w:r>
      <w:r w:rsidR="00767E13" w:rsidRPr="005F70A5">
        <w:rPr>
          <w:rFonts w:asciiTheme="majorHAnsi" w:hAnsiTheme="majorHAnsi"/>
        </w:rPr>
        <w:t>%</w:t>
      </w:r>
      <w:r w:rsidR="00767E13" w:rsidRPr="005F70A5">
        <w:rPr>
          <w:rFonts w:asciiTheme="majorHAnsi" w:hAnsiTheme="majorHAnsi"/>
        </w:rPr>
        <w:tab/>
      </w:r>
      <w:r w:rsidR="004A35CC">
        <w:rPr>
          <w:rFonts w:asciiTheme="majorHAnsi" w:hAnsiTheme="majorHAnsi"/>
        </w:rPr>
        <w:tab/>
        <w:t>D+ = 55 – 60</w:t>
      </w:r>
      <w:r w:rsidR="00767E13" w:rsidRPr="005F70A5">
        <w:rPr>
          <w:rFonts w:asciiTheme="majorHAnsi" w:hAnsiTheme="majorHAnsi"/>
        </w:rPr>
        <w:t>%</w:t>
      </w:r>
    </w:p>
    <w:p w:rsidR="00943BEE" w:rsidRDefault="004A35CC" w:rsidP="00943BEE">
      <w:pPr>
        <w:tabs>
          <w:tab w:val="left" w:pos="-1440"/>
        </w:tabs>
        <w:rPr>
          <w:rFonts w:asciiTheme="majorHAnsi" w:hAnsiTheme="majorHAnsi"/>
        </w:rPr>
      </w:pPr>
      <w:bookmarkStart w:id="0" w:name="_GoBack"/>
      <w:bookmarkEnd w:id="0"/>
      <w:r>
        <w:rPr>
          <w:rFonts w:asciiTheme="majorHAnsi" w:hAnsiTheme="majorHAnsi"/>
        </w:rPr>
        <w:t>A- = 85</w:t>
      </w:r>
      <w:r w:rsidR="00976EB2">
        <w:rPr>
          <w:rFonts w:asciiTheme="majorHAnsi" w:hAnsiTheme="majorHAnsi"/>
        </w:rPr>
        <w:t xml:space="preserve"> – </w:t>
      </w:r>
      <w:r w:rsidR="00DF6F3E" w:rsidRPr="005F70A5">
        <w:rPr>
          <w:rFonts w:asciiTheme="majorHAnsi" w:hAnsiTheme="majorHAnsi"/>
        </w:rPr>
        <w:t>9</w:t>
      </w:r>
      <w:r w:rsidR="00976EB2">
        <w:rPr>
          <w:rFonts w:asciiTheme="majorHAnsi" w:hAnsiTheme="majorHAnsi"/>
        </w:rPr>
        <w:t>0%</w:t>
      </w:r>
      <w:r w:rsidR="00976EB2">
        <w:rPr>
          <w:rFonts w:asciiTheme="majorHAnsi" w:hAnsiTheme="majorHAnsi"/>
        </w:rPr>
        <w:tab/>
      </w:r>
      <w:r w:rsidR="00976EB2">
        <w:rPr>
          <w:rFonts w:asciiTheme="majorHAnsi" w:hAnsiTheme="majorHAnsi"/>
        </w:rPr>
        <w:tab/>
        <w:t>B = 78 – 82</w:t>
      </w:r>
      <w:r w:rsidR="00E60865" w:rsidRPr="005F70A5">
        <w:rPr>
          <w:rFonts w:asciiTheme="majorHAnsi" w:hAnsiTheme="majorHAnsi"/>
        </w:rPr>
        <w:t>%</w:t>
      </w:r>
      <w:r>
        <w:rPr>
          <w:rFonts w:asciiTheme="majorHAnsi" w:hAnsiTheme="majorHAnsi"/>
        </w:rPr>
        <w:tab/>
      </w:r>
      <w:r>
        <w:rPr>
          <w:rFonts w:asciiTheme="majorHAnsi" w:hAnsiTheme="majorHAnsi"/>
        </w:rPr>
        <w:tab/>
        <w:t>C = 65 – 70%</w:t>
      </w:r>
      <w:r>
        <w:rPr>
          <w:rFonts w:asciiTheme="majorHAnsi" w:hAnsiTheme="majorHAnsi"/>
        </w:rPr>
        <w:tab/>
      </w:r>
      <w:r>
        <w:rPr>
          <w:rFonts w:asciiTheme="majorHAnsi" w:hAnsiTheme="majorHAnsi"/>
        </w:rPr>
        <w:tab/>
        <w:t>D = 50 -55</w:t>
      </w:r>
      <w:r w:rsidR="00767E13" w:rsidRPr="005F70A5">
        <w:rPr>
          <w:rFonts w:asciiTheme="majorHAnsi" w:hAnsiTheme="majorHAnsi"/>
        </w:rPr>
        <w:t>%</w:t>
      </w:r>
    </w:p>
    <w:p w:rsidR="00E60865" w:rsidRPr="005F70A5" w:rsidRDefault="004A35CC" w:rsidP="00943BEE">
      <w:pPr>
        <w:tabs>
          <w:tab w:val="left" w:pos="-1440"/>
        </w:tabs>
        <w:rPr>
          <w:rFonts w:asciiTheme="majorHAnsi" w:hAnsiTheme="majorHAnsi"/>
        </w:rPr>
      </w:pPr>
      <w:r>
        <w:rPr>
          <w:rFonts w:asciiTheme="majorHAnsi" w:hAnsiTheme="majorHAnsi"/>
        </w:rPr>
        <w:t>B- = 75</w:t>
      </w:r>
      <w:r w:rsidR="00976EB2">
        <w:rPr>
          <w:rFonts w:asciiTheme="majorHAnsi" w:hAnsiTheme="majorHAnsi"/>
        </w:rPr>
        <w:t xml:space="preserve"> – 78</w:t>
      </w:r>
      <w:r w:rsidR="00E60865" w:rsidRPr="005F70A5">
        <w:rPr>
          <w:rFonts w:asciiTheme="majorHAnsi" w:hAnsiTheme="majorHAnsi"/>
        </w:rPr>
        <w:t>%</w:t>
      </w:r>
      <w:r>
        <w:rPr>
          <w:rFonts w:asciiTheme="majorHAnsi" w:hAnsiTheme="majorHAnsi"/>
        </w:rPr>
        <w:tab/>
      </w:r>
      <w:r>
        <w:rPr>
          <w:rFonts w:asciiTheme="majorHAnsi" w:hAnsiTheme="majorHAnsi"/>
        </w:rPr>
        <w:tab/>
        <w:t>C- = 60 – 65%</w:t>
      </w:r>
      <w:r>
        <w:rPr>
          <w:rFonts w:asciiTheme="majorHAnsi" w:hAnsiTheme="majorHAnsi"/>
        </w:rPr>
        <w:tab/>
      </w:r>
      <w:r>
        <w:rPr>
          <w:rFonts w:asciiTheme="majorHAnsi" w:hAnsiTheme="majorHAnsi"/>
        </w:rPr>
        <w:tab/>
        <w:t>F = &lt;50</w:t>
      </w:r>
      <w:r w:rsidR="00767E13" w:rsidRPr="005F70A5">
        <w:rPr>
          <w:rFonts w:asciiTheme="majorHAnsi" w:hAnsiTheme="majorHAnsi"/>
        </w:rPr>
        <w:t>%</w:t>
      </w:r>
    </w:p>
    <w:p w:rsidR="003026AF" w:rsidRPr="005F70A5" w:rsidRDefault="003026AF" w:rsidP="003F58E1">
      <w:pPr>
        <w:tabs>
          <w:tab w:val="left" w:pos="-1440"/>
        </w:tabs>
        <w:rPr>
          <w:rFonts w:asciiTheme="majorHAnsi" w:hAnsiTheme="majorHAnsi"/>
        </w:rPr>
      </w:pPr>
    </w:p>
    <w:p w:rsidR="00D67ADA" w:rsidRDefault="00A8171C" w:rsidP="00D67ADA">
      <w:pPr>
        <w:tabs>
          <w:tab w:val="left" w:pos="-1440"/>
        </w:tabs>
        <w:rPr>
          <w:rFonts w:asciiTheme="majorHAnsi" w:hAnsiTheme="majorHAnsi"/>
          <w:b/>
        </w:rPr>
      </w:pPr>
      <w:r w:rsidRPr="005F70A5">
        <w:rPr>
          <w:rFonts w:asciiTheme="majorHAnsi" w:hAnsiTheme="majorHAnsi"/>
          <w:b/>
        </w:rPr>
        <w:t>Course Policy:</w:t>
      </w:r>
    </w:p>
    <w:p w:rsidR="00D67ADA" w:rsidRPr="00D67ADA" w:rsidRDefault="00D67ADA" w:rsidP="00D67ADA">
      <w:pPr>
        <w:tabs>
          <w:tab w:val="left" w:pos="-1440"/>
        </w:tabs>
        <w:ind w:firstLine="360"/>
        <w:rPr>
          <w:rFonts w:asciiTheme="majorHAnsi" w:hAnsiTheme="majorHAnsi"/>
          <w:b/>
        </w:rPr>
      </w:pPr>
      <w:r w:rsidRPr="00D67ADA">
        <w:rPr>
          <w:rFonts w:asciiTheme="majorHAnsi" w:hAnsiTheme="majorHAnsi"/>
        </w:rPr>
        <w:t xml:space="preserve">A Desire2Learn (D2L) site for this course is available. All announcement, lecture notes, and </w:t>
      </w:r>
      <w:r w:rsidR="00A775EE">
        <w:rPr>
          <w:rFonts w:asciiTheme="majorHAnsi" w:hAnsiTheme="majorHAnsi"/>
        </w:rPr>
        <w:t>PowerPoint slides</w:t>
      </w:r>
      <w:r w:rsidRPr="00D67ADA">
        <w:rPr>
          <w:rFonts w:asciiTheme="majorHAnsi" w:hAnsiTheme="majorHAnsi"/>
        </w:rPr>
        <w:t xml:space="preserve"> will be posted here.</w:t>
      </w:r>
    </w:p>
    <w:p w:rsidR="00781779" w:rsidRDefault="00781779" w:rsidP="003F58E1">
      <w:pPr>
        <w:tabs>
          <w:tab w:val="left" w:pos="-1440"/>
        </w:tabs>
        <w:ind w:firstLine="360"/>
        <w:rPr>
          <w:rFonts w:asciiTheme="majorHAnsi" w:hAnsiTheme="majorHAnsi"/>
        </w:rPr>
      </w:pPr>
    </w:p>
    <w:p w:rsidR="00776489" w:rsidRPr="005F70A5" w:rsidRDefault="00776489" w:rsidP="003F58E1">
      <w:pPr>
        <w:tabs>
          <w:tab w:val="left" w:pos="-1440"/>
        </w:tabs>
        <w:ind w:firstLine="360"/>
        <w:rPr>
          <w:rFonts w:asciiTheme="majorHAnsi" w:hAnsiTheme="majorHAnsi"/>
        </w:rPr>
      </w:pPr>
      <w:r w:rsidRPr="005F70A5">
        <w:rPr>
          <w:rFonts w:asciiTheme="majorHAnsi" w:hAnsiTheme="majorHAnsi"/>
        </w:rPr>
        <w:t xml:space="preserve">Classroom – Unless you are a medical or public safety personnel who is on-call during the class period, please switch off your pagers and cell phones. Any distractive behavior of the classroom will be reported and result in potential penalization. </w:t>
      </w:r>
      <w:r w:rsidRPr="00161F1C">
        <w:rPr>
          <w:rFonts w:asciiTheme="majorHAnsi" w:hAnsiTheme="majorHAnsi"/>
        </w:rPr>
        <w:t xml:space="preserve">No electronic items (cell phones, </w:t>
      </w:r>
      <w:r w:rsidRPr="00161F1C">
        <w:rPr>
          <w:rFonts w:asciiTheme="majorHAnsi" w:hAnsiTheme="majorHAnsi"/>
        </w:rPr>
        <w:lastRenderedPageBreak/>
        <w:t>iPods, etc.) other than simple non-programmable calculators w</w:t>
      </w:r>
      <w:r w:rsidRPr="005F70A5">
        <w:rPr>
          <w:rFonts w:asciiTheme="majorHAnsi" w:hAnsiTheme="majorHAnsi"/>
        </w:rPr>
        <w:t xml:space="preserve">ill be allowed during exams. No hats and sunglasses are allowed during exams. </w:t>
      </w:r>
    </w:p>
    <w:p w:rsidR="00781779" w:rsidRDefault="00781779" w:rsidP="003F58E1">
      <w:pPr>
        <w:tabs>
          <w:tab w:val="left" w:pos="-1440"/>
        </w:tabs>
        <w:ind w:firstLine="360"/>
        <w:rPr>
          <w:rFonts w:asciiTheme="majorHAnsi" w:hAnsiTheme="majorHAnsi"/>
        </w:rPr>
      </w:pPr>
    </w:p>
    <w:p w:rsidR="00776489" w:rsidRPr="005F70A5" w:rsidRDefault="00776489" w:rsidP="003F58E1">
      <w:pPr>
        <w:tabs>
          <w:tab w:val="left" w:pos="-1440"/>
        </w:tabs>
        <w:ind w:firstLine="360"/>
        <w:rPr>
          <w:rFonts w:asciiTheme="majorHAnsi" w:hAnsiTheme="majorHAnsi"/>
        </w:rPr>
      </w:pPr>
      <w:r w:rsidRPr="005F70A5">
        <w:rPr>
          <w:rFonts w:asciiTheme="majorHAnsi" w:hAnsiTheme="majorHAnsi"/>
        </w:rPr>
        <w:t>Make up –</w:t>
      </w:r>
      <w:r w:rsidR="00792E55" w:rsidRPr="005F70A5">
        <w:rPr>
          <w:rFonts w:asciiTheme="majorHAnsi" w:hAnsiTheme="majorHAnsi"/>
        </w:rPr>
        <w:t xml:space="preserve"> </w:t>
      </w:r>
      <w:r w:rsidRPr="005F70A5">
        <w:rPr>
          <w:rFonts w:asciiTheme="majorHAnsi" w:hAnsiTheme="majorHAnsi"/>
        </w:rPr>
        <w:t xml:space="preserve">There </w:t>
      </w:r>
      <w:r w:rsidR="00161F1C">
        <w:rPr>
          <w:rFonts w:asciiTheme="majorHAnsi" w:hAnsiTheme="majorHAnsi"/>
        </w:rPr>
        <w:t>are</w:t>
      </w:r>
      <w:r w:rsidRPr="005F70A5">
        <w:rPr>
          <w:rFonts w:asciiTheme="majorHAnsi" w:hAnsiTheme="majorHAnsi"/>
        </w:rPr>
        <w:t xml:space="preserve"> </w:t>
      </w:r>
      <w:r w:rsidRPr="00161F1C">
        <w:rPr>
          <w:rFonts w:asciiTheme="majorHAnsi" w:hAnsiTheme="majorHAnsi"/>
        </w:rPr>
        <w:t xml:space="preserve">no </w:t>
      </w:r>
      <w:r w:rsidRPr="005F70A5">
        <w:rPr>
          <w:rFonts w:asciiTheme="majorHAnsi" w:hAnsiTheme="majorHAnsi"/>
        </w:rPr>
        <w:t>make-up exams except for University sponsored activities. Arrangements should be made w</w:t>
      </w:r>
      <w:r w:rsidR="00792E55" w:rsidRPr="005F70A5">
        <w:rPr>
          <w:rFonts w:asciiTheme="majorHAnsi" w:hAnsiTheme="majorHAnsi"/>
        </w:rPr>
        <w:t>ith the instructor in advance</w:t>
      </w:r>
      <w:r w:rsidRPr="005F70A5">
        <w:rPr>
          <w:rFonts w:asciiTheme="majorHAnsi" w:hAnsiTheme="majorHAnsi"/>
        </w:rPr>
        <w:t>.</w:t>
      </w:r>
    </w:p>
    <w:p w:rsidR="00781779" w:rsidRDefault="00781779" w:rsidP="003F58E1">
      <w:pPr>
        <w:tabs>
          <w:tab w:val="left" w:pos="-1440"/>
        </w:tabs>
        <w:ind w:firstLine="360"/>
        <w:rPr>
          <w:rFonts w:asciiTheme="majorHAnsi" w:hAnsiTheme="majorHAnsi"/>
        </w:rPr>
      </w:pPr>
    </w:p>
    <w:p w:rsidR="00776489" w:rsidRPr="005F70A5" w:rsidRDefault="00776489" w:rsidP="003F58E1">
      <w:pPr>
        <w:tabs>
          <w:tab w:val="left" w:pos="-1440"/>
        </w:tabs>
        <w:ind w:firstLine="360"/>
        <w:rPr>
          <w:rFonts w:asciiTheme="majorHAnsi" w:hAnsiTheme="majorHAnsi"/>
        </w:rPr>
      </w:pPr>
      <w:r w:rsidRPr="005F70A5">
        <w:rPr>
          <w:rFonts w:asciiTheme="majorHAnsi" w:hAnsiTheme="majorHAnsi"/>
        </w:rPr>
        <w:t>Academic Honesty – Cheating in class, labs and exams is a serious offence and will not be tolerated. ETSU student handbook: “Academic misconduct will be subject to disciplinary action. Any act of dishonesty in academic work constitutes academic misconduct. This includes plagiarism, the changing or falsifying of any academic documents or materials, cheating, and the giving or receiving of unauthorized aid in tests, examinations, or other assigned school work. Penalties for academic misconduct will vary with the seriousness of the offense and may include, but are not limited to: a grade of F on the work in question, a grade of F for the course, reprimand, probation, suspension, and expulsion. For a second academic offense the penalty is permanent expulsion.”</w:t>
      </w:r>
    </w:p>
    <w:p w:rsidR="00781779" w:rsidRDefault="00781779" w:rsidP="003F58E1">
      <w:pPr>
        <w:tabs>
          <w:tab w:val="left" w:pos="-1440"/>
        </w:tabs>
        <w:ind w:firstLine="360"/>
        <w:rPr>
          <w:rFonts w:asciiTheme="majorHAnsi" w:hAnsiTheme="majorHAnsi"/>
        </w:rPr>
      </w:pPr>
    </w:p>
    <w:p w:rsidR="006000D5" w:rsidRDefault="00776489" w:rsidP="00943BEE">
      <w:pPr>
        <w:tabs>
          <w:tab w:val="left" w:pos="-1440"/>
        </w:tabs>
        <w:ind w:firstLine="360"/>
        <w:rPr>
          <w:rFonts w:asciiTheme="majorHAnsi" w:hAnsiTheme="majorHAnsi"/>
          <w:bCs/>
          <w:i/>
          <w:sz w:val="20"/>
          <w:szCs w:val="20"/>
        </w:rPr>
      </w:pPr>
      <w:r w:rsidRPr="005F70A5">
        <w:rPr>
          <w:rFonts w:asciiTheme="majorHAnsi" w:hAnsiTheme="majorHAnsi"/>
        </w:rPr>
        <w:t>Special Needs – If you need any academic accommodations such as test-taking or note-taking because of a disability, medical situation or other situations, please come and discuss it with the instructor.</w:t>
      </w:r>
      <w:r w:rsidR="00943BEE">
        <w:rPr>
          <w:rFonts w:asciiTheme="majorHAnsi" w:hAnsiTheme="majorHAnsi"/>
          <w:bCs/>
          <w:i/>
          <w:sz w:val="20"/>
          <w:szCs w:val="20"/>
        </w:rPr>
        <w:t xml:space="preserve"> </w:t>
      </w:r>
    </w:p>
    <w:p w:rsidR="006000D5" w:rsidRDefault="006000D5" w:rsidP="00260492">
      <w:pPr>
        <w:ind w:firstLine="360"/>
        <w:jc w:val="right"/>
        <w:rPr>
          <w:rFonts w:asciiTheme="majorHAnsi" w:hAnsiTheme="majorHAnsi"/>
          <w:bCs/>
          <w:i/>
          <w:sz w:val="20"/>
          <w:szCs w:val="20"/>
        </w:rPr>
      </w:pPr>
    </w:p>
    <w:sectPr w:rsidR="006000D5" w:rsidSect="00161F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F84" w:rsidRDefault="00AB6F84" w:rsidP="00D46C17">
      <w:r>
        <w:separator/>
      </w:r>
    </w:p>
  </w:endnote>
  <w:endnote w:type="continuationSeparator" w:id="0">
    <w:p w:rsidR="00AB6F84" w:rsidRDefault="00AB6F84" w:rsidP="00D4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F1C" w:rsidRPr="00161F1C" w:rsidRDefault="00161F1C">
    <w:pPr>
      <w:pStyle w:val="Footer"/>
      <w:rPr>
        <w:rFonts w:ascii="Arial" w:hAnsi="Arial" w:cs="Arial"/>
        <w:sz w:val="16"/>
        <w:szCs w:val="16"/>
      </w:rPr>
    </w:pPr>
    <w:r w:rsidRPr="00161F1C">
      <w:rPr>
        <w:rFonts w:ascii="Arial" w:hAnsi="Arial" w:cs="Arial"/>
        <w:sz w:val="16"/>
        <w:szCs w:val="16"/>
      </w:rPr>
      <w:t>Revised:  November 4, 2009</w:t>
    </w:r>
  </w:p>
  <w:p w:rsidR="00161F1C" w:rsidRDefault="00161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F84" w:rsidRDefault="00AB6F84" w:rsidP="00D46C17">
      <w:r>
        <w:separator/>
      </w:r>
    </w:p>
  </w:footnote>
  <w:footnote w:type="continuationSeparator" w:id="0">
    <w:p w:rsidR="00AB6F84" w:rsidRDefault="00AB6F84" w:rsidP="00D46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hybridMultilevel"/>
    <w:tmpl w:val="BE5EB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005492"/>
    <w:multiLevelType w:val="hybridMultilevel"/>
    <w:tmpl w:val="512A3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3F5A0F"/>
    <w:multiLevelType w:val="hybridMultilevel"/>
    <w:tmpl w:val="9542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D3F3A"/>
    <w:multiLevelType w:val="hybridMultilevel"/>
    <w:tmpl w:val="9FEC8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52C6421"/>
    <w:multiLevelType w:val="hybridMultilevel"/>
    <w:tmpl w:val="456EE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C636DD"/>
    <w:multiLevelType w:val="hybridMultilevel"/>
    <w:tmpl w:val="14C29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C9F"/>
    <w:rsid w:val="00005C18"/>
    <w:rsid w:val="00031940"/>
    <w:rsid w:val="00043F82"/>
    <w:rsid w:val="00081CF8"/>
    <w:rsid w:val="000A449A"/>
    <w:rsid w:val="000A479B"/>
    <w:rsid w:val="000A65CD"/>
    <w:rsid w:val="000A7455"/>
    <w:rsid w:val="000B5C33"/>
    <w:rsid w:val="00101F7C"/>
    <w:rsid w:val="00114861"/>
    <w:rsid w:val="00152F06"/>
    <w:rsid w:val="00161F1C"/>
    <w:rsid w:val="0019583E"/>
    <w:rsid w:val="001B4041"/>
    <w:rsid w:val="001B4B1E"/>
    <w:rsid w:val="001C5DE6"/>
    <w:rsid w:val="002112E2"/>
    <w:rsid w:val="0023032E"/>
    <w:rsid w:val="00230A67"/>
    <w:rsid w:val="00236329"/>
    <w:rsid w:val="0025049E"/>
    <w:rsid w:val="002507A3"/>
    <w:rsid w:val="00260492"/>
    <w:rsid w:val="00266D59"/>
    <w:rsid w:val="00270B7C"/>
    <w:rsid w:val="00275BBA"/>
    <w:rsid w:val="002A07D0"/>
    <w:rsid w:val="002C4073"/>
    <w:rsid w:val="002E07B5"/>
    <w:rsid w:val="002E50BC"/>
    <w:rsid w:val="002F2E38"/>
    <w:rsid w:val="003026AF"/>
    <w:rsid w:val="003120EB"/>
    <w:rsid w:val="00312E62"/>
    <w:rsid w:val="00316C10"/>
    <w:rsid w:val="0032567C"/>
    <w:rsid w:val="00335B1E"/>
    <w:rsid w:val="00353EE9"/>
    <w:rsid w:val="00381A96"/>
    <w:rsid w:val="0039118B"/>
    <w:rsid w:val="003B2468"/>
    <w:rsid w:val="003D0FE8"/>
    <w:rsid w:val="003E4EBC"/>
    <w:rsid w:val="003F53ED"/>
    <w:rsid w:val="003F58E1"/>
    <w:rsid w:val="003F5BF7"/>
    <w:rsid w:val="00404FFC"/>
    <w:rsid w:val="00405435"/>
    <w:rsid w:val="0044581A"/>
    <w:rsid w:val="00464216"/>
    <w:rsid w:val="004724B9"/>
    <w:rsid w:val="004726C9"/>
    <w:rsid w:val="004A35CC"/>
    <w:rsid w:val="004A4835"/>
    <w:rsid w:val="004A6E0A"/>
    <w:rsid w:val="004D4C18"/>
    <w:rsid w:val="00505070"/>
    <w:rsid w:val="0050770F"/>
    <w:rsid w:val="00552B9F"/>
    <w:rsid w:val="005562B6"/>
    <w:rsid w:val="005846FB"/>
    <w:rsid w:val="00595D3F"/>
    <w:rsid w:val="005A0542"/>
    <w:rsid w:val="005B24F1"/>
    <w:rsid w:val="005B2E8A"/>
    <w:rsid w:val="005D4057"/>
    <w:rsid w:val="005D6A17"/>
    <w:rsid w:val="005F554B"/>
    <w:rsid w:val="005F70A5"/>
    <w:rsid w:val="006000D5"/>
    <w:rsid w:val="00610DAD"/>
    <w:rsid w:val="00617B9E"/>
    <w:rsid w:val="0062056F"/>
    <w:rsid w:val="00625A57"/>
    <w:rsid w:val="006306A9"/>
    <w:rsid w:val="0063564B"/>
    <w:rsid w:val="00644651"/>
    <w:rsid w:val="00650041"/>
    <w:rsid w:val="006528EB"/>
    <w:rsid w:val="006569EC"/>
    <w:rsid w:val="006636B2"/>
    <w:rsid w:val="00664C88"/>
    <w:rsid w:val="00682C2D"/>
    <w:rsid w:val="006B16F7"/>
    <w:rsid w:val="006C24DC"/>
    <w:rsid w:val="006D36E8"/>
    <w:rsid w:val="006D584A"/>
    <w:rsid w:val="006E0258"/>
    <w:rsid w:val="006E401C"/>
    <w:rsid w:val="006F202D"/>
    <w:rsid w:val="006F2E55"/>
    <w:rsid w:val="006F6DED"/>
    <w:rsid w:val="007026D6"/>
    <w:rsid w:val="0070578B"/>
    <w:rsid w:val="00727D0E"/>
    <w:rsid w:val="00732EDE"/>
    <w:rsid w:val="0074134B"/>
    <w:rsid w:val="00750487"/>
    <w:rsid w:val="00766C76"/>
    <w:rsid w:val="00767E13"/>
    <w:rsid w:val="00776489"/>
    <w:rsid w:val="00781779"/>
    <w:rsid w:val="00792E55"/>
    <w:rsid w:val="00810CFA"/>
    <w:rsid w:val="00816C47"/>
    <w:rsid w:val="008263B6"/>
    <w:rsid w:val="00835666"/>
    <w:rsid w:val="008429F5"/>
    <w:rsid w:val="00881198"/>
    <w:rsid w:val="008D1F86"/>
    <w:rsid w:val="008D54B5"/>
    <w:rsid w:val="00910C9F"/>
    <w:rsid w:val="00913B07"/>
    <w:rsid w:val="009147D7"/>
    <w:rsid w:val="0093040E"/>
    <w:rsid w:val="0093767D"/>
    <w:rsid w:val="00943BEE"/>
    <w:rsid w:val="00944B95"/>
    <w:rsid w:val="00976EB2"/>
    <w:rsid w:val="009770F8"/>
    <w:rsid w:val="00982009"/>
    <w:rsid w:val="009A4F3B"/>
    <w:rsid w:val="009B5471"/>
    <w:rsid w:val="009C606E"/>
    <w:rsid w:val="00A0155D"/>
    <w:rsid w:val="00A116A4"/>
    <w:rsid w:val="00A16655"/>
    <w:rsid w:val="00A21216"/>
    <w:rsid w:val="00A21508"/>
    <w:rsid w:val="00A417DA"/>
    <w:rsid w:val="00A42D0B"/>
    <w:rsid w:val="00A67824"/>
    <w:rsid w:val="00A775EE"/>
    <w:rsid w:val="00A7784A"/>
    <w:rsid w:val="00A8171C"/>
    <w:rsid w:val="00A93E90"/>
    <w:rsid w:val="00AB0ADD"/>
    <w:rsid w:val="00AB6F84"/>
    <w:rsid w:val="00B14513"/>
    <w:rsid w:val="00B21927"/>
    <w:rsid w:val="00B30207"/>
    <w:rsid w:val="00B31DCD"/>
    <w:rsid w:val="00B4123D"/>
    <w:rsid w:val="00B51170"/>
    <w:rsid w:val="00B740E2"/>
    <w:rsid w:val="00B75774"/>
    <w:rsid w:val="00B83293"/>
    <w:rsid w:val="00B84895"/>
    <w:rsid w:val="00B86C69"/>
    <w:rsid w:val="00B906C1"/>
    <w:rsid w:val="00B9228F"/>
    <w:rsid w:val="00BA2920"/>
    <w:rsid w:val="00C015AD"/>
    <w:rsid w:val="00C20DAD"/>
    <w:rsid w:val="00C22233"/>
    <w:rsid w:val="00C36564"/>
    <w:rsid w:val="00C5453A"/>
    <w:rsid w:val="00C65B01"/>
    <w:rsid w:val="00C70298"/>
    <w:rsid w:val="00C702E4"/>
    <w:rsid w:val="00C7326F"/>
    <w:rsid w:val="00C73AA1"/>
    <w:rsid w:val="00C7535F"/>
    <w:rsid w:val="00C92B61"/>
    <w:rsid w:val="00C92BE2"/>
    <w:rsid w:val="00C9404D"/>
    <w:rsid w:val="00CC1E99"/>
    <w:rsid w:val="00CD7066"/>
    <w:rsid w:val="00CF2D26"/>
    <w:rsid w:val="00CF60D6"/>
    <w:rsid w:val="00D36AD9"/>
    <w:rsid w:val="00D45B17"/>
    <w:rsid w:val="00D46C17"/>
    <w:rsid w:val="00D51D82"/>
    <w:rsid w:val="00D537E0"/>
    <w:rsid w:val="00D67ADA"/>
    <w:rsid w:val="00D732A2"/>
    <w:rsid w:val="00D81F8F"/>
    <w:rsid w:val="00D8474A"/>
    <w:rsid w:val="00DA544A"/>
    <w:rsid w:val="00DC108E"/>
    <w:rsid w:val="00DC5AE9"/>
    <w:rsid w:val="00DE7BB3"/>
    <w:rsid w:val="00DF6F3E"/>
    <w:rsid w:val="00E00883"/>
    <w:rsid w:val="00E04914"/>
    <w:rsid w:val="00E070F0"/>
    <w:rsid w:val="00E13876"/>
    <w:rsid w:val="00E23091"/>
    <w:rsid w:val="00E309B7"/>
    <w:rsid w:val="00E37B52"/>
    <w:rsid w:val="00E47746"/>
    <w:rsid w:val="00E60865"/>
    <w:rsid w:val="00E72031"/>
    <w:rsid w:val="00E972F4"/>
    <w:rsid w:val="00EA391F"/>
    <w:rsid w:val="00EC0942"/>
    <w:rsid w:val="00ED1689"/>
    <w:rsid w:val="00EE5500"/>
    <w:rsid w:val="00F11F88"/>
    <w:rsid w:val="00F22B71"/>
    <w:rsid w:val="00F30D7A"/>
    <w:rsid w:val="00F331E2"/>
    <w:rsid w:val="00F37722"/>
    <w:rsid w:val="00F52216"/>
    <w:rsid w:val="00F55594"/>
    <w:rsid w:val="00FA2105"/>
    <w:rsid w:val="00FA643D"/>
    <w:rsid w:val="00FB093E"/>
    <w:rsid w:val="00FB30E4"/>
    <w:rsid w:val="00FC168E"/>
    <w:rsid w:val="00FC623B"/>
    <w:rsid w:val="00FD3B6B"/>
    <w:rsid w:val="00FE3B4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6FE454-3DF1-4261-8DCC-4324D173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DA"/>
  </w:style>
  <w:style w:type="paragraph" w:styleId="Heading1">
    <w:name w:val="heading 1"/>
    <w:basedOn w:val="Normal"/>
    <w:link w:val="Heading1Char"/>
    <w:uiPriority w:val="9"/>
    <w:qFormat/>
    <w:rsid w:val="00944B95"/>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C9F"/>
    <w:rPr>
      <w:color w:val="0000FF" w:themeColor="hyperlink"/>
      <w:u w:val="single"/>
    </w:rPr>
  </w:style>
  <w:style w:type="character" w:styleId="FollowedHyperlink">
    <w:name w:val="FollowedHyperlink"/>
    <w:basedOn w:val="DefaultParagraphFont"/>
    <w:rsid w:val="00F55594"/>
    <w:rPr>
      <w:color w:val="800080" w:themeColor="followedHyperlink"/>
      <w:u w:val="single"/>
    </w:rPr>
  </w:style>
  <w:style w:type="paragraph" w:styleId="ListParagraph">
    <w:name w:val="List Paragraph"/>
    <w:basedOn w:val="Normal"/>
    <w:rsid w:val="00F52216"/>
    <w:pPr>
      <w:ind w:left="720"/>
      <w:contextualSpacing/>
    </w:pPr>
  </w:style>
  <w:style w:type="table" w:styleId="TableGrid">
    <w:name w:val="Table Grid"/>
    <w:basedOn w:val="TableNormal"/>
    <w:rsid w:val="003D0F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D46C17"/>
    <w:pPr>
      <w:tabs>
        <w:tab w:val="center" w:pos="4320"/>
        <w:tab w:val="right" w:pos="8640"/>
      </w:tabs>
    </w:pPr>
  </w:style>
  <w:style w:type="character" w:customStyle="1" w:styleId="HeaderChar">
    <w:name w:val="Header Char"/>
    <w:basedOn w:val="DefaultParagraphFont"/>
    <w:link w:val="Header"/>
    <w:rsid w:val="00D46C17"/>
  </w:style>
  <w:style w:type="paragraph" w:styleId="Footer">
    <w:name w:val="footer"/>
    <w:basedOn w:val="Normal"/>
    <w:link w:val="FooterChar"/>
    <w:uiPriority w:val="99"/>
    <w:rsid w:val="00D46C17"/>
    <w:pPr>
      <w:tabs>
        <w:tab w:val="center" w:pos="4320"/>
        <w:tab w:val="right" w:pos="8640"/>
      </w:tabs>
    </w:pPr>
  </w:style>
  <w:style w:type="character" w:customStyle="1" w:styleId="FooterChar">
    <w:name w:val="Footer Char"/>
    <w:basedOn w:val="DefaultParagraphFont"/>
    <w:link w:val="Footer"/>
    <w:uiPriority w:val="99"/>
    <w:rsid w:val="00D46C17"/>
  </w:style>
  <w:style w:type="character" w:customStyle="1" w:styleId="Heading1Char">
    <w:name w:val="Heading 1 Char"/>
    <w:basedOn w:val="DefaultParagraphFont"/>
    <w:link w:val="Heading1"/>
    <w:uiPriority w:val="9"/>
    <w:rsid w:val="00944B95"/>
    <w:rPr>
      <w:rFonts w:ascii="Times New Roman" w:eastAsia="Times New Roman" w:hAnsi="Times New Roman" w:cs="Times New Roman"/>
      <w:b/>
      <w:bCs/>
      <w:kern w:val="36"/>
      <w:sz w:val="48"/>
      <w:szCs w:val="48"/>
      <w:lang w:eastAsia="zh-CN"/>
    </w:rPr>
  </w:style>
  <w:style w:type="paragraph" w:styleId="BalloonText">
    <w:name w:val="Balloon Text"/>
    <w:basedOn w:val="Normal"/>
    <w:link w:val="BalloonTextChar"/>
    <w:rsid w:val="00161F1C"/>
    <w:rPr>
      <w:rFonts w:ascii="Tahoma" w:hAnsi="Tahoma" w:cs="Tahoma"/>
      <w:sz w:val="16"/>
      <w:szCs w:val="16"/>
    </w:rPr>
  </w:style>
  <w:style w:type="character" w:customStyle="1" w:styleId="BalloonTextChar">
    <w:name w:val="Balloon Text Char"/>
    <w:basedOn w:val="DefaultParagraphFont"/>
    <w:link w:val="BalloonText"/>
    <w:rsid w:val="00161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77238">
      <w:bodyDiv w:val="1"/>
      <w:marLeft w:val="0"/>
      <w:marRight w:val="0"/>
      <w:marTop w:val="0"/>
      <w:marBottom w:val="0"/>
      <w:divBdr>
        <w:top w:val="none" w:sz="0" w:space="0" w:color="auto"/>
        <w:left w:val="none" w:sz="0" w:space="0" w:color="auto"/>
        <w:bottom w:val="none" w:sz="0" w:space="0" w:color="auto"/>
        <w:right w:val="none" w:sz="0" w:space="0" w:color="auto"/>
      </w:divBdr>
      <w:divsChild>
        <w:div w:id="315649196">
          <w:marLeft w:val="0"/>
          <w:marRight w:val="0"/>
          <w:marTop w:val="0"/>
          <w:marBottom w:val="0"/>
          <w:divBdr>
            <w:top w:val="none" w:sz="0" w:space="0" w:color="auto"/>
            <w:left w:val="none" w:sz="0" w:space="0" w:color="auto"/>
            <w:bottom w:val="none" w:sz="0" w:space="0" w:color="auto"/>
            <w:right w:val="none" w:sz="0" w:space="0" w:color="auto"/>
          </w:divBdr>
          <w:divsChild>
            <w:div w:id="16253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6474">
      <w:bodyDiv w:val="1"/>
      <w:marLeft w:val="0"/>
      <w:marRight w:val="0"/>
      <w:marTop w:val="0"/>
      <w:marBottom w:val="0"/>
      <w:divBdr>
        <w:top w:val="none" w:sz="0" w:space="0" w:color="auto"/>
        <w:left w:val="none" w:sz="0" w:space="0" w:color="auto"/>
        <w:bottom w:val="none" w:sz="0" w:space="0" w:color="auto"/>
        <w:right w:val="none" w:sz="0" w:space="0" w:color="auto"/>
      </w:divBdr>
      <w:divsChild>
        <w:div w:id="1444836722">
          <w:marLeft w:val="0"/>
          <w:marRight w:val="0"/>
          <w:marTop w:val="0"/>
          <w:marBottom w:val="0"/>
          <w:divBdr>
            <w:top w:val="none" w:sz="0" w:space="0" w:color="auto"/>
            <w:left w:val="none" w:sz="0" w:space="0" w:color="auto"/>
            <w:bottom w:val="none" w:sz="0" w:space="0" w:color="auto"/>
            <w:right w:val="none" w:sz="0" w:space="0" w:color="auto"/>
          </w:divBdr>
          <w:divsChild>
            <w:div w:id="1889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6938">
      <w:bodyDiv w:val="1"/>
      <w:marLeft w:val="0"/>
      <w:marRight w:val="0"/>
      <w:marTop w:val="0"/>
      <w:marBottom w:val="0"/>
      <w:divBdr>
        <w:top w:val="none" w:sz="0" w:space="0" w:color="auto"/>
        <w:left w:val="none" w:sz="0" w:space="0" w:color="auto"/>
        <w:bottom w:val="none" w:sz="0" w:space="0" w:color="auto"/>
        <w:right w:val="none" w:sz="0" w:space="0" w:color="auto"/>
      </w:divBdr>
      <w:divsChild>
        <w:div w:id="1729065892">
          <w:marLeft w:val="0"/>
          <w:marRight w:val="0"/>
          <w:marTop w:val="0"/>
          <w:marBottom w:val="0"/>
          <w:divBdr>
            <w:top w:val="none" w:sz="0" w:space="0" w:color="auto"/>
            <w:left w:val="none" w:sz="0" w:space="0" w:color="auto"/>
            <w:bottom w:val="none" w:sz="0" w:space="0" w:color="auto"/>
            <w:right w:val="none" w:sz="0" w:space="0" w:color="auto"/>
          </w:divBdr>
          <w:divsChild>
            <w:div w:id="13961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8173">
      <w:bodyDiv w:val="1"/>
      <w:marLeft w:val="0"/>
      <w:marRight w:val="0"/>
      <w:marTop w:val="0"/>
      <w:marBottom w:val="0"/>
      <w:divBdr>
        <w:top w:val="none" w:sz="0" w:space="0" w:color="auto"/>
        <w:left w:val="none" w:sz="0" w:space="0" w:color="auto"/>
        <w:bottom w:val="none" w:sz="0" w:space="0" w:color="auto"/>
        <w:right w:val="none" w:sz="0" w:space="0" w:color="auto"/>
      </w:divBdr>
      <w:divsChild>
        <w:div w:id="1795517344">
          <w:marLeft w:val="0"/>
          <w:marRight w:val="0"/>
          <w:marTop w:val="0"/>
          <w:marBottom w:val="0"/>
          <w:divBdr>
            <w:top w:val="none" w:sz="0" w:space="0" w:color="auto"/>
            <w:left w:val="none" w:sz="0" w:space="0" w:color="auto"/>
            <w:bottom w:val="none" w:sz="0" w:space="0" w:color="auto"/>
            <w:right w:val="none" w:sz="0" w:space="0" w:color="auto"/>
          </w:divBdr>
          <w:divsChild>
            <w:div w:id="20422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7FCD9-8A13-4741-A8EF-07FA9940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Zhao</dc:creator>
  <cp:keywords/>
  <cp:lastModifiedBy>Ginger</cp:lastModifiedBy>
  <cp:revision>3</cp:revision>
  <dcterms:created xsi:type="dcterms:W3CDTF">2014-12-06T23:30:00Z</dcterms:created>
  <dcterms:modified xsi:type="dcterms:W3CDTF">2014-12-08T02:47:00Z</dcterms:modified>
</cp:coreProperties>
</file>