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png" ContentType="image/png"/>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757" w:right="0" w:firstLine="0"/>
        <w:rPr>
          <w:sz w:val="20"/>
        </w:rPr>
      </w:pPr>
      <w:r>
        <w:rPr>
          <w:sz w:val="20"/>
        </w:rPr>
        <w:drawing>
          <wp:inline distT="0" distB="0" distL="0" distR="0">
            <wp:extent cx="6172200" cy="3629025"/>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6172200" cy="3629025"/>
                    </a:xfrm>
                    <a:prstGeom prst="rect">
                      <a:avLst/>
                    </a:prstGeom>
                  </pic:spPr>
                </pic:pic>
              </a:graphicData>
            </a:graphic>
          </wp:inline>
        </w:drawing>
      </w:r>
      <w:r>
        <w:rPr>
          <w:sz w:val="20"/>
        </w:rPr>
      </w:r>
    </w:p>
    <w:p>
      <w:pPr>
        <w:pStyle w:val="BodyText"/>
        <w:spacing w:before="23"/>
        <w:rPr>
          <w:sz w:val="32"/>
        </w:rPr>
      </w:pPr>
    </w:p>
    <w:p>
      <w:pPr>
        <w:pStyle w:val="Heading1"/>
        <w:spacing w:line="408" w:lineRule="auto" w:before="0"/>
        <w:ind w:left="3266" w:right="4225"/>
        <w:jc w:val="center"/>
      </w:pPr>
      <w:r>
        <w:rPr/>
        <w:t>Appalachian</w:t>
      </w:r>
      <w:r>
        <w:rPr>
          <w:spacing w:val="-15"/>
        </w:rPr>
        <w:t> </w:t>
      </w:r>
      <w:r>
        <w:rPr/>
        <w:t>State</w:t>
      </w:r>
      <w:r>
        <w:rPr>
          <w:spacing w:val="-15"/>
        </w:rPr>
        <w:t> </w:t>
      </w:r>
      <w:r>
        <w:rPr/>
        <w:t>University Walker College of Business</w:t>
      </w:r>
    </w:p>
    <w:p>
      <w:pPr>
        <w:spacing w:before="2"/>
        <w:ind w:left="0" w:right="764" w:firstLine="0"/>
        <w:jc w:val="center"/>
        <w:rPr>
          <w:b/>
          <w:sz w:val="32"/>
        </w:rPr>
      </w:pPr>
      <w:r>
        <w:rPr>
          <w:b/>
          <w:sz w:val="32"/>
        </w:rPr>
        <w:t>April</w:t>
      </w:r>
      <w:r>
        <w:rPr>
          <w:b/>
          <w:spacing w:val="-5"/>
          <w:sz w:val="32"/>
        </w:rPr>
        <w:t> </w:t>
      </w:r>
      <w:r>
        <w:rPr>
          <w:b/>
          <w:sz w:val="32"/>
        </w:rPr>
        <w:t>16-17,</w:t>
      </w:r>
      <w:r>
        <w:rPr>
          <w:b/>
          <w:spacing w:val="-4"/>
          <w:sz w:val="32"/>
        </w:rPr>
        <w:t> 2026</w:t>
      </w:r>
    </w:p>
    <w:p>
      <w:pPr>
        <w:pStyle w:val="BodyText"/>
        <w:rPr>
          <w:b/>
          <w:sz w:val="20"/>
        </w:rPr>
      </w:pPr>
    </w:p>
    <w:p>
      <w:pPr>
        <w:pStyle w:val="BodyText"/>
        <w:rPr>
          <w:b/>
          <w:sz w:val="20"/>
        </w:rPr>
      </w:pPr>
    </w:p>
    <w:p>
      <w:pPr>
        <w:pStyle w:val="BodyText"/>
        <w:rPr>
          <w:b/>
          <w:sz w:val="20"/>
        </w:rPr>
      </w:pPr>
    </w:p>
    <w:p>
      <w:pPr>
        <w:pStyle w:val="BodyText"/>
        <w:spacing w:before="67"/>
        <w:rPr>
          <w:b/>
          <w:sz w:val="20"/>
        </w:rPr>
      </w:pPr>
      <w:r>
        <w:rPr>
          <w:b/>
          <w:sz w:val="20"/>
        </w:rPr>
        <w:drawing>
          <wp:anchor distT="0" distB="0" distL="0" distR="0" allowOverlap="1" layoutInCell="1" locked="0" behindDoc="1" simplePos="0" relativeHeight="487587840">
            <wp:simplePos x="0" y="0"/>
            <wp:positionH relativeFrom="page">
              <wp:posOffset>2600846</wp:posOffset>
            </wp:positionH>
            <wp:positionV relativeFrom="paragraph">
              <wp:posOffset>204242</wp:posOffset>
            </wp:positionV>
            <wp:extent cx="2837461" cy="2929699"/>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2837461" cy="2929699"/>
                    </a:xfrm>
                    <a:prstGeom prst="rect">
                      <a:avLst/>
                    </a:prstGeom>
                  </pic:spPr>
                </pic:pic>
              </a:graphicData>
            </a:graphic>
          </wp:anchor>
        </w:drawing>
      </w:r>
    </w:p>
    <w:p>
      <w:pPr>
        <w:pStyle w:val="BodyText"/>
        <w:spacing w:after="0"/>
        <w:rPr>
          <w:b/>
          <w:sz w:val="20"/>
        </w:rPr>
        <w:sectPr>
          <w:type w:val="continuous"/>
          <w:pgSz w:w="12240" w:h="15840"/>
          <w:pgMar w:top="740" w:bottom="280" w:left="720" w:right="0"/>
        </w:sectPr>
      </w:pPr>
    </w:p>
    <w:p>
      <w:pPr>
        <w:pStyle w:val="Heading1"/>
        <w:spacing w:before="67"/>
      </w:pPr>
      <w:bookmarkStart w:name="Preface  " w:id="1"/>
      <w:bookmarkEnd w:id="1"/>
      <w:r>
        <w:rPr>
          <w:b w:val="0"/>
        </w:rPr>
      </w:r>
      <w:bookmarkStart w:name="h.wizv7kupagf0" w:id="2"/>
      <w:bookmarkEnd w:id="2"/>
      <w:r>
        <w:rPr>
          <w:b w:val="0"/>
        </w:rPr>
      </w:r>
      <w:r>
        <w:rPr>
          <w:spacing w:val="-2"/>
        </w:rPr>
        <w:t>Preface</w:t>
      </w:r>
    </w:p>
    <w:p>
      <w:pPr>
        <w:pStyle w:val="BodyText"/>
        <w:spacing w:before="97"/>
        <w:rPr>
          <w:b/>
          <w:sz w:val="32"/>
        </w:rPr>
      </w:pPr>
    </w:p>
    <w:p>
      <w:pPr>
        <w:pStyle w:val="BodyText"/>
        <w:ind w:left="1286" w:right="1961" w:firstLine="15"/>
        <w:jc w:val="both"/>
      </w:pPr>
      <w:r>
        <w:rPr/>
        <w:t>It is our pleasure to present</w:t>
      </w:r>
      <w:r>
        <w:rPr>
          <w:spacing w:val="-3"/>
        </w:rPr>
        <w:t> </w:t>
      </w:r>
      <w:r>
        <w:rPr/>
        <w:t>the</w:t>
      </w:r>
      <w:r>
        <w:rPr>
          <w:spacing w:val="-3"/>
        </w:rPr>
        <w:t> </w:t>
      </w:r>
      <w:r>
        <w:rPr/>
        <w:t>Proceedings</w:t>
      </w:r>
      <w:r>
        <w:rPr>
          <w:spacing w:val="-3"/>
        </w:rPr>
        <w:t> </w:t>
      </w:r>
      <w:r>
        <w:rPr/>
        <w:t>of</w:t>
      </w:r>
      <w:r>
        <w:rPr>
          <w:spacing w:val="-3"/>
        </w:rPr>
        <w:t> </w:t>
      </w:r>
      <w:r>
        <w:rPr/>
        <w:t>the</w:t>
      </w:r>
      <w:r>
        <w:rPr>
          <w:spacing w:val="-3"/>
        </w:rPr>
        <w:t> </w:t>
      </w:r>
      <w:r>
        <w:rPr/>
        <w:t>Appalachian</w:t>
      </w:r>
      <w:r>
        <w:rPr>
          <w:spacing w:val="-3"/>
        </w:rPr>
        <w:t> </w:t>
      </w:r>
      <w:r>
        <w:rPr/>
        <w:t>Research</w:t>
      </w:r>
      <w:r>
        <w:rPr>
          <w:spacing w:val="-3"/>
        </w:rPr>
        <w:t> </w:t>
      </w:r>
      <w:r>
        <w:rPr/>
        <w:t>in</w:t>
      </w:r>
      <w:r>
        <w:rPr>
          <w:spacing w:val="-3"/>
        </w:rPr>
        <w:t> </w:t>
      </w:r>
      <w:r>
        <w:rPr/>
        <w:t>Business Symposium at the 2026 conference. The conference was held on April 16-17, 2026, hosted by the Walker College of Business at Appalachian State University. The Appalachian Research in Business Symposium provides a venue for presenting new research, discovering contemporary ideas, and building connections among scholars</w:t>
      </w:r>
      <w:r>
        <w:rPr>
          <w:spacing w:val="40"/>
        </w:rPr>
        <w:t> </w:t>
      </w:r>
      <w:r>
        <w:rPr/>
        <w:t>at Appalachian State University, Eastern Ken tucky University, East Tennessee State University, Marshall University, Radford University, and Western Carolina University.</w:t>
      </w:r>
      <w:r>
        <w:rPr>
          <w:spacing w:val="-2"/>
        </w:rPr>
        <w:t> </w:t>
      </w:r>
      <w:r>
        <w:rPr/>
        <w:t>This</w:t>
      </w:r>
      <w:r>
        <w:rPr>
          <w:spacing w:val="-1"/>
        </w:rPr>
        <w:t> </w:t>
      </w:r>
      <w:r>
        <w:rPr/>
        <w:t>year</w:t>
      </w:r>
      <w:r>
        <w:rPr>
          <w:spacing w:val="-2"/>
        </w:rPr>
        <w:t> </w:t>
      </w:r>
      <w:r>
        <w:rPr/>
        <w:t>we</w:t>
      </w:r>
      <w:r>
        <w:rPr>
          <w:spacing w:val="-1"/>
        </w:rPr>
        <w:t> </w:t>
      </w:r>
      <w:r>
        <w:rPr/>
        <w:t>also</w:t>
      </w:r>
      <w:r>
        <w:rPr>
          <w:spacing w:val="-2"/>
        </w:rPr>
        <w:t> </w:t>
      </w:r>
      <w:r>
        <w:rPr/>
        <w:t>had</w:t>
      </w:r>
      <w:r>
        <w:rPr>
          <w:spacing w:val="-1"/>
        </w:rPr>
        <w:t> </w:t>
      </w:r>
      <w:r>
        <w:rPr/>
        <w:t>guest</w:t>
      </w:r>
      <w:r>
        <w:rPr>
          <w:spacing w:val="-2"/>
        </w:rPr>
        <w:t> </w:t>
      </w:r>
      <w:r>
        <w:rPr/>
        <w:t>participation</w:t>
      </w:r>
      <w:r>
        <w:rPr>
          <w:spacing w:val="-1"/>
        </w:rPr>
        <w:t> </w:t>
      </w:r>
      <w:r>
        <w:rPr/>
        <w:t>from</w:t>
      </w:r>
      <w:r>
        <w:rPr>
          <w:spacing w:val="-2"/>
        </w:rPr>
        <w:t> </w:t>
      </w:r>
      <w:r>
        <w:rPr/>
        <w:t>Morehead</w:t>
      </w:r>
      <w:r>
        <w:rPr>
          <w:spacing w:val="-1"/>
        </w:rPr>
        <w:t> </w:t>
      </w:r>
      <w:r>
        <w:rPr/>
        <w:t>State</w:t>
      </w:r>
      <w:r>
        <w:rPr>
          <w:spacing w:val="-1"/>
        </w:rPr>
        <w:t> </w:t>
      </w:r>
      <w:r>
        <w:rPr>
          <w:spacing w:val="-2"/>
        </w:rPr>
        <w:t>University.</w:t>
      </w:r>
    </w:p>
    <w:p>
      <w:pPr>
        <w:pStyle w:val="Heading1"/>
        <w:spacing w:before="238"/>
      </w:pPr>
      <w:r>
        <w:rPr>
          <w:spacing w:val="-2"/>
        </w:rPr>
        <w:t>Acknowledgements:</w:t>
      </w:r>
    </w:p>
    <w:p>
      <w:pPr>
        <w:pStyle w:val="BodyText"/>
        <w:spacing w:before="247"/>
        <w:ind w:left="1286" w:right="1992" w:firstLine="15"/>
        <w:jc w:val="both"/>
      </w:pPr>
      <w:r>
        <w:rPr/>
        <w:t>The Conference Committee for the 2026 Appalachian Research in Business Symposium wishes to extend our gratitude to all authors, presenters, </w:t>
      </w:r>
      <w:r>
        <w:rPr/>
        <w:t>conference contributors, exhibitors, and volunteers for their time and effort in service to the symposium. We would like to thank this year’s sponsors: Fifth Third Bank, Quacquarelli Symonds (QS), Southbridge Access, Booneshine Brewery and Peabody’s Wine and Beer Merchants. We are grateful to Amy Hu</w:t>
      </w:r>
      <w:r>
        <w:rPr>
          <w:spacing w:val="-6"/>
        </w:rPr>
        <w:t> </w:t>
      </w:r>
      <w:r>
        <w:rPr/>
        <w:t>and</w:t>
      </w:r>
      <w:r>
        <w:rPr>
          <w:spacing w:val="-6"/>
        </w:rPr>
        <w:t> </w:t>
      </w:r>
      <w:r>
        <w:rPr/>
        <w:t>Herman</w:t>
      </w:r>
      <w:r>
        <w:rPr>
          <w:spacing w:val="-6"/>
        </w:rPr>
        <w:t> </w:t>
      </w:r>
      <w:r>
        <w:rPr/>
        <w:t>Huus for their assistance preparing the Proceedings. The symposium program and proceedings were organized this year using the EasyChair conference platform.</w:t>
      </w:r>
    </w:p>
    <w:p>
      <w:pPr>
        <w:pStyle w:val="BodyText"/>
        <w:spacing w:before="102"/>
      </w:pPr>
    </w:p>
    <w:p>
      <w:pPr>
        <w:pStyle w:val="BodyText"/>
        <w:tabs>
          <w:tab w:pos="6479" w:val="left" w:leader="none"/>
        </w:tabs>
        <w:ind w:right="2440"/>
        <w:jc w:val="right"/>
      </w:pPr>
      <w:r>
        <w:rPr/>
        <w:t>May 7, </w:t>
      </w:r>
      <w:r>
        <w:rPr>
          <w:spacing w:val="-4"/>
        </w:rPr>
        <w:t>2026</w:t>
      </w:r>
      <w:r>
        <w:rPr/>
        <w:tab/>
      </w:r>
      <w:r>
        <w:rPr>
          <w:spacing w:val="-2"/>
        </w:rPr>
        <w:t>Tanga</w:t>
      </w:r>
      <w:r>
        <w:rPr>
          <w:spacing w:val="-9"/>
        </w:rPr>
        <w:t> </w:t>
      </w:r>
      <w:r>
        <w:rPr>
          <w:spacing w:val="-4"/>
        </w:rPr>
        <w:t>Mohr</w:t>
      </w:r>
    </w:p>
    <w:p>
      <w:pPr>
        <w:pStyle w:val="BodyText"/>
        <w:spacing w:before="97"/>
        <w:ind w:right="2422"/>
        <w:jc w:val="right"/>
      </w:pPr>
      <w:r>
        <w:rPr/>
        <w:t>Jason </w:t>
      </w:r>
      <w:r>
        <w:rPr>
          <w:spacing w:val="-2"/>
        </w:rPr>
        <w:t>Xiong</w:t>
      </w:r>
    </w:p>
    <w:p>
      <w:pPr>
        <w:pStyle w:val="BodyText"/>
        <w:spacing w:after="0"/>
        <w:jc w:val="right"/>
        <w:sectPr>
          <w:footerReference w:type="default" r:id="rId7"/>
          <w:pgSz w:w="12240" w:h="15840"/>
          <w:pgMar w:header="0" w:footer="726" w:top="640" w:bottom="920" w:left="720" w:right="0"/>
          <w:pgNumType w:start="1"/>
        </w:sectPr>
      </w:pPr>
    </w:p>
    <w:p>
      <w:pPr>
        <w:pStyle w:val="Heading1"/>
      </w:pPr>
      <w:bookmarkStart w:name="Program Committee  " w:id="3"/>
      <w:bookmarkEnd w:id="3"/>
      <w:r>
        <w:rPr>
          <w:b w:val="0"/>
        </w:rPr>
      </w:r>
      <w:bookmarkStart w:name="h.qqve1jgpr10d" w:id="4"/>
      <w:bookmarkEnd w:id="4"/>
      <w:r>
        <w:rPr>
          <w:b w:val="0"/>
        </w:rPr>
      </w:r>
      <w:r>
        <w:rPr/>
        <w:t>Program</w:t>
      </w:r>
      <w:r>
        <w:rPr>
          <w:spacing w:val="-12"/>
        </w:rPr>
        <w:t> </w:t>
      </w:r>
      <w:r>
        <w:rPr>
          <w:spacing w:val="-2"/>
        </w:rPr>
        <w:t>Committee</w:t>
      </w:r>
    </w:p>
    <w:p>
      <w:pPr>
        <w:pStyle w:val="BodyText"/>
        <w:spacing w:before="294"/>
        <w:rPr>
          <w:b/>
          <w:sz w:val="32"/>
        </w:rPr>
      </w:pPr>
    </w:p>
    <w:p>
      <w:pPr>
        <w:pStyle w:val="BodyText"/>
        <w:tabs>
          <w:tab w:pos="4301" w:val="left" w:leader="none"/>
        </w:tabs>
        <w:spacing w:line="244" w:lineRule="auto"/>
        <w:ind w:left="1421" w:right="4147"/>
      </w:pPr>
      <w:r>
        <w:rPr/>
        <w:t>Prasun Bhattacharjee</w:t>
        <w:tab/>
        <w:t>East</w:t>
      </w:r>
      <w:r>
        <w:rPr>
          <w:spacing w:val="-15"/>
        </w:rPr>
        <w:t> </w:t>
      </w:r>
      <w:r>
        <w:rPr/>
        <w:t>Tennessee</w:t>
      </w:r>
      <w:r>
        <w:rPr>
          <w:spacing w:val="-15"/>
        </w:rPr>
        <w:t> </w:t>
      </w:r>
      <w:r>
        <w:rPr/>
        <w:t>State</w:t>
      </w:r>
      <w:r>
        <w:rPr>
          <w:spacing w:val="-15"/>
        </w:rPr>
        <w:t> </w:t>
      </w:r>
      <w:r>
        <w:rPr/>
        <w:t>University Ethan Cheng</w:t>
        <w:tab/>
        <w:t>Western Carolina University</w:t>
      </w:r>
    </w:p>
    <w:p>
      <w:pPr>
        <w:pStyle w:val="BodyText"/>
        <w:tabs>
          <w:tab w:pos="4301" w:val="left" w:leader="none"/>
        </w:tabs>
        <w:spacing w:before="2"/>
        <w:ind w:left="1421"/>
      </w:pPr>
      <w:r>
        <w:rPr/>
        <w:t>Zachary </w:t>
      </w:r>
      <w:r>
        <w:rPr>
          <w:spacing w:val="-2"/>
        </w:rPr>
        <w:t>Collier</w:t>
      </w:r>
      <w:r>
        <w:rPr/>
        <w:tab/>
        <w:t>Radford </w:t>
      </w:r>
      <w:r>
        <w:rPr>
          <w:spacing w:val="-2"/>
        </w:rPr>
        <w:t>University</w:t>
      </w:r>
    </w:p>
    <w:p>
      <w:pPr>
        <w:pStyle w:val="BodyText"/>
        <w:tabs>
          <w:tab w:pos="4301" w:val="left" w:leader="none"/>
        </w:tabs>
        <w:spacing w:before="7"/>
        <w:ind w:left="1421"/>
      </w:pPr>
      <w:r>
        <w:rPr/>
        <w:t>Julia </w:t>
      </w:r>
      <w:r>
        <w:rPr>
          <w:spacing w:val="-2"/>
        </w:rPr>
        <w:t>Graham</w:t>
      </w:r>
      <w:r>
        <w:rPr/>
        <w:tab/>
        <w:t>Eastern Kentucky </w:t>
      </w:r>
      <w:r>
        <w:rPr>
          <w:spacing w:val="-2"/>
        </w:rPr>
        <w:t>University</w:t>
      </w:r>
    </w:p>
    <w:p>
      <w:pPr>
        <w:pStyle w:val="BodyText"/>
        <w:tabs>
          <w:tab w:pos="4301" w:val="left" w:leader="none"/>
        </w:tabs>
        <w:spacing w:before="6"/>
        <w:ind w:left="1421"/>
      </w:pPr>
      <w:r>
        <w:rPr>
          <w:spacing w:val="-2"/>
        </w:rPr>
        <w:t>Tanga</w:t>
      </w:r>
      <w:r>
        <w:rPr>
          <w:spacing w:val="-7"/>
        </w:rPr>
        <w:t> </w:t>
      </w:r>
      <w:r>
        <w:rPr>
          <w:spacing w:val="-4"/>
        </w:rPr>
        <w:t>Mohr</w:t>
      </w:r>
      <w:r>
        <w:rPr/>
        <w:tab/>
        <w:t>Appalachian State </w:t>
      </w:r>
      <w:r>
        <w:rPr>
          <w:spacing w:val="-2"/>
        </w:rPr>
        <w:t>University</w:t>
      </w:r>
    </w:p>
    <w:p>
      <w:pPr>
        <w:pStyle w:val="BodyText"/>
        <w:tabs>
          <w:tab w:pos="4301" w:val="left" w:leader="none"/>
        </w:tabs>
        <w:spacing w:before="7"/>
        <w:ind w:left="1421"/>
      </w:pPr>
      <w:r>
        <w:rPr/>
        <w:t>Jason </w:t>
      </w:r>
      <w:r>
        <w:rPr>
          <w:spacing w:val="-2"/>
        </w:rPr>
        <w:t>Xiong</w:t>
      </w:r>
      <w:r>
        <w:rPr/>
        <w:tab/>
        <w:t>Appalachian State </w:t>
      </w:r>
      <w:r>
        <w:rPr>
          <w:spacing w:val="-2"/>
        </w:rPr>
        <w:t>University</w:t>
      </w:r>
    </w:p>
    <w:p>
      <w:pPr>
        <w:pStyle w:val="BodyText"/>
        <w:tabs>
          <w:tab w:pos="4301" w:val="left" w:leader="none"/>
        </w:tabs>
        <w:spacing w:before="6"/>
        <w:ind w:left="1421"/>
      </w:pPr>
      <w:r>
        <w:rPr/>
        <w:t>Boniface </w:t>
      </w:r>
      <w:r>
        <w:rPr>
          <w:spacing w:val="-2"/>
        </w:rPr>
        <w:t>Yemba</w:t>
      </w:r>
      <w:r>
        <w:rPr/>
        <w:tab/>
        <w:t>Marshall </w:t>
      </w:r>
      <w:r>
        <w:rPr>
          <w:spacing w:val="-2"/>
        </w:rPr>
        <w:t>University</w:t>
      </w:r>
    </w:p>
    <w:p>
      <w:pPr>
        <w:pStyle w:val="BodyText"/>
        <w:spacing w:after="0"/>
        <w:sectPr>
          <w:pgSz w:w="12240" w:h="15840"/>
          <w:pgMar w:header="0" w:footer="726" w:top="640" w:bottom="960" w:left="720" w:right="0"/>
        </w:sectPr>
      </w:pPr>
    </w:p>
    <w:p>
      <w:pPr>
        <w:pStyle w:val="Heading1"/>
      </w:pPr>
      <w:bookmarkStart w:name="Additional Reviewers " w:id="5"/>
      <w:bookmarkEnd w:id="5"/>
      <w:r>
        <w:rPr>
          <w:b w:val="0"/>
        </w:rPr>
      </w:r>
      <w:bookmarkStart w:name="h.y7uhvmci5yi4" w:id="6"/>
      <w:bookmarkEnd w:id="6"/>
      <w:r>
        <w:rPr>
          <w:b w:val="0"/>
        </w:rPr>
      </w:r>
      <w:r>
        <w:rPr/>
        <w:t>Additional</w:t>
      </w:r>
      <w:r>
        <w:rPr>
          <w:spacing w:val="-10"/>
        </w:rPr>
        <w:t> </w:t>
      </w:r>
      <w:r>
        <w:rPr>
          <w:spacing w:val="-2"/>
        </w:rPr>
        <w:t>Reviewers</w:t>
      </w:r>
    </w:p>
    <w:p>
      <w:pPr>
        <w:pStyle w:val="BodyText"/>
        <w:spacing w:before="134"/>
        <w:rPr>
          <w:b/>
          <w:sz w:val="20"/>
        </w:rPr>
      </w:pPr>
    </w:p>
    <w:p>
      <w:pPr>
        <w:pStyle w:val="BodyText"/>
        <w:spacing w:after="0"/>
        <w:rPr>
          <w:b/>
          <w:sz w:val="20"/>
        </w:rPr>
        <w:sectPr>
          <w:pgSz w:w="12240" w:h="15840"/>
          <w:pgMar w:header="0" w:footer="726" w:top="640" w:bottom="960" w:left="720" w:right="0"/>
        </w:sectPr>
      </w:pPr>
    </w:p>
    <w:p>
      <w:pPr>
        <w:pStyle w:val="BodyText"/>
        <w:spacing w:line="244" w:lineRule="auto" w:before="90"/>
        <w:ind w:left="1514" w:right="522"/>
      </w:pPr>
      <w:r>
        <w:rPr/>
        <w:t>Alavi, Jafar Albinsson,</w:t>
      </w:r>
      <w:r>
        <w:rPr>
          <w:spacing w:val="-15"/>
        </w:rPr>
        <w:t> </w:t>
      </w:r>
      <w:r>
        <w:rPr/>
        <w:t>Pia</w:t>
      </w:r>
      <w:r>
        <w:rPr>
          <w:spacing w:val="-15"/>
        </w:rPr>
        <w:t> </w:t>
      </w:r>
      <w:r>
        <w:rPr/>
        <w:t>A.</w:t>
      </w:r>
    </w:p>
    <w:p>
      <w:pPr>
        <w:pStyle w:val="BodyText"/>
        <w:spacing w:line="244" w:lineRule="auto" w:before="241"/>
        <w:ind w:left="1514" w:right="62"/>
      </w:pPr>
      <w:r>
        <w:rPr/>
        <w:t>Berg, Gary Bhattacharjee, Prasun Biermeier-Hanson,</w:t>
      </w:r>
      <w:r>
        <w:rPr>
          <w:spacing w:val="-15"/>
        </w:rPr>
        <w:t> </w:t>
      </w:r>
      <w:r>
        <w:rPr/>
        <w:t>Ben</w:t>
      </w:r>
    </w:p>
    <w:p>
      <w:pPr>
        <w:pStyle w:val="BodyText"/>
        <w:spacing w:line="244" w:lineRule="auto" w:before="242"/>
        <w:ind w:left="1514" w:right="522"/>
      </w:pPr>
      <w:r>
        <w:rPr/>
        <w:t>Cheng, Ethan </w:t>
      </w:r>
      <w:r>
        <w:rPr>
          <w:spacing w:val="-2"/>
        </w:rPr>
        <w:t>Cokeley,</w:t>
      </w:r>
      <w:r>
        <w:rPr>
          <w:spacing w:val="-13"/>
        </w:rPr>
        <w:t> </w:t>
      </w:r>
      <w:r>
        <w:rPr>
          <w:spacing w:val="-2"/>
        </w:rPr>
        <w:t>Emily</w:t>
      </w:r>
    </w:p>
    <w:p>
      <w:pPr>
        <w:pStyle w:val="BodyText"/>
        <w:spacing w:line="244" w:lineRule="auto" w:before="241"/>
        <w:ind w:left="1514" w:right="722"/>
      </w:pPr>
      <w:r>
        <w:rPr/>
        <w:t>Dai, Anna Dogan, Can </w:t>
      </w:r>
      <w:r>
        <w:rPr>
          <w:spacing w:val="-2"/>
        </w:rPr>
        <w:t>Dushi,</w:t>
      </w:r>
      <w:r>
        <w:rPr>
          <w:spacing w:val="-13"/>
        </w:rPr>
        <w:t> </w:t>
      </w:r>
      <w:r>
        <w:rPr>
          <w:spacing w:val="-2"/>
        </w:rPr>
        <w:t>Vilson</w:t>
      </w:r>
    </w:p>
    <w:p>
      <w:pPr>
        <w:pStyle w:val="BodyText"/>
        <w:spacing w:line="244" w:lineRule="auto" w:before="243"/>
        <w:ind w:left="1514"/>
      </w:pPr>
      <w:r>
        <w:rPr/>
        <w:t>Easterling,</w:t>
      </w:r>
      <w:r>
        <w:rPr>
          <w:spacing w:val="-15"/>
        </w:rPr>
        <w:t> </w:t>
      </w:r>
      <w:r>
        <w:rPr/>
        <w:t>James</w:t>
      </w:r>
      <w:r>
        <w:rPr>
          <w:spacing w:val="-15"/>
        </w:rPr>
        <w:t> </w:t>
      </w:r>
      <w:r>
        <w:rPr/>
        <w:t>Kirby Elias, Jennifer</w:t>
      </w:r>
    </w:p>
    <w:p>
      <w:pPr>
        <w:pStyle w:val="BodyText"/>
        <w:spacing w:line="244" w:lineRule="auto" w:before="241"/>
        <w:ind w:left="1514" w:right="522"/>
      </w:pPr>
      <w:r>
        <w:rPr/>
        <w:t>Fender, Paige Freeman,</w:t>
      </w:r>
      <w:r>
        <w:rPr>
          <w:spacing w:val="-15"/>
        </w:rPr>
        <w:t> </w:t>
      </w:r>
      <w:r>
        <w:rPr/>
        <w:t>Michelle Fu, Wei</w:t>
      </w:r>
    </w:p>
    <w:p>
      <w:pPr>
        <w:pStyle w:val="BodyText"/>
        <w:spacing w:line="244" w:lineRule="auto" w:before="242"/>
        <w:ind w:left="1514" w:right="655"/>
      </w:pPr>
      <w:r>
        <w:rPr/>
        <w:t>Gao, Siwei Giordano,</w:t>
      </w:r>
      <w:r>
        <w:rPr>
          <w:spacing w:val="-15"/>
        </w:rPr>
        <w:t> </w:t>
      </w:r>
      <w:r>
        <w:rPr/>
        <w:t>Joseph Graham, Julia</w:t>
      </w:r>
    </w:p>
    <w:p>
      <w:pPr>
        <w:pStyle w:val="BodyText"/>
        <w:spacing w:line="244" w:lineRule="auto" w:before="242"/>
        <w:ind w:left="1514" w:right="722"/>
      </w:pPr>
      <w:r>
        <w:rPr/>
        <w:t>Hall, Kelly Henderson,</w:t>
      </w:r>
      <w:r>
        <w:rPr>
          <w:spacing w:val="-15"/>
        </w:rPr>
        <w:t> </w:t>
      </w:r>
      <w:r>
        <w:rPr/>
        <w:t>Dale Hilton, Bryson</w:t>
      </w:r>
    </w:p>
    <w:p>
      <w:pPr>
        <w:pStyle w:val="BodyText"/>
        <w:spacing w:before="96"/>
        <w:ind w:left="1514"/>
      </w:pPr>
      <w:r>
        <w:rPr/>
        <w:br w:type="column"/>
      </w:r>
      <w:r>
        <w:rPr/>
        <w:t>Hobbs,</w:t>
      </w:r>
      <w:r>
        <w:rPr>
          <w:spacing w:val="-2"/>
        </w:rPr>
        <w:t> Jeffrey</w:t>
      </w:r>
    </w:p>
    <w:p>
      <w:pPr>
        <w:pStyle w:val="BodyText"/>
        <w:spacing w:before="246"/>
        <w:ind w:left="1514"/>
      </w:pPr>
      <w:r>
        <w:rPr/>
        <w:t>Ince, </w:t>
      </w:r>
      <w:r>
        <w:rPr>
          <w:spacing w:val="-4"/>
        </w:rPr>
        <w:t>Onur</w:t>
      </w:r>
    </w:p>
    <w:p>
      <w:pPr>
        <w:pStyle w:val="BodyText"/>
        <w:spacing w:line="244" w:lineRule="auto" w:before="246"/>
        <w:ind w:left="1514" w:right="4272"/>
      </w:pPr>
      <w:r>
        <w:rPr/>
        <w:t>Jenkins,</w:t>
      </w:r>
      <w:r>
        <w:rPr>
          <w:spacing w:val="-15"/>
        </w:rPr>
        <w:t> </w:t>
      </w:r>
      <w:r>
        <w:rPr/>
        <w:t>Matthew Jurich, Stephen</w:t>
      </w:r>
    </w:p>
    <w:p>
      <w:pPr>
        <w:pStyle w:val="BodyText"/>
        <w:spacing w:line="244" w:lineRule="auto" w:before="241"/>
        <w:ind w:left="1514" w:right="3913"/>
      </w:pPr>
      <w:r>
        <w:rPr>
          <w:spacing w:val="-2"/>
        </w:rPr>
        <w:t>McKinney,</w:t>
      </w:r>
      <w:r>
        <w:rPr>
          <w:spacing w:val="-13"/>
        </w:rPr>
        <w:t> </w:t>
      </w:r>
      <w:r>
        <w:rPr>
          <w:spacing w:val="-2"/>
        </w:rPr>
        <w:t>Michael </w:t>
      </w:r>
      <w:r>
        <w:rPr/>
        <w:t>Moore, Tom</w:t>
      </w:r>
    </w:p>
    <w:p>
      <w:pPr>
        <w:pStyle w:val="BodyText"/>
        <w:spacing w:line="244" w:lineRule="auto" w:before="241"/>
        <w:ind w:left="1514" w:right="4499"/>
      </w:pPr>
      <w:r>
        <w:rPr/>
        <w:t>Rader, Scott Rice, Macie Robles,</w:t>
      </w:r>
      <w:r>
        <w:rPr>
          <w:spacing w:val="-15"/>
        </w:rPr>
        <w:t> </w:t>
      </w:r>
      <w:r>
        <w:rPr/>
        <w:t>Marcel</w:t>
      </w:r>
    </w:p>
    <w:p>
      <w:pPr>
        <w:pStyle w:val="BodyText"/>
        <w:spacing w:line="244" w:lineRule="auto" w:before="242"/>
        <w:ind w:left="1514" w:right="3913"/>
      </w:pPr>
      <w:r>
        <w:rPr/>
        <w:t>Shackelford,</w:t>
      </w:r>
      <w:r>
        <w:rPr>
          <w:spacing w:val="-15"/>
        </w:rPr>
        <w:t> </w:t>
      </w:r>
      <w:r>
        <w:rPr/>
        <w:t>Stephen Shao, Liang Shemwell, Donald</w:t>
      </w:r>
    </w:p>
    <w:p>
      <w:pPr>
        <w:pStyle w:val="BodyText"/>
        <w:spacing w:line="453" w:lineRule="auto" w:before="273"/>
        <w:ind w:left="1514" w:right="2604"/>
      </w:pPr>
      <w:r>
        <w:rPr/>
        <w:t>Steidle,</w:t>
      </w:r>
      <w:r>
        <w:rPr>
          <w:spacing w:val="-13"/>
        </w:rPr>
        <w:t> </w:t>
      </w:r>
      <w:r>
        <w:rPr/>
        <w:t>Samantha</w:t>
      </w:r>
      <w:r>
        <w:rPr>
          <w:spacing w:val="-13"/>
        </w:rPr>
        <w:t> </w:t>
      </w:r>
      <w:r>
        <w:rPr/>
        <w:t>Su,</w:t>
      </w:r>
      <w:r>
        <w:rPr>
          <w:spacing w:val="-13"/>
        </w:rPr>
        <w:t> </w:t>
      </w:r>
      <w:r>
        <w:rPr/>
        <w:t>Lixun Traian, Anca</w:t>
      </w:r>
    </w:p>
    <w:p>
      <w:pPr>
        <w:pStyle w:val="BodyText"/>
        <w:spacing w:line="244" w:lineRule="auto"/>
        <w:ind w:left="1514" w:right="2604"/>
      </w:pPr>
      <w:r>
        <w:rPr>
          <w:spacing w:val="-2"/>
        </w:rPr>
        <w:t>Walkowiak,</w:t>
      </w:r>
      <w:r>
        <w:rPr>
          <w:spacing w:val="-11"/>
        </w:rPr>
        <w:t> </w:t>
      </w:r>
      <w:r>
        <w:rPr>
          <w:spacing w:val="-2"/>
        </w:rPr>
        <w:t>Travis</w:t>
      </w:r>
      <w:r>
        <w:rPr>
          <w:spacing w:val="-11"/>
        </w:rPr>
        <w:t> </w:t>
      </w:r>
      <w:r>
        <w:rPr>
          <w:spacing w:val="-2"/>
        </w:rPr>
        <w:t>Warren,</w:t>
      </w:r>
      <w:r>
        <w:rPr>
          <w:spacing w:val="-11"/>
        </w:rPr>
        <w:t> </w:t>
      </w:r>
      <w:r>
        <w:rPr>
          <w:spacing w:val="-2"/>
        </w:rPr>
        <w:t>Rob </w:t>
      </w:r>
      <w:r>
        <w:rPr/>
        <w:t>Wilson, Kristen Wilson, Son</w:t>
      </w:r>
    </w:p>
    <w:p>
      <w:pPr>
        <w:pStyle w:val="BodyText"/>
        <w:spacing w:line="244" w:lineRule="auto" w:before="241"/>
        <w:ind w:left="1514" w:right="4939"/>
      </w:pPr>
      <w:r>
        <w:rPr/>
        <w:t>Xie,</w:t>
      </w:r>
      <w:r>
        <w:rPr>
          <w:spacing w:val="-15"/>
        </w:rPr>
        <w:t> </w:t>
      </w:r>
      <w:r>
        <w:rPr/>
        <w:t>Jessie Xie, Wei</w:t>
      </w:r>
    </w:p>
    <w:p>
      <w:pPr>
        <w:pStyle w:val="BodyText"/>
        <w:spacing w:before="241"/>
        <w:ind w:left="1514"/>
      </w:pPr>
      <w:r>
        <w:rPr/>
        <w:t>Yemba,</w:t>
      </w:r>
      <w:r>
        <w:rPr>
          <w:spacing w:val="-13"/>
        </w:rPr>
        <w:t> </w:t>
      </w:r>
      <w:r>
        <w:rPr/>
        <w:t>Boniface</w:t>
      </w:r>
      <w:r>
        <w:rPr>
          <w:spacing w:val="-13"/>
        </w:rPr>
        <w:t> </w:t>
      </w:r>
      <w:r>
        <w:rPr/>
        <w:t>Yim,</w:t>
      </w:r>
      <w:r>
        <w:rPr>
          <w:spacing w:val="-13"/>
        </w:rPr>
        <w:t> </w:t>
      </w:r>
      <w:r>
        <w:rPr>
          <w:spacing w:val="-2"/>
        </w:rPr>
        <w:t>Alexis</w:t>
      </w:r>
    </w:p>
    <w:p>
      <w:pPr>
        <w:pStyle w:val="BodyText"/>
        <w:spacing w:after="0"/>
        <w:sectPr>
          <w:type w:val="continuous"/>
          <w:pgSz w:w="12240" w:h="15840"/>
          <w:pgMar w:header="0" w:footer="726" w:top="740" w:bottom="280" w:left="720" w:right="0"/>
          <w:cols w:num="2" w:equalWidth="0">
            <w:col w:w="3854" w:space="181"/>
            <w:col w:w="7485"/>
          </w:cols>
        </w:sectPr>
      </w:pPr>
    </w:p>
    <w:p>
      <w:pPr>
        <w:pStyle w:val="Heading3"/>
        <w:ind w:left="701" w:right="0"/>
        <w:jc w:val="left"/>
      </w:pPr>
      <w:bookmarkStart w:name="Table of Contents  " w:id="7"/>
      <w:bookmarkEnd w:id="7"/>
      <w:r>
        <w:rPr>
          <w:b w:val="0"/>
        </w:rPr>
      </w:r>
      <w:bookmarkStart w:name="h.o40s5ysev0rb" w:id="8"/>
      <w:bookmarkEnd w:id="8"/>
      <w:r>
        <w:rPr>
          <w:b w:val="0"/>
        </w:rPr>
      </w:r>
      <w:r>
        <w:rPr/>
        <w:t>Table</w:t>
      </w:r>
      <w:r>
        <w:rPr>
          <w:spacing w:val="-16"/>
        </w:rPr>
        <w:t> </w:t>
      </w:r>
      <w:r>
        <w:rPr/>
        <w:t>of</w:t>
      </w:r>
      <w:r>
        <w:rPr>
          <w:spacing w:val="-16"/>
        </w:rPr>
        <w:t> </w:t>
      </w:r>
      <w:r>
        <w:rPr>
          <w:spacing w:val="-2"/>
        </w:rPr>
        <w:t>Contents</w:t>
      </w:r>
    </w:p>
    <w:p>
      <w:pPr>
        <w:pStyle w:val="Heading3"/>
        <w:spacing w:after="0"/>
        <w:jc w:val="left"/>
        <w:sectPr>
          <w:pgSz w:w="12240" w:h="15840"/>
          <w:pgMar w:header="0" w:footer="726" w:top="640" w:bottom="1133" w:left="720" w:right="0"/>
        </w:sectPr>
      </w:pPr>
    </w:p>
    <w:sdt>
      <w:sdtPr>
        <w:docPartObj>
          <w:docPartGallery w:val="Table of Contents"/>
          <w:docPartUnique/>
        </w:docPartObj>
      </w:sdtPr>
      <w:sdtEndPr/>
      <w:sdtContent>
        <w:p>
          <w:pPr>
            <w:pStyle w:val="TOC1"/>
            <w:tabs>
              <w:tab w:pos="10463" w:val="left" w:leader="none"/>
            </w:tabs>
            <w:spacing w:before="398"/>
          </w:pPr>
          <w:hyperlink w:history="true" w:anchor="h.wizv7kupagf0">
            <w:r>
              <w:rPr>
                <w:spacing w:val="-2"/>
              </w:rPr>
              <w:t>Preface</w:t>
            </w:r>
            <w:r>
              <w:rPr/>
              <w:tab/>
            </w:r>
            <w:r>
              <w:rPr>
                <w:spacing w:val="-10"/>
              </w:rPr>
              <w:t>1</w:t>
            </w:r>
          </w:hyperlink>
        </w:p>
        <w:p>
          <w:pPr>
            <w:pStyle w:val="TOC1"/>
            <w:tabs>
              <w:tab w:pos="10463" w:val="left" w:leader="none"/>
            </w:tabs>
            <w:spacing w:before="0"/>
          </w:pPr>
          <w:hyperlink w:history="true" w:anchor="h.qqve1jgpr10d">
            <w:r>
              <w:rPr/>
              <w:t>Program</w:t>
            </w:r>
            <w:r>
              <w:rPr>
                <w:spacing w:val="-7"/>
              </w:rPr>
              <w:t> </w:t>
            </w:r>
            <w:r>
              <w:rPr>
                <w:spacing w:val="-2"/>
              </w:rPr>
              <w:t>Committee</w:t>
            </w:r>
            <w:r>
              <w:rPr/>
              <w:tab/>
            </w:r>
            <w:r>
              <w:rPr>
                <w:spacing w:val="-12"/>
              </w:rPr>
              <w:t>2</w:t>
            </w:r>
          </w:hyperlink>
        </w:p>
        <w:p>
          <w:pPr>
            <w:pStyle w:val="TOC1"/>
            <w:tabs>
              <w:tab w:pos="10463" w:val="left" w:leader="none"/>
            </w:tabs>
            <w:spacing w:before="0"/>
          </w:pPr>
          <w:hyperlink w:history="true" w:anchor="h.y7uhvmci5yi4">
            <w:r>
              <w:rPr/>
              <w:t>Additional</w:t>
            </w:r>
            <w:r>
              <w:rPr>
                <w:spacing w:val="-10"/>
              </w:rPr>
              <w:t> </w:t>
            </w:r>
            <w:r>
              <w:rPr>
                <w:spacing w:val="-2"/>
              </w:rPr>
              <w:t>Reviewers</w:t>
            </w:r>
            <w:r>
              <w:rPr/>
              <w:tab/>
            </w:r>
            <w:r>
              <w:rPr>
                <w:spacing w:val="-10"/>
              </w:rPr>
              <w:t>3</w:t>
            </w:r>
          </w:hyperlink>
        </w:p>
        <w:p>
          <w:pPr>
            <w:pStyle w:val="TOC1"/>
            <w:tabs>
              <w:tab w:pos="10463" w:val="left" w:leader="none"/>
            </w:tabs>
            <w:spacing w:before="0"/>
          </w:pPr>
          <w:hyperlink w:history="true" w:anchor="h.o40s5ysev0rb">
            <w:r>
              <w:rPr/>
              <w:t>Table</w:t>
            </w:r>
            <w:r>
              <w:rPr>
                <w:spacing w:val="-11"/>
              </w:rPr>
              <w:t> </w:t>
            </w:r>
            <w:r>
              <w:rPr/>
              <w:t>of</w:t>
            </w:r>
            <w:r>
              <w:rPr>
                <w:spacing w:val="-10"/>
              </w:rPr>
              <w:t> </w:t>
            </w:r>
            <w:r>
              <w:rPr>
                <w:spacing w:val="-2"/>
              </w:rPr>
              <w:t>Contents</w:t>
            </w:r>
            <w:r>
              <w:rPr/>
              <w:tab/>
            </w:r>
            <w:r>
              <w:rPr>
                <w:spacing w:val="-10"/>
              </w:rPr>
              <w:t>4</w:t>
            </w:r>
          </w:hyperlink>
        </w:p>
        <w:p>
          <w:pPr>
            <w:pStyle w:val="TOC1"/>
            <w:tabs>
              <w:tab w:pos="10463" w:val="left" w:leader="none"/>
            </w:tabs>
            <w:spacing w:before="0"/>
          </w:pPr>
          <w:hyperlink w:history="true" w:anchor="h.2j1pwtojk7o9">
            <w:r>
              <w:rPr/>
              <w:t>Tipsy</w:t>
            </w:r>
            <w:r>
              <w:rPr>
                <w:spacing w:val="-9"/>
              </w:rPr>
              <w:t> </w:t>
            </w:r>
            <w:r>
              <w:rPr/>
              <w:t>Shopping:</w:t>
            </w:r>
            <w:r>
              <w:rPr>
                <w:spacing w:val="-8"/>
              </w:rPr>
              <w:t> </w:t>
            </w:r>
            <w:r>
              <w:rPr/>
              <w:t>When</w:t>
            </w:r>
            <w:r>
              <w:rPr>
                <w:spacing w:val="-8"/>
              </w:rPr>
              <w:t> </w:t>
            </w:r>
            <w:r>
              <w:rPr/>
              <w:t>Impulsivity</w:t>
            </w:r>
            <w:r>
              <w:rPr>
                <w:spacing w:val="-8"/>
              </w:rPr>
              <w:t> </w:t>
            </w:r>
            <w:r>
              <w:rPr/>
              <w:t>Meets</w:t>
            </w:r>
            <w:r>
              <w:rPr>
                <w:spacing w:val="-8"/>
              </w:rPr>
              <w:t> </w:t>
            </w:r>
            <w:r>
              <w:rPr>
                <w:spacing w:val="-2"/>
              </w:rPr>
              <w:t>Inhibition</w:t>
            </w:r>
            <w:r>
              <w:rPr/>
              <w:tab/>
            </w:r>
            <w:r>
              <w:rPr>
                <w:spacing w:val="-10"/>
              </w:rPr>
              <w:t>7</w:t>
            </w:r>
          </w:hyperlink>
        </w:p>
        <w:p>
          <w:pPr>
            <w:pStyle w:val="TOC3"/>
            <w:rPr>
              <w:i/>
            </w:rPr>
          </w:pPr>
          <w:r>
            <w:rPr>
              <w:i/>
            </w:rPr>
            <w:t>Pia</w:t>
          </w:r>
          <w:r>
            <w:rPr>
              <w:i/>
              <w:spacing w:val="-5"/>
            </w:rPr>
            <w:t> </w:t>
          </w:r>
          <w:r>
            <w:rPr>
              <w:i/>
            </w:rPr>
            <w:t>A.</w:t>
          </w:r>
          <w:r>
            <w:rPr>
              <w:i/>
              <w:spacing w:val="-5"/>
            </w:rPr>
            <w:t> </w:t>
          </w:r>
          <w:r>
            <w:rPr>
              <w:i/>
            </w:rPr>
            <w:t>Albinsson,</w:t>
          </w:r>
          <w:r>
            <w:rPr>
              <w:i/>
              <w:spacing w:val="-5"/>
            </w:rPr>
            <w:t> </w:t>
          </w:r>
          <w:r>
            <w:rPr>
              <w:i/>
            </w:rPr>
            <w:t>Lucie</w:t>
          </w:r>
          <w:r>
            <w:rPr>
              <w:i/>
              <w:spacing w:val="-5"/>
            </w:rPr>
            <w:t> </w:t>
          </w:r>
          <w:r>
            <w:rPr>
              <w:i/>
            </w:rPr>
            <w:t>Ozanne</w:t>
          </w:r>
          <w:r>
            <w:rPr>
              <w:i/>
              <w:spacing w:val="-5"/>
            </w:rPr>
            <w:t> </w:t>
          </w:r>
          <w:r>
            <w:rPr>
              <w:i/>
            </w:rPr>
            <w:t>and</w:t>
          </w:r>
          <w:r>
            <w:rPr>
              <w:i/>
              <w:spacing w:val="-5"/>
            </w:rPr>
            <w:t> </w:t>
          </w:r>
          <w:r>
            <w:rPr>
              <w:i/>
            </w:rPr>
            <w:t>Mohan</w:t>
          </w:r>
          <w:r>
            <w:rPr>
              <w:i/>
              <w:spacing w:val="-4"/>
            </w:rPr>
            <w:t> </w:t>
          </w:r>
          <w:r>
            <w:rPr>
              <w:i/>
              <w:spacing w:val="-2"/>
            </w:rPr>
            <w:t>Menon</w:t>
          </w:r>
        </w:p>
        <w:p>
          <w:pPr>
            <w:pStyle w:val="TOC1"/>
            <w:tabs>
              <w:tab w:pos="10363" w:val="left" w:leader="none"/>
            </w:tabs>
            <w:spacing w:before="0"/>
          </w:pPr>
          <w:hyperlink w:history="true" w:anchor="h.qyevl5yy79v">
            <w:r>
              <w:rPr/>
              <w:t>AI</w:t>
            </w:r>
            <w:r>
              <w:rPr>
                <w:spacing w:val="-5"/>
              </w:rPr>
              <w:t> </w:t>
            </w:r>
            <w:r>
              <w:rPr/>
              <w:t>Use</w:t>
            </w:r>
            <w:r>
              <w:rPr>
                <w:spacing w:val="-4"/>
              </w:rPr>
              <w:t> </w:t>
            </w:r>
            <w:r>
              <w:rPr/>
              <w:t>Cases</w:t>
            </w:r>
            <w:r>
              <w:rPr>
                <w:spacing w:val="-4"/>
              </w:rPr>
              <w:t> </w:t>
            </w:r>
            <w:r>
              <w:rPr/>
              <w:t>for</w:t>
            </w:r>
            <w:r>
              <w:rPr>
                <w:spacing w:val="-4"/>
              </w:rPr>
              <w:t> </w:t>
            </w:r>
            <w:r>
              <w:rPr/>
              <w:t>Managing</w:t>
            </w:r>
            <w:r>
              <w:rPr>
                <w:spacing w:val="-4"/>
              </w:rPr>
              <w:t> </w:t>
            </w:r>
            <w:r>
              <w:rPr>
                <w:spacing w:val="-2"/>
              </w:rPr>
              <w:t>Projects</w:t>
            </w:r>
            <w:r>
              <w:rPr/>
              <w:tab/>
            </w:r>
            <w:r>
              <w:rPr>
                <w:spacing w:val="-5"/>
              </w:rPr>
              <w:t>12</w:t>
            </w:r>
          </w:hyperlink>
        </w:p>
        <w:p>
          <w:pPr>
            <w:pStyle w:val="TOC3"/>
            <w:rPr>
              <w:i/>
            </w:rPr>
          </w:pPr>
          <w:r>
            <w:rPr>
              <w:i/>
              <w:spacing w:val="-2"/>
            </w:rPr>
            <w:t>Vittal</w:t>
          </w:r>
          <w:r>
            <w:rPr>
              <w:i/>
              <w:spacing w:val="-8"/>
            </w:rPr>
            <w:t> </w:t>
          </w:r>
          <w:r>
            <w:rPr>
              <w:i/>
              <w:spacing w:val="-2"/>
            </w:rPr>
            <w:t>Anantatmula</w:t>
          </w:r>
        </w:p>
        <w:p>
          <w:pPr>
            <w:pStyle w:val="TOC1"/>
            <w:tabs>
              <w:tab w:pos="10363" w:val="left" w:leader="none"/>
            </w:tabs>
            <w:spacing w:before="0"/>
            <w:ind w:right="954"/>
          </w:pPr>
          <w:hyperlink w:history="true" w:anchor="h.8qv01h4fpgj6">
            <w:r>
              <w:rPr/>
              <w:t>Transforming Public Health Data into Actionable Insights: A</w:t>
            </w:r>
            <w:r>
              <w:rPr>
                <w:spacing w:val="40"/>
              </w:rPr>
              <w:t> </w:t>
            </w:r>
            <w:r>
              <w:rPr/>
              <w:t>Comparative Analytics Approach Across East Tennessee</w:t>
            </w:r>
          </w:hyperlink>
          <w:r>
            <w:rPr/>
            <w:t> </w:t>
          </w:r>
          <w:hyperlink w:history="true" w:anchor="h.8qv01h4fpgj6">
            <w:r>
              <w:rPr>
                <w:spacing w:val="-2"/>
              </w:rPr>
              <w:t>Regions.</w:t>
            </w:r>
            <w:r>
              <w:rPr/>
              <w:tab/>
            </w:r>
            <w:r>
              <w:rPr>
                <w:spacing w:val="-6"/>
              </w:rPr>
              <w:t>13</w:t>
            </w:r>
          </w:hyperlink>
        </w:p>
        <w:p>
          <w:pPr>
            <w:pStyle w:val="TOC3"/>
            <w:rPr>
              <w:i/>
            </w:rPr>
          </w:pPr>
          <w:r>
            <w:rPr>
              <w:i/>
            </w:rPr>
            <w:t>Isaac</w:t>
          </w:r>
          <w:r>
            <w:rPr>
              <w:i/>
              <w:spacing w:val="-6"/>
            </w:rPr>
            <w:t> </w:t>
          </w:r>
          <w:r>
            <w:rPr>
              <w:i/>
            </w:rPr>
            <w:t>Aniemeke</w:t>
          </w:r>
          <w:r>
            <w:rPr>
              <w:i/>
              <w:spacing w:val="-6"/>
            </w:rPr>
            <w:t> </w:t>
          </w:r>
          <w:r>
            <w:rPr>
              <w:i/>
            </w:rPr>
            <w:t>and</w:t>
          </w:r>
          <w:r>
            <w:rPr>
              <w:i/>
              <w:spacing w:val="-6"/>
            </w:rPr>
            <w:t> </w:t>
          </w:r>
          <w:r>
            <w:rPr>
              <w:i/>
            </w:rPr>
            <w:t>Michael</w:t>
          </w:r>
          <w:r>
            <w:rPr>
              <w:i/>
              <w:spacing w:val="-5"/>
            </w:rPr>
            <w:t> </w:t>
          </w:r>
          <w:r>
            <w:rPr>
              <w:i/>
              <w:spacing w:val="-2"/>
            </w:rPr>
            <w:t>Onyia</w:t>
          </w:r>
        </w:p>
        <w:p>
          <w:pPr>
            <w:pStyle w:val="TOC1"/>
            <w:tabs>
              <w:tab w:pos="10363" w:val="left" w:leader="none"/>
            </w:tabs>
            <w:spacing w:before="0"/>
            <w:ind w:right="954"/>
          </w:pPr>
          <w:hyperlink w:history="true" w:anchor="h.bm33dnckh91d">
            <w:r>
              <w:rPr/>
              <w:t>AI-Driven Crisis Communication for Vulnerable Populations: Automated Classification and Simplification of Weather</w:t>
            </w:r>
          </w:hyperlink>
          <w:r>
            <w:rPr/>
            <w:t> </w:t>
          </w:r>
          <w:hyperlink w:history="true" w:anchor="h.bm33dnckh91d">
            <w:r>
              <w:rPr/>
              <w:t>Disaster Advisories</w:t>
              <w:tab/>
            </w:r>
            <w:r>
              <w:rPr>
                <w:spacing w:val="-6"/>
              </w:rPr>
              <w:t>22</w:t>
            </w:r>
          </w:hyperlink>
        </w:p>
        <w:p>
          <w:pPr>
            <w:pStyle w:val="TOC3"/>
            <w:rPr>
              <w:i/>
            </w:rPr>
          </w:pPr>
          <w:r>
            <w:rPr>
              <w:i/>
            </w:rPr>
            <w:t>Ameerat</w:t>
          </w:r>
          <w:r>
            <w:rPr>
              <w:i/>
              <w:spacing w:val="-5"/>
            </w:rPr>
            <w:t> </w:t>
          </w:r>
          <w:r>
            <w:rPr>
              <w:i/>
            </w:rPr>
            <w:t>Bello</w:t>
          </w:r>
          <w:r>
            <w:rPr>
              <w:i/>
              <w:spacing w:val="-4"/>
            </w:rPr>
            <w:t> </w:t>
          </w:r>
          <w:r>
            <w:rPr>
              <w:i/>
            </w:rPr>
            <w:t>and</w:t>
          </w:r>
          <w:r>
            <w:rPr>
              <w:i/>
              <w:spacing w:val="-5"/>
            </w:rPr>
            <w:t> </w:t>
          </w:r>
          <w:r>
            <w:rPr>
              <w:i/>
            </w:rPr>
            <w:t>Ahmad</w:t>
          </w:r>
          <w:r>
            <w:rPr>
              <w:i/>
              <w:spacing w:val="-4"/>
            </w:rPr>
            <w:t> </w:t>
          </w:r>
          <w:r>
            <w:rPr>
              <w:i/>
            </w:rPr>
            <w:t>Al</w:t>
          </w:r>
          <w:r>
            <w:rPr>
              <w:i/>
              <w:spacing w:val="-4"/>
            </w:rPr>
            <w:t> </w:t>
          </w:r>
          <w:r>
            <w:rPr>
              <w:i/>
              <w:spacing w:val="-2"/>
            </w:rPr>
            <w:t>Doulat</w:t>
          </w:r>
        </w:p>
        <w:p>
          <w:pPr>
            <w:pStyle w:val="TOC1"/>
            <w:tabs>
              <w:tab w:pos="10363" w:val="left" w:leader="none"/>
            </w:tabs>
          </w:pPr>
          <w:hyperlink w:history="true" w:anchor="h.95tud9s3dsek">
            <w:r>
              <w:rPr/>
              <w:t>Cognitive</w:t>
            </w:r>
            <w:r>
              <w:rPr>
                <w:spacing w:val="-11"/>
              </w:rPr>
              <w:t> </w:t>
            </w:r>
            <w:r>
              <w:rPr/>
              <w:t>Presence</w:t>
            </w:r>
            <w:r>
              <w:rPr>
                <w:spacing w:val="-8"/>
              </w:rPr>
              <w:t> </w:t>
            </w:r>
            <w:r>
              <w:rPr/>
              <w:t>and</w:t>
            </w:r>
            <w:r>
              <w:rPr>
                <w:spacing w:val="-8"/>
              </w:rPr>
              <w:t> </w:t>
            </w:r>
            <w:r>
              <w:rPr/>
              <w:t>Perception</w:t>
            </w:r>
            <w:r>
              <w:rPr>
                <w:spacing w:val="-8"/>
              </w:rPr>
              <w:t> </w:t>
            </w:r>
            <w:r>
              <w:rPr/>
              <w:t>of</w:t>
            </w:r>
            <w:r>
              <w:rPr>
                <w:spacing w:val="-8"/>
              </w:rPr>
              <w:t> </w:t>
            </w:r>
            <w:r>
              <w:rPr/>
              <w:t>Creativity:</w:t>
            </w:r>
            <w:r>
              <w:rPr>
                <w:spacing w:val="-8"/>
              </w:rPr>
              <w:t> </w:t>
            </w:r>
            <w:r>
              <w:rPr/>
              <w:t>How</w:t>
            </w:r>
            <w:r>
              <w:rPr>
                <w:spacing w:val="-8"/>
              </w:rPr>
              <w:t> </w:t>
            </w:r>
            <w:r>
              <w:rPr/>
              <w:t>Mindfulness</w:t>
            </w:r>
            <w:r>
              <w:rPr>
                <w:spacing w:val="-8"/>
              </w:rPr>
              <w:t> </w:t>
            </w:r>
            <w:r>
              <w:rPr/>
              <w:t>Facilitates</w:t>
            </w:r>
            <w:r>
              <w:rPr>
                <w:spacing w:val="-8"/>
              </w:rPr>
              <w:t> </w:t>
            </w:r>
            <w:r>
              <w:rPr/>
              <w:t>Advertising</w:t>
            </w:r>
            <w:r>
              <w:rPr>
                <w:spacing w:val="-8"/>
              </w:rPr>
              <w:t> </w:t>
            </w:r>
            <w:r>
              <w:rPr/>
              <w:t>Creativity</w:t>
            </w:r>
            <w:r>
              <w:rPr>
                <w:spacing w:val="-8"/>
              </w:rPr>
              <w:t> </w:t>
            </w:r>
            <w:r>
              <w:rPr>
                <w:spacing w:val="-2"/>
              </w:rPr>
              <w:t>Assessment</w:t>
            </w:r>
            <w:r>
              <w:rPr/>
              <w:tab/>
            </w:r>
            <w:r>
              <w:rPr>
                <w:spacing w:val="-5"/>
              </w:rPr>
              <w:t>23</w:t>
            </w:r>
          </w:hyperlink>
        </w:p>
        <w:p>
          <w:pPr>
            <w:pStyle w:val="TOC3"/>
            <w:rPr>
              <w:i/>
            </w:rPr>
          </w:pPr>
          <w:r>
            <w:rPr>
              <w:i/>
            </w:rPr>
            <w:t>Ilgim</w:t>
          </w:r>
          <w:r>
            <w:rPr>
              <w:i/>
              <w:spacing w:val="-11"/>
            </w:rPr>
            <w:t> </w:t>
          </w:r>
          <w:r>
            <w:rPr>
              <w:i/>
            </w:rPr>
            <w:t>Benoit,</w:t>
          </w:r>
          <w:r>
            <w:rPr>
              <w:i/>
              <w:spacing w:val="-11"/>
            </w:rPr>
            <w:t> </w:t>
          </w:r>
          <w:r>
            <w:rPr>
              <w:i/>
            </w:rPr>
            <w:t>Elika</w:t>
          </w:r>
          <w:r>
            <w:rPr>
              <w:i/>
              <w:spacing w:val="-10"/>
            </w:rPr>
            <w:t> </w:t>
          </w:r>
          <w:r>
            <w:rPr>
              <w:i/>
            </w:rPr>
            <w:t>Kordrostami</w:t>
          </w:r>
          <w:r>
            <w:rPr>
              <w:i/>
              <w:spacing w:val="-11"/>
            </w:rPr>
            <w:t> </w:t>
          </w:r>
          <w:r>
            <w:rPr>
              <w:i/>
            </w:rPr>
            <w:t>and</w:t>
          </w:r>
          <w:r>
            <w:rPr>
              <w:i/>
              <w:spacing w:val="-11"/>
            </w:rPr>
            <w:t> </w:t>
          </w:r>
          <w:r>
            <w:rPr>
              <w:i/>
            </w:rPr>
            <w:t>Ceren</w:t>
          </w:r>
          <w:r>
            <w:rPr>
              <w:i/>
              <w:spacing w:val="-10"/>
            </w:rPr>
            <w:t> </w:t>
          </w:r>
          <w:r>
            <w:rPr>
              <w:i/>
            </w:rPr>
            <w:t>Ekebas-</w:t>
          </w:r>
          <w:r>
            <w:rPr>
              <w:i/>
              <w:spacing w:val="-2"/>
            </w:rPr>
            <w:t>Turedi</w:t>
          </w:r>
        </w:p>
        <w:p>
          <w:pPr>
            <w:pStyle w:val="TOC1"/>
            <w:tabs>
              <w:tab w:pos="10363" w:val="left" w:leader="none"/>
            </w:tabs>
          </w:pPr>
          <w:hyperlink w:history="true" w:anchor="h.cgvaxqitzp1s">
            <w:r>
              <w:rPr/>
              <w:t>AI</w:t>
            </w:r>
            <w:r>
              <w:rPr>
                <w:spacing w:val="-6"/>
              </w:rPr>
              <w:t> </w:t>
            </w:r>
            <w:r>
              <w:rPr/>
              <w:t>Literacy</w:t>
            </w:r>
            <w:r>
              <w:rPr>
                <w:spacing w:val="-6"/>
              </w:rPr>
              <w:t> </w:t>
            </w:r>
            <w:r>
              <w:rPr/>
              <w:t>for</w:t>
            </w:r>
            <w:r>
              <w:rPr>
                <w:spacing w:val="-6"/>
              </w:rPr>
              <w:t> </w:t>
            </w:r>
            <w:r>
              <w:rPr/>
              <w:t>Faculty:</w:t>
            </w:r>
            <w:r>
              <w:rPr>
                <w:spacing w:val="-6"/>
              </w:rPr>
              <w:t> </w:t>
            </w:r>
            <w:r>
              <w:rPr/>
              <w:t>Course</w:t>
            </w:r>
            <w:r>
              <w:rPr>
                <w:spacing w:val="-6"/>
              </w:rPr>
              <w:t> </w:t>
            </w:r>
            <w:r>
              <w:rPr/>
              <w:t>Development</w:t>
            </w:r>
            <w:r>
              <w:rPr>
                <w:spacing w:val="-6"/>
              </w:rPr>
              <w:t> </w:t>
            </w:r>
            <w:r>
              <w:rPr/>
              <w:t>and</w:t>
            </w:r>
            <w:r>
              <w:rPr>
                <w:spacing w:val="-5"/>
              </w:rPr>
              <w:t> </w:t>
            </w:r>
            <w:r>
              <w:rPr>
                <w:spacing w:val="-2"/>
              </w:rPr>
              <w:t>Delivery</w:t>
            </w:r>
            <w:r>
              <w:rPr/>
              <w:tab/>
            </w:r>
            <w:r>
              <w:rPr>
                <w:spacing w:val="-5"/>
              </w:rPr>
              <w:t>2</w:t>
            </w:r>
          </w:hyperlink>
          <w:r>
            <w:rPr>
              <w:spacing w:val="-5"/>
            </w:rPr>
            <w:t>5</w:t>
          </w:r>
        </w:p>
        <w:p>
          <w:pPr>
            <w:pStyle w:val="TOC3"/>
            <w:rPr>
              <w:i/>
            </w:rPr>
          </w:pPr>
          <w:r>
            <w:rPr>
              <w:i/>
            </w:rPr>
            <w:t>Dan</w:t>
          </w:r>
          <w:r>
            <w:rPr>
              <w:i/>
              <w:spacing w:val="-8"/>
            </w:rPr>
            <w:t> </w:t>
          </w:r>
          <w:r>
            <w:rPr>
              <w:i/>
            </w:rPr>
            <w:t>Bradbury,</w:t>
          </w:r>
          <w:r>
            <w:rPr>
              <w:i/>
              <w:spacing w:val="-6"/>
            </w:rPr>
            <w:t> </w:t>
          </w:r>
          <w:r>
            <w:rPr>
              <w:i/>
            </w:rPr>
            <w:t>Barbara</w:t>
          </w:r>
          <w:r>
            <w:rPr>
              <w:i/>
              <w:spacing w:val="-6"/>
            </w:rPr>
            <w:t> </w:t>
          </w:r>
          <w:r>
            <w:rPr>
              <w:i/>
            </w:rPr>
            <w:t>Jo</w:t>
          </w:r>
          <w:r>
            <w:rPr>
              <w:i/>
              <w:spacing w:val="-6"/>
            </w:rPr>
            <w:t> </w:t>
          </w:r>
          <w:r>
            <w:rPr>
              <w:i/>
            </w:rPr>
            <w:t>White</w:t>
          </w:r>
          <w:r>
            <w:rPr>
              <w:i/>
              <w:spacing w:val="-6"/>
            </w:rPr>
            <w:t> </w:t>
          </w:r>
          <w:r>
            <w:rPr>
              <w:i/>
            </w:rPr>
            <w:t>and</w:t>
          </w:r>
          <w:r>
            <w:rPr>
              <w:i/>
              <w:spacing w:val="-6"/>
            </w:rPr>
            <w:t> </w:t>
          </w:r>
          <w:r>
            <w:rPr>
              <w:i/>
            </w:rPr>
            <w:t>Aj</w:t>
          </w:r>
          <w:r>
            <w:rPr>
              <w:i/>
              <w:spacing w:val="-6"/>
            </w:rPr>
            <w:t> </w:t>
          </w:r>
          <w:r>
            <w:rPr>
              <w:i/>
              <w:spacing w:val="-2"/>
            </w:rPr>
            <w:t>Grube</w:t>
          </w:r>
        </w:p>
        <w:p>
          <w:pPr>
            <w:pStyle w:val="TOC1"/>
            <w:tabs>
              <w:tab w:pos="10363" w:val="left" w:leader="none"/>
            </w:tabs>
          </w:pPr>
          <w:hyperlink w:history="true" w:anchor="h.f9jg54rujmif">
            <w:r>
              <w:rPr/>
              <w:t>Integrating</w:t>
            </w:r>
            <w:r>
              <w:rPr>
                <w:spacing w:val="-9"/>
              </w:rPr>
              <w:t> </w:t>
            </w:r>
            <w:r>
              <w:rPr/>
              <w:t>AI</w:t>
            </w:r>
            <w:r>
              <w:rPr>
                <w:spacing w:val="-7"/>
              </w:rPr>
              <w:t> </w:t>
            </w:r>
            <w:r>
              <w:rPr/>
              <w:t>Agents</w:t>
            </w:r>
            <w:r>
              <w:rPr>
                <w:spacing w:val="-6"/>
              </w:rPr>
              <w:t> </w:t>
            </w:r>
            <w:r>
              <w:rPr/>
              <w:t>and</w:t>
            </w:r>
            <w:r>
              <w:rPr>
                <w:spacing w:val="-7"/>
              </w:rPr>
              <w:t> </w:t>
            </w:r>
            <w:r>
              <w:rPr/>
              <w:t>Automation</w:t>
            </w:r>
            <w:r>
              <w:rPr>
                <w:spacing w:val="-7"/>
              </w:rPr>
              <w:t> </w:t>
            </w:r>
            <w:r>
              <w:rPr/>
              <w:t>in</w:t>
            </w:r>
            <w:r>
              <w:rPr>
                <w:spacing w:val="-6"/>
              </w:rPr>
              <w:t> </w:t>
            </w:r>
            <w:r>
              <w:rPr/>
              <w:t>Rural</w:t>
            </w:r>
            <w:r>
              <w:rPr>
                <w:spacing w:val="-7"/>
              </w:rPr>
              <w:t> </w:t>
            </w:r>
            <w:r>
              <w:rPr/>
              <w:t>Appalachia:</w:t>
            </w:r>
            <w:r>
              <w:rPr>
                <w:spacing w:val="-7"/>
              </w:rPr>
              <w:t> </w:t>
            </w:r>
            <w:r>
              <w:rPr/>
              <w:t>Adoption,</w:t>
            </w:r>
            <w:r>
              <w:rPr>
                <w:spacing w:val="-6"/>
              </w:rPr>
              <w:t> </w:t>
            </w:r>
            <w:r>
              <w:rPr/>
              <w:t>Challenges,</w:t>
            </w:r>
            <w:r>
              <w:rPr>
                <w:spacing w:val="-7"/>
              </w:rPr>
              <w:t> </w:t>
            </w:r>
            <w:r>
              <w:rPr/>
              <w:t>and</w:t>
            </w:r>
            <w:r>
              <w:rPr>
                <w:spacing w:val="-6"/>
              </w:rPr>
              <w:t> </w:t>
            </w:r>
            <w:r>
              <w:rPr>
                <w:spacing w:val="-2"/>
              </w:rPr>
              <w:t>Strategies</w:t>
            </w:r>
            <w:r>
              <w:rPr/>
              <w:tab/>
            </w:r>
            <w:r>
              <w:rPr>
                <w:spacing w:val="-5"/>
              </w:rPr>
              <w:t>2</w:t>
            </w:r>
          </w:hyperlink>
          <w:r>
            <w:rPr>
              <w:spacing w:val="-5"/>
            </w:rPr>
            <w:t>7</w:t>
          </w:r>
        </w:p>
        <w:p>
          <w:pPr>
            <w:pStyle w:val="TOC3"/>
            <w:rPr>
              <w:i/>
            </w:rPr>
          </w:pPr>
          <w:r>
            <w:rPr>
              <w:i/>
            </w:rPr>
            <w:t>Faye</w:t>
          </w:r>
          <w:r>
            <w:rPr>
              <w:i/>
              <w:spacing w:val="-10"/>
            </w:rPr>
            <w:t> </w:t>
          </w:r>
          <w:r>
            <w:rPr>
              <w:i/>
            </w:rPr>
            <w:t>Briggs,</w:t>
          </w:r>
          <w:r>
            <w:rPr>
              <w:i/>
              <w:spacing w:val="-7"/>
            </w:rPr>
            <w:t> </w:t>
          </w:r>
          <w:r>
            <w:rPr>
              <w:i/>
            </w:rPr>
            <w:t>Stephen</w:t>
          </w:r>
          <w:r>
            <w:rPr>
              <w:i/>
              <w:spacing w:val="-7"/>
            </w:rPr>
            <w:t> </w:t>
          </w:r>
          <w:r>
            <w:rPr>
              <w:i/>
            </w:rPr>
            <w:t>Shackelford</w:t>
          </w:r>
          <w:r>
            <w:rPr>
              <w:i/>
              <w:spacing w:val="-7"/>
            </w:rPr>
            <w:t> </w:t>
          </w:r>
          <w:r>
            <w:rPr>
              <w:i/>
            </w:rPr>
            <w:t>and</w:t>
          </w:r>
          <w:r>
            <w:rPr>
              <w:i/>
              <w:spacing w:val="-7"/>
            </w:rPr>
            <w:t> </w:t>
          </w:r>
          <w:r>
            <w:rPr>
              <w:i/>
            </w:rPr>
            <w:t>Faye</w:t>
          </w:r>
          <w:r>
            <w:rPr>
              <w:i/>
              <w:spacing w:val="-7"/>
            </w:rPr>
            <w:t> </w:t>
          </w:r>
          <w:r>
            <w:rPr>
              <w:i/>
              <w:spacing w:val="-2"/>
            </w:rPr>
            <w:t>Briggs</w:t>
          </w:r>
        </w:p>
        <w:p>
          <w:pPr>
            <w:pStyle w:val="TOC1"/>
            <w:tabs>
              <w:tab w:pos="10363" w:val="left" w:leader="none"/>
            </w:tabs>
          </w:pPr>
          <w:hyperlink w:history="true" w:anchor="h.p8l1uzhh0xlq">
            <w:r>
              <w:rPr/>
              <w:t>Mind</w:t>
            </w:r>
            <w:r>
              <w:rPr>
                <w:spacing w:val="-11"/>
              </w:rPr>
              <w:t> </w:t>
            </w:r>
            <w:r>
              <w:rPr/>
              <w:t>the</w:t>
            </w:r>
            <w:r>
              <w:rPr>
                <w:spacing w:val="-9"/>
              </w:rPr>
              <w:t> </w:t>
            </w:r>
            <w:r>
              <w:rPr/>
              <w:t>(Gender)</w:t>
            </w:r>
            <w:r>
              <w:rPr>
                <w:spacing w:val="-8"/>
              </w:rPr>
              <w:t> </w:t>
            </w:r>
            <w:r>
              <w:rPr/>
              <w:t>Gap:</w:t>
            </w:r>
            <w:r>
              <w:rPr>
                <w:spacing w:val="-9"/>
              </w:rPr>
              <w:t> </w:t>
            </w:r>
            <w:r>
              <w:rPr/>
              <w:t>How</w:t>
            </w:r>
            <w:r>
              <w:rPr>
                <w:spacing w:val="-9"/>
              </w:rPr>
              <w:t> </w:t>
            </w:r>
            <w:r>
              <w:rPr/>
              <w:t>YouTube</w:t>
            </w:r>
            <w:r>
              <w:rPr>
                <w:spacing w:val="-8"/>
              </w:rPr>
              <w:t> </w:t>
            </w:r>
            <w:r>
              <w:rPr/>
              <w:t>Creators</w:t>
            </w:r>
            <w:r>
              <w:rPr>
                <w:spacing w:val="-9"/>
              </w:rPr>
              <w:t> </w:t>
            </w:r>
            <w:r>
              <w:rPr/>
              <w:t>Shape</w:t>
            </w:r>
            <w:r>
              <w:rPr>
                <w:spacing w:val="-9"/>
              </w:rPr>
              <w:t> </w:t>
            </w:r>
            <w:r>
              <w:rPr/>
              <w:t>Community</w:t>
            </w:r>
            <w:r>
              <w:rPr>
                <w:spacing w:val="-8"/>
              </w:rPr>
              <w:t> </w:t>
            </w:r>
            <w:r>
              <w:rPr>
                <w:spacing w:val="-2"/>
              </w:rPr>
              <w:t>Responses</w:t>
            </w:r>
            <w:r>
              <w:rPr/>
              <w:tab/>
            </w:r>
            <w:r>
              <w:rPr>
                <w:spacing w:val="-5"/>
              </w:rPr>
              <w:t>3</w:t>
            </w:r>
          </w:hyperlink>
          <w:r>
            <w:rPr>
              <w:spacing w:val="-5"/>
            </w:rPr>
            <w:t>1</w:t>
          </w:r>
        </w:p>
        <w:p>
          <w:pPr>
            <w:pStyle w:val="TOC3"/>
            <w:rPr>
              <w:i/>
            </w:rPr>
          </w:pPr>
          <w:r>
            <w:rPr>
              <w:i/>
            </w:rPr>
            <w:t>Emily</w:t>
          </w:r>
          <w:r>
            <w:rPr>
              <w:i/>
              <w:spacing w:val="-8"/>
            </w:rPr>
            <w:t> </w:t>
          </w:r>
          <w:r>
            <w:rPr>
              <w:i/>
            </w:rPr>
            <w:t>Charlip</w:t>
          </w:r>
          <w:r>
            <w:rPr>
              <w:i/>
              <w:spacing w:val="-7"/>
            </w:rPr>
            <w:t> </w:t>
          </w:r>
          <w:r>
            <w:rPr>
              <w:i/>
            </w:rPr>
            <w:t>and</w:t>
          </w:r>
          <w:r>
            <w:rPr>
              <w:i/>
              <w:spacing w:val="-7"/>
            </w:rPr>
            <w:t> </w:t>
          </w:r>
          <w:r>
            <w:rPr>
              <w:i/>
            </w:rPr>
            <w:t>Jeffrey</w:t>
          </w:r>
          <w:r>
            <w:rPr>
              <w:i/>
              <w:spacing w:val="-7"/>
            </w:rPr>
            <w:t> </w:t>
          </w:r>
          <w:r>
            <w:rPr>
              <w:i/>
              <w:spacing w:val="-2"/>
            </w:rPr>
            <w:t>Kaleta</w:t>
          </w:r>
        </w:p>
        <w:p>
          <w:pPr>
            <w:pStyle w:val="TOC1"/>
            <w:tabs>
              <w:tab w:pos="10363" w:val="left" w:leader="none"/>
            </w:tabs>
            <w:ind w:right="954"/>
          </w:pPr>
          <w:hyperlink w:history="true" w:anchor="h.28lc8txyf052">
            <w:r>
              <w:rPr/>
              <w:t>The Impacts of Participation Motivation and Perceived Value on Willingness to Participate in Camping: Perceived Risk</w:t>
            </w:r>
          </w:hyperlink>
          <w:r>
            <w:rPr/>
            <w:t> </w:t>
          </w:r>
          <w:hyperlink w:history="true" w:anchor="h.28lc8txyf052">
            <w:r>
              <w:rPr/>
              <w:t>and Trust as Moderators</w:t>
              <w:tab/>
            </w:r>
            <w:r>
              <w:rPr>
                <w:spacing w:val="-6"/>
              </w:rPr>
              <w:t>3</w:t>
            </w:r>
          </w:hyperlink>
          <w:r>
            <w:rPr>
              <w:spacing w:val="-6"/>
            </w:rPr>
            <w:t>2</w:t>
          </w:r>
        </w:p>
        <w:p>
          <w:pPr>
            <w:pStyle w:val="TOC3"/>
            <w:rPr>
              <w:i/>
            </w:rPr>
          </w:pPr>
          <w:r>
            <w:rPr>
              <w:i/>
            </w:rPr>
            <w:t>Kai-Yan</w:t>
          </w:r>
          <w:r>
            <w:rPr>
              <w:i/>
              <w:spacing w:val="-12"/>
            </w:rPr>
            <w:t> </w:t>
          </w:r>
          <w:r>
            <w:rPr>
              <w:i/>
            </w:rPr>
            <w:t>Chen,</w:t>
          </w:r>
          <w:r>
            <w:rPr>
              <w:i/>
              <w:spacing w:val="-10"/>
            </w:rPr>
            <w:t> </w:t>
          </w:r>
          <w:r>
            <w:rPr>
              <w:i/>
            </w:rPr>
            <w:t>Nien-Te</w:t>
          </w:r>
          <w:r>
            <w:rPr>
              <w:i/>
              <w:spacing w:val="-10"/>
            </w:rPr>
            <w:t> </w:t>
          </w:r>
          <w:r>
            <w:rPr>
              <w:i/>
            </w:rPr>
            <w:t>Kuo,</w:t>
          </w:r>
          <w:r>
            <w:rPr>
              <w:i/>
              <w:spacing w:val="-10"/>
            </w:rPr>
            <w:t> </w:t>
          </w:r>
          <w:r>
            <w:rPr>
              <w:i/>
            </w:rPr>
            <w:t>Ethan</w:t>
          </w:r>
          <w:r>
            <w:rPr>
              <w:i/>
              <w:spacing w:val="-10"/>
            </w:rPr>
            <w:t> </w:t>
          </w:r>
          <w:r>
            <w:rPr>
              <w:i/>
            </w:rPr>
            <w:t>Cheng</w:t>
          </w:r>
          <w:r>
            <w:rPr>
              <w:i/>
              <w:spacing w:val="-10"/>
            </w:rPr>
            <w:t> </w:t>
          </w:r>
          <w:r>
            <w:rPr>
              <w:i/>
            </w:rPr>
            <w:t>and</w:t>
          </w:r>
          <w:r>
            <w:rPr>
              <w:i/>
              <w:spacing w:val="-10"/>
            </w:rPr>
            <w:t> </w:t>
          </w:r>
          <w:r>
            <w:rPr>
              <w:i/>
            </w:rPr>
            <w:t>Lu-Ping</w:t>
          </w:r>
          <w:r>
            <w:rPr>
              <w:i/>
              <w:spacing w:val="-9"/>
            </w:rPr>
            <w:t> </w:t>
          </w:r>
          <w:r>
            <w:rPr>
              <w:i/>
              <w:spacing w:val="-5"/>
            </w:rPr>
            <w:t>Lin</w:t>
          </w:r>
        </w:p>
        <w:p>
          <w:pPr>
            <w:pStyle w:val="TOC1"/>
            <w:tabs>
              <w:tab w:pos="10363" w:val="left" w:leader="none"/>
            </w:tabs>
          </w:pPr>
          <w:hyperlink w:history="true" w:anchor="h.u9qyg4ebsrp2">
            <w:r>
              <w:rPr/>
              <w:t>Case:</w:t>
            </w:r>
            <w:r>
              <w:rPr>
                <w:spacing w:val="-9"/>
              </w:rPr>
              <w:t> </w:t>
            </w:r>
            <w:r>
              <w:rPr/>
              <w:t>The</w:t>
            </w:r>
            <w:r>
              <w:rPr>
                <w:spacing w:val="-7"/>
              </w:rPr>
              <w:t> </w:t>
            </w:r>
            <w:r>
              <w:rPr/>
              <w:t>Accounting</w:t>
            </w:r>
            <w:r>
              <w:rPr>
                <w:spacing w:val="-7"/>
              </w:rPr>
              <w:t> </w:t>
            </w:r>
            <w:r>
              <w:rPr/>
              <w:t>and</w:t>
            </w:r>
            <w:r>
              <w:rPr>
                <w:spacing w:val="-7"/>
              </w:rPr>
              <w:t> </w:t>
            </w:r>
            <w:r>
              <w:rPr/>
              <w:t>Auditing</w:t>
            </w:r>
            <w:r>
              <w:rPr>
                <w:spacing w:val="-7"/>
              </w:rPr>
              <w:t> </w:t>
            </w:r>
            <w:r>
              <w:rPr/>
              <w:t>Failures</w:t>
            </w:r>
            <w:r>
              <w:rPr>
                <w:spacing w:val="-7"/>
              </w:rPr>
              <w:t> </w:t>
            </w:r>
            <w:r>
              <w:rPr/>
              <w:t>of</w:t>
            </w:r>
            <w:r>
              <w:rPr>
                <w:spacing w:val="-7"/>
              </w:rPr>
              <w:t> </w:t>
            </w:r>
            <w:r>
              <w:rPr/>
              <w:t>Tupperware</w:t>
            </w:r>
            <w:r>
              <w:rPr>
                <w:spacing w:val="-7"/>
              </w:rPr>
              <w:t> </w:t>
            </w:r>
            <w:r>
              <w:rPr>
                <w:spacing w:val="-2"/>
              </w:rPr>
              <w:t>Brands</w:t>
            </w:r>
            <w:r>
              <w:rPr/>
              <w:tab/>
            </w:r>
            <w:r>
              <w:rPr>
                <w:spacing w:val="-5"/>
              </w:rPr>
              <w:t>3</w:t>
            </w:r>
          </w:hyperlink>
          <w:r>
            <w:rPr>
              <w:spacing w:val="-5"/>
            </w:rPr>
            <w:t>4</w:t>
          </w:r>
        </w:p>
        <w:p>
          <w:pPr>
            <w:pStyle w:val="TOC3"/>
            <w:rPr>
              <w:i/>
            </w:rPr>
          </w:pPr>
          <w:r>
            <w:rPr>
              <w:i/>
            </w:rPr>
            <w:t>Emily</w:t>
          </w:r>
          <w:r>
            <w:rPr>
              <w:i/>
              <w:spacing w:val="-5"/>
            </w:rPr>
            <w:t> </w:t>
          </w:r>
          <w:r>
            <w:rPr>
              <w:i/>
              <w:spacing w:val="-2"/>
            </w:rPr>
            <w:t>Cokeley</w:t>
          </w:r>
        </w:p>
        <w:p>
          <w:pPr>
            <w:pStyle w:val="TOC1"/>
            <w:tabs>
              <w:tab w:pos="10363" w:val="left" w:leader="none"/>
            </w:tabs>
          </w:pPr>
          <w:hyperlink w:history="true" w:anchor="h.klf83uyj66en">
            <w:r>
              <w:rPr/>
              <w:t>From</w:t>
            </w:r>
            <w:r>
              <w:rPr>
                <w:spacing w:val="-10"/>
              </w:rPr>
              <w:t> </w:t>
            </w:r>
            <w:r>
              <w:rPr/>
              <w:t>Workslop</w:t>
            </w:r>
            <w:r>
              <w:rPr>
                <w:spacing w:val="-7"/>
              </w:rPr>
              <w:t> </w:t>
            </w:r>
            <w:r>
              <w:rPr/>
              <w:t>to</w:t>
            </w:r>
            <w:r>
              <w:rPr>
                <w:spacing w:val="-7"/>
              </w:rPr>
              <w:t> </w:t>
            </w:r>
            <w:r>
              <w:rPr/>
              <w:t>Wisdom:</w:t>
            </w:r>
            <w:r>
              <w:rPr>
                <w:spacing w:val="-7"/>
              </w:rPr>
              <w:t> </w:t>
            </w:r>
            <w:r>
              <w:rPr/>
              <w:t>Challenges</w:t>
            </w:r>
            <w:r>
              <w:rPr>
                <w:spacing w:val="-8"/>
              </w:rPr>
              <w:t> </w:t>
            </w:r>
            <w:r>
              <w:rPr/>
              <w:t>and</w:t>
            </w:r>
            <w:r>
              <w:rPr>
                <w:spacing w:val="-7"/>
              </w:rPr>
              <w:t> </w:t>
            </w:r>
            <w:r>
              <w:rPr/>
              <w:t>Benefits</w:t>
            </w:r>
            <w:r>
              <w:rPr>
                <w:spacing w:val="-7"/>
              </w:rPr>
              <w:t> </w:t>
            </w:r>
            <w:r>
              <w:rPr/>
              <w:t>of</w:t>
            </w:r>
            <w:r>
              <w:rPr>
                <w:spacing w:val="-7"/>
              </w:rPr>
              <w:t> </w:t>
            </w:r>
            <w:r>
              <w:rPr/>
              <w:t>AI</w:t>
            </w:r>
            <w:r>
              <w:rPr>
                <w:spacing w:val="-8"/>
              </w:rPr>
              <w:t> </w:t>
            </w:r>
            <w:r>
              <w:rPr/>
              <w:t>for</w:t>
            </w:r>
            <w:r>
              <w:rPr>
                <w:spacing w:val="-7"/>
              </w:rPr>
              <w:t> </w:t>
            </w:r>
            <w:r>
              <w:rPr/>
              <w:t>Enterprise</w:t>
            </w:r>
            <w:r>
              <w:rPr>
                <w:spacing w:val="-7"/>
              </w:rPr>
              <w:t> </w:t>
            </w:r>
            <w:r>
              <w:rPr/>
              <w:t>Risk</w:t>
            </w:r>
            <w:r>
              <w:rPr>
                <w:spacing w:val="-7"/>
              </w:rPr>
              <w:t> </w:t>
            </w:r>
            <w:r>
              <w:rPr>
                <w:spacing w:val="-2"/>
              </w:rPr>
              <w:t>Management</w:t>
            </w:r>
            <w:r>
              <w:rPr/>
              <w:tab/>
            </w:r>
            <w:r>
              <w:rPr>
                <w:spacing w:val="-5"/>
              </w:rPr>
              <w:t>3</w:t>
            </w:r>
          </w:hyperlink>
          <w:r>
            <w:rPr>
              <w:spacing w:val="-5"/>
            </w:rPr>
            <w:t>5</w:t>
          </w:r>
        </w:p>
        <w:p>
          <w:pPr>
            <w:pStyle w:val="TOC3"/>
            <w:rPr>
              <w:i/>
            </w:rPr>
          </w:pPr>
          <w:r>
            <w:rPr>
              <w:i/>
            </w:rPr>
            <w:t>Zachary</w:t>
          </w:r>
          <w:r>
            <w:rPr>
              <w:i/>
              <w:spacing w:val="-6"/>
            </w:rPr>
            <w:t> </w:t>
          </w:r>
          <w:r>
            <w:rPr>
              <w:i/>
            </w:rPr>
            <w:t>Collier</w:t>
          </w:r>
          <w:r>
            <w:rPr>
              <w:i/>
              <w:spacing w:val="-5"/>
            </w:rPr>
            <w:t> </w:t>
          </w:r>
          <w:r>
            <w:rPr>
              <w:i/>
            </w:rPr>
            <w:t>and</w:t>
          </w:r>
          <w:r>
            <w:rPr>
              <w:i/>
              <w:spacing w:val="-5"/>
            </w:rPr>
            <w:t> </w:t>
          </w:r>
          <w:r>
            <w:rPr>
              <w:i/>
            </w:rPr>
            <w:t>Dale</w:t>
          </w:r>
          <w:r>
            <w:rPr>
              <w:i/>
              <w:spacing w:val="-5"/>
            </w:rPr>
            <w:t> </w:t>
          </w:r>
          <w:r>
            <w:rPr>
              <w:i/>
              <w:spacing w:val="-2"/>
            </w:rPr>
            <w:t>Henderson</w:t>
          </w:r>
        </w:p>
        <w:p>
          <w:pPr>
            <w:pStyle w:val="TOC1"/>
            <w:tabs>
              <w:tab w:pos="10363" w:val="left" w:leader="none"/>
            </w:tabs>
          </w:pPr>
          <w:hyperlink w:history="true" w:anchor="h.gzfns4qrp4hu">
            <w:r>
              <w:rPr/>
              <w:t>Chemical</w:t>
            </w:r>
            <w:r>
              <w:rPr>
                <w:spacing w:val="-12"/>
              </w:rPr>
              <w:t> </w:t>
            </w:r>
            <w:r>
              <w:rPr/>
              <w:t>Accidents</w:t>
            </w:r>
            <w:r>
              <w:rPr>
                <w:spacing w:val="-9"/>
              </w:rPr>
              <w:t> </w:t>
            </w:r>
            <w:r>
              <w:rPr/>
              <w:t>and</w:t>
            </w:r>
            <w:r>
              <w:rPr>
                <w:spacing w:val="-10"/>
              </w:rPr>
              <w:t> </w:t>
            </w:r>
            <w:r>
              <w:rPr/>
              <w:t>Newborn</w:t>
            </w:r>
            <w:r>
              <w:rPr>
                <w:spacing w:val="-9"/>
              </w:rPr>
              <w:t> </w:t>
            </w:r>
            <w:r>
              <w:rPr/>
              <w:t>Health:</w:t>
            </w:r>
            <w:r>
              <w:rPr>
                <w:spacing w:val="-10"/>
              </w:rPr>
              <w:t> </w:t>
            </w:r>
            <w:r>
              <w:rPr/>
              <w:t>A</w:t>
            </w:r>
            <w:r>
              <w:rPr>
                <w:spacing w:val="-9"/>
              </w:rPr>
              <w:t> </w:t>
            </w:r>
            <w:r>
              <w:rPr/>
              <w:t>Difference-in-Differences</w:t>
            </w:r>
            <w:r>
              <w:rPr>
                <w:spacing w:val="-9"/>
              </w:rPr>
              <w:t> </w:t>
            </w:r>
            <w:r>
              <w:rPr>
                <w:spacing w:val="-2"/>
              </w:rPr>
              <w:t>Analysis</w:t>
            </w:r>
            <w:r>
              <w:rPr/>
              <w:tab/>
            </w:r>
            <w:r>
              <w:rPr>
                <w:spacing w:val="-5"/>
              </w:rPr>
              <w:t>4</w:t>
            </w:r>
          </w:hyperlink>
          <w:r>
            <w:rPr>
              <w:spacing w:val="-5"/>
            </w:rPr>
            <w:t>4</w:t>
          </w:r>
        </w:p>
        <w:p>
          <w:pPr>
            <w:pStyle w:val="TOC3"/>
            <w:rPr>
              <w:i/>
            </w:rPr>
          </w:pPr>
          <w:r>
            <w:rPr>
              <w:i/>
            </w:rPr>
            <w:t>Karlee</w:t>
          </w:r>
          <w:r>
            <w:rPr>
              <w:i/>
              <w:spacing w:val="-5"/>
            </w:rPr>
            <w:t> </w:t>
          </w:r>
          <w:r>
            <w:rPr>
              <w:i/>
            </w:rPr>
            <w:t>Cook</w:t>
          </w:r>
          <w:r>
            <w:rPr>
              <w:i/>
              <w:spacing w:val="-5"/>
            </w:rPr>
            <w:t> </w:t>
          </w:r>
          <w:r>
            <w:rPr>
              <w:i/>
            </w:rPr>
            <w:t>and</w:t>
          </w:r>
          <w:r>
            <w:rPr>
              <w:i/>
              <w:spacing w:val="-5"/>
            </w:rPr>
            <w:t> </w:t>
          </w:r>
          <w:r>
            <w:rPr>
              <w:i/>
            </w:rPr>
            <w:t>Dennis</w:t>
          </w:r>
          <w:r>
            <w:rPr>
              <w:i/>
              <w:spacing w:val="-4"/>
            </w:rPr>
            <w:t> </w:t>
          </w:r>
          <w:r>
            <w:rPr>
              <w:i/>
              <w:spacing w:val="-2"/>
            </w:rPr>
            <w:t>Guignet</w:t>
          </w:r>
        </w:p>
        <w:p>
          <w:pPr>
            <w:pStyle w:val="TOC1"/>
            <w:tabs>
              <w:tab w:pos="10363" w:val="left" w:leader="none"/>
            </w:tabs>
            <w:ind w:right="954"/>
          </w:pPr>
          <w:hyperlink w:history="true" w:anchor="h.ds8w3kr02eu9">
            <w:r>
              <w:rPr/>
              <w:t>How Brand Equity Shapes the Relationship Between Equestrian</w:t>
            </w:r>
            <w:r>
              <w:rPr>
                <w:spacing w:val="40"/>
              </w:rPr>
              <w:t> </w:t>
            </w:r>
            <w:r>
              <w:rPr/>
              <w:t>Aesthetics and Consumer Perception: Insights from</w:t>
            </w:r>
          </w:hyperlink>
          <w:r>
            <w:rPr/>
            <w:t> </w:t>
          </w:r>
          <w:hyperlink w:history="true" w:anchor="h.ds8w3kr02eu9">
            <w:r>
              <w:rPr/>
              <w:t>Equine Health Sector</w:t>
              <w:tab/>
            </w:r>
            <w:r>
              <w:rPr>
                <w:spacing w:val="-6"/>
              </w:rPr>
              <w:t>4</w:t>
            </w:r>
          </w:hyperlink>
          <w:r>
            <w:rPr>
              <w:spacing w:val="-6"/>
            </w:rPr>
            <w:t>6</w:t>
          </w:r>
        </w:p>
        <w:p>
          <w:pPr>
            <w:pStyle w:val="TOC3"/>
            <w:rPr>
              <w:i/>
            </w:rPr>
          </w:pPr>
          <w:r>
            <w:rPr>
              <w:i/>
            </w:rPr>
            <w:t>Brooke</w:t>
          </w:r>
          <w:r>
            <w:rPr>
              <w:i/>
              <w:spacing w:val="-14"/>
            </w:rPr>
            <w:t> </w:t>
          </w:r>
          <w:r>
            <w:rPr>
              <w:i/>
            </w:rPr>
            <w:t>Custer,</w:t>
          </w:r>
          <w:r>
            <w:rPr>
              <w:i/>
              <w:spacing w:val="-12"/>
            </w:rPr>
            <w:t> </w:t>
          </w:r>
          <w:r>
            <w:rPr>
              <w:i/>
            </w:rPr>
            <w:t>Barrett</w:t>
          </w:r>
          <w:r>
            <w:rPr>
              <w:i/>
              <w:spacing w:val="-12"/>
            </w:rPr>
            <w:t> </w:t>
          </w:r>
          <w:r>
            <w:rPr>
              <w:i/>
            </w:rPr>
            <w:t>Garner</w:t>
          </w:r>
          <w:r>
            <w:rPr>
              <w:i/>
              <w:spacing w:val="-12"/>
            </w:rPr>
            <w:t> </w:t>
          </w:r>
          <w:r>
            <w:rPr>
              <w:i/>
            </w:rPr>
            <w:t>and</w:t>
          </w:r>
          <w:r>
            <w:rPr>
              <w:i/>
              <w:spacing w:val="-12"/>
            </w:rPr>
            <w:t> </w:t>
          </w:r>
          <w:r>
            <w:rPr>
              <w:i/>
            </w:rPr>
            <w:t>Santosh</w:t>
          </w:r>
          <w:r>
            <w:rPr>
              <w:i/>
              <w:spacing w:val="-12"/>
            </w:rPr>
            <w:t> </w:t>
          </w:r>
          <w:r>
            <w:rPr>
              <w:i/>
              <w:spacing w:val="-2"/>
            </w:rPr>
            <w:t>Nandi</w:t>
          </w:r>
        </w:p>
        <w:p>
          <w:pPr>
            <w:pStyle w:val="TOC1"/>
            <w:tabs>
              <w:tab w:pos="10363" w:val="left" w:leader="none"/>
            </w:tabs>
          </w:pPr>
          <w:hyperlink w:history="true" w:anchor="h.6qs1trplyxc5">
            <w:r>
              <w:rPr/>
              <w:t>The</w:t>
            </w:r>
            <w:r>
              <w:rPr>
                <w:spacing w:val="-7"/>
              </w:rPr>
              <w:t> </w:t>
            </w:r>
            <w:r>
              <w:rPr/>
              <w:t>Impact</w:t>
            </w:r>
            <w:r>
              <w:rPr>
                <w:spacing w:val="-6"/>
              </w:rPr>
              <w:t> </w:t>
            </w:r>
            <w:r>
              <w:rPr/>
              <w:t>of</w:t>
            </w:r>
            <w:r>
              <w:rPr>
                <w:spacing w:val="-6"/>
              </w:rPr>
              <w:t> </w:t>
            </w:r>
            <w:r>
              <w:rPr/>
              <w:t>Hurricane</w:t>
            </w:r>
            <w:r>
              <w:rPr>
                <w:spacing w:val="-6"/>
              </w:rPr>
              <w:t> </w:t>
            </w:r>
            <w:r>
              <w:rPr/>
              <w:t>Helene</w:t>
            </w:r>
            <w:r>
              <w:rPr>
                <w:spacing w:val="-6"/>
              </w:rPr>
              <w:t> </w:t>
            </w:r>
            <w:r>
              <w:rPr/>
              <w:t>on</w:t>
            </w:r>
            <w:r>
              <w:rPr>
                <w:spacing w:val="-6"/>
              </w:rPr>
              <w:t> </w:t>
            </w:r>
            <w:r>
              <w:rPr/>
              <w:t>the</w:t>
            </w:r>
            <w:r>
              <w:rPr>
                <w:spacing w:val="-6"/>
              </w:rPr>
              <w:t> </w:t>
            </w:r>
            <w:r>
              <w:rPr/>
              <w:t>Outdoor</w:t>
            </w:r>
            <w:r>
              <w:rPr>
                <w:spacing w:val="-7"/>
              </w:rPr>
              <w:t> </w:t>
            </w:r>
            <w:r>
              <w:rPr/>
              <w:t>Recreation</w:t>
            </w:r>
            <w:r>
              <w:rPr>
                <w:spacing w:val="39"/>
              </w:rPr>
              <w:t> </w:t>
            </w:r>
            <w:r>
              <w:rPr/>
              <w:t>Economy</w:t>
            </w:r>
            <w:r>
              <w:rPr>
                <w:spacing w:val="-6"/>
              </w:rPr>
              <w:t> </w:t>
            </w:r>
            <w:r>
              <w:rPr/>
              <w:t>in</w:t>
            </w:r>
            <w:r>
              <w:rPr>
                <w:spacing w:val="-6"/>
              </w:rPr>
              <w:t> </w:t>
            </w:r>
            <w:r>
              <w:rPr/>
              <w:t>Western</w:t>
            </w:r>
            <w:r>
              <w:rPr>
                <w:spacing w:val="-6"/>
              </w:rPr>
              <w:t> </w:t>
            </w:r>
            <w:r>
              <w:rPr/>
              <w:t>North</w:t>
            </w:r>
            <w:r>
              <w:rPr>
                <w:spacing w:val="-6"/>
              </w:rPr>
              <w:t> </w:t>
            </w:r>
            <w:r>
              <w:rPr>
                <w:spacing w:val="-2"/>
              </w:rPr>
              <w:t>Carolina</w:t>
            </w:r>
            <w:r>
              <w:rPr/>
              <w:tab/>
            </w:r>
            <w:r>
              <w:rPr>
                <w:spacing w:val="-5"/>
              </w:rPr>
              <w:t>4</w:t>
            </w:r>
          </w:hyperlink>
          <w:r>
            <w:rPr>
              <w:spacing w:val="-5"/>
            </w:rPr>
            <w:t>8</w:t>
          </w:r>
        </w:p>
        <w:p>
          <w:pPr>
            <w:pStyle w:val="TOC3"/>
            <w:rPr>
              <w:i/>
            </w:rPr>
          </w:pPr>
          <w:r>
            <w:rPr>
              <w:i/>
            </w:rPr>
            <w:t>Andrew</w:t>
          </w:r>
          <w:r>
            <w:rPr>
              <w:i/>
              <w:spacing w:val="-7"/>
            </w:rPr>
            <w:t> </w:t>
          </w:r>
          <w:r>
            <w:rPr>
              <w:i/>
            </w:rPr>
            <w:t>Earle,</w:t>
          </w:r>
          <w:r>
            <w:rPr>
              <w:i/>
              <w:spacing w:val="-7"/>
            </w:rPr>
            <w:t> </w:t>
          </w:r>
          <w:r>
            <w:rPr>
              <w:i/>
            </w:rPr>
            <w:t>Ash</w:t>
          </w:r>
          <w:r>
            <w:rPr>
              <w:i/>
              <w:spacing w:val="-7"/>
            </w:rPr>
            <w:t> </w:t>
          </w:r>
          <w:r>
            <w:rPr>
              <w:i/>
            </w:rPr>
            <w:t>Morgan</w:t>
          </w:r>
          <w:r>
            <w:rPr>
              <w:i/>
              <w:spacing w:val="-7"/>
            </w:rPr>
            <w:t> </w:t>
          </w:r>
          <w:r>
            <w:rPr>
              <w:i/>
            </w:rPr>
            <w:t>and</w:t>
          </w:r>
          <w:r>
            <w:rPr>
              <w:i/>
              <w:spacing w:val="-7"/>
            </w:rPr>
            <w:t> </w:t>
          </w:r>
          <w:r>
            <w:rPr>
              <w:i/>
            </w:rPr>
            <w:t>John</w:t>
          </w:r>
          <w:r>
            <w:rPr>
              <w:i/>
              <w:spacing w:val="-7"/>
            </w:rPr>
            <w:t> </w:t>
          </w:r>
          <w:r>
            <w:rPr>
              <w:i/>
              <w:spacing w:val="-2"/>
            </w:rPr>
            <w:t>Whitehead</w:t>
          </w:r>
        </w:p>
        <w:p>
          <w:pPr>
            <w:pStyle w:val="TOC1"/>
            <w:tabs>
              <w:tab w:pos="10363" w:val="left" w:leader="none"/>
            </w:tabs>
          </w:pPr>
          <w:hyperlink w:history="true" w:anchor="h.tog7lzg6pije">
            <w:r>
              <w:rPr/>
              <w:t>Unveiling</w:t>
            </w:r>
            <w:r>
              <w:rPr>
                <w:spacing w:val="-9"/>
              </w:rPr>
              <w:t> </w:t>
            </w:r>
            <w:r>
              <w:rPr/>
              <w:t>the</w:t>
            </w:r>
            <w:r>
              <w:rPr>
                <w:spacing w:val="-7"/>
              </w:rPr>
              <w:t> </w:t>
            </w:r>
            <w:r>
              <w:rPr/>
              <w:t>Hidden</w:t>
            </w:r>
            <w:r>
              <w:rPr>
                <w:spacing w:val="-7"/>
              </w:rPr>
              <w:t> </w:t>
            </w:r>
            <w:r>
              <w:rPr/>
              <w:t>Impacts</w:t>
            </w:r>
            <w:r>
              <w:rPr>
                <w:spacing w:val="-7"/>
              </w:rPr>
              <w:t> </w:t>
            </w:r>
            <w:r>
              <w:rPr/>
              <w:t>of</w:t>
            </w:r>
            <w:r>
              <w:rPr>
                <w:spacing w:val="-7"/>
              </w:rPr>
              <w:t> </w:t>
            </w:r>
            <w:r>
              <w:rPr/>
              <w:t>Tariffs</w:t>
            </w:r>
            <w:r>
              <w:rPr>
                <w:spacing w:val="-6"/>
              </w:rPr>
              <w:t> </w:t>
            </w:r>
            <w:r>
              <w:rPr/>
              <w:t>on</w:t>
            </w:r>
            <w:r>
              <w:rPr>
                <w:spacing w:val="-7"/>
              </w:rPr>
              <w:t> </w:t>
            </w:r>
            <w:r>
              <w:rPr/>
              <w:t>Businesses</w:t>
            </w:r>
            <w:r>
              <w:rPr>
                <w:spacing w:val="-7"/>
              </w:rPr>
              <w:t> </w:t>
            </w:r>
            <w:r>
              <w:rPr/>
              <w:t>and</w:t>
            </w:r>
            <w:r>
              <w:rPr>
                <w:spacing w:val="37"/>
              </w:rPr>
              <w:t> </w:t>
            </w:r>
            <w:r>
              <w:rPr/>
              <w:t>Consumer</w:t>
            </w:r>
            <w:r>
              <w:rPr>
                <w:spacing w:val="-6"/>
              </w:rPr>
              <w:t> </w:t>
            </w:r>
            <w:r>
              <w:rPr>
                <w:spacing w:val="-2"/>
              </w:rPr>
              <w:t>Behavior</w:t>
            </w:r>
            <w:r>
              <w:rPr/>
              <w:tab/>
            </w:r>
            <w:r>
              <w:rPr>
                <w:spacing w:val="-5"/>
              </w:rPr>
              <w:t>4</w:t>
            </w:r>
          </w:hyperlink>
          <w:r>
            <w:rPr>
              <w:spacing w:val="-5"/>
            </w:rPr>
            <w:t>9</w:t>
          </w:r>
        </w:p>
        <w:p>
          <w:pPr>
            <w:pStyle w:val="TOC3"/>
            <w:rPr>
              <w:i/>
            </w:rPr>
          </w:pPr>
          <w:r>
            <w:rPr>
              <w:i/>
            </w:rPr>
            <w:t>James</w:t>
          </w:r>
          <w:r>
            <w:rPr>
              <w:i/>
              <w:spacing w:val="-5"/>
            </w:rPr>
            <w:t> </w:t>
          </w:r>
          <w:r>
            <w:rPr>
              <w:i/>
            </w:rPr>
            <w:t>Kirby</w:t>
          </w:r>
          <w:r>
            <w:rPr>
              <w:i/>
              <w:spacing w:val="-5"/>
            </w:rPr>
            <w:t> </w:t>
          </w:r>
          <w:r>
            <w:rPr>
              <w:i/>
            </w:rPr>
            <w:t>Easterling</w:t>
          </w:r>
          <w:r>
            <w:rPr>
              <w:i/>
              <w:spacing w:val="-5"/>
            </w:rPr>
            <w:t> </w:t>
          </w:r>
          <w:r>
            <w:rPr>
              <w:i/>
            </w:rPr>
            <w:t>and</w:t>
          </w:r>
          <w:r>
            <w:rPr>
              <w:i/>
              <w:spacing w:val="-5"/>
            </w:rPr>
            <w:t> </w:t>
          </w:r>
          <w:r>
            <w:rPr>
              <w:i/>
            </w:rPr>
            <w:t>Jacob</w:t>
          </w:r>
          <w:r>
            <w:rPr>
              <w:i/>
              <w:spacing w:val="-5"/>
            </w:rPr>
            <w:t> </w:t>
          </w:r>
          <w:r>
            <w:rPr>
              <w:i/>
            </w:rPr>
            <w:t>D</w:t>
          </w:r>
          <w:r>
            <w:rPr>
              <w:i/>
              <w:spacing w:val="-4"/>
            </w:rPr>
            <w:t> Haas</w:t>
          </w:r>
        </w:p>
        <w:p>
          <w:pPr>
            <w:pStyle w:val="TOC1"/>
          </w:pPr>
          <w:hyperlink w:history="true" w:anchor="h.jayph9wt9ej9">
            <w:r>
              <w:rPr/>
              <w:t>Evaluating</w:t>
            </w:r>
            <w:r>
              <w:rPr>
                <w:spacing w:val="-10"/>
              </w:rPr>
              <w:t> </w:t>
            </w:r>
            <w:r>
              <w:rPr/>
              <w:t>Sustainable</w:t>
            </w:r>
            <w:r>
              <w:rPr>
                <w:spacing w:val="-7"/>
              </w:rPr>
              <w:t> </w:t>
            </w:r>
            <w:r>
              <w:rPr/>
              <w:t>Supply</w:t>
            </w:r>
            <w:r>
              <w:rPr>
                <w:spacing w:val="-8"/>
              </w:rPr>
              <w:t> </w:t>
            </w:r>
            <w:r>
              <w:rPr/>
              <w:t>Chain</w:t>
            </w:r>
            <w:r>
              <w:rPr>
                <w:spacing w:val="-7"/>
              </w:rPr>
              <w:t> </w:t>
            </w:r>
            <w:r>
              <w:rPr/>
              <w:t>Practices</w:t>
            </w:r>
            <w:r>
              <w:rPr>
                <w:spacing w:val="-8"/>
              </w:rPr>
              <w:t> </w:t>
            </w:r>
            <w:r>
              <w:rPr/>
              <w:t>Through</w:t>
            </w:r>
            <w:r>
              <w:rPr>
                <w:spacing w:val="-7"/>
              </w:rPr>
              <w:t> </w:t>
            </w:r>
            <w:r>
              <w:rPr/>
              <w:t>the</w:t>
            </w:r>
            <w:r>
              <w:rPr>
                <w:spacing w:val="-8"/>
              </w:rPr>
              <w:t> </w:t>
            </w:r>
            <w:r>
              <w:rPr/>
              <w:t>SCOR</w:t>
            </w:r>
            <w:r>
              <w:rPr>
                <w:spacing w:val="-7"/>
              </w:rPr>
              <w:t> </w:t>
            </w:r>
            <w:r>
              <w:rPr/>
              <w:t>Model:</w:t>
            </w:r>
            <w:r>
              <w:rPr>
                <w:spacing w:val="-8"/>
              </w:rPr>
              <w:t> </w:t>
            </w:r>
            <w:r>
              <w:rPr/>
              <w:t>Operational</w:t>
            </w:r>
            <w:r>
              <w:rPr>
                <w:spacing w:val="-7"/>
              </w:rPr>
              <w:t> </w:t>
            </w:r>
            <w:r>
              <w:rPr/>
              <w:t>Challenges</w:t>
            </w:r>
            <w:r>
              <w:rPr>
                <w:spacing w:val="-7"/>
              </w:rPr>
              <w:t> </w:t>
            </w:r>
            <w:r>
              <w:rPr>
                <w:spacing w:val="-5"/>
              </w:rPr>
              <w:t>and</w:t>
            </w:r>
          </w:hyperlink>
        </w:p>
        <w:p>
          <w:pPr>
            <w:pStyle w:val="TOC1"/>
            <w:tabs>
              <w:tab w:pos="10363" w:val="left" w:leader="none"/>
            </w:tabs>
          </w:pPr>
          <w:hyperlink w:history="true" w:anchor="h.jayph9wt9ej9">
            <w:r>
              <w:rPr>
                <w:spacing w:val="-2"/>
              </w:rPr>
              <w:t>Insights</w:t>
            </w:r>
            <w:r>
              <w:rPr/>
              <w:tab/>
            </w:r>
            <w:r>
              <w:rPr>
                <w:spacing w:val="-5"/>
              </w:rPr>
              <w:t>5</w:t>
            </w:r>
          </w:hyperlink>
          <w:r>
            <w:rPr>
              <w:spacing w:val="-5"/>
            </w:rPr>
            <w:t>7</w:t>
          </w:r>
        </w:p>
        <w:p>
          <w:pPr>
            <w:pStyle w:val="TOC3"/>
            <w:rPr>
              <w:i/>
            </w:rPr>
          </w:pPr>
          <w:r>
            <w:rPr>
              <w:i/>
            </w:rPr>
            <w:t>Henry</w:t>
          </w:r>
          <w:r>
            <w:rPr>
              <w:i/>
              <w:spacing w:val="-8"/>
            </w:rPr>
            <w:t> </w:t>
          </w:r>
          <w:r>
            <w:rPr>
              <w:i/>
            </w:rPr>
            <w:t>Ellington,</w:t>
          </w:r>
          <w:r>
            <w:rPr>
              <w:i/>
              <w:spacing w:val="-6"/>
            </w:rPr>
            <w:t> </w:t>
          </w:r>
          <w:r>
            <w:rPr>
              <w:i/>
            </w:rPr>
            <w:t>Laura</w:t>
          </w:r>
          <w:r>
            <w:rPr>
              <w:i/>
              <w:spacing w:val="-5"/>
            </w:rPr>
            <w:t> </w:t>
          </w:r>
          <w:r>
            <w:rPr>
              <w:i/>
            </w:rPr>
            <w:t>Laws</w:t>
          </w:r>
          <w:r>
            <w:rPr>
              <w:i/>
              <w:spacing w:val="-6"/>
            </w:rPr>
            <w:t> </w:t>
          </w:r>
          <w:r>
            <w:rPr>
              <w:i/>
            </w:rPr>
            <w:t>and</w:t>
          </w:r>
          <w:r>
            <w:rPr>
              <w:i/>
              <w:spacing w:val="-6"/>
            </w:rPr>
            <w:t> </w:t>
          </w:r>
          <w:r>
            <w:rPr>
              <w:i/>
            </w:rPr>
            <w:t>Santosh</w:t>
          </w:r>
          <w:r>
            <w:rPr>
              <w:i/>
              <w:spacing w:val="-5"/>
            </w:rPr>
            <w:t> </w:t>
          </w:r>
          <w:r>
            <w:rPr>
              <w:i/>
              <w:spacing w:val="-2"/>
            </w:rPr>
            <w:t>Nandi</w:t>
          </w:r>
        </w:p>
        <w:p>
          <w:pPr>
            <w:pStyle w:val="TOC1"/>
            <w:tabs>
              <w:tab w:pos="10363" w:val="left" w:leader="none"/>
            </w:tabs>
            <w:ind w:right="954"/>
          </w:pPr>
          <w:hyperlink w:history="true" w:anchor="h.w8h6k1juo9qz">
            <w:r>
              <w:rPr/>
              <w:t>Perceived Benefits, Perceived Costs, Satisfaction, and Loyalty Toward Casino Hotels: A Social Exchange Theory</w:t>
            </w:r>
          </w:hyperlink>
          <w:r>
            <w:rPr/>
            <w:t> </w:t>
          </w:r>
          <w:hyperlink w:history="true" w:anchor="h.w8h6k1juo9qz">
            <w:r>
              <w:rPr/>
              <w:t>Perspective in the Appalachian Region</w:t>
            </w:r>
          </w:hyperlink>
          <w:r>
            <w:rPr/>
            <w:tab/>
          </w:r>
          <w:r>
            <w:rPr>
              <w:spacing w:val="-6"/>
            </w:rPr>
            <w:t>59</w:t>
          </w:r>
        </w:p>
        <w:p>
          <w:pPr>
            <w:pStyle w:val="TOC3"/>
            <w:rPr>
              <w:i/>
            </w:rPr>
          </w:pPr>
          <w:r>
            <w:rPr>
              <w:i/>
              <w:spacing w:val="-6"/>
            </w:rPr>
            <w:t>Wei</w:t>
          </w:r>
          <w:r>
            <w:rPr>
              <w:i/>
              <w:spacing w:val="-3"/>
            </w:rPr>
            <w:t> </w:t>
          </w:r>
          <w:r>
            <w:rPr>
              <w:i/>
              <w:spacing w:val="-5"/>
            </w:rPr>
            <w:t>Fu</w:t>
          </w:r>
        </w:p>
        <w:p>
          <w:pPr>
            <w:pStyle w:val="TOC1"/>
            <w:tabs>
              <w:tab w:pos="10363" w:val="left" w:leader="none"/>
            </w:tabs>
          </w:pPr>
          <w:hyperlink w:history="true" w:anchor="h.w4yqatzdcmhk">
            <w:r>
              <w:rPr/>
              <w:t>Faculty</w:t>
            </w:r>
            <w:r>
              <w:rPr>
                <w:spacing w:val="-8"/>
              </w:rPr>
              <w:t> </w:t>
            </w:r>
            <w:r>
              <w:rPr/>
              <w:t>Members’</w:t>
            </w:r>
            <w:r>
              <w:rPr>
                <w:spacing w:val="-6"/>
              </w:rPr>
              <w:t> </w:t>
            </w:r>
            <w:r>
              <w:rPr/>
              <w:t>Responses</w:t>
            </w:r>
            <w:r>
              <w:rPr>
                <w:spacing w:val="-6"/>
              </w:rPr>
              <w:t> </w:t>
            </w:r>
            <w:r>
              <w:rPr/>
              <w:t>to</w:t>
            </w:r>
            <w:r>
              <w:rPr>
                <w:spacing w:val="-6"/>
              </w:rPr>
              <w:t> </w:t>
            </w:r>
            <w:r>
              <w:rPr/>
              <w:t>a</w:t>
            </w:r>
            <w:r>
              <w:rPr>
                <w:spacing w:val="-6"/>
              </w:rPr>
              <w:t> </w:t>
            </w:r>
            <w:r>
              <w:rPr/>
              <w:t>Seminar</w:t>
            </w:r>
            <w:r>
              <w:rPr>
                <w:spacing w:val="-6"/>
              </w:rPr>
              <w:t> </w:t>
            </w:r>
            <w:r>
              <w:rPr/>
              <w:t>on</w:t>
            </w:r>
            <w:r>
              <w:rPr>
                <w:spacing w:val="-6"/>
              </w:rPr>
              <w:t> </w:t>
            </w:r>
            <w:r>
              <w:rPr/>
              <w:t>the</w:t>
            </w:r>
            <w:r>
              <w:rPr>
                <w:spacing w:val="-5"/>
              </w:rPr>
              <w:t> </w:t>
            </w:r>
            <w:r>
              <w:rPr/>
              <w:t>Use</w:t>
            </w:r>
            <w:r>
              <w:rPr>
                <w:spacing w:val="-6"/>
              </w:rPr>
              <w:t> </w:t>
            </w:r>
            <w:r>
              <w:rPr/>
              <w:t>of</w:t>
            </w:r>
            <w:r>
              <w:rPr>
                <w:spacing w:val="39"/>
              </w:rPr>
              <w:t> </w:t>
            </w:r>
            <w:r>
              <w:rPr/>
              <w:t>Artificial</w:t>
            </w:r>
            <w:r>
              <w:rPr>
                <w:spacing w:val="-6"/>
              </w:rPr>
              <w:t> </w:t>
            </w:r>
            <w:r>
              <w:rPr/>
              <w:t>Intelligence</w:t>
            </w:r>
            <w:r>
              <w:rPr>
                <w:spacing w:val="-6"/>
              </w:rPr>
              <w:t> </w:t>
            </w:r>
            <w:r>
              <w:rPr/>
              <w:t>in</w:t>
            </w:r>
            <w:r>
              <w:rPr>
                <w:spacing w:val="-6"/>
              </w:rPr>
              <w:t> </w:t>
            </w:r>
            <w:r>
              <w:rPr/>
              <w:t>Teaching</w:t>
            </w:r>
            <w:r>
              <w:rPr>
                <w:spacing w:val="-6"/>
              </w:rPr>
              <w:t> </w:t>
            </w:r>
            <w:r>
              <w:rPr/>
              <w:t>and</w:t>
            </w:r>
            <w:r>
              <w:rPr>
                <w:spacing w:val="-5"/>
              </w:rPr>
              <w:t> </w:t>
            </w:r>
            <w:r>
              <w:rPr>
                <w:spacing w:val="-2"/>
              </w:rPr>
              <w:t>Research</w:t>
            </w:r>
            <w:r>
              <w:rPr/>
              <w:tab/>
            </w:r>
            <w:r>
              <w:rPr>
                <w:spacing w:val="-5"/>
              </w:rPr>
              <w:t>6</w:t>
            </w:r>
          </w:hyperlink>
          <w:r>
            <w:rPr>
              <w:spacing w:val="-5"/>
            </w:rPr>
            <w:t>4</w:t>
          </w:r>
        </w:p>
        <w:p>
          <w:pPr>
            <w:pStyle w:val="TOC2"/>
            <w:ind w:left="1061" w:right="1191" w:firstLine="49"/>
          </w:pPr>
          <w:r>
            <w:rPr>
              <w:i/>
            </w:rPr>
            <w:t>Henry</w:t>
          </w:r>
          <w:r>
            <w:rPr>
              <w:i/>
              <w:spacing w:val="-5"/>
            </w:rPr>
            <w:t> </w:t>
          </w:r>
          <w:r>
            <w:rPr>
              <w:i/>
            </w:rPr>
            <w:t>Kevin</w:t>
          </w:r>
          <w:r>
            <w:rPr>
              <w:i/>
              <w:spacing w:val="-5"/>
            </w:rPr>
            <w:t> </w:t>
          </w:r>
          <w:r>
            <w:rPr>
              <w:i/>
            </w:rPr>
            <w:t>Fulk,</w:t>
          </w:r>
          <w:r>
            <w:rPr>
              <w:i/>
              <w:spacing w:val="-5"/>
            </w:rPr>
            <w:t> </w:t>
          </w:r>
          <w:r>
            <w:rPr>
              <w:i/>
            </w:rPr>
            <w:t>Barbara</w:t>
          </w:r>
          <w:r>
            <w:rPr>
              <w:i/>
              <w:spacing w:val="-5"/>
            </w:rPr>
            <w:t> </w:t>
          </w:r>
          <w:r>
            <w:rPr>
              <w:i/>
            </w:rPr>
            <w:t>Jo</w:t>
          </w:r>
          <w:r>
            <w:rPr>
              <w:i/>
              <w:spacing w:val="-5"/>
            </w:rPr>
            <w:t> </w:t>
          </w:r>
          <w:r>
            <w:rPr>
              <w:i/>
            </w:rPr>
            <w:t>White,</w:t>
          </w:r>
          <w:r>
            <w:rPr>
              <w:i/>
              <w:spacing w:val="-5"/>
            </w:rPr>
            <w:t> </w:t>
          </w:r>
          <w:r>
            <w:rPr>
              <w:i/>
            </w:rPr>
            <w:t>Angela</w:t>
          </w:r>
          <w:r>
            <w:rPr>
              <w:i/>
              <w:spacing w:val="-5"/>
            </w:rPr>
            <w:t> </w:t>
          </w:r>
          <w:r>
            <w:rPr>
              <w:i/>
            </w:rPr>
            <w:t>Dills,</w:t>
          </w:r>
          <w:r>
            <w:rPr>
              <w:i/>
              <w:spacing w:val="-5"/>
            </w:rPr>
            <w:t> </w:t>
          </w:r>
          <w:r>
            <w:rPr>
              <w:i/>
            </w:rPr>
            <w:t>Yue</w:t>
          </w:r>
          <w:r>
            <w:rPr>
              <w:i/>
              <w:spacing w:val="-5"/>
            </w:rPr>
            <w:t> </w:t>
          </w:r>
          <w:r>
            <w:rPr>
              <w:i/>
            </w:rPr>
            <w:t>Hillon,</w:t>
          </w:r>
          <w:r>
            <w:rPr>
              <w:i/>
              <w:spacing w:val="-5"/>
            </w:rPr>
            <w:t> </w:t>
          </w:r>
          <w:r>
            <w:rPr>
              <w:i/>
            </w:rPr>
            <w:t>Joe</w:t>
          </w:r>
          <w:r>
            <w:rPr>
              <w:i/>
              <w:spacing w:val="-5"/>
            </w:rPr>
            <w:t> </w:t>
          </w:r>
          <w:r>
            <w:rPr>
              <w:i/>
            </w:rPr>
            <w:t>Giordano,</w:t>
          </w:r>
          <w:r>
            <w:rPr>
              <w:i/>
              <w:spacing w:val="-5"/>
            </w:rPr>
            <w:t> </w:t>
          </w:r>
          <w:r>
            <w:rPr>
              <w:i/>
            </w:rPr>
            <w:t>Erica</w:t>
          </w:r>
          <w:r>
            <w:rPr>
              <w:i/>
              <w:spacing w:val="-5"/>
            </w:rPr>
            <w:t> </w:t>
          </w:r>
          <w:r>
            <w:rPr>
              <w:i/>
            </w:rPr>
            <w:t>Thompson,</w:t>
          </w:r>
          <w:r>
            <w:rPr>
              <w:i/>
              <w:spacing w:val="-5"/>
            </w:rPr>
            <w:t> </w:t>
          </w:r>
          <w:r>
            <w:rPr>
              <w:i/>
            </w:rPr>
            <w:t>Dan</w:t>
          </w:r>
          <w:r>
            <w:rPr>
              <w:i/>
              <w:spacing w:val="-5"/>
            </w:rPr>
            <w:t> </w:t>
          </w:r>
          <w:r>
            <w:rPr>
              <w:i/>
            </w:rPr>
            <w:t>R.</w:t>
          </w:r>
          <w:r>
            <w:rPr>
              <w:i/>
              <w:spacing w:val="-5"/>
            </w:rPr>
            <w:t> </w:t>
          </w:r>
          <w:r>
            <w:rPr>
              <w:i/>
            </w:rPr>
            <w:t>Bradbury,</w:t>
          </w:r>
          <w:r>
            <w:rPr/>
            <w:t> Kia Alimohammadirokni, Christine</w:t>
          </w:r>
          <w:r>
            <w:rPr>
              <w:spacing w:val="80"/>
            </w:rPr>
            <w:t> </w:t>
          </w:r>
          <w:r>
            <w:rPr/>
            <w:t>Kirkland, Mariano Garrido-Lopez and Rady Large</w:t>
          </w:r>
        </w:p>
        <w:p>
          <w:pPr>
            <w:pStyle w:val="TOC1"/>
            <w:tabs>
              <w:tab w:pos="10363" w:val="left" w:leader="none"/>
            </w:tabs>
          </w:pPr>
          <w:hyperlink w:history="true" w:anchor="h.7i0xboabuvd3">
            <w:r>
              <w:rPr/>
              <w:t>How</w:t>
            </w:r>
            <w:r>
              <w:rPr>
                <w:spacing w:val="-8"/>
              </w:rPr>
              <w:t> </w:t>
            </w:r>
            <w:r>
              <w:rPr/>
              <w:t>are</w:t>
            </w:r>
            <w:r>
              <w:rPr>
                <w:spacing w:val="-7"/>
              </w:rPr>
              <w:t> </w:t>
            </w:r>
            <w:r>
              <w:rPr/>
              <w:t>Ethics</w:t>
            </w:r>
            <w:r>
              <w:rPr>
                <w:spacing w:val="-7"/>
              </w:rPr>
              <w:t> </w:t>
            </w:r>
            <w:r>
              <w:rPr/>
              <w:t>and</w:t>
            </w:r>
            <w:r>
              <w:rPr>
                <w:spacing w:val="-7"/>
              </w:rPr>
              <w:t> </w:t>
            </w:r>
            <w:r>
              <w:rPr/>
              <w:t>Leadership</w:t>
            </w:r>
            <w:r>
              <w:rPr>
                <w:spacing w:val="-7"/>
              </w:rPr>
              <w:t> </w:t>
            </w:r>
            <w:r>
              <w:rPr/>
              <w:t>Perceived</w:t>
            </w:r>
            <w:r>
              <w:rPr>
                <w:spacing w:val="-7"/>
              </w:rPr>
              <w:t> </w:t>
            </w:r>
            <w:r>
              <w:rPr/>
              <w:t>Differently</w:t>
            </w:r>
            <w:r>
              <w:rPr>
                <w:spacing w:val="-7"/>
              </w:rPr>
              <w:t> </w:t>
            </w:r>
            <w:r>
              <w:rPr/>
              <w:t>in</w:t>
            </w:r>
            <w:r>
              <w:rPr>
                <w:spacing w:val="-7"/>
              </w:rPr>
              <w:t> </w:t>
            </w:r>
            <w:r>
              <w:rPr/>
              <w:t>Accounting</w:t>
            </w:r>
            <w:r>
              <w:rPr>
                <w:spacing w:val="37"/>
              </w:rPr>
              <w:t> </w:t>
            </w:r>
            <w:r>
              <w:rPr/>
              <w:t>Firms</w:t>
            </w:r>
            <w:r>
              <w:rPr>
                <w:spacing w:val="-7"/>
              </w:rPr>
              <w:t> </w:t>
            </w:r>
            <w:r>
              <w:rPr/>
              <w:t>with</w:t>
            </w:r>
            <w:r>
              <w:rPr>
                <w:spacing w:val="-7"/>
              </w:rPr>
              <w:t> </w:t>
            </w:r>
            <w:r>
              <w:rPr/>
              <w:t>Different</w:t>
            </w:r>
            <w:r>
              <w:rPr>
                <w:spacing w:val="-7"/>
              </w:rPr>
              <w:t> </w:t>
            </w:r>
            <w:r>
              <w:rPr/>
              <w:t>Organizational</w:t>
            </w:r>
            <w:r>
              <w:rPr>
                <w:spacing w:val="-7"/>
              </w:rPr>
              <w:t> </w:t>
            </w:r>
            <w:r>
              <w:rPr>
                <w:spacing w:val="-2"/>
              </w:rPr>
              <w:t>Structures?</w:t>
            </w:r>
            <w:r>
              <w:rPr/>
              <w:tab/>
            </w:r>
            <w:r>
              <w:rPr>
                <w:spacing w:val="-5"/>
              </w:rPr>
              <w:t>6</w:t>
            </w:r>
          </w:hyperlink>
          <w:r>
            <w:rPr>
              <w:spacing w:val="-5"/>
            </w:rPr>
            <w:t>6</w:t>
          </w:r>
        </w:p>
        <w:p>
          <w:pPr>
            <w:pStyle w:val="TOC3"/>
            <w:rPr>
              <w:i/>
            </w:rPr>
          </w:pPr>
          <w:r>
            <w:rPr>
              <w:i/>
            </w:rPr>
            <w:t>Peyton</w:t>
          </w:r>
          <w:r>
            <w:rPr>
              <w:i/>
              <w:spacing w:val="-8"/>
            </w:rPr>
            <w:t> </w:t>
          </w:r>
          <w:r>
            <w:rPr>
              <w:i/>
            </w:rPr>
            <w:t>Getsy,</w:t>
          </w:r>
          <w:r>
            <w:rPr>
              <w:i/>
              <w:spacing w:val="-8"/>
            </w:rPr>
            <w:t> </w:t>
          </w:r>
          <w:r>
            <w:rPr>
              <w:i/>
            </w:rPr>
            <w:t>Melissa</w:t>
          </w:r>
          <w:r>
            <w:rPr>
              <w:i/>
              <w:spacing w:val="-8"/>
            </w:rPr>
            <w:t> </w:t>
          </w:r>
          <w:r>
            <w:rPr>
              <w:i/>
            </w:rPr>
            <w:t>Carsten</w:t>
          </w:r>
          <w:r>
            <w:rPr>
              <w:i/>
              <w:spacing w:val="-8"/>
            </w:rPr>
            <w:t> </w:t>
          </w:r>
          <w:r>
            <w:rPr>
              <w:i/>
            </w:rPr>
            <w:t>and</w:t>
          </w:r>
          <w:r>
            <w:rPr>
              <w:i/>
              <w:spacing w:val="-8"/>
            </w:rPr>
            <w:t> </w:t>
          </w:r>
          <w:r>
            <w:rPr>
              <w:i/>
            </w:rPr>
            <w:t>Santosh</w:t>
          </w:r>
          <w:r>
            <w:rPr>
              <w:i/>
              <w:spacing w:val="-7"/>
            </w:rPr>
            <w:t> </w:t>
          </w:r>
          <w:r>
            <w:rPr>
              <w:i/>
              <w:spacing w:val="-2"/>
            </w:rPr>
            <w:t>Nandi</w:t>
          </w:r>
        </w:p>
        <w:p>
          <w:pPr>
            <w:pStyle w:val="TOC1"/>
            <w:tabs>
              <w:tab w:pos="10363" w:val="left" w:leader="none"/>
            </w:tabs>
          </w:pPr>
          <w:hyperlink w:history="true" w:anchor="h.mxy4ro7up354">
            <w:r>
              <w:rPr/>
              <w:t>Be</w:t>
            </w:r>
            <w:r>
              <w:rPr>
                <w:spacing w:val="-12"/>
              </w:rPr>
              <w:t> </w:t>
            </w:r>
            <w:r>
              <w:rPr/>
              <w:t>Careful</w:t>
            </w:r>
            <w:r>
              <w:rPr>
                <w:spacing w:val="-10"/>
              </w:rPr>
              <w:t> </w:t>
            </w:r>
            <w:r>
              <w:rPr/>
              <w:t>What</w:t>
            </w:r>
            <w:r>
              <w:rPr>
                <w:spacing w:val="-10"/>
              </w:rPr>
              <w:t> </w:t>
            </w:r>
            <w:r>
              <w:rPr/>
              <w:t>You</w:t>
            </w:r>
            <w:r>
              <w:rPr>
                <w:spacing w:val="-10"/>
              </w:rPr>
              <w:t> </w:t>
            </w:r>
            <w:r>
              <w:rPr/>
              <w:t>Wish</w:t>
            </w:r>
            <w:r>
              <w:rPr>
                <w:spacing w:val="-10"/>
              </w:rPr>
              <w:t> </w:t>
            </w:r>
            <w:r>
              <w:rPr/>
              <w:t>For:</w:t>
            </w:r>
            <w:r>
              <w:rPr>
                <w:spacing w:val="-10"/>
              </w:rPr>
              <w:t> </w:t>
            </w:r>
            <w:r>
              <w:rPr/>
              <w:t>Intrinsic</w:t>
            </w:r>
            <w:r>
              <w:rPr>
                <w:spacing w:val="-10"/>
              </w:rPr>
              <w:t> </w:t>
            </w:r>
            <w:r>
              <w:rPr/>
              <w:t>Motivation,</w:t>
            </w:r>
            <w:r>
              <w:rPr>
                <w:spacing w:val="-10"/>
              </w:rPr>
              <w:t> </w:t>
            </w:r>
            <w:r>
              <w:rPr/>
              <w:t>Professional</w:t>
            </w:r>
            <w:r>
              <w:rPr>
                <w:spacing w:val="-10"/>
              </w:rPr>
              <w:t> </w:t>
            </w:r>
            <w:r>
              <w:rPr/>
              <w:t>Values,</w:t>
            </w:r>
            <w:r>
              <w:rPr>
                <w:spacing w:val="-10"/>
              </w:rPr>
              <w:t> </w:t>
            </w:r>
            <w:r>
              <w:rPr/>
              <w:t>and</w:t>
            </w:r>
            <w:r>
              <w:rPr>
                <w:spacing w:val="-10"/>
              </w:rPr>
              <w:t> </w:t>
            </w:r>
            <w:r>
              <w:rPr/>
              <w:t>the</w:t>
            </w:r>
            <w:r>
              <w:rPr>
                <w:spacing w:val="-10"/>
              </w:rPr>
              <w:t> </w:t>
            </w:r>
            <w:r>
              <w:rPr/>
              <w:t>Accounting</w:t>
            </w:r>
            <w:r>
              <w:rPr>
                <w:spacing w:val="-9"/>
              </w:rPr>
              <w:t> </w:t>
            </w:r>
            <w:r>
              <w:rPr>
                <w:spacing w:val="-2"/>
              </w:rPr>
              <w:t>Pipeline</w:t>
            </w:r>
            <w:r>
              <w:rPr/>
              <w:tab/>
            </w:r>
            <w:r>
              <w:rPr>
                <w:spacing w:val="-5"/>
              </w:rPr>
              <w:t>6</w:t>
            </w:r>
          </w:hyperlink>
          <w:r>
            <w:rPr>
              <w:spacing w:val="-5"/>
            </w:rPr>
            <w:t>7</w:t>
          </w:r>
        </w:p>
        <w:p>
          <w:pPr>
            <w:pStyle w:val="TOC3"/>
            <w:rPr>
              <w:i/>
            </w:rPr>
          </w:pPr>
          <w:r>
            <w:rPr>
              <w:i/>
            </w:rPr>
            <w:t>Joseph</w:t>
          </w:r>
          <w:r>
            <w:rPr>
              <w:i/>
              <w:spacing w:val="-10"/>
            </w:rPr>
            <w:t> </w:t>
          </w:r>
          <w:r>
            <w:rPr>
              <w:i/>
            </w:rPr>
            <w:t>Giordano,</w:t>
          </w:r>
          <w:r>
            <w:rPr>
              <w:i/>
              <w:spacing w:val="-7"/>
            </w:rPr>
            <w:t> </w:t>
          </w:r>
          <w:r>
            <w:rPr>
              <w:i/>
            </w:rPr>
            <w:t>Joseph</w:t>
          </w:r>
          <w:r>
            <w:rPr>
              <w:i/>
              <w:spacing w:val="-7"/>
            </w:rPr>
            <w:t> </w:t>
          </w:r>
          <w:r>
            <w:rPr>
              <w:i/>
            </w:rPr>
            <w:t>Hashem</w:t>
          </w:r>
          <w:r>
            <w:rPr>
              <w:i/>
              <w:spacing w:val="-7"/>
            </w:rPr>
            <w:t> </w:t>
          </w:r>
          <w:r>
            <w:rPr>
              <w:i/>
            </w:rPr>
            <w:t>and</w:t>
          </w:r>
          <w:r>
            <w:rPr>
              <w:i/>
              <w:spacing w:val="-7"/>
            </w:rPr>
            <w:t> </w:t>
          </w:r>
          <w:r>
            <w:rPr>
              <w:i/>
            </w:rPr>
            <w:t>Gloria</w:t>
          </w:r>
          <w:r>
            <w:rPr>
              <w:i/>
              <w:spacing w:val="-7"/>
            </w:rPr>
            <w:t> </w:t>
          </w:r>
          <w:r>
            <w:rPr>
              <w:i/>
              <w:spacing w:val="-2"/>
            </w:rPr>
            <w:t>Sapounova</w:t>
          </w:r>
        </w:p>
        <w:p>
          <w:pPr>
            <w:pStyle w:val="TOC1"/>
            <w:tabs>
              <w:tab w:pos="10363" w:val="left" w:leader="none"/>
            </w:tabs>
            <w:spacing w:before="201" w:after="70"/>
          </w:pPr>
          <w:hyperlink w:history="true" w:anchor="h.hmg1o762p6o">
            <w:r>
              <w:rPr/>
              <w:t>‘Why</w:t>
            </w:r>
            <w:r>
              <w:rPr>
                <w:spacing w:val="-7"/>
              </w:rPr>
              <w:t> </w:t>
            </w:r>
            <w:r>
              <w:rPr/>
              <w:t>Do</w:t>
            </w:r>
            <w:r>
              <w:rPr>
                <w:spacing w:val="-7"/>
              </w:rPr>
              <w:t> </w:t>
            </w:r>
            <w:r>
              <w:rPr/>
              <w:t>I</w:t>
            </w:r>
            <w:r>
              <w:rPr>
                <w:spacing w:val="-7"/>
              </w:rPr>
              <w:t> </w:t>
            </w:r>
            <w:r>
              <w:rPr/>
              <w:t>Have</w:t>
            </w:r>
            <w:r>
              <w:rPr>
                <w:spacing w:val="-6"/>
              </w:rPr>
              <w:t> </w:t>
            </w:r>
            <w:r>
              <w:rPr/>
              <w:t>to</w:t>
            </w:r>
            <w:r>
              <w:rPr>
                <w:spacing w:val="-7"/>
              </w:rPr>
              <w:t> </w:t>
            </w:r>
            <w:r>
              <w:rPr/>
              <w:t>Do</w:t>
            </w:r>
            <w:r>
              <w:rPr>
                <w:spacing w:val="-7"/>
              </w:rPr>
              <w:t> </w:t>
            </w:r>
            <w:r>
              <w:rPr/>
              <w:t>This?’</w:t>
            </w:r>
            <w:r>
              <w:rPr>
                <w:spacing w:val="-7"/>
              </w:rPr>
              <w:t> </w:t>
            </w:r>
            <w:r>
              <w:rPr/>
              <w:t>Employee</w:t>
            </w:r>
            <w:r>
              <w:rPr>
                <w:spacing w:val="-6"/>
              </w:rPr>
              <w:t> </w:t>
            </w:r>
            <w:r>
              <w:rPr/>
              <w:t>Perceptions</w:t>
            </w:r>
            <w:r>
              <w:rPr>
                <w:spacing w:val="-7"/>
              </w:rPr>
              <w:t> </w:t>
            </w:r>
            <w:r>
              <w:rPr/>
              <w:t>of</w:t>
            </w:r>
            <w:r>
              <w:rPr>
                <w:spacing w:val="-7"/>
              </w:rPr>
              <w:t> </w:t>
            </w:r>
            <w:r>
              <w:rPr/>
              <w:t>Multi</w:t>
            </w:r>
            <w:r>
              <w:rPr>
                <w:rFonts w:ascii="Segoe UI Symbol" w:hAnsi="Segoe UI Symbol"/>
              </w:rPr>
              <w:t>‑</w:t>
            </w:r>
            <w:r>
              <w:rPr/>
              <w:t>Factor</w:t>
            </w:r>
            <w:r>
              <w:rPr>
                <w:spacing w:val="-7"/>
              </w:rPr>
              <w:t> </w:t>
            </w:r>
            <w:r>
              <w:rPr>
                <w:spacing w:val="-2"/>
              </w:rPr>
              <w:t>Authentication</w:t>
            </w:r>
          </w:hyperlink>
          <w:r>
            <w:rPr/>
            <w:tab/>
          </w:r>
          <w:r>
            <w:rPr>
              <w:spacing w:val="-5"/>
            </w:rPr>
            <w:t>68</w:t>
          </w:r>
        </w:p>
        <w:p>
          <w:pPr>
            <w:pStyle w:val="TOC3"/>
            <w:spacing w:before="81"/>
            <w:rPr>
              <w:i/>
            </w:rPr>
          </w:pPr>
          <w:r>
            <w:rPr>
              <w:i/>
            </w:rPr>
            <w:t>Julia</w:t>
          </w:r>
          <w:r>
            <w:rPr>
              <w:i/>
              <w:spacing w:val="-11"/>
            </w:rPr>
            <w:t> </w:t>
          </w:r>
          <w:r>
            <w:rPr>
              <w:i/>
            </w:rPr>
            <w:t>Graham,</w:t>
          </w:r>
          <w:r>
            <w:rPr>
              <w:i/>
              <w:spacing w:val="-9"/>
            </w:rPr>
            <w:t> </w:t>
          </w:r>
          <w:r>
            <w:rPr>
              <w:i/>
            </w:rPr>
            <w:t>Kristen</w:t>
          </w:r>
          <w:r>
            <w:rPr>
              <w:i/>
              <w:spacing w:val="-8"/>
            </w:rPr>
            <w:t> </w:t>
          </w:r>
          <w:r>
            <w:rPr>
              <w:i/>
            </w:rPr>
            <w:t>Wilson,</w:t>
          </w:r>
          <w:r>
            <w:rPr>
              <w:i/>
              <w:spacing w:val="-9"/>
            </w:rPr>
            <w:t> </w:t>
          </w:r>
          <w:r>
            <w:rPr>
              <w:i/>
            </w:rPr>
            <w:t>James</w:t>
          </w:r>
          <w:r>
            <w:rPr>
              <w:i/>
              <w:spacing w:val="-8"/>
            </w:rPr>
            <w:t> </w:t>
          </w:r>
          <w:r>
            <w:rPr>
              <w:i/>
            </w:rPr>
            <w:t>Kirby</w:t>
          </w:r>
          <w:r>
            <w:rPr>
              <w:i/>
              <w:spacing w:val="-9"/>
            </w:rPr>
            <w:t> </w:t>
          </w:r>
          <w:r>
            <w:rPr>
              <w:i/>
            </w:rPr>
            <w:t>Easterling</w:t>
          </w:r>
          <w:r>
            <w:rPr>
              <w:i/>
              <w:spacing w:val="-8"/>
            </w:rPr>
            <w:t> </w:t>
          </w:r>
          <w:r>
            <w:rPr>
              <w:i/>
            </w:rPr>
            <w:t>and</w:t>
          </w:r>
          <w:r>
            <w:rPr>
              <w:i/>
              <w:spacing w:val="-9"/>
            </w:rPr>
            <w:t> </w:t>
          </w:r>
          <w:r>
            <w:rPr>
              <w:i/>
            </w:rPr>
            <w:t>Travis</w:t>
          </w:r>
          <w:r>
            <w:rPr>
              <w:i/>
              <w:spacing w:val="-8"/>
            </w:rPr>
            <w:t> </w:t>
          </w:r>
          <w:r>
            <w:rPr>
              <w:i/>
              <w:spacing w:val="-2"/>
            </w:rPr>
            <w:t>Walkowiak</w:t>
          </w:r>
        </w:p>
        <w:p>
          <w:pPr>
            <w:pStyle w:val="TOC1"/>
            <w:spacing w:before="31"/>
          </w:pPr>
          <w:hyperlink w:history="true" w:anchor="h.sl5f7zuh691m">
            <w:r>
              <w:rPr/>
              <w:t>Employee</w:t>
            </w:r>
            <w:r>
              <w:rPr>
                <w:spacing w:val="-7"/>
              </w:rPr>
              <w:t> </w:t>
            </w:r>
            <w:r>
              <w:rPr/>
              <w:t>Salient</w:t>
            </w:r>
            <w:r>
              <w:rPr>
                <w:spacing w:val="-7"/>
              </w:rPr>
              <w:t> </w:t>
            </w:r>
            <w:r>
              <w:rPr/>
              <w:t>CSR</w:t>
            </w:r>
            <w:r>
              <w:rPr>
                <w:spacing w:val="-7"/>
              </w:rPr>
              <w:t> </w:t>
            </w:r>
            <w:r>
              <w:rPr/>
              <w:t>Disclosure,</w:t>
            </w:r>
            <w:r>
              <w:rPr>
                <w:spacing w:val="-7"/>
              </w:rPr>
              <w:t> </w:t>
            </w:r>
            <w:r>
              <w:rPr/>
              <w:t>a</w:t>
            </w:r>
            <w:r>
              <w:rPr>
                <w:spacing w:val="-7"/>
              </w:rPr>
              <w:t> </w:t>
            </w:r>
            <w:r>
              <w:rPr/>
              <w:t>Precursor</w:t>
            </w:r>
            <w:r>
              <w:rPr>
                <w:spacing w:val="-7"/>
              </w:rPr>
              <w:t> </w:t>
            </w:r>
            <w:r>
              <w:rPr/>
              <w:t>and</w:t>
            </w:r>
            <w:r>
              <w:rPr>
                <w:spacing w:val="-7"/>
              </w:rPr>
              <w:t> </w:t>
            </w:r>
            <w:r>
              <w:rPr/>
              <w:t>Signal:</w:t>
            </w:r>
            <w:r>
              <w:rPr>
                <w:spacing w:val="-7"/>
              </w:rPr>
              <w:t> </w:t>
            </w:r>
            <w:r>
              <w:rPr/>
              <w:t>A</w:t>
            </w:r>
            <w:r>
              <w:rPr>
                <w:spacing w:val="-7"/>
              </w:rPr>
              <w:t> </w:t>
            </w:r>
            <w:r>
              <w:rPr/>
              <w:t>Blended</w:t>
            </w:r>
            <w:r>
              <w:rPr>
                <w:spacing w:val="-7"/>
              </w:rPr>
              <w:t> </w:t>
            </w:r>
            <w:r>
              <w:rPr/>
              <w:t>Examination</w:t>
            </w:r>
            <w:r>
              <w:rPr>
                <w:spacing w:val="-7"/>
              </w:rPr>
              <w:t> </w:t>
            </w:r>
            <w:r>
              <w:rPr/>
              <w:t>of</w:t>
            </w:r>
            <w:r>
              <w:rPr>
                <w:spacing w:val="-7"/>
              </w:rPr>
              <w:t> </w:t>
            </w:r>
            <w:r>
              <w:rPr/>
              <w:t>10</w:t>
            </w:r>
            <w:r>
              <w:rPr>
                <w:rFonts w:ascii="Segoe UI Symbol" w:hAnsi="Segoe UI Symbol"/>
              </w:rPr>
              <w:t>‑</w:t>
            </w:r>
            <w:r>
              <w:rPr/>
              <w:t>K</w:t>
            </w:r>
            <w:r>
              <w:rPr>
                <w:spacing w:val="-7"/>
              </w:rPr>
              <w:t> </w:t>
            </w:r>
            <w:r>
              <w:rPr/>
              <w:t>Filings</w:t>
            </w:r>
            <w:r>
              <w:rPr>
                <w:spacing w:val="-7"/>
              </w:rPr>
              <w:t> </w:t>
            </w:r>
            <w:r>
              <w:rPr/>
              <w:t>and</w:t>
            </w:r>
            <w:r>
              <w:rPr>
                <w:spacing w:val="-7"/>
              </w:rPr>
              <w:t> </w:t>
            </w:r>
            <w:r>
              <w:rPr>
                <w:spacing w:val="-4"/>
              </w:rPr>
              <w:t>Firm</w:t>
            </w:r>
          </w:hyperlink>
        </w:p>
        <w:p>
          <w:pPr>
            <w:pStyle w:val="TOC1"/>
            <w:tabs>
              <w:tab w:pos="10363" w:val="left" w:leader="none"/>
            </w:tabs>
            <w:spacing w:before="53"/>
          </w:pPr>
          <w:hyperlink w:history="true" w:anchor="h.sl5f7zuh691m">
            <w:r>
              <w:rPr>
                <w:spacing w:val="-2"/>
              </w:rPr>
              <w:t>Productivity</w:t>
            </w:r>
            <w:r>
              <w:rPr/>
              <w:tab/>
            </w:r>
            <w:r>
              <w:rPr>
                <w:spacing w:val="-5"/>
              </w:rPr>
              <w:t>7</w:t>
            </w:r>
          </w:hyperlink>
          <w:r>
            <w:rPr>
              <w:spacing w:val="-5"/>
            </w:rPr>
            <w:t>2</w:t>
          </w:r>
        </w:p>
        <w:p>
          <w:pPr>
            <w:pStyle w:val="TOC3"/>
            <w:rPr>
              <w:i/>
            </w:rPr>
          </w:pPr>
          <w:r>
            <w:rPr>
              <w:i/>
            </w:rPr>
            <w:t>Scott</w:t>
          </w:r>
          <w:r>
            <w:rPr>
              <w:i/>
              <w:spacing w:val="-7"/>
            </w:rPr>
            <w:t> </w:t>
          </w:r>
          <w:r>
            <w:rPr>
              <w:i/>
              <w:spacing w:val="-4"/>
            </w:rPr>
            <w:t>Gray</w:t>
          </w:r>
        </w:p>
        <w:p>
          <w:pPr>
            <w:pStyle w:val="TOC1"/>
            <w:tabs>
              <w:tab w:pos="10363" w:val="left" w:leader="none"/>
            </w:tabs>
          </w:pPr>
          <w:hyperlink w:history="true" w:anchor="h.smjy7jr4utm5">
            <w:r>
              <w:rPr/>
              <w:t>Project</w:t>
            </w:r>
            <w:r>
              <w:rPr>
                <w:spacing w:val="-10"/>
              </w:rPr>
              <w:t> </w:t>
            </w:r>
            <w:r>
              <w:rPr/>
              <w:t>Management</w:t>
            </w:r>
            <w:r>
              <w:rPr>
                <w:spacing w:val="-7"/>
              </w:rPr>
              <w:t> </w:t>
            </w:r>
            <w:r>
              <w:rPr/>
              <w:t>Discourse</w:t>
            </w:r>
            <w:r>
              <w:rPr>
                <w:spacing w:val="-8"/>
              </w:rPr>
              <w:t> </w:t>
            </w:r>
            <w:r>
              <w:rPr/>
              <w:t>on</w:t>
            </w:r>
            <w:r>
              <w:rPr>
                <w:spacing w:val="-7"/>
              </w:rPr>
              <w:t> </w:t>
            </w:r>
            <w:r>
              <w:rPr/>
              <w:t>Reddit:</w:t>
            </w:r>
            <w:r>
              <w:rPr>
                <w:spacing w:val="-8"/>
              </w:rPr>
              <w:t> </w:t>
            </w:r>
            <w:r>
              <w:rPr/>
              <w:t>A</w:t>
            </w:r>
            <w:r>
              <w:rPr>
                <w:spacing w:val="-7"/>
              </w:rPr>
              <w:t> </w:t>
            </w:r>
            <w:r>
              <w:rPr/>
              <w:t>Topic</w:t>
            </w:r>
            <w:r>
              <w:rPr>
                <w:spacing w:val="-8"/>
              </w:rPr>
              <w:t> </w:t>
            </w:r>
            <w:r>
              <w:rPr/>
              <w:t>and</w:t>
            </w:r>
            <w:r>
              <w:rPr>
                <w:spacing w:val="-7"/>
              </w:rPr>
              <w:t> </w:t>
            </w:r>
            <w:r>
              <w:rPr/>
              <w:t>Sentiment</w:t>
            </w:r>
            <w:r>
              <w:rPr>
                <w:spacing w:val="-7"/>
              </w:rPr>
              <w:t> </w:t>
            </w:r>
            <w:r>
              <w:rPr>
                <w:spacing w:val="-2"/>
              </w:rPr>
              <w:t>Analysis</w:t>
            </w:r>
          </w:hyperlink>
          <w:r>
            <w:rPr/>
            <w:tab/>
          </w:r>
          <w:r>
            <w:rPr>
              <w:spacing w:val="-5"/>
            </w:rPr>
            <w:t>78</w:t>
          </w:r>
        </w:p>
        <w:p>
          <w:pPr>
            <w:pStyle w:val="TOC3"/>
            <w:rPr>
              <w:i/>
            </w:rPr>
          </w:pPr>
          <w:r>
            <w:rPr>
              <w:i/>
            </w:rPr>
            <w:t>Leigh</w:t>
          </w:r>
          <w:r>
            <w:rPr>
              <w:i/>
              <w:spacing w:val="-5"/>
            </w:rPr>
            <w:t> </w:t>
          </w:r>
          <w:r>
            <w:rPr>
              <w:i/>
            </w:rPr>
            <w:t>Hartman,</w:t>
          </w:r>
          <w:r>
            <w:rPr>
              <w:i/>
              <w:spacing w:val="-5"/>
            </w:rPr>
            <w:t> </w:t>
          </w:r>
          <w:r>
            <w:rPr>
              <w:i/>
            </w:rPr>
            <w:t>John</w:t>
          </w:r>
          <w:r>
            <w:rPr>
              <w:i/>
              <w:spacing w:val="-5"/>
            </w:rPr>
            <w:t> </w:t>
          </w:r>
          <w:r>
            <w:rPr>
              <w:i/>
            </w:rPr>
            <w:t>Shaw</w:t>
          </w:r>
          <w:r>
            <w:rPr>
              <w:i/>
              <w:spacing w:val="-5"/>
            </w:rPr>
            <w:t> </w:t>
          </w:r>
          <w:r>
            <w:rPr>
              <w:i/>
            </w:rPr>
            <w:t>and</w:t>
          </w:r>
          <w:r>
            <w:rPr>
              <w:i/>
              <w:spacing w:val="-5"/>
            </w:rPr>
            <w:t> </w:t>
          </w:r>
          <w:r>
            <w:rPr>
              <w:i/>
            </w:rPr>
            <w:t>Janice</w:t>
          </w:r>
          <w:r>
            <w:rPr>
              <w:i/>
              <w:spacing w:val="-5"/>
            </w:rPr>
            <w:t> </w:t>
          </w:r>
          <w:r>
            <w:rPr>
              <w:i/>
              <w:spacing w:val="-2"/>
            </w:rPr>
            <w:t>Gordon</w:t>
          </w:r>
        </w:p>
        <w:p>
          <w:pPr>
            <w:pStyle w:val="TOC1"/>
          </w:pPr>
          <w:hyperlink w:history="true" w:anchor="h.evv854wifg6">
            <w:r>
              <w:rPr/>
              <w:t>Scaling</w:t>
            </w:r>
            <w:r>
              <w:rPr>
                <w:spacing w:val="-7"/>
              </w:rPr>
              <w:t> </w:t>
            </w:r>
            <w:r>
              <w:rPr/>
              <w:t>Supply</w:t>
            </w:r>
            <w:r>
              <w:rPr>
                <w:spacing w:val="-7"/>
              </w:rPr>
              <w:t> </w:t>
            </w:r>
            <w:r>
              <w:rPr/>
              <w:t>Chain</w:t>
            </w:r>
            <w:r>
              <w:rPr>
                <w:spacing w:val="-7"/>
              </w:rPr>
              <w:t> </w:t>
            </w:r>
            <w:r>
              <w:rPr/>
              <w:t>4.0</w:t>
            </w:r>
            <w:r>
              <w:rPr>
                <w:spacing w:val="-6"/>
              </w:rPr>
              <w:t> </w:t>
            </w:r>
            <w:r>
              <w:rPr/>
              <w:t>Implementation:</w:t>
            </w:r>
            <w:r>
              <w:rPr>
                <w:spacing w:val="-7"/>
              </w:rPr>
              <w:t> </w:t>
            </w:r>
            <w:r>
              <w:rPr/>
              <w:t>A</w:t>
            </w:r>
            <w:r>
              <w:rPr>
                <w:spacing w:val="-7"/>
              </w:rPr>
              <w:t> </w:t>
            </w:r>
            <w:r>
              <w:rPr/>
              <w:t>Readiness</w:t>
            </w:r>
            <w:r>
              <w:rPr>
                <w:spacing w:val="-7"/>
              </w:rPr>
              <w:t> </w:t>
            </w:r>
            <w:r>
              <w:rPr/>
              <w:t>Capabilities</w:t>
            </w:r>
            <w:r>
              <w:rPr>
                <w:spacing w:val="-6"/>
              </w:rPr>
              <w:t> </w:t>
            </w:r>
            <w:r>
              <w:rPr/>
              <w:t>Performance</w:t>
            </w:r>
            <w:r>
              <w:rPr>
                <w:spacing w:val="-7"/>
              </w:rPr>
              <w:t> </w:t>
            </w:r>
            <w:r>
              <w:rPr/>
              <w:t>Model</w:t>
            </w:r>
            <w:r>
              <w:rPr>
                <w:spacing w:val="-7"/>
              </w:rPr>
              <w:t> </w:t>
            </w:r>
            <w:r>
              <w:rPr/>
              <w:t>for</w:t>
            </w:r>
            <w:r>
              <w:rPr>
                <w:spacing w:val="-7"/>
              </w:rPr>
              <w:t> </w:t>
            </w:r>
            <w:r>
              <w:rPr/>
              <w:t>SMEs</w:t>
            </w:r>
            <w:r>
              <w:rPr>
                <w:spacing w:val="-6"/>
              </w:rPr>
              <w:t> </w:t>
            </w:r>
            <w:r>
              <w:rPr>
                <w:spacing w:val="-5"/>
              </w:rPr>
              <w:t>and</w:t>
            </w:r>
          </w:hyperlink>
        </w:p>
        <w:p>
          <w:pPr>
            <w:pStyle w:val="TOC1"/>
            <w:tabs>
              <w:tab w:pos="10363" w:val="left" w:leader="none"/>
            </w:tabs>
          </w:pPr>
          <w:hyperlink w:history="true" w:anchor="h.evv854wifg6">
            <w:r>
              <w:rPr/>
              <w:t>Large</w:t>
            </w:r>
            <w:r>
              <w:rPr>
                <w:spacing w:val="-10"/>
              </w:rPr>
              <w:t> </w:t>
            </w:r>
            <w:r>
              <w:rPr>
                <w:spacing w:val="-2"/>
              </w:rPr>
              <w:t>Firms</w:t>
            </w:r>
            <w:r>
              <w:rPr/>
              <w:tab/>
            </w:r>
            <w:r>
              <w:rPr>
                <w:spacing w:val="-5"/>
              </w:rPr>
              <w:t>8</w:t>
            </w:r>
          </w:hyperlink>
          <w:r>
            <w:rPr>
              <w:spacing w:val="-5"/>
            </w:rPr>
            <w:t>7</w:t>
          </w:r>
        </w:p>
        <w:p>
          <w:pPr>
            <w:pStyle w:val="TOC3"/>
            <w:rPr>
              <w:i/>
            </w:rPr>
          </w:pPr>
          <w:r>
            <w:rPr>
              <w:i/>
            </w:rPr>
            <w:t>Matthew</w:t>
          </w:r>
          <w:r>
            <w:rPr>
              <w:i/>
              <w:spacing w:val="-6"/>
            </w:rPr>
            <w:t> </w:t>
          </w:r>
          <w:r>
            <w:rPr>
              <w:i/>
            </w:rPr>
            <w:t>Jenkins</w:t>
          </w:r>
          <w:r>
            <w:rPr>
              <w:i/>
              <w:spacing w:val="-5"/>
            </w:rPr>
            <w:t> </w:t>
          </w:r>
          <w:r>
            <w:rPr>
              <w:i/>
            </w:rPr>
            <w:t>and</w:t>
          </w:r>
          <w:r>
            <w:rPr>
              <w:i/>
              <w:spacing w:val="-5"/>
            </w:rPr>
            <w:t> </w:t>
          </w:r>
          <w:r>
            <w:rPr>
              <w:i/>
            </w:rPr>
            <w:t>Umit</w:t>
          </w:r>
          <w:r>
            <w:rPr>
              <w:i/>
              <w:spacing w:val="-5"/>
            </w:rPr>
            <w:t> </w:t>
          </w:r>
          <w:r>
            <w:rPr>
              <w:i/>
              <w:spacing w:val="-2"/>
            </w:rPr>
            <w:t>Saglam</w:t>
          </w:r>
        </w:p>
        <w:p>
          <w:pPr>
            <w:pStyle w:val="TOC1"/>
            <w:tabs>
              <w:tab w:pos="10363" w:val="left" w:leader="none"/>
            </w:tabs>
          </w:pPr>
          <w:hyperlink w:history="true" w:anchor="h.ugt4k5myk182">
            <w:r>
              <w:rPr/>
              <w:t>Tax</w:t>
            </w:r>
            <w:r>
              <w:rPr>
                <w:spacing w:val="-13"/>
              </w:rPr>
              <w:t> </w:t>
            </w:r>
            <w:r>
              <w:rPr/>
              <w:t>Reserve</w:t>
            </w:r>
            <w:r>
              <w:rPr>
                <w:spacing w:val="-10"/>
              </w:rPr>
              <w:t> </w:t>
            </w:r>
            <w:r>
              <w:rPr/>
              <w:t>Informativeness</w:t>
            </w:r>
            <w:r>
              <w:rPr>
                <w:spacing w:val="-10"/>
              </w:rPr>
              <w:t> </w:t>
            </w:r>
            <w:r>
              <w:rPr/>
              <w:t>Across</w:t>
            </w:r>
            <w:r>
              <w:rPr>
                <w:spacing w:val="-10"/>
              </w:rPr>
              <w:t> </w:t>
            </w:r>
            <w:r>
              <w:rPr/>
              <w:t>Tax</w:t>
            </w:r>
            <w:r>
              <w:rPr>
                <w:spacing w:val="-10"/>
              </w:rPr>
              <w:t> </w:t>
            </w:r>
            <w:r>
              <w:rPr/>
              <w:t>Strategies:</w:t>
            </w:r>
            <w:r>
              <w:rPr>
                <w:spacing w:val="-10"/>
              </w:rPr>
              <w:t> </w:t>
            </w:r>
            <w:r>
              <w:rPr/>
              <w:t>A</w:t>
            </w:r>
            <w:r>
              <w:rPr>
                <w:spacing w:val="-10"/>
              </w:rPr>
              <w:t> </w:t>
            </w:r>
            <w:r>
              <w:rPr/>
              <w:t>Concave</w:t>
            </w:r>
            <w:r>
              <w:rPr>
                <w:spacing w:val="-10"/>
              </w:rPr>
              <w:t> </w:t>
            </w:r>
            <w:r>
              <w:rPr>
                <w:spacing w:val="-2"/>
              </w:rPr>
              <w:t>Association</w:t>
            </w:r>
          </w:hyperlink>
          <w:r>
            <w:rPr/>
            <w:tab/>
          </w:r>
          <w:r>
            <w:rPr>
              <w:spacing w:val="-5"/>
            </w:rPr>
            <w:t>88</w:t>
          </w:r>
        </w:p>
        <w:p>
          <w:pPr>
            <w:pStyle w:val="TOC3"/>
            <w:rPr>
              <w:i/>
            </w:rPr>
          </w:pPr>
          <w:r>
            <w:rPr>
              <w:i/>
            </w:rPr>
            <w:t>Tyler</w:t>
          </w:r>
          <w:r>
            <w:rPr>
              <w:i/>
              <w:spacing w:val="-8"/>
            </w:rPr>
            <w:t> </w:t>
          </w:r>
          <w:r>
            <w:rPr>
              <w:i/>
            </w:rPr>
            <w:t>Johnson</w:t>
          </w:r>
          <w:r>
            <w:rPr>
              <w:i/>
              <w:spacing w:val="-7"/>
            </w:rPr>
            <w:t> </w:t>
          </w:r>
          <w:r>
            <w:rPr>
              <w:i/>
            </w:rPr>
            <w:t>and</w:t>
          </w:r>
          <w:r>
            <w:rPr>
              <w:i/>
              <w:spacing w:val="-8"/>
            </w:rPr>
            <w:t> </w:t>
          </w:r>
          <w:r>
            <w:rPr>
              <w:i/>
            </w:rPr>
            <w:t>Joe</w:t>
          </w:r>
          <w:r>
            <w:rPr>
              <w:i/>
              <w:spacing w:val="-7"/>
            </w:rPr>
            <w:t> </w:t>
          </w:r>
          <w:r>
            <w:rPr>
              <w:i/>
            </w:rPr>
            <w:t>Lopez</w:t>
          </w:r>
          <w:r>
            <w:rPr>
              <w:i/>
              <w:spacing w:val="-7"/>
            </w:rPr>
            <w:t> </w:t>
          </w:r>
          <w:r>
            <w:rPr>
              <w:i/>
              <w:spacing w:val="-2"/>
            </w:rPr>
            <w:t>Vilaro</w:t>
          </w:r>
        </w:p>
        <w:p>
          <w:pPr>
            <w:pStyle w:val="TOC1"/>
            <w:tabs>
              <w:tab w:pos="10363" w:val="left" w:leader="none"/>
            </w:tabs>
            <w:spacing w:line="232" w:lineRule="auto" w:before="38"/>
            <w:ind w:right="954"/>
          </w:pPr>
          <w:hyperlink w:history="true" w:anchor="h.bizgq5a2x62d">
            <w:r>
              <w:rPr/>
              <w:t>Data</w:t>
            </w:r>
            <w:r>
              <w:rPr>
                <w:rFonts w:ascii="Segoe UI Symbol" w:hAnsi="Segoe UI Symbol"/>
              </w:rPr>
              <w:t>‑</w:t>
            </w:r>
            <w:r>
              <w:rPr/>
              <w:t>Driven Marketing and Hospitality Strategies in Football: Enhancing Fan Experience, Revenue, and Sales</w:t>
            </w:r>
          </w:hyperlink>
          <w:r>
            <w:rPr>
              <w:spacing w:val="40"/>
            </w:rPr>
            <w:t> </w:t>
          </w:r>
          <w:hyperlink w:history="true" w:anchor="h.bizgq5a2x62d">
            <w:r>
              <w:rPr>
                <w:spacing w:val="-2"/>
              </w:rPr>
              <w:t>Performance</w:t>
            </w:r>
            <w:r>
              <w:rPr/>
              <w:tab/>
            </w:r>
            <w:r>
              <w:rPr>
                <w:spacing w:val="-6"/>
              </w:rPr>
              <w:t>9</w:t>
            </w:r>
          </w:hyperlink>
          <w:r>
            <w:rPr>
              <w:spacing w:val="-6"/>
            </w:rPr>
            <w:t>7</w:t>
          </w:r>
        </w:p>
        <w:p>
          <w:pPr>
            <w:pStyle w:val="TOC3"/>
            <w:spacing w:before="1"/>
            <w:rPr>
              <w:i/>
            </w:rPr>
          </w:pPr>
          <w:r>
            <w:rPr>
              <w:i/>
            </w:rPr>
            <w:t>Casey</w:t>
          </w:r>
          <w:r>
            <w:rPr>
              <w:i/>
              <w:spacing w:val="-12"/>
            </w:rPr>
            <w:t> </w:t>
          </w:r>
          <w:r>
            <w:rPr>
              <w:i/>
            </w:rPr>
            <w:t>Jones,</w:t>
          </w:r>
          <w:r>
            <w:rPr>
              <w:i/>
              <w:spacing w:val="-9"/>
            </w:rPr>
            <w:t> </w:t>
          </w:r>
          <w:r>
            <w:rPr>
              <w:i/>
            </w:rPr>
            <w:t>Tiberiu</w:t>
          </w:r>
          <w:r>
            <w:rPr>
              <w:i/>
              <w:spacing w:val="-9"/>
            </w:rPr>
            <w:t> </w:t>
          </w:r>
          <w:r>
            <w:rPr>
              <w:i/>
            </w:rPr>
            <w:t>Ungureanu</w:t>
          </w:r>
          <w:r>
            <w:rPr>
              <w:i/>
              <w:spacing w:val="-9"/>
            </w:rPr>
            <w:t> </w:t>
          </w:r>
          <w:r>
            <w:rPr>
              <w:i/>
            </w:rPr>
            <w:t>and</w:t>
          </w:r>
          <w:r>
            <w:rPr>
              <w:i/>
              <w:spacing w:val="-9"/>
            </w:rPr>
            <w:t> </w:t>
          </w:r>
          <w:r>
            <w:rPr>
              <w:i/>
            </w:rPr>
            <w:t>Santosh</w:t>
          </w:r>
          <w:r>
            <w:rPr>
              <w:i/>
              <w:spacing w:val="-9"/>
            </w:rPr>
            <w:t> </w:t>
          </w:r>
          <w:r>
            <w:rPr>
              <w:i/>
              <w:spacing w:val="-2"/>
            </w:rPr>
            <w:t>Nandi</w:t>
          </w:r>
        </w:p>
        <w:p>
          <w:pPr>
            <w:pStyle w:val="TOC1"/>
            <w:tabs>
              <w:tab w:pos="10363" w:val="left" w:leader="none"/>
            </w:tabs>
            <w:spacing w:line="263" w:lineRule="exact" w:before="31"/>
          </w:pPr>
          <w:hyperlink w:history="true" w:anchor="h.1fs5f0bc88l4">
            <w:r>
              <w:rPr/>
              <w:t>Do</w:t>
            </w:r>
            <w:r>
              <w:rPr>
                <w:spacing w:val="-10"/>
              </w:rPr>
              <w:t> </w:t>
            </w:r>
            <w:r>
              <w:rPr/>
              <w:t>Country</w:t>
            </w:r>
            <w:r>
              <w:rPr>
                <w:rFonts w:ascii="Segoe UI Symbol" w:hAnsi="Segoe UI Symbol"/>
              </w:rPr>
              <w:t>‑</w:t>
            </w:r>
            <w:r>
              <w:rPr/>
              <w:t>Focused</w:t>
            </w:r>
            <w:r>
              <w:rPr>
                <w:spacing w:val="-9"/>
              </w:rPr>
              <w:t> </w:t>
            </w:r>
            <w:r>
              <w:rPr/>
              <w:t>ETFs</w:t>
            </w:r>
            <w:r>
              <w:rPr>
                <w:spacing w:val="-9"/>
              </w:rPr>
              <w:t> </w:t>
            </w:r>
            <w:r>
              <w:rPr/>
              <w:t>Outperform</w:t>
            </w:r>
            <w:r>
              <w:rPr>
                <w:spacing w:val="-9"/>
              </w:rPr>
              <w:t> </w:t>
            </w:r>
            <w:r>
              <w:rPr/>
              <w:t>Benchmark</w:t>
            </w:r>
            <w:r>
              <w:rPr>
                <w:spacing w:val="-9"/>
              </w:rPr>
              <w:t> </w:t>
            </w:r>
            <w:r>
              <w:rPr/>
              <w:t>Indices</w:t>
            </w:r>
            <w:r>
              <w:rPr>
                <w:spacing w:val="-9"/>
              </w:rPr>
              <w:t> </w:t>
            </w:r>
            <w:r>
              <w:rPr/>
              <w:t>in</w:t>
            </w:r>
            <w:r>
              <w:rPr>
                <w:spacing w:val="-9"/>
              </w:rPr>
              <w:t> </w:t>
            </w:r>
            <w:r>
              <w:rPr/>
              <w:t>Times</w:t>
            </w:r>
            <w:r>
              <w:rPr>
                <w:spacing w:val="-9"/>
              </w:rPr>
              <w:t> </w:t>
            </w:r>
            <w:r>
              <w:rPr/>
              <w:t>of</w:t>
            </w:r>
            <w:r>
              <w:rPr>
                <w:spacing w:val="-10"/>
              </w:rPr>
              <w:t> </w:t>
            </w:r>
            <w:r>
              <w:rPr/>
              <w:t>Abnormal</w:t>
            </w:r>
            <w:r>
              <w:rPr>
                <w:spacing w:val="-9"/>
              </w:rPr>
              <w:t> </w:t>
            </w:r>
            <w:r>
              <w:rPr>
                <w:spacing w:val="-2"/>
              </w:rPr>
              <w:t>Volatility?</w:t>
            </w:r>
          </w:hyperlink>
          <w:r>
            <w:rPr/>
            <w:tab/>
          </w:r>
          <w:r>
            <w:rPr>
              <w:spacing w:val="-5"/>
            </w:rPr>
            <w:t>98</w:t>
          </w:r>
        </w:p>
        <w:p>
          <w:pPr>
            <w:pStyle w:val="TOC3"/>
            <w:spacing w:line="227" w:lineRule="exact"/>
            <w:rPr>
              <w:i/>
            </w:rPr>
          </w:pPr>
          <w:r>
            <w:rPr>
              <w:i/>
            </w:rPr>
            <w:t>Stephen</w:t>
          </w:r>
          <w:r>
            <w:rPr>
              <w:i/>
              <w:spacing w:val="-7"/>
            </w:rPr>
            <w:t> </w:t>
          </w:r>
          <w:r>
            <w:rPr>
              <w:i/>
              <w:spacing w:val="-2"/>
            </w:rPr>
            <w:t>Jurich</w:t>
          </w:r>
        </w:p>
        <w:p>
          <w:pPr>
            <w:pStyle w:val="TOC1"/>
            <w:tabs>
              <w:tab w:pos="10263" w:val="left" w:leader="none"/>
            </w:tabs>
            <w:spacing w:line="263" w:lineRule="exact" w:before="31"/>
          </w:pPr>
          <w:hyperlink w:history="true" w:anchor="h.xhtyagoja829">
            <w:r>
              <w:rPr/>
              <w:t>Economic</w:t>
            </w:r>
            <w:r>
              <w:rPr>
                <w:spacing w:val="-12"/>
              </w:rPr>
              <w:t> </w:t>
            </w:r>
            <w:r>
              <w:rPr/>
              <w:t>Viability</w:t>
            </w:r>
            <w:r>
              <w:rPr>
                <w:spacing w:val="-11"/>
              </w:rPr>
              <w:t> </w:t>
            </w:r>
            <w:r>
              <w:rPr/>
              <w:t>of</w:t>
            </w:r>
            <w:r>
              <w:rPr>
                <w:spacing w:val="-11"/>
              </w:rPr>
              <w:t> </w:t>
            </w:r>
            <w:r>
              <w:rPr/>
              <w:t>Proposed</w:t>
            </w:r>
            <w:r>
              <w:rPr>
                <w:spacing w:val="-11"/>
              </w:rPr>
              <w:t> </w:t>
            </w:r>
            <w:r>
              <w:rPr/>
              <w:t>50</w:t>
            </w:r>
            <w:r>
              <w:rPr>
                <w:rFonts w:ascii="Segoe UI Symbol" w:hAnsi="Segoe UI Symbol"/>
              </w:rPr>
              <w:t>‑</w:t>
            </w:r>
            <w:r>
              <w:rPr/>
              <w:t>Year</w:t>
            </w:r>
            <w:r>
              <w:rPr>
                <w:spacing w:val="-11"/>
              </w:rPr>
              <w:t> </w:t>
            </w:r>
            <w:r>
              <w:rPr/>
              <w:t>Mortgages</w:t>
            </w:r>
            <w:r>
              <w:rPr>
                <w:spacing w:val="-11"/>
              </w:rPr>
              <w:t> </w:t>
            </w:r>
            <w:r>
              <w:rPr/>
              <w:t>in</w:t>
            </w:r>
            <w:r>
              <w:rPr>
                <w:spacing w:val="-11"/>
              </w:rPr>
              <w:t> </w:t>
            </w:r>
            <w:r>
              <w:rPr/>
              <w:t>the</w:t>
            </w:r>
            <w:r>
              <w:rPr>
                <w:spacing w:val="-11"/>
              </w:rPr>
              <w:t> </w:t>
            </w:r>
            <w:r>
              <w:rPr/>
              <w:t>U.S.</w:t>
            </w:r>
            <w:r>
              <w:rPr>
                <w:spacing w:val="-12"/>
              </w:rPr>
              <w:t> </w:t>
            </w:r>
            <w:r>
              <w:rPr/>
              <w:t>Housing</w:t>
            </w:r>
            <w:r>
              <w:rPr>
                <w:spacing w:val="-11"/>
              </w:rPr>
              <w:t> </w:t>
            </w:r>
            <w:r>
              <w:rPr>
                <w:spacing w:val="-2"/>
              </w:rPr>
              <w:t>Market</w:t>
            </w:r>
            <w:r>
              <w:rPr/>
              <w:tab/>
            </w:r>
            <w:r>
              <w:rPr>
                <w:spacing w:val="-5"/>
              </w:rPr>
              <w:t>10</w:t>
            </w:r>
          </w:hyperlink>
          <w:r>
            <w:rPr>
              <w:spacing w:val="-5"/>
            </w:rPr>
            <w:t>5</w:t>
          </w:r>
        </w:p>
        <w:p>
          <w:pPr>
            <w:pStyle w:val="TOC3"/>
            <w:spacing w:line="227" w:lineRule="exact"/>
            <w:rPr>
              <w:i/>
            </w:rPr>
          </w:pPr>
          <w:r>
            <w:rPr>
              <w:i/>
            </w:rPr>
            <w:t>Kevin</w:t>
          </w:r>
          <w:r>
            <w:rPr>
              <w:i/>
              <w:spacing w:val="-10"/>
            </w:rPr>
            <w:t> </w:t>
          </w:r>
          <w:r>
            <w:rPr>
              <w:i/>
            </w:rPr>
            <w:t>Kilgore</w:t>
          </w:r>
          <w:r>
            <w:rPr>
              <w:i/>
              <w:spacing w:val="-10"/>
            </w:rPr>
            <w:t> </w:t>
          </w:r>
          <w:r>
            <w:rPr>
              <w:i/>
            </w:rPr>
            <w:t>and</w:t>
          </w:r>
          <w:r>
            <w:rPr>
              <w:i/>
              <w:spacing w:val="-10"/>
            </w:rPr>
            <w:t> </w:t>
          </w:r>
          <w:r>
            <w:rPr>
              <w:i/>
            </w:rPr>
            <w:t>William</w:t>
          </w:r>
          <w:r>
            <w:rPr>
              <w:i/>
              <w:spacing w:val="-10"/>
            </w:rPr>
            <w:t> </w:t>
          </w:r>
          <w:r>
            <w:rPr>
              <w:i/>
              <w:spacing w:val="-2"/>
            </w:rPr>
            <w:t>Trainor</w:t>
          </w:r>
        </w:p>
        <w:p>
          <w:pPr>
            <w:pStyle w:val="TOC1"/>
            <w:tabs>
              <w:tab w:pos="10263" w:val="left" w:leader="none"/>
            </w:tabs>
          </w:pPr>
          <w:hyperlink w:history="true" w:anchor="h.udypjqj4wkak">
            <w:r>
              <w:rPr/>
              <w:t>Accelerators</w:t>
            </w:r>
            <w:r>
              <w:rPr>
                <w:spacing w:val="-10"/>
              </w:rPr>
              <w:t> </w:t>
            </w:r>
            <w:r>
              <w:rPr/>
              <w:t>at</w:t>
            </w:r>
            <w:r>
              <w:rPr>
                <w:spacing w:val="-8"/>
              </w:rPr>
              <w:t> </w:t>
            </w:r>
            <w:r>
              <w:rPr/>
              <w:t>a</w:t>
            </w:r>
            <w:r>
              <w:rPr>
                <w:spacing w:val="-8"/>
              </w:rPr>
              <w:t> </w:t>
            </w:r>
            <w:r>
              <w:rPr/>
              <w:t>Crossroads:</w:t>
            </w:r>
            <w:r>
              <w:rPr>
                <w:spacing w:val="-7"/>
              </w:rPr>
              <w:t> </w:t>
            </w:r>
            <w:r>
              <w:rPr/>
              <w:t>Navigating</w:t>
            </w:r>
            <w:r>
              <w:rPr>
                <w:spacing w:val="-8"/>
              </w:rPr>
              <w:t> </w:t>
            </w:r>
            <w:r>
              <w:rPr/>
              <w:t>the</w:t>
            </w:r>
            <w:r>
              <w:rPr>
                <w:spacing w:val="-8"/>
              </w:rPr>
              <w:t> </w:t>
            </w:r>
            <w:r>
              <w:rPr/>
              <w:t>Tension</w:t>
            </w:r>
            <w:r>
              <w:rPr>
                <w:spacing w:val="-7"/>
              </w:rPr>
              <w:t> </w:t>
            </w:r>
            <w:r>
              <w:rPr/>
              <w:t>Between</w:t>
            </w:r>
            <w:r>
              <w:rPr>
                <w:spacing w:val="-8"/>
              </w:rPr>
              <w:t> </w:t>
            </w:r>
            <w:r>
              <w:rPr/>
              <w:t>Purpose</w:t>
            </w:r>
            <w:r>
              <w:rPr>
                <w:spacing w:val="-8"/>
              </w:rPr>
              <w:t> </w:t>
            </w:r>
            <w:r>
              <w:rPr/>
              <w:t>and</w:t>
            </w:r>
            <w:r>
              <w:rPr>
                <w:spacing w:val="-7"/>
              </w:rPr>
              <w:t> </w:t>
            </w:r>
            <w:r>
              <w:rPr>
                <w:spacing w:val="-2"/>
              </w:rPr>
              <w:t>Profit</w:t>
            </w:r>
            <w:r>
              <w:rPr/>
              <w:tab/>
            </w:r>
            <w:r>
              <w:rPr>
                <w:spacing w:val="-5"/>
              </w:rPr>
              <w:t>10</w:t>
            </w:r>
          </w:hyperlink>
          <w:r>
            <w:rPr>
              <w:spacing w:val="-5"/>
            </w:rPr>
            <w:t>7</w:t>
          </w:r>
        </w:p>
        <w:p>
          <w:pPr>
            <w:pStyle w:val="TOC3"/>
            <w:rPr>
              <w:i/>
            </w:rPr>
          </w:pPr>
          <w:r>
            <w:rPr>
              <w:i/>
            </w:rPr>
            <w:t>Christine</w:t>
          </w:r>
          <w:r>
            <w:rPr>
              <w:i/>
              <w:spacing w:val="-12"/>
            </w:rPr>
            <w:t> </w:t>
          </w:r>
          <w:r>
            <w:rPr>
              <w:i/>
            </w:rPr>
            <w:t>Kirkland,</w:t>
          </w:r>
          <w:r>
            <w:rPr>
              <w:i/>
              <w:spacing w:val="-9"/>
            </w:rPr>
            <w:t> </w:t>
          </w:r>
          <w:r>
            <w:rPr>
              <w:i/>
            </w:rPr>
            <w:t>R.</w:t>
          </w:r>
          <w:r>
            <w:rPr>
              <w:i/>
              <w:spacing w:val="-9"/>
            </w:rPr>
            <w:t> </w:t>
          </w:r>
          <w:r>
            <w:rPr>
              <w:i/>
            </w:rPr>
            <w:t>Michael</w:t>
          </w:r>
          <w:r>
            <w:rPr>
              <w:i/>
              <w:spacing w:val="-9"/>
            </w:rPr>
            <w:t> </w:t>
          </w:r>
          <w:r>
            <w:rPr>
              <w:i/>
            </w:rPr>
            <w:t>Holmes</w:t>
          </w:r>
          <w:r>
            <w:rPr>
              <w:i/>
              <w:spacing w:val="-9"/>
            </w:rPr>
            <w:t> </w:t>
          </w:r>
          <w:r>
            <w:rPr>
              <w:i/>
            </w:rPr>
            <w:t>Jr.,</w:t>
          </w:r>
          <w:r>
            <w:rPr>
              <w:i/>
              <w:spacing w:val="-9"/>
            </w:rPr>
            <w:t> </w:t>
          </w:r>
          <w:r>
            <w:rPr>
              <w:i/>
            </w:rPr>
            <w:t>Horacio</w:t>
          </w:r>
          <w:r>
            <w:rPr>
              <w:i/>
              <w:spacing w:val="-9"/>
            </w:rPr>
            <w:t> </w:t>
          </w:r>
          <w:r>
            <w:rPr>
              <w:i/>
            </w:rPr>
            <w:t>Rousseau,</w:t>
          </w:r>
          <w:r>
            <w:rPr>
              <w:i/>
              <w:spacing w:val="-9"/>
            </w:rPr>
            <w:t> </w:t>
          </w:r>
          <w:r>
            <w:rPr>
              <w:i/>
            </w:rPr>
            <w:t>Yue</w:t>
          </w:r>
          <w:r>
            <w:rPr>
              <w:i/>
              <w:spacing w:val="-9"/>
            </w:rPr>
            <w:t> </w:t>
          </w:r>
          <w:r>
            <w:rPr>
              <w:i/>
            </w:rPr>
            <w:t>Hillon</w:t>
          </w:r>
          <w:r>
            <w:rPr>
              <w:i/>
              <w:spacing w:val="-9"/>
            </w:rPr>
            <w:t> </w:t>
          </w:r>
          <w:r>
            <w:rPr>
              <w:i/>
            </w:rPr>
            <w:t>and</w:t>
          </w:r>
          <w:r>
            <w:rPr>
              <w:i/>
              <w:spacing w:val="-9"/>
            </w:rPr>
            <w:t> </w:t>
          </w:r>
          <w:r>
            <w:rPr>
              <w:i/>
            </w:rPr>
            <w:t>Lane</w:t>
          </w:r>
          <w:r>
            <w:rPr>
              <w:i/>
              <w:spacing w:val="-9"/>
            </w:rPr>
            <w:t> </w:t>
          </w:r>
          <w:r>
            <w:rPr>
              <w:i/>
              <w:spacing w:val="-2"/>
            </w:rPr>
            <w:t>Perry</w:t>
          </w:r>
        </w:p>
        <w:p>
          <w:pPr>
            <w:pStyle w:val="TOC1"/>
            <w:tabs>
              <w:tab w:pos="10271" w:val="left" w:leader="none"/>
            </w:tabs>
          </w:pPr>
          <w:hyperlink w:history="true" w:anchor="h.uz02xvq78ejv">
            <w:r>
              <w:rPr/>
              <w:t>Unpacking</w:t>
            </w:r>
            <w:r>
              <w:rPr>
                <w:spacing w:val="-9"/>
              </w:rPr>
              <w:t> </w:t>
            </w:r>
            <w:r>
              <w:rPr/>
              <w:t>the</w:t>
            </w:r>
            <w:r>
              <w:rPr>
                <w:spacing w:val="-7"/>
              </w:rPr>
              <w:t> </w:t>
            </w:r>
            <w:r>
              <w:rPr/>
              <w:t>Economy:</w:t>
            </w:r>
            <w:r>
              <w:rPr>
                <w:spacing w:val="-7"/>
              </w:rPr>
              <w:t> </w:t>
            </w:r>
            <w:r>
              <w:rPr/>
              <w:t>What</w:t>
            </w:r>
            <w:r>
              <w:rPr>
                <w:spacing w:val="-7"/>
              </w:rPr>
              <w:t> </w:t>
            </w:r>
            <w:r>
              <w:rPr/>
              <w:t>“A</w:t>
            </w:r>
            <w:r>
              <w:rPr>
                <w:spacing w:val="-7"/>
              </w:rPr>
              <w:t> </w:t>
            </w:r>
            <w:r>
              <w:rPr/>
              <w:t>Long</w:t>
            </w:r>
            <w:r>
              <w:rPr>
                <w:spacing w:val="-7"/>
              </w:rPr>
              <w:t> </w:t>
            </w:r>
            <w:r>
              <w:rPr/>
              <w:t>Strange</w:t>
            </w:r>
            <w:r>
              <w:rPr>
                <w:spacing w:val="-7"/>
              </w:rPr>
              <w:t> </w:t>
            </w:r>
            <w:r>
              <w:rPr/>
              <w:t>Trip</w:t>
            </w:r>
            <w:r>
              <w:rPr>
                <w:spacing w:val="-7"/>
              </w:rPr>
              <w:t> </w:t>
            </w:r>
            <w:r>
              <w:rPr/>
              <w:t>It’s</w:t>
            </w:r>
            <w:r>
              <w:rPr>
                <w:spacing w:val="-7"/>
              </w:rPr>
              <w:t> </w:t>
            </w:r>
            <w:r>
              <w:rPr>
                <w:spacing w:val="-2"/>
              </w:rPr>
              <w:t>Been?”</w:t>
            </w:r>
            <w:r>
              <w:rPr/>
              <w:tab/>
            </w:r>
            <w:r>
              <w:rPr>
                <w:spacing w:val="-5"/>
              </w:rPr>
              <w:t>11</w:t>
            </w:r>
          </w:hyperlink>
          <w:r>
            <w:rPr>
              <w:spacing w:val="-5"/>
            </w:rPr>
            <w:t>2</w:t>
          </w:r>
        </w:p>
        <w:p>
          <w:pPr>
            <w:pStyle w:val="TOC3"/>
            <w:rPr>
              <w:i/>
            </w:rPr>
          </w:pPr>
          <w:r>
            <w:rPr>
              <w:i/>
            </w:rPr>
            <w:t>Robert</w:t>
          </w:r>
          <w:r>
            <w:rPr>
              <w:i/>
              <w:spacing w:val="-6"/>
            </w:rPr>
            <w:t> </w:t>
          </w:r>
          <w:r>
            <w:rPr>
              <w:i/>
            </w:rPr>
            <w:t>Lahm,</w:t>
          </w:r>
          <w:r>
            <w:rPr>
              <w:i/>
              <w:spacing w:val="-6"/>
            </w:rPr>
            <w:t> </w:t>
          </w:r>
          <w:r>
            <w:rPr>
              <w:i/>
            </w:rPr>
            <w:t>Bryan</w:t>
          </w:r>
          <w:r>
            <w:rPr>
              <w:i/>
              <w:spacing w:val="-6"/>
            </w:rPr>
            <w:t> </w:t>
          </w:r>
          <w:r>
            <w:rPr>
              <w:i/>
            </w:rPr>
            <w:t>Darden</w:t>
          </w:r>
          <w:r>
            <w:rPr>
              <w:i/>
              <w:spacing w:val="-6"/>
            </w:rPr>
            <w:t> </w:t>
          </w:r>
          <w:r>
            <w:rPr>
              <w:i/>
            </w:rPr>
            <w:t>and</w:t>
          </w:r>
          <w:r>
            <w:rPr>
              <w:i/>
              <w:spacing w:val="-6"/>
            </w:rPr>
            <w:t> </w:t>
          </w:r>
          <w:r>
            <w:rPr>
              <w:i/>
            </w:rPr>
            <w:t>Lane</w:t>
          </w:r>
          <w:r>
            <w:rPr>
              <w:i/>
              <w:spacing w:val="-6"/>
            </w:rPr>
            <w:t> </w:t>
          </w:r>
          <w:r>
            <w:rPr>
              <w:i/>
              <w:spacing w:val="-2"/>
            </w:rPr>
            <w:t>Perry</w:t>
          </w:r>
        </w:p>
        <w:p>
          <w:pPr>
            <w:pStyle w:val="TOC1"/>
            <w:tabs>
              <w:tab w:pos="10271" w:val="left" w:leader="none"/>
            </w:tabs>
            <w:spacing w:line="213" w:lineRule="auto" w:before="81"/>
            <w:ind w:right="954"/>
          </w:pPr>
          <w:hyperlink w:history="true" w:anchor="h.hrzwu7r7824f">
            <w:r>
              <w:rPr/>
              <w:t>Body Doubling: Consumers’ Use of Virtual Content, Communities, and Accountability Tools to Manage Productivity,</w:t>
            </w:r>
          </w:hyperlink>
          <w:r>
            <w:rPr/>
            <w:t> </w:t>
          </w:r>
          <w:hyperlink w:history="true" w:anchor="h.hrzwu7r7824f">
            <w:r>
              <w:rPr/>
              <w:t>Loneliness, and Improve Well</w:t>
            </w:r>
            <w:r>
              <w:rPr>
                <w:rFonts w:ascii="Segoe UI Symbol" w:hAnsi="Segoe UI Symbol"/>
              </w:rPr>
              <w:t>‑</w:t>
            </w:r>
            <w:r>
              <w:rPr/>
              <w:t>Being</w:t>
              <w:tab/>
            </w:r>
            <w:r>
              <w:rPr>
                <w:spacing w:val="-6"/>
              </w:rPr>
              <w:t>11</w:t>
            </w:r>
          </w:hyperlink>
          <w:r>
            <w:rPr>
              <w:spacing w:val="-6"/>
            </w:rPr>
            <w:t>7</w:t>
          </w:r>
        </w:p>
        <w:p>
          <w:pPr>
            <w:pStyle w:val="TOC3"/>
            <w:spacing w:line="228" w:lineRule="exact"/>
            <w:rPr>
              <w:i/>
            </w:rPr>
          </w:pPr>
          <w:r>
            <w:rPr>
              <w:i/>
            </w:rPr>
            <w:t>Stephanie</w:t>
          </w:r>
          <w:r>
            <w:rPr>
              <w:i/>
              <w:spacing w:val="-8"/>
            </w:rPr>
            <w:t> </w:t>
          </w:r>
          <w:r>
            <w:rPr>
              <w:i/>
            </w:rPr>
            <w:t>Lawson,</w:t>
          </w:r>
          <w:r>
            <w:rPr>
              <w:i/>
              <w:spacing w:val="-8"/>
            </w:rPr>
            <w:t> </w:t>
          </w:r>
          <w:r>
            <w:rPr>
              <w:i/>
            </w:rPr>
            <w:t>Pia</w:t>
          </w:r>
          <w:r>
            <w:rPr>
              <w:i/>
              <w:spacing w:val="-8"/>
            </w:rPr>
            <w:t> </w:t>
          </w:r>
          <w:r>
            <w:rPr>
              <w:i/>
            </w:rPr>
            <w:t>A.</w:t>
          </w:r>
          <w:r>
            <w:rPr>
              <w:i/>
              <w:spacing w:val="-7"/>
            </w:rPr>
            <w:t> </w:t>
          </w:r>
          <w:r>
            <w:rPr>
              <w:i/>
            </w:rPr>
            <w:t>Albinsson,</w:t>
          </w:r>
          <w:r>
            <w:rPr>
              <w:i/>
              <w:spacing w:val="-8"/>
            </w:rPr>
            <w:t> </w:t>
          </w:r>
          <w:r>
            <w:rPr>
              <w:i/>
            </w:rPr>
            <w:t>Merlyn</w:t>
          </w:r>
          <w:r>
            <w:rPr>
              <w:i/>
              <w:spacing w:val="-8"/>
            </w:rPr>
            <w:t> </w:t>
          </w:r>
          <w:r>
            <w:rPr>
              <w:i/>
            </w:rPr>
            <w:t>Griffiths</w:t>
          </w:r>
          <w:r>
            <w:rPr>
              <w:i/>
              <w:spacing w:val="-7"/>
            </w:rPr>
            <w:t> </w:t>
          </w:r>
          <w:r>
            <w:rPr>
              <w:i/>
            </w:rPr>
            <w:t>and</w:t>
          </w:r>
          <w:r>
            <w:rPr>
              <w:i/>
              <w:spacing w:val="-8"/>
            </w:rPr>
            <w:t> </w:t>
          </w:r>
          <w:r>
            <w:rPr>
              <w:i/>
            </w:rPr>
            <w:t>B.</w:t>
          </w:r>
          <w:r>
            <w:rPr>
              <w:i/>
              <w:spacing w:val="-8"/>
            </w:rPr>
            <w:t> </w:t>
          </w:r>
          <w:r>
            <w:rPr>
              <w:i/>
            </w:rPr>
            <w:t>Yasanthi</w:t>
          </w:r>
          <w:r>
            <w:rPr>
              <w:i/>
              <w:spacing w:val="-7"/>
            </w:rPr>
            <w:t> </w:t>
          </w:r>
          <w:r>
            <w:rPr>
              <w:i/>
              <w:spacing w:val="-2"/>
            </w:rPr>
            <w:t>Perera</w:t>
          </w:r>
        </w:p>
        <w:p>
          <w:pPr>
            <w:pStyle w:val="TOC1"/>
            <w:tabs>
              <w:tab w:pos="10263" w:val="left" w:leader="none"/>
            </w:tabs>
          </w:pPr>
          <w:hyperlink w:history="true" w:anchor="h.q7sdynf26wjq">
            <w:r>
              <w:rPr/>
              <w:t>Drones</w:t>
            </w:r>
            <w:r>
              <w:rPr>
                <w:spacing w:val="-10"/>
              </w:rPr>
              <w:t> </w:t>
            </w:r>
            <w:r>
              <w:rPr/>
              <w:t>as</w:t>
            </w:r>
            <w:r>
              <w:rPr>
                <w:spacing w:val="-7"/>
              </w:rPr>
              <w:t> </w:t>
            </w:r>
            <w:r>
              <w:rPr/>
              <w:t>an</w:t>
            </w:r>
            <w:r>
              <w:rPr>
                <w:spacing w:val="-7"/>
              </w:rPr>
              <w:t> </w:t>
            </w:r>
            <w:r>
              <w:rPr/>
              <w:t>Attack</w:t>
            </w:r>
            <w:r>
              <w:rPr>
                <w:spacing w:val="-7"/>
              </w:rPr>
              <w:t> </w:t>
            </w:r>
            <w:r>
              <w:rPr/>
              <w:t>Vector</w:t>
            </w:r>
            <w:r>
              <w:rPr>
                <w:spacing w:val="-8"/>
              </w:rPr>
              <w:t> </w:t>
            </w:r>
            <w:r>
              <w:rPr/>
              <w:t>in</w:t>
            </w:r>
            <w:r>
              <w:rPr>
                <w:spacing w:val="-7"/>
              </w:rPr>
              <w:t> </w:t>
            </w:r>
            <w:r>
              <w:rPr/>
              <w:t>an</w:t>
            </w:r>
            <w:r>
              <w:rPr>
                <w:spacing w:val="-7"/>
              </w:rPr>
              <w:t> </w:t>
            </w:r>
            <w:r>
              <w:rPr/>
              <w:t>Enterprise</w:t>
            </w:r>
            <w:r>
              <w:rPr>
                <w:spacing w:val="-7"/>
              </w:rPr>
              <w:t> </w:t>
            </w:r>
            <w:r>
              <w:rPr>
                <w:spacing w:val="-2"/>
              </w:rPr>
              <w:t>Context</w:t>
            </w:r>
            <w:r>
              <w:rPr/>
              <w:tab/>
            </w:r>
            <w:r>
              <w:rPr>
                <w:spacing w:val="-5"/>
              </w:rPr>
              <w:t>12</w:t>
            </w:r>
          </w:hyperlink>
          <w:r>
            <w:rPr>
              <w:spacing w:val="-5"/>
            </w:rPr>
            <w:t>1</w:t>
          </w:r>
        </w:p>
        <w:p>
          <w:pPr>
            <w:pStyle w:val="TOC3"/>
            <w:rPr>
              <w:i/>
            </w:rPr>
          </w:pPr>
          <w:r>
            <w:rPr>
              <w:i/>
            </w:rPr>
            <w:t>Michael</w:t>
          </w:r>
          <w:r>
            <w:rPr>
              <w:i/>
              <w:spacing w:val="-8"/>
            </w:rPr>
            <w:t> </w:t>
          </w:r>
          <w:r>
            <w:rPr>
              <w:i/>
            </w:rPr>
            <w:t>Lehrfeld</w:t>
          </w:r>
          <w:r>
            <w:rPr>
              <w:i/>
              <w:spacing w:val="-7"/>
            </w:rPr>
            <w:t> </w:t>
          </w:r>
          <w:r>
            <w:rPr>
              <w:i/>
            </w:rPr>
            <w:t>and</w:t>
          </w:r>
          <w:r>
            <w:rPr>
              <w:i/>
              <w:spacing w:val="-7"/>
            </w:rPr>
            <w:t> </w:t>
          </w:r>
          <w:r>
            <w:rPr>
              <w:i/>
            </w:rPr>
            <w:t>Lucien</w:t>
          </w:r>
          <w:r>
            <w:rPr>
              <w:i/>
              <w:spacing w:val="-8"/>
            </w:rPr>
            <w:t> </w:t>
          </w:r>
          <w:r>
            <w:rPr>
              <w:i/>
            </w:rPr>
            <w:t>Adam</w:t>
          </w:r>
          <w:r>
            <w:rPr>
              <w:i/>
              <w:spacing w:val="-7"/>
            </w:rPr>
            <w:t> </w:t>
          </w:r>
          <w:r>
            <w:rPr>
              <w:i/>
            </w:rPr>
            <w:t>Alexandre</w:t>
          </w:r>
          <w:r>
            <w:rPr>
              <w:i/>
              <w:spacing w:val="-7"/>
            </w:rPr>
            <w:t> </w:t>
          </w:r>
          <w:r>
            <w:rPr>
              <w:i/>
              <w:spacing w:val="-2"/>
            </w:rPr>
            <w:t>Verdun</w:t>
          </w:r>
        </w:p>
        <w:p>
          <w:pPr>
            <w:pStyle w:val="TOC1"/>
            <w:tabs>
              <w:tab w:pos="10263" w:val="left" w:leader="none"/>
            </w:tabs>
            <w:ind w:right="954"/>
          </w:pPr>
          <w:hyperlink w:history="true" w:anchor="h.40833iusc51s">
            <w:r>
              <w:rPr/>
              <w:t>Examining the need for a Regional Crime Gun Intelligence Center:</w:t>
            </w:r>
            <w:r>
              <w:rPr>
                <w:spacing w:val="40"/>
              </w:rPr>
              <w:t> </w:t>
            </w:r>
            <w:r>
              <w:rPr/>
              <w:t>Enhancing Firearm Investigations through Real-Time</w:t>
            </w:r>
          </w:hyperlink>
          <w:r>
            <w:rPr/>
            <w:t> </w:t>
          </w:r>
          <w:hyperlink w:history="true" w:anchor="h.40833iusc51s">
            <w:r>
              <w:rPr>
                <w:spacing w:val="-2"/>
              </w:rPr>
              <w:t>Intelligence</w:t>
            </w:r>
            <w:r>
              <w:rPr/>
              <w:tab/>
            </w:r>
            <w:r>
              <w:rPr>
                <w:spacing w:val="-4"/>
              </w:rPr>
              <w:t>1</w:t>
            </w:r>
          </w:hyperlink>
          <w:r>
            <w:rPr>
              <w:spacing w:val="-4"/>
            </w:rPr>
            <w:t>29</w:t>
          </w:r>
        </w:p>
        <w:p>
          <w:pPr>
            <w:pStyle w:val="TOC3"/>
            <w:rPr>
              <w:i/>
            </w:rPr>
          </w:pPr>
          <w:r>
            <w:rPr>
              <w:i/>
            </w:rPr>
            <w:t>Mike</w:t>
          </w:r>
          <w:r>
            <w:rPr>
              <w:i/>
              <w:spacing w:val="-7"/>
            </w:rPr>
            <w:t> </w:t>
          </w:r>
          <w:r>
            <w:rPr>
              <w:i/>
            </w:rPr>
            <w:t>Lehrfeld,</w:t>
          </w:r>
          <w:r>
            <w:rPr>
              <w:i/>
              <w:spacing w:val="-6"/>
            </w:rPr>
            <w:t> </w:t>
          </w:r>
          <w:r>
            <w:rPr>
              <w:i/>
            </w:rPr>
            <w:t>Sandra</w:t>
          </w:r>
          <w:r>
            <w:rPr>
              <w:i/>
              <w:spacing w:val="-6"/>
            </w:rPr>
            <w:t> </w:t>
          </w:r>
          <w:r>
            <w:rPr>
              <w:i/>
            </w:rPr>
            <w:t>Anima</w:t>
          </w:r>
          <w:r>
            <w:rPr>
              <w:i/>
              <w:spacing w:val="-6"/>
            </w:rPr>
            <w:t> </w:t>
          </w:r>
          <w:r>
            <w:rPr>
              <w:i/>
            </w:rPr>
            <w:t>Darko</w:t>
          </w:r>
          <w:r>
            <w:rPr>
              <w:i/>
              <w:spacing w:val="-6"/>
            </w:rPr>
            <w:t> </w:t>
          </w:r>
          <w:r>
            <w:rPr>
              <w:i/>
            </w:rPr>
            <w:t>and</w:t>
          </w:r>
          <w:r>
            <w:rPr>
              <w:i/>
              <w:spacing w:val="-6"/>
            </w:rPr>
            <w:t> </w:t>
          </w:r>
          <w:r>
            <w:rPr>
              <w:i/>
            </w:rPr>
            <w:t>Bamidele</w:t>
          </w:r>
          <w:r>
            <w:rPr>
              <w:i/>
              <w:spacing w:val="-6"/>
            </w:rPr>
            <w:t> </w:t>
          </w:r>
          <w:r>
            <w:rPr>
              <w:i/>
            </w:rPr>
            <w:t>Adeolegan</w:t>
          </w:r>
          <w:r>
            <w:rPr>
              <w:i/>
              <w:spacing w:val="-6"/>
            </w:rPr>
            <w:t> </w:t>
          </w:r>
          <w:r>
            <w:rPr>
              <w:i/>
              <w:spacing w:val="-2"/>
            </w:rPr>
            <w:t>Ogundipe</w:t>
          </w:r>
        </w:p>
        <w:p>
          <w:pPr>
            <w:pStyle w:val="TOC1"/>
            <w:tabs>
              <w:tab w:pos="10263" w:val="left" w:leader="none"/>
            </w:tabs>
          </w:pPr>
          <w:hyperlink w:history="true" w:anchor="h.goqpoemkn3q7">
            <w:r>
              <w:rPr/>
              <w:t>Trust</w:t>
            </w:r>
            <w:r>
              <w:rPr>
                <w:spacing w:val="-9"/>
              </w:rPr>
              <w:t> </w:t>
            </w:r>
            <w:r>
              <w:rPr/>
              <w:t>Under</w:t>
            </w:r>
            <w:r>
              <w:rPr>
                <w:spacing w:val="-7"/>
              </w:rPr>
              <w:t> </w:t>
            </w:r>
            <w:r>
              <w:rPr/>
              <w:t>Extreme</w:t>
            </w:r>
            <w:r>
              <w:rPr>
                <w:spacing w:val="-7"/>
              </w:rPr>
              <w:t> </w:t>
            </w:r>
            <w:r>
              <w:rPr/>
              <w:t>Conditions:</w:t>
            </w:r>
            <w:r>
              <w:rPr>
                <w:spacing w:val="-7"/>
              </w:rPr>
              <w:t> </w:t>
            </w:r>
            <w:r>
              <w:rPr/>
              <w:t>Insights</w:t>
            </w:r>
            <w:r>
              <w:rPr>
                <w:spacing w:val="-7"/>
              </w:rPr>
              <w:t> </w:t>
            </w:r>
            <w:r>
              <w:rPr/>
              <w:t>from</w:t>
            </w:r>
            <w:r>
              <w:rPr>
                <w:spacing w:val="-7"/>
              </w:rPr>
              <w:t> </w:t>
            </w:r>
            <w:r>
              <w:rPr/>
              <w:t>U.S.</w:t>
            </w:r>
            <w:r>
              <w:rPr>
                <w:spacing w:val="-7"/>
              </w:rPr>
              <w:t> </w:t>
            </w:r>
            <w:r>
              <w:rPr/>
              <w:t>Special</w:t>
            </w:r>
            <w:r>
              <w:rPr>
                <w:spacing w:val="37"/>
              </w:rPr>
              <w:t> </w:t>
            </w:r>
            <w:r>
              <w:rPr/>
              <w:t>Operations</w:t>
            </w:r>
            <w:r>
              <w:rPr>
                <w:spacing w:val="-6"/>
              </w:rPr>
              <w:t> </w:t>
            </w:r>
            <w:r>
              <w:rPr>
                <w:spacing w:val="-2"/>
              </w:rPr>
              <w:t>Forces</w:t>
            </w:r>
            <w:r>
              <w:rPr/>
              <w:tab/>
            </w:r>
            <w:r>
              <w:rPr>
                <w:spacing w:val="-5"/>
              </w:rPr>
              <w:t>1</w:t>
            </w:r>
          </w:hyperlink>
          <w:r>
            <w:rPr>
              <w:spacing w:val="-5"/>
            </w:rPr>
            <w:t>37</w:t>
          </w:r>
        </w:p>
        <w:p>
          <w:pPr>
            <w:pStyle w:val="TOC3"/>
            <w:rPr>
              <w:i/>
            </w:rPr>
          </w:pPr>
          <w:r>
            <w:rPr>
              <w:i/>
            </w:rPr>
            <w:t>Christian</w:t>
          </w:r>
          <w:r>
            <w:rPr>
              <w:i/>
              <w:spacing w:val="-6"/>
            </w:rPr>
            <w:t> </w:t>
          </w:r>
          <w:r>
            <w:rPr>
              <w:i/>
            </w:rPr>
            <w:t>Libutti,</w:t>
          </w:r>
          <w:r>
            <w:rPr>
              <w:i/>
              <w:spacing w:val="-6"/>
            </w:rPr>
            <w:t> </w:t>
          </w:r>
          <w:r>
            <w:rPr>
              <w:i/>
            </w:rPr>
            <w:t>Kelly</w:t>
          </w:r>
          <w:r>
            <w:rPr>
              <w:i/>
              <w:spacing w:val="-6"/>
            </w:rPr>
            <w:t> </w:t>
          </w:r>
          <w:r>
            <w:rPr>
              <w:i/>
            </w:rPr>
            <w:t>Hall</w:t>
          </w:r>
          <w:r>
            <w:rPr>
              <w:i/>
              <w:spacing w:val="-6"/>
            </w:rPr>
            <w:t> </w:t>
          </w:r>
          <w:r>
            <w:rPr>
              <w:i/>
            </w:rPr>
            <w:t>and</w:t>
          </w:r>
          <w:r>
            <w:rPr>
              <w:i/>
              <w:spacing w:val="-6"/>
            </w:rPr>
            <w:t> </w:t>
          </w:r>
          <w:r>
            <w:rPr>
              <w:i/>
            </w:rPr>
            <w:t>Matthew</w:t>
          </w:r>
          <w:r>
            <w:rPr>
              <w:i/>
              <w:spacing w:val="-6"/>
            </w:rPr>
            <w:t> </w:t>
          </w:r>
          <w:r>
            <w:rPr>
              <w:i/>
              <w:spacing w:val="-2"/>
            </w:rPr>
            <w:t>Jenkins</w:t>
          </w:r>
        </w:p>
        <w:p>
          <w:pPr>
            <w:pStyle w:val="TOC1"/>
            <w:tabs>
              <w:tab w:pos="10263" w:val="left" w:leader="none"/>
            </w:tabs>
          </w:pPr>
          <w:hyperlink w:history="true" w:anchor="h.kg7ngrmn12oz">
            <w:r>
              <w:rPr/>
              <w:t>AI</w:t>
            </w:r>
            <w:r>
              <w:rPr>
                <w:spacing w:val="-11"/>
              </w:rPr>
              <w:t> </w:t>
            </w:r>
            <w:r>
              <w:rPr/>
              <w:t>Touchpoints</w:t>
            </w:r>
            <w:r>
              <w:rPr>
                <w:spacing w:val="-8"/>
              </w:rPr>
              <w:t> </w:t>
            </w:r>
            <w:r>
              <w:rPr/>
              <w:t>for</w:t>
            </w:r>
            <w:r>
              <w:rPr>
                <w:spacing w:val="-9"/>
              </w:rPr>
              <w:t> </w:t>
            </w:r>
            <w:r>
              <w:rPr/>
              <w:t>Small</w:t>
            </w:r>
            <w:r>
              <w:rPr>
                <w:spacing w:val="-8"/>
              </w:rPr>
              <w:t> </w:t>
            </w:r>
            <w:r>
              <w:rPr/>
              <w:t>Business</w:t>
            </w:r>
            <w:r>
              <w:rPr>
                <w:spacing w:val="-9"/>
              </w:rPr>
              <w:t> </w:t>
            </w:r>
            <w:r>
              <w:rPr/>
              <w:t>Growth:</w:t>
            </w:r>
            <w:r>
              <w:rPr>
                <w:spacing w:val="-8"/>
              </w:rPr>
              <w:t> </w:t>
            </w:r>
            <w:r>
              <w:rPr/>
              <w:t>Turning</w:t>
            </w:r>
            <w:r>
              <w:rPr>
                <w:spacing w:val="-9"/>
              </w:rPr>
              <w:t> </w:t>
            </w:r>
            <w:r>
              <w:rPr/>
              <w:t>Customer</w:t>
            </w:r>
            <w:r>
              <w:rPr>
                <w:spacing w:val="-8"/>
              </w:rPr>
              <w:t> </w:t>
            </w:r>
            <w:r>
              <w:rPr/>
              <w:t>Inquiries</w:t>
            </w:r>
            <w:r>
              <w:rPr>
                <w:spacing w:val="-9"/>
              </w:rPr>
              <w:t> </w:t>
            </w:r>
            <w:r>
              <w:rPr/>
              <w:t>Into</w:t>
            </w:r>
            <w:r>
              <w:rPr>
                <w:spacing w:val="-8"/>
              </w:rPr>
              <w:t> </w:t>
            </w:r>
            <w:r>
              <w:rPr>
                <w:spacing w:val="-2"/>
              </w:rPr>
              <w:t>Conversions</w:t>
            </w:r>
          </w:hyperlink>
          <w:r>
            <w:rPr/>
            <w:tab/>
          </w:r>
          <w:r>
            <w:rPr>
              <w:spacing w:val="-5"/>
            </w:rPr>
            <w:t>139</w:t>
          </w:r>
        </w:p>
        <w:p>
          <w:pPr>
            <w:pStyle w:val="TOC3"/>
            <w:rPr>
              <w:i/>
            </w:rPr>
          </w:pPr>
          <w:r>
            <w:rPr>
              <w:i/>
            </w:rPr>
            <w:t>Luke</w:t>
          </w:r>
          <w:r>
            <w:rPr>
              <w:i/>
              <w:spacing w:val="-9"/>
            </w:rPr>
            <w:t> </w:t>
          </w:r>
          <w:r>
            <w:rPr>
              <w:i/>
            </w:rPr>
            <w:t>Liska,</w:t>
          </w:r>
          <w:r>
            <w:rPr>
              <w:i/>
              <w:spacing w:val="-7"/>
            </w:rPr>
            <w:t> </w:t>
          </w:r>
          <w:r>
            <w:rPr>
              <w:i/>
            </w:rPr>
            <w:t>Andrea</w:t>
          </w:r>
          <w:r>
            <w:rPr>
              <w:i/>
              <w:spacing w:val="-7"/>
            </w:rPr>
            <w:t> </w:t>
          </w:r>
          <w:r>
            <w:rPr>
              <w:i/>
            </w:rPr>
            <w:t>Stanaland</w:t>
          </w:r>
          <w:r>
            <w:rPr>
              <w:i/>
              <w:spacing w:val="-7"/>
            </w:rPr>
            <w:t> </w:t>
          </w:r>
          <w:r>
            <w:rPr>
              <w:i/>
            </w:rPr>
            <w:t>and</w:t>
          </w:r>
          <w:r>
            <w:rPr>
              <w:i/>
              <w:spacing w:val="-7"/>
            </w:rPr>
            <w:t> </w:t>
          </w:r>
          <w:r>
            <w:rPr>
              <w:i/>
            </w:rPr>
            <w:t>Bryson</w:t>
          </w:r>
          <w:r>
            <w:rPr>
              <w:i/>
              <w:spacing w:val="-6"/>
            </w:rPr>
            <w:t> </w:t>
          </w:r>
          <w:r>
            <w:rPr>
              <w:i/>
              <w:spacing w:val="-2"/>
            </w:rPr>
            <w:t>Hilton</w:t>
          </w:r>
        </w:p>
        <w:p>
          <w:pPr>
            <w:pStyle w:val="TOC1"/>
            <w:tabs>
              <w:tab w:pos="10263" w:val="left" w:leader="none"/>
            </w:tabs>
          </w:pPr>
          <w:hyperlink w:history="true" w:anchor="h.55fd2m7o06ra">
            <w:r>
              <w:rPr/>
              <w:t>Identifying</w:t>
            </w:r>
            <w:r>
              <w:rPr>
                <w:spacing w:val="-9"/>
              </w:rPr>
              <w:t> </w:t>
            </w:r>
            <w:r>
              <w:rPr/>
              <w:t>Bottlenecks</w:t>
            </w:r>
            <w:r>
              <w:rPr>
                <w:spacing w:val="-7"/>
              </w:rPr>
              <w:t> </w:t>
            </w:r>
            <w:r>
              <w:rPr/>
              <w:t>Limiting</w:t>
            </w:r>
            <w:r>
              <w:rPr>
                <w:spacing w:val="-7"/>
              </w:rPr>
              <w:t> </w:t>
            </w:r>
            <w:r>
              <w:rPr/>
              <w:t>Spatial</w:t>
            </w:r>
            <w:r>
              <w:rPr>
                <w:spacing w:val="-7"/>
              </w:rPr>
              <w:t> </w:t>
            </w:r>
            <w:r>
              <w:rPr/>
              <w:t>Accessibility</w:t>
            </w:r>
            <w:r>
              <w:rPr>
                <w:spacing w:val="-7"/>
              </w:rPr>
              <w:t> </w:t>
            </w:r>
            <w:r>
              <w:rPr/>
              <w:t>to</w:t>
            </w:r>
            <w:r>
              <w:rPr>
                <w:spacing w:val="-7"/>
              </w:rPr>
              <w:t> </w:t>
            </w:r>
            <w:r>
              <w:rPr/>
              <w:t>Dental</w:t>
            </w:r>
            <w:r>
              <w:rPr>
                <w:spacing w:val="-7"/>
              </w:rPr>
              <w:t> </w:t>
            </w:r>
            <w:r>
              <w:rPr/>
              <w:t>Care</w:t>
            </w:r>
            <w:r>
              <w:rPr>
                <w:spacing w:val="-7"/>
              </w:rPr>
              <w:t> </w:t>
            </w:r>
            <w:r>
              <w:rPr/>
              <w:t>in</w:t>
            </w:r>
            <w:r>
              <w:rPr>
                <w:spacing w:val="-7"/>
              </w:rPr>
              <w:t> </w:t>
            </w:r>
            <w:r>
              <w:rPr/>
              <w:t>North</w:t>
            </w:r>
            <w:r>
              <w:rPr>
                <w:spacing w:val="-6"/>
              </w:rPr>
              <w:t> </w:t>
            </w:r>
            <w:r>
              <w:rPr>
                <w:spacing w:val="-2"/>
              </w:rPr>
              <w:t>Carolina</w:t>
            </w:r>
            <w:r>
              <w:rPr/>
              <w:tab/>
            </w:r>
            <w:r>
              <w:rPr>
                <w:spacing w:val="-5"/>
              </w:rPr>
              <w:t>14</w:t>
            </w:r>
          </w:hyperlink>
          <w:r>
            <w:rPr>
              <w:spacing w:val="-5"/>
            </w:rPr>
            <w:t>0</w:t>
          </w:r>
        </w:p>
        <w:p>
          <w:pPr>
            <w:pStyle w:val="TOC3"/>
            <w:rPr>
              <w:i/>
            </w:rPr>
          </w:pPr>
          <w:r>
            <w:rPr>
              <w:i/>
            </w:rPr>
            <w:t>Harley</w:t>
          </w:r>
          <w:r>
            <w:rPr>
              <w:i/>
              <w:spacing w:val="-12"/>
            </w:rPr>
            <w:t> </w:t>
          </w:r>
          <w:r>
            <w:rPr>
              <w:i/>
            </w:rPr>
            <w:t>Locklear,</w:t>
          </w:r>
          <w:r>
            <w:rPr>
              <w:i/>
              <w:spacing w:val="-10"/>
            </w:rPr>
            <w:t> </w:t>
          </w:r>
          <w:r>
            <w:rPr>
              <w:i/>
            </w:rPr>
            <w:t>Shishir</w:t>
          </w:r>
          <w:r>
            <w:rPr>
              <w:i/>
              <w:spacing w:val="-10"/>
            </w:rPr>
            <w:t> </w:t>
          </w:r>
          <w:r>
            <w:rPr>
              <w:i/>
            </w:rPr>
            <w:t>Shakya</w:t>
          </w:r>
          <w:r>
            <w:rPr>
              <w:i/>
              <w:spacing w:val="-10"/>
            </w:rPr>
            <w:t> </w:t>
          </w:r>
          <w:r>
            <w:rPr>
              <w:i/>
            </w:rPr>
            <w:t>and</w:t>
          </w:r>
          <w:r>
            <w:rPr>
              <w:i/>
              <w:spacing w:val="-10"/>
            </w:rPr>
            <w:t> </w:t>
          </w:r>
          <w:r>
            <w:rPr>
              <w:i/>
            </w:rPr>
            <w:t>Santosh</w:t>
          </w:r>
          <w:r>
            <w:rPr>
              <w:i/>
              <w:spacing w:val="-10"/>
            </w:rPr>
            <w:t> </w:t>
          </w:r>
          <w:r>
            <w:rPr>
              <w:i/>
              <w:spacing w:val="-2"/>
            </w:rPr>
            <w:t>Nandi</w:t>
          </w:r>
        </w:p>
        <w:p>
          <w:pPr>
            <w:pStyle w:val="TOC1"/>
            <w:tabs>
              <w:tab w:pos="10263" w:val="left" w:leader="none"/>
            </w:tabs>
            <w:spacing w:line="263" w:lineRule="exact" w:before="31"/>
          </w:pPr>
          <w:hyperlink w:history="true" w:anchor="h.kb190fx494y2">
            <w:r>
              <w:rPr/>
              <w:t>Tariff</w:t>
            </w:r>
            <w:r>
              <w:rPr>
                <w:spacing w:val="-11"/>
              </w:rPr>
              <w:t> </w:t>
            </w:r>
            <w:r>
              <w:rPr/>
              <w:t>Risk</w:t>
            </w:r>
            <w:r>
              <w:rPr>
                <w:spacing w:val="-10"/>
              </w:rPr>
              <w:t> </w:t>
            </w:r>
            <w:r>
              <w:rPr/>
              <w:t>Exposure</w:t>
            </w:r>
            <w:r>
              <w:rPr>
                <w:spacing w:val="-10"/>
              </w:rPr>
              <w:t> </w:t>
            </w:r>
            <w:r>
              <w:rPr/>
              <w:t>in</w:t>
            </w:r>
            <w:r>
              <w:rPr>
                <w:spacing w:val="-10"/>
              </w:rPr>
              <w:t> </w:t>
            </w:r>
            <w:r>
              <w:rPr/>
              <w:t>Supply</w:t>
            </w:r>
            <w:r>
              <w:rPr>
                <w:spacing w:val="-10"/>
              </w:rPr>
              <w:t> </w:t>
            </w:r>
            <w:r>
              <w:rPr/>
              <w:t>Chain</w:t>
            </w:r>
            <w:r>
              <w:rPr>
                <w:spacing w:val="-10"/>
              </w:rPr>
              <w:t> </w:t>
            </w:r>
            <w:r>
              <w:rPr/>
              <w:t>Reshoring</w:t>
            </w:r>
            <w:r>
              <w:rPr>
                <w:spacing w:val="-10"/>
              </w:rPr>
              <w:t> </w:t>
            </w:r>
            <w:r>
              <w:rPr/>
              <w:t>Decisions:</w:t>
            </w:r>
            <w:r>
              <w:rPr>
                <w:spacing w:val="-10"/>
              </w:rPr>
              <w:t> </w:t>
            </w:r>
            <w:r>
              <w:rPr/>
              <w:t>An</w:t>
            </w:r>
            <w:r>
              <w:rPr>
                <w:spacing w:val="-10"/>
              </w:rPr>
              <w:t> </w:t>
            </w:r>
            <w:r>
              <w:rPr/>
              <w:t>AI</w:t>
            </w:r>
            <w:r>
              <w:rPr>
                <w:rFonts w:ascii="Segoe UI Symbol" w:hAnsi="Segoe UI Symbol"/>
              </w:rPr>
              <w:t>‑</w:t>
            </w:r>
            <w:r>
              <w:rPr/>
              <w:t>Ensemble</w:t>
            </w:r>
            <w:r>
              <w:rPr>
                <w:spacing w:val="-10"/>
              </w:rPr>
              <w:t> </w:t>
            </w:r>
            <w:r>
              <w:rPr>
                <w:spacing w:val="-2"/>
              </w:rPr>
              <w:t>Perspective</w:t>
            </w:r>
            <w:r>
              <w:rPr/>
              <w:tab/>
            </w:r>
            <w:r>
              <w:rPr>
                <w:spacing w:val="-5"/>
              </w:rPr>
              <w:t>14</w:t>
            </w:r>
          </w:hyperlink>
          <w:r>
            <w:rPr>
              <w:spacing w:val="-5"/>
            </w:rPr>
            <w:t>1</w:t>
          </w:r>
        </w:p>
        <w:p>
          <w:pPr>
            <w:pStyle w:val="TOC3"/>
            <w:spacing w:line="227" w:lineRule="exact"/>
            <w:rPr>
              <w:i/>
            </w:rPr>
          </w:pPr>
          <w:r>
            <w:rPr>
              <w:i/>
            </w:rPr>
            <w:t>Jenkins</w:t>
          </w:r>
          <w:r>
            <w:rPr>
              <w:i/>
              <w:spacing w:val="-6"/>
            </w:rPr>
            <w:t> </w:t>
          </w:r>
          <w:r>
            <w:rPr>
              <w:i/>
            </w:rPr>
            <w:t>Matthew</w:t>
          </w:r>
          <w:r>
            <w:rPr>
              <w:i/>
              <w:spacing w:val="-5"/>
            </w:rPr>
            <w:t> </w:t>
          </w:r>
          <w:r>
            <w:rPr>
              <w:i/>
            </w:rPr>
            <w:t>and</w:t>
          </w:r>
          <w:r>
            <w:rPr>
              <w:i/>
              <w:spacing w:val="-6"/>
            </w:rPr>
            <w:t> </w:t>
          </w:r>
          <w:r>
            <w:rPr>
              <w:i/>
            </w:rPr>
            <w:t>Allen</w:t>
          </w:r>
          <w:r>
            <w:rPr>
              <w:i/>
              <w:spacing w:val="-5"/>
            </w:rPr>
            <w:t> </w:t>
          </w:r>
          <w:r>
            <w:rPr>
              <w:i/>
              <w:spacing w:val="-2"/>
            </w:rPr>
            <w:t>Gorman</w:t>
          </w:r>
        </w:p>
        <w:p>
          <w:pPr>
            <w:pStyle w:val="TOC1"/>
            <w:tabs>
              <w:tab w:pos="10263" w:val="left" w:leader="none"/>
            </w:tabs>
          </w:pPr>
          <w:hyperlink w:history="true" w:anchor="h.5w43s0z2fdfs">
            <w:r>
              <w:rPr/>
              <w:t>Integrating</w:t>
            </w:r>
            <w:r>
              <w:rPr>
                <w:spacing w:val="-10"/>
              </w:rPr>
              <w:t> </w:t>
            </w:r>
            <w:r>
              <w:rPr/>
              <w:t>AI</w:t>
            </w:r>
            <w:r>
              <w:rPr>
                <w:spacing w:val="-10"/>
              </w:rPr>
              <w:t> </w:t>
            </w:r>
            <w:r>
              <w:rPr/>
              <w:t>for</w:t>
            </w:r>
            <w:r>
              <w:rPr>
                <w:spacing w:val="-10"/>
              </w:rPr>
              <w:t> </w:t>
            </w:r>
            <w:r>
              <w:rPr/>
              <w:t>Scalable</w:t>
            </w:r>
            <w:r>
              <w:rPr>
                <w:spacing w:val="-10"/>
              </w:rPr>
              <w:t> </w:t>
            </w:r>
            <w:r>
              <w:rPr/>
              <w:t>Workforce</w:t>
            </w:r>
            <w:r>
              <w:rPr>
                <w:spacing w:val="-9"/>
              </w:rPr>
              <w:t> </w:t>
            </w:r>
            <w:r>
              <w:rPr>
                <w:spacing w:val="-2"/>
              </w:rPr>
              <w:t>Readiness</w:t>
            </w:r>
            <w:r>
              <w:rPr/>
              <w:tab/>
            </w:r>
            <w:r>
              <w:rPr>
                <w:spacing w:val="-5"/>
              </w:rPr>
              <w:t>14</w:t>
            </w:r>
          </w:hyperlink>
          <w:r>
            <w:rPr>
              <w:spacing w:val="-5"/>
            </w:rPr>
            <w:t>2</w:t>
          </w:r>
        </w:p>
        <w:p>
          <w:pPr>
            <w:pStyle w:val="TOC2"/>
            <w:ind w:left="1061" w:right="1191" w:firstLine="49"/>
          </w:pPr>
          <w:r>
            <w:rPr>
              <w:i/>
            </w:rPr>
            <w:t>Brenna</w:t>
          </w:r>
          <w:r>
            <w:rPr>
              <w:i/>
              <w:spacing w:val="-9"/>
            </w:rPr>
            <w:t> </w:t>
          </w:r>
          <w:r>
            <w:rPr>
              <w:i/>
            </w:rPr>
            <w:t>McNamara,</w:t>
          </w:r>
          <w:r>
            <w:rPr>
              <w:i/>
              <w:spacing w:val="-9"/>
            </w:rPr>
            <w:t> </w:t>
          </w:r>
          <w:r>
            <w:rPr>
              <w:i/>
            </w:rPr>
            <w:t>Claire</w:t>
          </w:r>
          <w:r>
            <w:rPr>
              <w:i/>
              <w:spacing w:val="-9"/>
            </w:rPr>
            <w:t> </w:t>
          </w:r>
          <w:r>
            <w:rPr>
              <w:i/>
            </w:rPr>
            <w:t>Parson,</w:t>
          </w:r>
          <w:r>
            <w:rPr>
              <w:i/>
              <w:spacing w:val="-9"/>
            </w:rPr>
            <w:t> </w:t>
          </w:r>
          <w:r>
            <w:rPr>
              <w:i/>
            </w:rPr>
            <w:t>Lilly</w:t>
          </w:r>
          <w:r>
            <w:rPr>
              <w:i/>
              <w:spacing w:val="-9"/>
            </w:rPr>
            <w:t> </w:t>
          </w:r>
          <w:r>
            <w:rPr>
              <w:i/>
            </w:rPr>
            <w:t>Basler,</w:t>
          </w:r>
          <w:r>
            <w:rPr>
              <w:i/>
              <w:spacing w:val="-9"/>
            </w:rPr>
            <w:t> </w:t>
          </w:r>
          <w:r>
            <w:rPr>
              <w:i/>
            </w:rPr>
            <w:t>Leah</w:t>
          </w:r>
          <w:r>
            <w:rPr>
              <w:i/>
              <w:spacing w:val="-9"/>
            </w:rPr>
            <w:t> </w:t>
          </w:r>
          <w:r>
            <w:rPr>
              <w:i/>
            </w:rPr>
            <w:t>Hughes,</w:t>
          </w:r>
          <w:r>
            <w:rPr>
              <w:i/>
              <w:spacing w:val="-9"/>
            </w:rPr>
            <w:t> </w:t>
          </w:r>
          <w:r>
            <w:rPr>
              <w:i/>
            </w:rPr>
            <w:t>Tony</w:t>
          </w:r>
          <w:r>
            <w:rPr>
              <w:i/>
              <w:spacing w:val="-9"/>
            </w:rPr>
            <w:t> </w:t>
          </w:r>
          <w:r>
            <w:rPr>
              <w:i/>
            </w:rPr>
            <w:t>Grebentsov,</w:t>
          </w:r>
          <w:r>
            <w:rPr>
              <w:i/>
              <w:spacing w:val="-9"/>
            </w:rPr>
            <w:t> </w:t>
          </w:r>
          <w:r>
            <w:rPr>
              <w:i/>
            </w:rPr>
            <w:t>Manny</w:t>
          </w:r>
          <w:r>
            <w:rPr>
              <w:i/>
              <w:spacing w:val="-9"/>
            </w:rPr>
            <w:t> </w:t>
          </w:r>
          <w:r>
            <w:rPr>
              <w:i/>
            </w:rPr>
            <w:t>Golfe,</w:t>
          </w:r>
          <w:r>
            <w:rPr>
              <w:i/>
              <w:spacing w:val="-9"/>
            </w:rPr>
            <w:t> </w:t>
          </w:r>
          <w:r>
            <w:rPr>
              <w:i/>
            </w:rPr>
            <w:t>Abby</w:t>
          </w:r>
          <w:r>
            <w:rPr>
              <w:i/>
              <w:spacing w:val="-9"/>
            </w:rPr>
            <w:t> </w:t>
          </w:r>
          <w:r>
            <w:rPr>
              <w:i/>
            </w:rPr>
            <w:t>Crane,</w:t>
          </w:r>
          <w:r>
            <w:rPr>
              <w:i/>
              <w:spacing w:val="-9"/>
            </w:rPr>
            <w:t> </w:t>
          </w:r>
          <w:r>
            <w:rPr>
              <w:i/>
            </w:rPr>
            <w:t>Shawn</w:t>
          </w:r>
          <w:r>
            <w:rPr/>
            <w:t> Bergman, Jamie Da Costa, Lauryn</w:t>
          </w:r>
          <w:r>
            <w:rPr>
              <w:spacing w:val="40"/>
            </w:rPr>
            <w:t> </w:t>
          </w:r>
          <w:r>
            <w:rPr/>
            <w:t>Womble, Ella Drawbridge and Caroline Hill</w:t>
          </w:r>
        </w:p>
        <w:p>
          <w:pPr>
            <w:pStyle w:val="TOC1"/>
            <w:tabs>
              <w:tab w:pos="10263" w:val="left" w:leader="none"/>
            </w:tabs>
          </w:pPr>
          <w:hyperlink w:history="true" w:anchor="h.s0wrzkc9jv95">
            <w:r>
              <w:rPr/>
              <w:t>Why</w:t>
            </w:r>
            <w:r>
              <w:rPr>
                <w:spacing w:val="-6"/>
              </w:rPr>
              <w:t> </w:t>
            </w:r>
            <w:r>
              <w:rPr/>
              <w:t>or</w:t>
            </w:r>
            <w:r>
              <w:rPr>
                <w:spacing w:val="-6"/>
              </w:rPr>
              <w:t> </w:t>
            </w:r>
            <w:r>
              <w:rPr/>
              <w:t>Why</w:t>
            </w:r>
            <w:r>
              <w:rPr>
                <w:spacing w:val="-6"/>
              </w:rPr>
              <w:t> </w:t>
            </w:r>
            <w:r>
              <w:rPr/>
              <w:t>Not</w:t>
            </w:r>
            <w:r>
              <w:rPr>
                <w:spacing w:val="-6"/>
              </w:rPr>
              <w:t> </w:t>
            </w:r>
            <w:r>
              <w:rPr/>
              <w:t>Accounting?</w:t>
            </w:r>
            <w:r>
              <w:rPr>
                <w:spacing w:val="-6"/>
              </w:rPr>
              <w:t> </w:t>
            </w:r>
            <w:r>
              <w:rPr/>
              <w:t>An</w:t>
            </w:r>
            <w:r>
              <w:rPr>
                <w:spacing w:val="-5"/>
              </w:rPr>
              <w:t> </w:t>
            </w:r>
            <w:r>
              <w:rPr/>
              <w:t>Interview-Based</w:t>
            </w:r>
            <w:r>
              <w:rPr>
                <w:spacing w:val="-6"/>
              </w:rPr>
              <w:t> </w:t>
            </w:r>
            <w:r>
              <w:rPr/>
              <w:t>Field</w:t>
            </w:r>
            <w:r>
              <w:rPr>
                <w:spacing w:val="-6"/>
              </w:rPr>
              <w:t> </w:t>
            </w:r>
            <w:r>
              <w:rPr/>
              <w:t>Study</w:t>
            </w:r>
            <w:r>
              <w:rPr>
                <w:spacing w:val="39"/>
              </w:rPr>
              <w:t> </w:t>
            </w:r>
            <w:r>
              <w:rPr/>
              <w:t>With</w:t>
            </w:r>
            <w:r>
              <w:rPr>
                <w:spacing w:val="-6"/>
              </w:rPr>
              <w:t> </w:t>
            </w:r>
            <w:r>
              <w:rPr/>
              <w:t>Business</w:t>
            </w:r>
            <w:r>
              <w:rPr>
                <w:spacing w:val="-5"/>
              </w:rPr>
              <w:t> </w:t>
            </w:r>
            <w:r>
              <w:rPr>
                <w:spacing w:val="-2"/>
              </w:rPr>
              <w:t>Students</w:t>
            </w:r>
          </w:hyperlink>
          <w:r>
            <w:rPr/>
            <w:tab/>
          </w:r>
          <w:r>
            <w:rPr>
              <w:spacing w:val="-5"/>
            </w:rPr>
            <w:t>143</w:t>
          </w:r>
        </w:p>
        <w:p>
          <w:pPr>
            <w:pStyle w:val="TOC3"/>
            <w:rPr>
              <w:i/>
            </w:rPr>
          </w:pPr>
          <w:r>
            <w:rPr>
              <w:i/>
            </w:rPr>
            <w:t>Kassandra</w:t>
          </w:r>
          <w:r>
            <w:rPr>
              <w:i/>
              <w:spacing w:val="-6"/>
            </w:rPr>
            <w:t> </w:t>
          </w:r>
          <w:r>
            <w:rPr>
              <w:i/>
            </w:rPr>
            <w:t>Mendez</w:t>
          </w:r>
          <w:r>
            <w:rPr>
              <w:i/>
              <w:spacing w:val="-6"/>
            </w:rPr>
            <w:t> </w:t>
          </w:r>
          <w:r>
            <w:rPr>
              <w:i/>
            </w:rPr>
            <w:t>Salinas</w:t>
          </w:r>
          <w:r>
            <w:rPr>
              <w:i/>
              <w:spacing w:val="-6"/>
            </w:rPr>
            <w:t> </w:t>
          </w:r>
          <w:r>
            <w:rPr>
              <w:i/>
            </w:rPr>
            <w:t>and</w:t>
          </w:r>
          <w:r>
            <w:rPr>
              <w:i/>
              <w:spacing w:val="-6"/>
            </w:rPr>
            <w:t> </w:t>
          </w:r>
          <w:r>
            <w:rPr>
              <w:i/>
            </w:rPr>
            <w:t>Brian</w:t>
          </w:r>
          <w:r>
            <w:rPr>
              <w:i/>
              <w:spacing w:val="-6"/>
            </w:rPr>
            <w:t> </w:t>
          </w:r>
          <w:r>
            <w:rPr>
              <w:i/>
              <w:spacing w:val="-2"/>
            </w:rPr>
            <w:t>Hasson</w:t>
          </w:r>
        </w:p>
        <w:p>
          <w:pPr>
            <w:pStyle w:val="TOC1"/>
            <w:tabs>
              <w:tab w:pos="10263" w:val="left" w:leader="none"/>
            </w:tabs>
          </w:pPr>
          <w:hyperlink w:history="true" w:anchor="h.ck4uvv7j67x8">
            <w:r>
              <w:rPr/>
              <w:t>The</w:t>
            </w:r>
            <w:r>
              <w:rPr>
                <w:spacing w:val="-8"/>
              </w:rPr>
              <w:t> </w:t>
            </w:r>
            <w:r>
              <w:rPr/>
              <w:t>Use</w:t>
            </w:r>
            <w:r>
              <w:rPr>
                <w:spacing w:val="-5"/>
              </w:rPr>
              <w:t> </w:t>
            </w:r>
            <w:r>
              <w:rPr/>
              <w:t>of</w:t>
            </w:r>
            <w:r>
              <w:rPr>
                <w:spacing w:val="-6"/>
              </w:rPr>
              <w:t> </w:t>
            </w:r>
            <w:r>
              <w:rPr/>
              <w:t>AFS</w:t>
            </w:r>
            <w:r>
              <w:rPr>
                <w:spacing w:val="-5"/>
              </w:rPr>
              <w:t> </w:t>
            </w:r>
            <w:r>
              <w:rPr/>
              <w:t>and</w:t>
            </w:r>
            <w:r>
              <w:rPr>
                <w:spacing w:val="-6"/>
              </w:rPr>
              <w:t> </w:t>
            </w:r>
            <w:r>
              <w:rPr/>
              <w:t>Financial</w:t>
            </w:r>
            <w:r>
              <w:rPr>
                <w:spacing w:val="-5"/>
              </w:rPr>
              <w:t> </w:t>
            </w:r>
            <w:r>
              <w:rPr/>
              <w:t>Satisfaction:</w:t>
            </w:r>
            <w:r>
              <w:rPr>
                <w:spacing w:val="-5"/>
              </w:rPr>
              <w:t> </w:t>
            </w:r>
            <w:r>
              <w:rPr/>
              <w:t>The</w:t>
            </w:r>
            <w:r>
              <w:rPr>
                <w:spacing w:val="-6"/>
              </w:rPr>
              <w:t> </w:t>
            </w:r>
            <w:r>
              <w:rPr/>
              <w:t>Mediating</w:t>
            </w:r>
            <w:r>
              <w:rPr>
                <w:spacing w:val="-5"/>
              </w:rPr>
              <w:t> </w:t>
            </w:r>
            <w:r>
              <w:rPr/>
              <w:t>Role</w:t>
            </w:r>
            <w:r>
              <w:rPr>
                <w:spacing w:val="-6"/>
              </w:rPr>
              <w:t> </w:t>
            </w:r>
            <w:r>
              <w:rPr/>
              <w:t>of</w:t>
            </w:r>
            <w:r>
              <w:rPr>
                <w:spacing w:val="-5"/>
              </w:rPr>
              <w:t> </w:t>
            </w:r>
            <w:r>
              <w:rPr/>
              <w:t>Financial</w:t>
            </w:r>
            <w:r>
              <w:rPr>
                <w:spacing w:val="-6"/>
              </w:rPr>
              <w:t> </w:t>
            </w:r>
            <w:r>
              <w:rPr/>
              <w:t>Anxiety</w:t>
            </w:r>
            <w:r>
              <w:rPr>
                <w:spacing w:val="-5"/>
              </w:rPr>
              <w:t> </w:t>
            </w:r>
            <w:r>
              <w:rPr/>
              <w:t>Across</w:t>
            </w:r>
            <w:r>
              <w:rPr>
                <w:spacing w:val="-5"/>
              </w:rPr>
              <w:t> </w:t>
            </w:r>
            <w:r>
              <w:rPr>
                <w:spacing w:val="-2"/>
              </w:rPr>
              <w:t>Generations</w:t>
            </w:r>
            <w:r>
              <w:rPr/>
              <w:tab/>
            </w:r>
            <w:r>
              <w:rPr>
                <w:spacing w:val="-5"/>
              </w:rPr>
              <w:t>1</w:t>
            </w:r>
          </w:hyperlink>
          <w:r>
            <w:rPr>
              <w:spacing w:val="-5"/>
            </w:rPr>
            <w:t>73</w:t>
          </w:r>
        </w:p>
        <w:p>
          <w:pPr>
            <w:pStyle w:val="TOC3"/>
            <w:rPr>
              <w:i/>
            </w:rPr>
          </w:pPr>
          <w:r>
            <w:rPr>
              <w:i/>
            </w:rPr>
            <w:t>Olamide</w:t>
          </w:r>
          <w:r>
            <w:rPr>
              <w:i/>
              <w:spacing w:val="-7"/>
            </w:rPr>
            <w:t> </w:t>
          </w:r>
          <w:r>
            <w:rPr>
              <w:i/>
            </w:rPr>
            <w:t>Olajide,</w:t>
          </w:r>
          <w:r>
            <w:rPr>
              <w:i/>
              <w:spacing w:val="-6"/>
            </w:rPr>
            <w:t> </w:t>
          </w:r>
          <w:r>
            <w:rPr>
              <w:i/>
            </w:rPr>
            <w:t>Ichchha</w:t>
          </w:r>
          <w:r>
            <w:rPr>
              <w:i/>
              <w:spacing w:val="-6"/>
            </w:rPr>
            <w:t> </w:t>
          </w:r>
          <w:r>
            <w:rPr>
              <w:i/>
            </w:rPr>
            <w:t>Pandey</w:t>
          </w:r>
          <w:r>
            <w:rPr>
              <w:i/>
              <w:spacing w:val="-6"/>
            </w:rPr>
            <w:t> </w:t>
          </w:r>
          <w:r>
            <w:rPr>
              <w:i/>
            </w:rPr>
            <w:t>and</w:t>
          </w:r>
          <w:r>
            <w:rPr>
              <w:i/>
              <w:spacing w:val="-6"/>
            </w:rPr>
            <w:t> </w:t>
          </w:r>
          <w:r>
            <w:rPr>
              <w:i/>
            </w:rPr>
            <w:t>Sabina</w:t>
          </w:r>
          <w:r>
            <w:rPr>
              <w:i/>
              <w:spacing w:val="-6"/>
            </w:rPr>
            <w:t> </w:t>
          </w:r>
          <w:r>
            <w:rPr>
              <w:i/>
              <w:spacing w:val="-2"/>
            </w:rPr>
            <w:t>Pandey</w:t>
          </w:r>
        </w:p>
        <w:p>
          <w:pPr>
            <w:pStyle w:val="TOC1"/>
            <w:tabs>
              <w:tab w:pos="10263" w:val="left" w:leader="none"/>
            </w:tabs>
          </w:pPr>
          <w:hyperlink w:history="true" w:anchor="h.ugs4kpob6ygd">
            <w:r>
              <w:rPr/>
              <w:t>From</w:t>
            </w:r>
            <w:r>
              <w:rPr>
                <w:spacing w:val="-6"/>
              </w:rPr>
              <w:t> </w:t>
            </w:r>
            <w:r>
              <w:rPr/>
              <w:t>Feeds</w:t>
            </w:r>
            <w:r>
              <w:rPr>
                <w:spacing w:val="-6"/>
              </w:rPr>
              <w:t> </w:t>
            </w:r>
            <w:r>
              <w:rPr/>
              <w:t>to</w:t>
            </w:r>
            <w:r>
              <w:rPr>
                <w:spacing w:val="-6"/>
              </w:rPr>
              <w:t> </w:t>
            </w:r>
            <w:r>
              <w:rPr/>
              <w:t>Fragility:</w:t>
            </w:r>
            <w:r>
              <w:rPr>
                <w:spacing w:val="-6"/>
              </w:rPr>
              <w:t> </w:t>
            </w:r>
            <w:r>
              <w:rPr/>
              <w:t>Social</w:t>
            </w:r>
            <w:r>
              <w:rPr>
                <w:spacing w:val="-6"/>
              </w:rPr>
              <w:t> </w:t>
            </w:r>
            <w:r>
              <w:rPr/>
              <w:t>Media</w:t>
            </w:r>
            <w:r>
              <w:rPr>
                <w:spacing w:val="-5"/>
              </w:rPr>
              <w:t> </w:t>
            </w:r>
            <w:r>
              <w:rPr/>
              <w:t>Use</w:t>
            </w:r>
            <w:r>
              <w:rPr>
                <w:spacing w:val="-6"/>
              </w:rPr>
              <w:t> </w:t>
            </w:r>
            <w:r>
              <w:rPr/>
              <w:t>and</w:t>
            </w:r>
            <w:r>
              <w:rPr>
                <w:spacing w:val="-6"/>
              </w:rPr>
              <w:t> </w:t>
            </w:r>
            <w:r>
              <w:rPr/>
              <w:t>Investment</w:t>
            </w:r>
            <w:r>
              <w:rPr>
                <w:spacing w:val="-6"/>
              </w:rPr>
              <w:t> </w:t>
            </w:r>
            <w:r>
              <w:rPr/>
              <w:t>in</w:t>
            </w:r>
            <w:r>
              <w:rPr>
                <w:spacing w:val="-6"/>
              </w:rPr>
              <w:t> </w:t>
            </w:r>
            <w:r>
              <w:rPr/>
              <w:t>Speculative</w:t>
            </w:r>
            <w:r>
              <w:rPr>
                <w:spacing w:val="-6"/>
              </w:rPr>
              <w:t> </w:t>
            </w:r>
            <w:r>
              <w:rPr/>
              <w:t>Financial</w:t>
            </w:r>
            <w:r>
              <w:rPr>
                <w:spacing w:val="-5"/>
              </w:rPr>
              <w:t> </w:t>
            </w:r>
            <w:r>
              <w:rPr>
                <w:spacing w:val="-2"/>
              </w:rPr>
              <w:t>Assets</w:t>
            </w:r>
            <w:r>
              <w:rPr/>
              <w:tab/>
            </w:r>
            <w:r>
              <w:rPr>
                <w:spacing w:val="-5"/>
              </w:rPr>
              <w:t>1</w:t>
            </w:r>
          </w:hyperlink>
          <w:r>
            <w:rPr>
              <w:spacing w:val="-5"/>
            </w:rPr>
            <w:t>74</w:t>
          </w:r>
        </w:p>
        <w:p>
          <w:pPr>
            <w:pStyle w:val="TOC3"/>
            <w:rPr>
              <w:i/>
            </w:rPr>
          </w:pPr>
          <w:r>
            <w:rPr>
              <w:i/>
            </w:rPr>
            <w:t>Sabina</w:t>
          </w:r>
          <w:r>
            <w:rPr>
              <w:i/>
              <w:spacing w:val="-10"/>
            </w:rPr>
            <w:t> </w:t>
          </w:r>
          <w:r>
            <w:rPr>
              <w:i/>
            </w:rPr>
            <w:t>Pandey,</w:t>
          </w:r>
          <w:r>
            <w:rPr>
              <w:i/>
              <w:spacing w:val="-8"/>
            </w:rPr>
            <w:t> </w:t>
          </w:r>
          <w:r>
            <w:rPr>
              <w:i/>
            </w:rPr>
            <w:t>Olamide</w:t>
          </w:r>
          <w:r>
            <w:rPr>
              <w:i/>
              <w:spacing w:val="-8"/>
            </w:rPr>
            <w:t> </w:t>
          </w:r>
          <w:r>
            <w:rPr>
              <w:i/>
            </w:rPr>
            <w:t>Olajide</w:t>
          </w:r>
          <w:r>
            <w:rPr>
              <w:i/>
              <w:spacing w:val="-8"/>
            </w:rPr>
            <w:t> </w:t>
          </w:r>
          <w:r>
            <w:rPr>
              <w:i/>
            </w:rPr>
            <w:t>and</w:t>
          </w:r>
          <w:r>
            <w:rPr>
              <w:i/>
              <w:spacing w:val="-8"/>
            </w:rPr>
            <w:t> </w:t>
          </w:r>
          <w:r>
            <w:rPr>
              <w:i/>
            </w:rPr>
            <w:t>Ichchha</w:t>
          </w:r>
          <w:r>
            <w:rPr>
              <w:i/>
              <w:spacing w:val="-8"/>
            </w:rPr>
            <w:t> </w:t>
          </w:r>
          <w:r>
            <w:rPr>
              <w:i/>
              <w:spacing w:val="-2"/>
            </w:rPr>
            <w:t>Pandey</w:t>
          </w:r>
        </w:p>
        <w:p>
          <w:pPr>
            <w:pStyle w:val="TOC1"/>
            <w:tabs>
              <w:tab w:pos="10263" w:val="left" w:leader="none"/>
            </w:tabs>
            <w:spacing w:line="263" w:lineRule="exact" w:before="30"/>
          </w:pPr>
          <w:hyperlink w:history="true" w:anchor="h.d98xnqe3iwg6">
            <w:r>
              <w:rPr>
                <w:spacing w:val="-2"/>
              </w:rPr>
              <w:t>Beyond</w:t>
            </w:r>
            <w:r>
              <w:rPr>
                <w:spacing w:val="7"/>
              </w:rPr>
              <w:t> </w:t>
            </w:r>
            <w:r>
              <w:rPr>
                <w:spacing w:val="-2"/>
              </w:rPr>
              <w:t>Compliance:</w:t>
            </w:r>
            <w:r>
              <w:rPr>
                <w:spacing w:val="7"/>
              </w:rPr>
              <w:t> </w:t>
            </w:r>
            <w:r>
              <w:rPr>
                <w:spacing w:val="-2"/>
              </w:rPr>
              <w:t>Overcoming</w:t>
            </w:r>
            <w:r>
              <w:rPr>
                <w:spacing w:val="7"/>
              </w:rPr>
              <w:t> </w:t>
            </w:r>
            <w:r>
              <w:rPr>
                <w:spacing w:val="-2"/>
              </w:rPr>
              <w:t>Resistance</w:t>
            </w:r>
            <w:r>
              <w:rPr>
                <w:spacing w:val="7"/>
              </w:rPr>
              <w:t> </w:t>
            </w:r>
            <w:r>
              <w:rPr>
                <w:spacing w:val="-2"/>
              </w:rPr>
              <w:t>in</w:t>
            </w:r>
            <w:r>
              <w:rPr>
                <w:spacing w:val="7"/>
              </w:rPr>
              <w:t> </w:t>
            </w:r>
            <w:r>
              <w:rPr>
                <w:spacing w:val="-2"/>
              </w:rPr>
              <w:t>Implementing</w:t>
            </w:r>
            <w:r>
              <w:rPr>
                <w:spacing w:val="7"/>
              </w:rPr>
              <w:t> </w:t>
            </w:r>
            <w:r>
              <w:rPr>
                <w:spacing w:val="-2"/>
              </w:rPr>
              <w:t>Government</w:t>
            </w:r>
            <w:r>
              <w:rPr>
                <w:rFonts w:ascii="Segoe UI Symbol" w:hAnsi="Segoe UI Symbol"/>
                <w:spacing w:val="-2"/>
              </w:rPr>
              <w:t>‑</w:t>
            </w:r>
            <w:r>
              <w:rPr>
                <w:spacing w:val="-2"/>
              </w:rPr>
              <w:t>Mandated</w:t>
            </w:r>
            <w:r>
              <w:rPr>
                <w:spacing w:val="7"/>
              </w:rPr>
              <w:t> </w:t>
            </w:r>
            <w:r>
              <w:rPr>
                <w:spacing w:val="-2"/>
              </w:rPr>
              <w:t>Technology</w:t>
            </w:r>
            <w:r>
              <w:rPr/>
              <w:tab/>
            </w:r>
            <w:r>
              <w:rPr>
                <w:spacing w:val="-5"/>
              </w:rPr>
              <w:t>1</w:t>
            </w:r>
          </w:hyperlink>
          <w:r>
            <w:rPr>
              <w:spacing w:val="-5"/>
            </w:rPr>
            <w:t>77</w:t>
          </w:r>
        </w:p>
        <w:p>
          <w:pPr>
            <w:pStyle w:val="TOC3"/>
            <w:spacing w:line="227" w:lineRule="exact"/>
            <w:rPr>
              <w:i/>
            </w:rPr>
          </w:pPr>
          <w:r>
            <w:rPr>
              <w:i/>
            </w:rPr>
            <w:t>T.</w:t>
          </w:r>
          <w:r>
            <w:rPr>
              <w:i/>
              <w:spacing w:val="-13"/>
            </w:rPr>
            <w:t> </w:t>
          </w:r>
          <w:r>
            <w:rPr>
              <w:i/>
            </w:rPr>
            <w:t>Janel</w:t>
          </w:r>
          <w:r>
            <w:rPr>
              <w:i/>
              <w:spacing w:val="-10"/>
            </w:rPr>
            <w:t> </w:t>
          </w:r>
          <w:r>
            <w:rPr>
              <w:i/>
              <w:spacing w:val="-2"/>
            </w:rPr>
            <w:t>Paulk</w:t>
          </w:r>
        </w:p>
        <w:p>
          <w:pPr>
            <w:pStyle w:val="TOC1"/>
          </w:pPr>
          <w:hyperlink w:history="true" w:anchor="h.168iol3z052l">
            <w:r>
              <w:rPr>
                <w:spacing w:val="-2"/>
              </w:rPr>
              <w:t>Developmental</w:t>
            </w:r>
            <w:r>
              <w:rPr>
                <w:spacing w:val="2"/>
              </w:rPr>
              <w:t> </w:t>
            </w:r>
            <w:r>
              <w:rPr>
                <w:spacing w:val="-2"/>
              </w:rPr>
              <w:t>Divergence:</w:t>
            </w:r>
            <w:r>
              <w:rPr>
                <w:spacing w:val="5"/>
              </w:rPr>
              <w:t> </w:t>
            </w:r>
            <w:r>
              <w:rPr>
                <w:spacing w:val="-2"/>
              </w:rPr>
              <w:t>Teen</w:t>
            </w:r>
            <w:r>
              <w:rPr>
                <w:spacing w:val="5"/>
              </w:rPr>
              <w:t> </w:t>
            </w:r>
            <w:r>
              <w:rPr>
                <w:spacing w:val="-2"/>
              </w:rPr>
              <w:t>Pregnancy,</w:t>
            </w:r>
            <w:r>
              <w:rPr>
                <w:spacing w:val="5"/>
              </w:rPr>
              <w:t> </w:t>
            </w:r>
            <w:r>
              <w:rPr>
                <w:spacing w:val="-2"/>
              </w:rPr>
              <w:t>Poverty,</w:t>
            </w:r>
            <w:r>
              <w:rPr>
                <w:spacing w:val="5"/>
              </w:rPr>
              <w:t> </w:t>
            </w:r>
            <w:r>
              <w:rPr>
                <w:spacing w:val="-2"/>
              </w:rPr>
              <w:t>and</w:t>
            </w:r>
            <w:r>
              <w:rPr>
                <w:spacing w:val="4"/>
              </w:rPr>
              <w:t> </w:t>
            </w:r>
            <w:r>
              <w:rPr>
                <w:spacing w:val="-2"/>
              </w:rPr>
              <w:t>Regional</w:t>
            </w:r>
            <w:r>
              <w:rPr>
                <w:spacing w:val="5"/>
              </w:rPr>
              <w:t> </w:t>
            </w:r>
            <w:r>
              <w:rPr>
                <w:spacing w:val="-2"/>
              </w:rPr>
              <w:t>Inequality—Evidence</w:t>
            </w:r>
            <w:r>
              <w:rPr>
                <w:spacing w:val="5"/>
              </w:rPr>
              <w:t> </w:t>
            </w:r>
            <w:r>
              <w:rPr>
                <w:spacing w:val="-2"/>
              </w:rPr>
              <w:t>from</w:t>
            </w:r>
            <w:r>
              <w:rPr>
                <w:spacing w:val="5"/>
              </w:rPr>
              <w:t> </w:t>
            </w:r>
            <w:r>
              <w:rPr>
                <w:spacing w:val="-2"/>
              </w:rPr>
              <w:t>Appalachian</w:t>
            </w:r>
            <w:r>
              <w:rPr>
                <w:spacing w:val="5"/>
              </w:rPr>
              <w:t> </w:t>
            </w:r>
            <w:r>
              <w:rPr>
                <w:spacing w:val="-2"/>
              </w:rPr>
              <w:t>Kentucky1</w:t>
            </w:r>
          </w:hyperlink>
          <w:r>
            <w:rPr>
              <w:spacing w:val="-2"/>
            </w:rPr>
            <w:t>84</w:t>
          </w:r>
        </w:p>
        <w:p>
          <w:pPr>
            <w:pStyle w:val="TOC3"/>
            <w:rPr>
              <w:i/>
            </w:rPr>
          </w:pPr>
          <w:r>
            <w:rPr>
              <w:i/>
            </w:rPr>
            <w:t>Joseph</w:t>
          </w:r>
          <w:r>
            <w:rPr>
              <w:i/>
              <w:spacing w:val="-6"/>
            </w:rPr>
            <w:t> </w:t>
          </w:r>
          <w:r>
            <w:rPr>
              <w:i/>
              <w:spacing w:val="-2"/>
            </w:rPr>
            <w:t>Pekaar</w:t>
          </w:r>
        </w:p>
        <w:p>
          <w:pPr>
            <w:pStyle w:val="TOC1"/>
            <w:tabs>
              <w:tab w:pos="10263" w:val="left" w:leader="none"/>
            </w:tabs>
            <w:spacing w:line="263" w:lineRule="exact" w:before="31"/>
          </w:pPr>
          <w:hyperlink w:history="true" w:anchor="h.tz4yz777s478">
            <w:r>
              <w:rPr/>
              <w:t>Using</w:t>
            </w:r>
            <w:r>
              <w:rPr>
                <w:spacing w:val="-11"/>
              </w:rPr>
              <w:t> </w:t>
            </w:r>
            <w:r>
              <w:rPr/>
              <w:t>Artificial</w:t>
            </w:r>
            <w:r>
              <w:rPr>
                <w:spacing w:val="-11"/>
              </w:rPr>
              <w:t> </w:t>
            </w:r>
            <w:r>
              <w:rPr/>
              <w:t>Intelligence</w:t>
            </w:r>
            <w:r>
              <w:rPr>
                <w:spacing w:val="-11"/>
              </w:rPr>
              <w:t> </w:t>
            </w:r>
            <w:r>
              <w:rPr/>
              <w:t>to</w:t>
            </w:r>
            <w:r>
              <w:rPr>
                <w:spacing w:val="-11"/>
              </w:rPr>
              <w:t> </w:t>
            </w:r>
            <w:r>
              <w:rPr/>
              <w:t>Evaluate</w:t>
            </w:r>
            <w:r>
              <w:rPr>
                <w:spacing w:val="-10"/>
              </w:rPr>
              <w:t> </w:t>
            </w:r>
            <w:r>
              <w:rPr/>
              <w:t>and</w:t>
            </w:r>
            <w:r>
              <w:rPr>
                <w:spacing w:val="-11"/>
              </w:rPr>
              <w:t> </w:t>
            </w:r>
            <w:r>
              <w:rPr/>
              <w:t>Rank</w:t>
            </w:r>
            <w:r>
              <w:rPr>
                <w:spacing w:val="-11"/>
              </w:rPr>
              <w:t> </w:t>
            </w:r>
            <w:r>
              <w:rPr/>
              <w:t>E</w:t>
            </w:r>
            <w:r>
              <w:rPr>
                <w:rFonts w:ascii="Segoe UI Symbol" w:hAnsi="Segoe UI Symbol"/>
              </w:rPr>
              <w:t>‑</w:t>
            </w:r>
            <w:r>
              <w:rPr/>
              <w:t>Waste</w:t>
            </w:r>
            <w:r>
              <w:rPr>
                <w:spacing w:val="-11"/>
              </w:rPr>
              <w:t> </w:t>
            </w:r>
            <w:r>
              <w:rPr/>
              <w:t>Management</w:t>
            </w:r>
            <w:r>
              <w:rPr>
                <w:spacing w:val="-11"/>
              </w:rPr>
              <w:t> </w:t>
            </w:r>
            <w:r>
              <w:rPr>
                <w:spacing w:val="-2"/>
              </w:rPr>
              <w:t>Alternatives</w:t>
            </w:r>
          </w:hyperlink>
          <w:r>
            <w:rPr/>
            <w:tab/>
          </w:r>
          <w:r>
            <w:rPr>
              <w:spacing w:val="-5"/>
            </w:rPr>
            <w:t>185</w:t>
          </w:r>
        </w:p>
        <w:p>
          <w:pPr>
            <w:pStyle w:val="TOC3"/>
            <w:spacing w:line="227" w:lineRule="exact"/>
            <w:rPr>
              <w:i/>
            </w:rPr>
          </w:pPr>
          <w:r>
            <w:rPr>
              <w:i/>
            </w:rPr>
            <w:t>Romy</w:t>
          </w:r>
          <w:r>
            <w:rPr>
              <w:i/>
              <w:spacing w:val="-6"/>
            </w:rPr>
            <w:t> </w:t>
          </w:r>
          <w:r>
            <w:rPr>
              <w:i/>
            </w:rPr>
            <w:t>Polanah</w:t>
          </w:r>
          <w:r>
            <w:rPr>
              <w:i/>
              <w:spacing w:val="-5"/>
            </w:rPr>
            <w:t> </w:t>
          </w:r>
          <w:r>
            <w:rPr>
              <w:i/>
            </w:rPr>
            <w:t>Kehlenbeck</w:t>
          </w:r>
          <w:r>
            <w:rPr>
              <w:i/>
              <w:spacing w:val="-6"/>
            </w:rPr>
            <w:t> </w:t>
          </w:r>
          <w:r>
            <w:rPr>
              <w:i/>
            </w:rPr>
            <w:t>and</w:t>
          </w:r>
          <w:r>
            <w:rPr>
              <w:i/>
              <w:spacing w:val="-5"/>
            </w:rPr>
            <w:t> </w:t>
          </w:r>
          <w:r>
            <w:rPr>
              <w:i/>
            </w:rPr>
            <w:t>Zachary</w:t>
          </w:r>
          <w:r>
            <w:rPr>
              <w:i/>
              <w:spacing w:val="-6"/>
            </w:rPr>
            <w:t> </w:t>
          </w:r>
          <w:r>
            <w:rPr>
              <w:i/>
            </w:rPr>
            <w:t>A.</w:t>
          </w:r>
          <w:r>
            <w:rPr>
              <w:i/>
              <w:spacing w:val="-5"/>
            </w:rPr>
            <w:t> </w:t>
          </w:r>
          <w:r>
            <w:rPr>
              <w:i/>
              <w:spacing w:val="-2"/>
            </w:rPr>
            <w:t>Collier</w:t>
          </w:r>
        </w:p>
        <w:p>
          <w:pPr>
            <w:pStyle w:val="TOC1"/>
            <w:tabs>
              <w:tab w:pos="10263" w:val="left" w:leader="none"/>
            </w:tabs>
            <w:spacing w:before="31" w:after="20"/>
          </w:pPr>
          <w:hyperlink w:history="true" w:anchor="_TOC_250001">
            <w:r>
              <w:rPr>
                <w:spacing w:val="-2"/>
              </w:rPr>
              <w:t>Behavioral</w:t>
            </w:r>
            <w:r>
              <w:rPr>
                <w:spacing w:val="3"/>
              </w:rPr>
              <w:t> </w:t>
            </w:r>
            <w:r>
              <w:rPr>
                <w:spacing w:val="-2"/>
              </w:rPr>
              <w:t>Biases</w:t>
            </w:r>
            <w:r>
              <w:rPr>
                <w:spacing w:val="4"/>
              </w:rPr>
              <w:t> </w:t>
            </w:r>
            <w:r>
              <w:rPr>
                <w:spacing w:val="-2"/>
              </w:rPr>
              <w:t>in</w:t>
            </w:r>
            <w:r>
              <w:rPr>
                <w:spacing w:val="4"/>
              </w:rPr>
              <w:t> </w:t>
            </w:r>
            <w:r>
              <w:rPr>
                <w:spacing w:val="-2"/>
              </w:rPr>
              <w:t>Investment</w:t>
            </w:r>
            <w:r>
              <w:rPr>
                <w:spacing w:val="4"/>
              </w:rPr>
              <w:t> </w:t>
            </w:r>
            <w:r>
              <w:rPr>
                <w:spacing w:val="-2"/>
              </w:rPr>
              <w:t>Decision</w:t>
            </w:r>
            <w:r>
              <w:rPr>
                <w:rFonts w:ascii="Segoe UI Symbol" w:hAnsi="Segoe UI Symbol"/>
                <w:spacing w:val="-2"/>
              </w:rPr>
              <w:t>‑</w:t>
            </w:r>
            <w:r>
              <w:rPr>
                <w:spacing w:val="-2"/>
              </w:rPr>
              <w:t>Making:</w:t>
            </w:r>
            <w:r>
              <w:rPr>
                <w:spacing w:val="4"/>
              </w:rPr>
              <w:t> </w:t>
            </w:r>
            <w:r>
              <w:rPr>
                <w:spacing w:val="-2"/>
              </w:rPr>
              <w:t>A</w:t>
            </w:r>
            <w:r>
              <w:rPr>
                <w:spacing w:val="4"/>
              </w:rPr>
              <w:t> </w:t>
            </w:r>
            <w:r>
              <w:rPr>
                <w:spacing w:val="-2"/>
              </w:rPr>
              <w:t>Meta</w:t>
            </w:r>
            <w:r>
              <w:rPr>
                <w:rFonts w:ascii="Segoe UI Symbol" w:hAnsi="Segoe UI Symbol"/>
                <w:spacing w:val="-2"/>
              </w:rPr>
              <w:t>‑</w:t>
            </w:r>
            <w:r>
              <w:rPr>
                <w:spacing w:val="-2"/>
              </w:rPr>
              <w:t>Synthesis</w:t>
            </w:r>
            <w:r>
              <w:rPr>
                <w:spacing w:val="4"/>
              </w:rPr>
              <w:t> </w:t>
            </w:r>
            <w:r>
              <w:rPr>
                <w:spacing w:val="-2"/>
              </w:rPr>
              <w:t>Across</w:t>
            </w:r>
            <w:r>
              <w:rPr>
                <w:spacing w:val="4"/>
              </w:rPr>
              <w:t> </w:t>
            </w:r>
            <w:r>
              <w:rPr>
                <w:spacing w:val="-2"/>
              </w:rPr>
              <w:t>Demographic</w:t>
            </w:r>
            <w:r>
              <w:rPr>
                <w:spacing w:val="4"/>
              </w:rPr>
              <w:t> </w:t>
            </w:r>
            <w:r>
              <w:rPr>
                <w:spacing w:val="-2"/>
              </w:rPr>
              <w:t>Groups</w:t>
            </w:r>
            <w:r>
              <w:rPr/>
              <w:tab/>
            </w:r>
            <w:r>
              <w:rPr>
                <w:spacing w:val="-5"/>
              </w:rPr>
              <w:t>186</w:t>
            </w:r>
          </w:hyperlink>
        </w:p>
        <w:p>
          <w:pPr>
            <w:pStyle w:val="TOC3"/>
            <w:spacing w:before="81"/>
            <w:rPr>
              <w:i/>
            </w:rPr>
          </w:pPr>
          <w:r>
            <w:rPr>
              <w:i/>
            </w:rPr>
            <w:t>Ella</w:t>
          </w:r>
          <w:r>
            <w:rPr>
              <w:i/>
              <w:spacing w:val="-5"/>
            </w:rPr>
            <w:t> </w:t>
          </w:r>
          <w:r>
            <w:rPr>
              <w:i/>
            </w:rPr>
            <w:t>Pruitt</w:t>
          </w:r>
          <w:r>
            <w:rPr>
              <w:i/>
              <w:spacing w:val="-5"/>
            </w:rPr>
            <w:t> </w:t>
          </w:r>
          <w:r>
            <w:rPr>
              <w:i/>
            </w:rPr>
            <w:t>and</w:t>
          </w:r>
          <w:r>
            <w:rPr>
              <w:i/>
              <w:spacing w:val="-5"/>
            </w:rPr>
            <w:t> </w:t>
          </w:r>
          <w:r>
            <w:rPr>
              <w:i/>
            </w:rPr>
            <w:t>Santosh</w:t>
          </w:r>
          <w:r>
            <w:rPr>
              <w:i/>
              <w:spacing w:val="-5"/>
            </w:rPr>
            <w:t> </w:t>
          </w:r>
          <w:r>
            <w:rPr>
              <w:i/>
              <w:spacing w:val="-2"/>
            </w:rPr>
            <w:t>Nandi</w:t>
          </w:r>
        </w:p>
        <w:p>
          <w:pPr>
            <w:pStyle w:val="TOC1"/>
            <w:tabs>
              <w:tab w:pos="10263" w:val="left" w:leader="none"/>
            </w:tabs>
            <w:spacing w:line="263" w:lineRule="exact" w:before="30"/>
          </w:pPr>
          <w:hyperlink w:history="true" w:anchor="h.3znl1zq0l9s4">
            <w:r>
              <w:rPr/>
              <w:t>Sonic</w:t>
            </w:r>
            <w:r>
              <w:rPr>
                <w:spacing w:val="-11"/>
              </w:rPr>
              <w:t> </w:t>
            </w:r>
            <w:r>
              <w:rPr/>
              <w:t>Misfortune:</w:t>
            </w:r>
            <w:r>
              <w:rPr>
                <w:spacing w:val="-11"/>
              </w:rPr>
              <w:t> </w:t>
            </w:r>
            <w:r>
              <w:rPr/>
              <w:t>A</w:t>
            </w:r>
            <w:r>
              <w:rPr>
                <w:spacing w:val="-10"/>
              </w:rPr>
              <w:t> </w:t>
            </w:r>
            <w:r>
              <w:rPr/>
              <w:t>Cognitive</w:t>
            </w:r>
            <w:r>
              <w:rPr>
                <w:rFonts w:ascii="Segoe UI Symbol" w:hAnsi="Segoe UI Symbol"/>
              </w:rPr>
              <w:t>‑</w:t>
            </w:r>
            <w:r>
              <w:rPr/>
              <w:t>Evolutionary</w:t>
            </w:r>
            <w:r>
              <w:rPr>
                <w:spacing w:val="-11"/>
              </w:rPr>
              <w:t> </w:t>
            </w:r>
            <w:r>
              <w:rPr/>
              <w:t>Analysis</w:t>
            </w:r>
            <w:r>
              <w:rPr>
                <w:spacing w:val="-10"/>
              </w:rPr>
              <w:t> </w:t>
            </w:r>
            <w:r>
              <w:rPr/>
              <w:t>of</w:t>
            </w:r>
            <w:r>
              <w:rPr>
                <w:spacing w:val="-11"/>
              </w:rPr>
              <w:t> </w:t>
            </w:r>
            <w:r>
              <w:rPr/>
              <w:t>Taboo</w:t>
            </w:r>
            <w:r>
              <w:rPr>
                <w:spacing w:val="-11"/>
              </w:rPr>
              <w:t> </w:t>
            </w:r>
            <w:r>
              <w:rPr/>
              <w:t>in</w:t>
            </w:r>
            <w:r>
              <w:rPr>
                <w:spacing w:val="-10"/>
              </w:rPr>
              <w:t> </w:t>
            </w:r>
            <w:r>
              <w:rPr/>
              <w:t>Death</w:t>
            </w:r>
            <w:r>
              <w:rPr>
                <w:spacing w:val="-11"/>
              </w:rPr>
              <w:t> </w:t>
            </w:r>
            <w:r>
              <w:rPr>
                <w:spacing w:val="-2"/>
              </w:rPr>
              <w:t>Metal</w:t>
            </w:r>
          </w:hyperlink>
          <w:r>
            <w:rPr/>
            <w:tab/>
          </w:r>
          <w:r>
            <w:rPr>
              <w:spacing w:val="-5"/>
            </w:rPr>
            <w:t>187</w:t>
          </w:r>
        </w:p>
        <w:p>
          <w:pPr>
            <w:pStyle w:val="TOC3"/>
            <w:spacing w:line="227" w:lineRule="exact"/>
            <w:rPr>
              <w:i/>
            </w:rPr>
          </w:pPr>
          <w:r>
            <w:rPr>
              <w:i/>
            </w:rPr>
            <w:t>Scott</w:t>
          </w:r>
          <w:r>
            <w:rPr>
              <w:i/>
              <w:spacing w:val="-13"/>
            </w:rPr>
            <w:t> </w:t>
          </w:r>
          <w:r>
            <w:rPr>
              <w:i/>
            </w:rPr>
            <w:t>Rader,</w:t>
          </w:r>
          <w:r>
            <w:rPr>
              <w:i/>
              <w:spacing w:val="-10"/>
            </w:rPr>
            <w:t> </w:t>
          </w:r>
          <w:r>
            <w:rPr>
              <w:i/>
            </w:rPr>
            <w:t>Clinton</w:t>
          </w:r>
          <w:r>
            <w:rPr>
              <w:i/>
              <w:spacing w:val="-10"/>
            </w:rPr>
            <w:t> </w:t>
          </w:r>
          <w:r>
            <w:rPr>
              <w:i/>
            </w:rPr>
            <w:t>Lanier</w:t>
          </w:r>
          <w:r>
            <w:rPr>
              <w:i/>
              <w:spacing w:val="-11"/>
            </w:rPr>
            <w:t> </w:t>
          </w:r>
          <w:r>
            <w:rPr>
              <w:i/>
            </w:rPr>
            <w:t>and</w:t>
          </w:r>
          <w:r>
            <w:rPr>
              <w:i/>
              <w:spacing w:val="-10"/>
            </w:rPr>
            <w:t> </w:t>
          </w:r>
          <w:r>
            <w:rPr>
              <w:i/>
            </w:rPr>
            <w:t>Aubrey</w:t>
          </w:r>
          <w:r>
            <w:rPr>
              <w:i/>
              <w:spacing w:val="-10"/>
            </w:rPr>
            <w:t> </w:t>
          </w:r>
          <w:r>
            <w:rPr>
              <w:i/>
              <w:spacing w:val="-2"/>
            </w:rPr>
            <w:t>Fowler</w:t>
          </w:r>
        </w:p>
        <w:p>
          <w:pPr>
            <w:pStyle w:val="TOC1"/>
            <w:tabs>
              <w:tab w:pos="10263" w:val="left" w:leader="none"/>
            </w:tabs>
          </w:pPr>
          <w:r>
            <w:rPr/>
            <w:t>Student</w:t>
          </w:r>
          <w:r>
            <w:rPr>
              <w:spacing w:val="-8"/>
            </w:rPr>
            <w:t> </w:t>
          </w:r>
          <w:r>
            <w:rPr/>
            <w:t>Use</w:t>
          </w:r>
          <w:r>
            <w:rPr>
              <w:spacing w:val="-7"/>
            </w:rPr>
            <w:t> </w:t>
          </w:r>
          <w:r>
            <w:rPr/>
            <w:t>of</w:t>
          </w:r>
          <w:r>
            <w:rPr>
              <w:spacing w:val="-7"/>
            </w:rPr>
            <w:t> </w:t>
          </w:r>
          <w:r>
            <w:rPr/>
            <w:t>AI</w:t>
          </w:r>
          <w:r>
            <w:rPr>
              <w:spacing w:val="-8"/>
            </w:rPr>
            <w:t> </w:t>
          </w:r>
          <w:r>
            <w:rPr/>
            <w:t>Tools</w:t>
          </w:r>
          <w:r>
            <w:rPr>
              <w:spacing w:val="-7"/>
            </w:rPr>
            <w:t> </w:t>
          </w:r>
          <w:r>
            <w:rPr/>
            <w:t>and</w:t>
          </w:r>
          <w:r>
            <w:rPr>
              <w:spacing w:val="-7"/>
            </w:rPr>
            <w:t> </w:t>
          </w:r>
          <w:r>
            <w:rPr/>
            <w:t>Perceived</w:t>
          </w:r>
          <w:r>
            <w:rPr>
              <w:spacing w:val="-8"/>
            </w:rPr>
            <w:t> </w:t>
          </w:r>
          <w:r>
            <w:rPr/>
            <w:t>Writing</w:t>
          </w:r>
          <w:r>
            <w:rPr>
              <w:spacing w:val="-7"/>
            </w:rPr>
            <w:t> </w:t>
          </w:r>
          <w:r>
            <w:rPr/>
            <w:t>Improvement</w:t>
          </w:r>
          <w:r>
            <w:rPr>
              <w:spacing w:val="-7"/>
            </w:rPr>
            <w:t> </w:t>
          </w:r>
          <w:r>
            <w:rPr/>
            <w:t>in</w:t>
          </w:r>
          <w:r>
            <w:rPr>
              <w:spacing w:val="-8"/>
            </w:rPr>
            <w:t> </w:t>
          </w:r>
          <w:r>
            <w:rPr/>
            <w:t>a</w:t>
          </w:r>
          <w:r>
            <w:rPr>
              <w:spacing w:val="-7"/>
            </w:rPr>
            <w:t> </w:t>
          </w:r>
          <w:r>
            <w:rPr/>
            <w:t>Business</w:t>
          </w:r>
          <w:r>
            <w:rPr>
              <w:spacing w:val="-7"/>
            </w:rPr>
            <w:t> </w:t>
          </w:r>
          <w:r>
            <w:rPr/>
            <w:t>Communication</w:t>
          </w:r>
          <w:r>
            <w:rPr>
              <w:spacing w:val="-7"/>
            </w:rPr>
            <w:t> </w:t>
          </w:r>
          <w:r>
            <w:rPr>
              <w:spacing w:val="-2"/>
            </w:rPr>
            <w:t>Course</w:t>
          </w:r>
          <w:r>
            <w:rPr/>
            <w:tab/>
          </w:r>
          <w:r>
            <w:rPr>
              <w:spacing w:val="-5"/>
            </w:rPr>
            <w:t>192</w:t>
          </w:r>
        </w:p>
        <w:p>
          <w:pPr>
            <w:pStyle w:val="TOC3"/>
            <w:rPr>
              <w:i/>
            </w:rPr>
          </w:pPr>
          <w:r>
            <w:rPr>
              <w:i/>
              <w:spacing w:val="-2"/>
            </w:rPr>
            <w:t>Marcel</w:t>
          </w:r>
          <w:r>
            <w:rPr>
              <w:i/>
              <w:spacing w:val="-1"/>
            </w:rPr>
            <w:t> </w:t>
          </w:r>
          <w:r>
            <w:rPr>
              <w:i/>
              <w:spacing w:val="-2"/>
            </w:rPr>
            <w:t>Robles</w:t>
          </w:r>
        </w:p>
        <w:p>
          <w:pPr>
            <w:pStyle w:val="TOC1"/>
            <w:tabs>
              <w:tab w:pos="10263" w:val="left" w:leader="none"/>
            </w:tabs>
          </w:pPr>
          <w:hyperlink w:history="true" w:anchor="h.8esjl2hb9wzi">
            <w:r>
              <w:rPr/>
              <w:t>“Leader”</w:t>
            </w:r>
            <w:r>
              <w:rPr>
                <w:spacing w:val="-11"/>
              </w:rPr>
              <w:t> </w:t>
            </w:r>
            <w:r>
              <w:rPr/>
              <w:t>and</w:t>
            </w:r>
            <w:r>
              <w:rPr>
                <w:spacing w:val="-8"/>
              </w:rPr>
              <w:t> </w:t>
            </w:r>
            <w:r>
              <w:rPr/>
              <w:t>“Manager”</w:t>
            </w:r>
            <w:r>
              <w:rPr>
                <w:spacing w:val="-8"/>
              </w:rPr>
              <w:t> </w:t>
            </w:r>
            <w:r>
              <w:rPr/>
              <w:t>Terminology</w:t>
            </w:r>
            <w:r>
              <w:rPr>
                <w:spacing w:val="-9"/>
              </w:rPr>
              <w:t> </w:t>
            </w:r>
            <w:r>
              <w:rPr/>
              <w:t>and</w:t>
            </w:r>
            <w:r>
              <w:rPr>
                <w:spacing w:val="-8"/>
              </w:rPr>
              <w:t> </w:t>
            </w:r>
            <w:r>
              <w:rPr/>
              <w:t>Supervisor</w:t>
            </w:r>
            <w:r>
              <w:rPr>
                <w:spacing w:val="-8"/>
              </w:rPr>
              <w:t> </w:t>
            </w:r>
            <w:r>
              <w:rPr/>
              <w:t>Incivility</w:t>
            </w:r>
            <w:r>
              <w:rPr>
                <w:spacing w:val="-8"/>
              </w:rPr>
              <w:t> </w:t>
            </w:r>
            <w:r>
              <w:rPr/>
              <w:t>Perception:</w:t>
            </w:r>
            <w:r>
              <w:rPr>
                <w:spacing w:val="-9"/>
              </w:rPr>
              <w:t> </w:t>
            </w:r>
            <w:r>
              <w:rPr/>
              <w:t>Much</w:t>
            </w:r>
            <w:r>
              <w:rPr>
                <w:spacing w:val="-8"/>
              </w:rPr>
              <w:t> </w:t>
            </w:r>
            <w:r>
              <w:rPr/>
              <w:t>Ado</w:t>
            </w:r>
            <w:r>
              <w:rPr>
                <w:spacing w:val="-8"/>
              </w:rPr>
              <w:t> </w:t>
            </w:r>
            <w:r>
              <w:rPr/>
              <w:t>About</w:t>
            </w:r>
            <w:r>
              <w:rPr>
                <w:spacing w:val="-8"/>
              </w:rPr>
              <w:t> </w:t>
            </w:r>
            <w:r>
              <w:rPr>
                <w:spacing w:val="-2"/>
              </w:rPr>
              <w:t>Nothing?</w:t>
            </w:r>
          </w:hyperlink>
          <w:r>
            <w:rPr/>
            <w:tab/>
          </w:r>
          <w:r>
            <w:rPr>
              <w:spacing w:val="-5"/>
            </w:rPr>
            <w:t>197</w:t>
          </w:r>
        </w:p>
        <w:p>
          <w:pPr>
            <w:pStyle w:val="TOC3"/>
            <w:rPr>
              <w:i/>
            </w:rPr>
          </w:pPr>
          <w:r>
            <w:rPr>
              <w:i/>
            </w:rPr>
            <w:t>Elizabeth</w:t>
          </w:r>
          <w:r>
            <w:rPr>
              <w:i/>
              <w:spacing w:val="-10"/>
            </w:rPr>
            <w:t> </w:t>
          </w:r>
          <w:r>
            <w:rPr>
              <w:i/>
            </w:rPr>
            <w:t>Russell,</w:t>
          </w:r>
          <w:r>
            <w:rPr>
              <w:i/>
              <w:spacing w:val="-7"/>
            </w:rPr>
            <w:t> </w:t>
          </w:r>
          <w:r>
            <w:rPr>
              <w:i/>
            </w:rPr>
            <w:t>Caleb</w:t>
          </w:r>
          <w:r>
            <w:rPr>
              <w:i/>
              <w:spacing w:val="-7"/>
            </w:rPr>
            <w:t> </w:t>
          </w:r>
          <w:r>
            <w:rPr>
              <w:i/>
            </w:rPr>
            <w:t>Pollard</w:t>
          </w:r>
          <w:r>
            <w:rPr>
              <w:i/>
              <w:spacing w:val="-7"/>
            </w:rPr>
            <w:t> </w:t>
          </w:r>
          <w:r>
            <w:rPr>
              <w:i/>
            </w:rPr>
            <w:t>and</w:t>
          </w:r>
          <w:r>
            <w:rPr>
              <w:i/>
              <w:spacing w:val="-7"/>
            </w:rPr>
            <w:t> </w:t>
          </w:r>
          <w:r>
            <w:rPr>
              <w:i/>
            </w:rPr>
            <w:t>Jack</w:t>
          </w:r>
          <w:r>
            <w:rPr>
              <w:i/>
              <w:spacing w:val="-7"/>
            </w:rPr>
            <w:t> </w:t>
          </w:r>
          <w:r>
            <w:rPr>
              <w:i/>
              <w:spacing w:val="-2"/>
            </w:rPr>
            <w:t>Carson</w:t>
          </w:r>
        </w:p>
        <w:p>
          <w:pPr>
            <w:pStyle w:val="TOC1"/>
            <w:tabs>
              <w:tab w:pos="10263" w:val="left" w:leader="none"/>
            </w:tabs>
          </w:pPr>
          <w:hyperlink w:history="true" w:anchor="_TOC_250000">
            <w:r>
              <w:rPr/>
              <w:t>The</w:t>
            </w:r>
            <w:r>
              <w:rPr>
                <w:spacing w:val="-11"/>
              </w:rPr>
              <w:t> </w:t>
            </w:r>
            <w:r>
              <w:rPr/>
              <w:t>Economic</w:t>
            </w:r>
            <w:r>
              <w:rPr>
                <w:spacing w:val="-8"/>
              </w:rPr>
              <w:t> </w:t>
            </w:r>
            <w:r>
              <w:rPr/>
              <w:t>Costs</w:t>
            </w:r>
            <w:r>
              <w:rPr>
                <w:spacing w:val="-9"/>
              </w:rPr>
              <w:t> </w:t>
            </w:r>
            <w:r>
              <w:rPr/>
              <w:t>of</w:t>
            </w:r>
            <w:r>
              <w:rPr>
                <w:spacing w:val="-8"/>
              </w:rPr>
              <w:t> </w:t>
            </w:r>
            <w:r>
              <w:rPr/>
              <w:t>Disaster-Related</w:t>
            </w:r>
            <w:r>
              <w:rPr>
                <w:spacing w:val="-9"/>
              </w:rPr>
              <w:t> </w:t>
            </w:r>
            <w:r>
              <w:rPr/>
              <w:t>Property</w:t>
            </w:r>
            <w:r>
              <w:rPr>
                <w:spacing w:val="-8"/>
              </w:rPr>
              <w:t> </w:t>
            </w:r>
            <w:r>
              <w:rPr/>
              <w:t>Damage:</w:t>
            </w:r>
            <w:r>
              <w:rPr>
                <w:spacing w:val="-9"/>
              </w:rPr>
              <w:t> </w:t>
            </w:r>
            <w:r>
              <w:rPr/>
              <w:t>Valuing</w:t>
            </w:r>
            <w:r>
              <w:rPr>
                <w:spacing w:val="-8"/>
              </w:rPr>
              <w:t> </w:t>
            </w:r>
            <w:r>
              <w:rPr/>
              <w:t>Mental</w:t>
            </w:r>
            <w:r>
              <w:rPr>
                <w:spacing w:val="-9"/>
              </w:rPr>
              <w:t> </w:t>
            </w:r>
            <w:r>
              <w:rPr/>
              <w:t>Health</w:t>
            </w:r>
            <w:r>
              <w:rPr>
                <w:spacing w:val="-8"/>
              </w:rPr>
              <w:t> </w:t>
            </w:r>
            <w:r>
              <w:rPr/>
              <w:t>Impacts</w:t>
            </w:r>
            <w:r>
              <w:rPr>
                <w:spacing w:val="-9"/>
              </w:rPr>
              <w:t> </w:t>
            </w:r>
            <w:r>
              <w:rPr/>
              <w:t>of</w:t>
            </w:r>
            <w:r>
              <w:rPr>
                <w:spacing w:val="-8"/>
              </w:rPr>
              <w:t> </w:t>
            </w:r>
            <w:r>
              <w:rPr/>
              <w:t>Climate</w:t>
            </w:r>
            <w:r>
              <w:rPr>
                <w:spacing w:val="-8"/>
              </w:rPr>
              <w:t> </w:t>
            </w:r>
            <w:r>
              <w:rPr>
                <w:spacing w:val="-2"/>
              </w:rPr>
              <w:t>Change</w:t>
            </w:r>
            <w:r>
              <w:rPr/>
              <w:tab/>
            </w:r>
            <w:r>
              <w:rPr>
                <w:spacing w:val="-5"/>
              </w:rPr>
              <w:t>205</w:t>
            </w:r>
          </w:hyperlink>
        </w:p>
        <w:p>
          <w:pPr>
            <w:pStyle w:val="TOC3"/>
            <w:rPr>
              <w:i/>
            </w:rPr>
          </w:pPr>
          <w:r>
            <w:rPr>
              <w:i/>
            </w:rPr>
            <w:t>Shishir</w:t>
          </w:r>
          <w:r>
            <w:rPr>
              <w:i/>
              <w:spacing w:val="-7"/>
            </w:rPr>
            <w:t> </w:t>
          </w:r>
          <w:r>
            <w:rPr>
              <w:i/>
              <w:spacing w:val="-2"/>
            </w:rPr>
            <w:t>Shakya</w:t>
          </w:r>
        </w:p>
        <w:p>
          <w:pPr>
            <w:pStyle w:val="TOC1"/>
            <w:tabs>
              <w:tab w:pos="10263" w:val="left" w:leader="none"/>
            </w:tabs>
          </w:pPr>
          <w:hyperlink w:history="true" w:anchor="h.w3d0za4actvj">
            <w:r>
              <w:rPr/>
              <w:t>The</w:t>
            </w:r>
            <w:r>
              <w:rPr>
                <w:spacing w:val="-7"/>
              </w:rPr>
              <w:t> </w:t>
            </w:r>
            <w:r>
              <w:rPr/>
              <w:t>Impact</w:t>
            </w:r>
            <w:r>
              <w:rPr>
                <w:spacing w:val="-4"/>
              </w:rPr>
              <w:t> </w:t>
            </w:r>
            <w:r>
              <w:rPr/>
              <w:t>of</w:t>
            </w:r>
            <w:r>
              <w:rPr>
                <w:spacing w:val="-4"/>
              </w:rPr>
              <w:t> </w:t>
            </w:r>
            <w:r>
              <w:rPr/>
              <w:t>TCJA</w:t>
            </w:r>
            <w:r>
              <w:rPr>
                <w:spacing w:val="-4"/>
              </w:rPr>
              <w:t> </w:t>
            </w:r>
            <w:r>
              <w:rPr/>
              <w:t>2017</w:t>
            </w:r>
            <w:r>
              <w:rPr>
                <w:spacing w:val="-4"/>
              </w:rPr>
              <w:t> </w:t>
            </w:r>
            <w:r>
              <w:rPr/>
              <w:t>on</w:t>
            </w:r>
            <w:r>
              <w:rPr>
                <w:spacing w:val="-5"/>
              </w:rPr>
              <w:t> </w:t>
            </w:r>
            <w:r>
              <w:rPr/>
              <w:t>the</w:t>
            </w:r>
            <w:r>
              <w:rPr>
                <w:spacing w:val="-4"/>
              </w:rPr>
              <w:t> </w:t>
            </w:r>
            <w:r>
              <w:rPr/>
              <w:t>Trend</w:t>
            </w:r>
            <w:r>
              <w:rPr>
                <w:spacing w:val="-4"/>
              </w:rPr>
              <w:t> </w:t>
            </w:r>
            <w:r>
              <w:rPr/>
              <w:t>in</w:t>
            </w:r>
            <w:r>
              <w:rPr>
                <w:spacing w:val="-4"/>
              </w:rPr>
              <w:t> </w:t>
            </w:r>
            <w:r>
              <w:rPr/>
              <w:t>Cash</w:t>
            </w:r>
            <w:r>
              <w:rPr>
                <w:spacing w:val="-4"/>
              </w:rPr>
              <w:t> ETRs</w:t>
            </w:r>
            <w:r>
              <w:rPr/>
              <w:tab/>
            </w:r>
            <w:r>
              <w:rPr>
                <w:spacing w:val="-5"/>
              </w:rPr>
              <w:t>2</w:t>
            </w:r>
          </w:hyperlink>
          <w:r>
            <w:rPr>
              <w:spacing w:val="-5"/>
            </w:rPr>
            <w:t>25</w:t>
          </w:r>
        </w:p>
        <w:p>
          <w:pPr>
            <w:pStyle w:val="TOC3"/>
            <w:rPr>
              <w:i/>
            </w:rPr>
          </w:pPr>
          <w:r>
            <w:rPr>
              <w:i/>
            </w:rPr>
            <w:t>Liang</w:t>
          </w:r>
          <w:r>
            <w:rPr>
              <w:i/>
              <w:spacing w:val="-7"/>
            </w:rPr>
            <w:t> </w:t>
          </w:r>
          <w:r>
            <w:rPr>
              <w:i/>
            </w:rPr>
            <w:t>Shao</w:t>
          </w:r>
          <w:r>
            <w:rPr>
              <w:i/>
              <w:spacing w:val="-6"/>
            </w:rPr>
            <w:t> </w:t>
          </w:r>
          <w:r>
            <w:rPr>
              <w:i/>
            </w:rPr>
            <w:t>and</w:t>
          </w:r>
          <w:r>
            <w:rPr>
              <w:i/>
              <w:spacing w:val="-7"/>
            </w:rPr>
            <w:t> </w:t>
          </w:r>
          <w:r>
            <w:rPr>
              <w:i/>
            </w:rPr>
            <w:t>Richard</w:t>
          </w:r>
          <w:r>
            <w:rPr>
              <w:i/>
              <w:spacing w:val="-6"/>
            </w:rPr>
            <w:t> </w:t>
          </w:r>
          <w:r>
            <w:rPr>
              <w:i/>
              <w:spacing w:val="-4"/>
            </w:rPr>
            <w:t>Chen</w:t>
          </w:r>
        </w:p>
        <w:p>
          <w:pPr>
            <w:pStyle w:val="TOC1"/>
            <w:tabs>
              <w:tab w:pos="10263" w:val="left" w:leader="none"/>
            </w:tabs>
          </w:pPr>
          <w:hyperlink w:history="true" w:anchor="h.nxwjkqqg699m">
            <w:r>
              <w:rPr/>
              <w:t>Worth</w:t>
            </w:r>
            <w:r>
              <w:rPr>
                <w:spacing w:val="-11"/>
              </w:rPr>
              <w:t> </w:t>
            </w:r>
            <w:r>
              <w:rPr/>
              <w:t>the</w:t>
            </w:r>
            <w:r>
              <w:rPr>
                <w:spacing w:val="-9"/>
              </w:rPr>
              <w:t> </w:t>
            </w:r>
            <w:r>
              <w:rPr/>
              <w:t>Wait?</w:t>
            </w:r>
            <w:r>
              <w:rPr>
                <w:spacing w:val="-8"/>
              </w:rPr>
              <w:t> </w:t>
            </w:r>
            <w:r>
              <w:rPr/>
              <w:t>Admissions</w:t>
            </w:r>
            <w:r>
              <w:rPr>
                <w:spacing w:val="-9"/>
              </w:rPr>
              <w:t> </w:t>
            </w:r>
            <w:r>
              <w:rPr/>
              <w:t>Timing</w:t>
            </w:r>
            <w:r>
              <w:rPr>
                <w:spacing w:val="-8"/>
              </w:rPr>
              <w:t> </w:t>
            </w:r>
            <w:r>
              <w:rPr/>
              <w:t>as</w:t>
            </w:r>
            <w:r>
              <w:rPr>
                <w:spacing w:val="-9"/>
              </w:rPr>
              <w:t> </w:t>
            </w:r>
            <w:r>
              <w:rPr/>
              <w:t>a</w:t>
            </w:r>
            <w:r>
              <w:rPr>
                <w:spacing w:val="-8"/>
              </w:rPr>
              <w:t> </w:t>
            </w:r>
            <w:r>
              <w:rPr/>
              <w:t>Marketing</w:t>
            </w:r>
            <w:r>
              <w:rPr>
                <w:spacing w:val="-9"/>
              </w:rPr>
              <w:t> </w:t>
            </w:r>
            <w:r>
              <w:rPr/>
              <w:t>Signal</w:t>
            </w:r>
            <w:r>
              <w:rPr>
                <w:spacing w:val="-8"/>
              </w:rPr>
              <w:t> </w:t>
            </w:r>
            <w:r>
              <w:rPr/>
              <w:t>in</w:t>
            </w:r>
            <w:r>
              <w:rPr>
                <w:spacing w:val="-9"/>
              </w:rPr>
              <w:t> </w:t>
            </w:r>
            <w:r>
              <w:rPr/>
              <w:t>Higher</w:t>
            </w:r>
            <w:r>
              <w:rPr>
                <w:spacing w:val="-8"/>
              </w:rPr>
              <w:t> </w:t>
            </w:r>
            <w:r>
              <w:rPr>
                <w:spacing w:val="-5"/>
              </w:rPr>
              <w:t>Ed</w:t>
            </w:r>
            <w:r>
              <w:rPr/>
              <w:tab/>
            </w:r>
            <w:r>
              <w:rPr>
                <w:spacing w:val="-5"/>
              </w:rPr>
              <w:t>2</w:t>
            </w:r>
          </w:hyperlink>
          <w:r>
            <w:rPr>
              <w:spacing w:val="-5"/>
            </w:rPr>
            <w:t>32</w:t>
          </w:r>
        </w:p>
        <w:p>
          <w:pPr>
            <w:pStyle w:val="TOC3"/>
            <w:rPr>
              <w:i/>
            </w:rPr>
          </w:pPr>
          <w:r>
            <w:rPr>
              <w:i/>
            </w:rPr>
            <w:t>Elissa</w:t>
          </w:r>
          <w:r>
            <w:rPr>
              <w:i/>
              <w:spacing w:val="-8"/>
            </w:rPr>
            <w:t> </w:t>
          </w:r>
          <w:r>
            <w:rPr>
              <w:i/>
            </w:rPr>
            <w:t>Shults,</w:t>
          </w:r>
          <w:r>
            <w:rPr>
              <w:i/>
              <w:spacing w:val="-6"/>
            </w:rPr>
            <w:t> </w:t>
          </w:r>
          <w:r>
            <w:rPr>
              <w:i/>
            </w:rPr>
            <w:t>Stacey</w:t>
          </w:r>
          <w:r>
            <w:rPr>
              <w:i/>
              <w:spacing w:val="-5"/>
            </w:rPr>
            <w:t> </w:t>
          </w:r>
          <w:r>
            <w:rPr>
              <w:i/>
            </w:rPr>
            <w:t>Robinson</w:t>
          </w:r>
          <w:r>
            <w:rPr>
              <w:i/>
              <w:spacing w:val="-6"/>
            </w:rPr>
            <w:t> </w:t>
          </w:r>
          <w:r>
            <w:rPr>
              <w:i/>
            </w:rPr>
            <w:t>and</w:t>
          </w:r>
          <w:r>
            <w:rPr>
              <w:i/>
              <w:spacing w:val="-6"/>
            </w:rPr>
            <w:t> </w:t>
          </w:r>
          <w:r>
            <w:rPr>
              <w:i/>
            </w:rPr>
            <w:t>Mike</w:t>
          </w:r>
          <w:r>
            <w:rPr>
              <w:i/>
              <w:spacing w:val="-5"/>
            </w:rPr>
            <w:t> </w:t>
          </w:r>
          <w:r>
            <w:rPr>
              <w:i/>
              <w:spacing w:val="-2"/>
            </w:rPr>
            <w:t>Brady</w:t>
          </w:r>
        </w:p>
        <w:p>
          <w:pPr>
            <w:pStyle w:val="TOC1"/>
            <w:tabs>
              <w:tab w:pos="10263" w:val="left" w:leader="none"/>
            </w:tabs>
            <w:ind w:right="954"/>
          </w:pPr>
          <w:hyperlink w:history="true" w:anchor="h.8lrnewvueyth">
            <w:r>
              <w:rPr/>
              <w:t>Beyond the Bottom Line: A Historical and Cultural Analysis of Corporate Responsibility in the United States and Central</w:t>
            </w:r>
          </w:hyperlink>
          <w:r>
            <w:rPr/>
            <w:t> </w:t>
          </w:r>
          <w:hyperlink w:history="true" w:anchor="h.8lrnewvueyth">
            <w:r>
              <w:rPr>
                <w:spacing w:val="-2"/>
              </w:rPr>
              <w:t>Europe</w:t>
            </w:r>
            <w:r>
              <w:rPr/>
              <w:tab/>
            </w:r>
            <w:r>
              <w:rPr>
                <w:spacing w:val="-4"/>
              </w:rPr>
              <w:t>2</w:t>
            </w:r>
          </w:hyperlink>
          <w:r>
            <w:rPr>
              <w:spacing w:val="-4"/>
            </w:rPr>
            <w:t>35</w:t>
          </w:r>
        </w:p>
        <w:p>
          <w:pPr>
            <w:pStyle w:val="TOC3"/>
            <w:rPr>
              <w:i/>
            </w:rPr>
          </w:pPr>
          <w:r>
            <w:rPr>
              <w:i/>
            </w:rPr>
            <w:t>Tayden</w:t>
          </w:r>
          <w:r>
            <w:rPr>
              <w:i/>
              <w:spacing w:val="-11"/>
            </w:rPr>
            <w:t> </w:t>
          </w:r>
          <w:r>
            <w:rPr>
              <w:i/>
            </w:rPr>
            <w:t>Sikorski</w:t>
          </w:r>
          <w:r>
            <w:rPr>
              <w:i/>
              <w:spacing w:val="-10"/>
            </w:rPr>
            <w:t> </w:t>
          </w:r>
          <w:r>
            <w:rPr>
              <w:i/>
            </w:rPr>
            <w:t>and</w:t>
          </w:r>
          <w:r>
            <w:rPr>
              <w:i/>
              <w:spacing w:val="-11"/>
            </w:rPr>
            <w:t> </w:t>
          </w:r>
          <w:r>
            <w:rPr>
              <w:i/>
            </w:rPr>
            <w:t>Santosh</w:t>
          </w:r>
          <w:r>
            <w:rPr>
              <w:i/>
              <w:spacing w:val="-10"/>
            </w:rPr>
            <w:t> </w:t>
          </w:r>
          <w:r>
            <w:rPr>
              <w:i/>
              <w:spacing w:val="-2"/>
            </w:rPr>
            <w:t>Nandi</w:t>
          </w:r>
        </w:p>
        <w:p>
          <w:pPr>
            <w:pStyle w:val="TOC1"/>
            <w:tabs>
              <w:tab w:pos="10263" w:val="left" w:leader="none"/>
            </w:tabs>
          </w:pPr>
          <w:hyperlink w:history="true" w:anchor="h.efeamcqaxp6d">
            <w:r>
              <w:rPr/>
              <w:t>A</w:t>
            </w:r>
            <w:r>
              <w:rPr>
                <w:spacing w:val="-7"/>
              </w:rPr>
              <w:t> </w:t>
            </w:r>
            <w:r>
              <w:rPr/>
              <w:t>Meta-analysis</w:t>
            </w:r>
            <w:r>
              <w:rPr>
                <w:spacing w:val="-6"/>
              </w:rPr>
              <w:t> </w:t>
            </w:r>
            <w:r>
              <w:rPr/>
              <w:t>to</w:t>
            </w:r>
            <w:r>
              <w:rPr>
                <w:spacing w:val="-6"/>
              </w:rPr>
              <w:t> </w:t>
            </w:r>
            <w:r>
              <w:rPr/>
              <w:t>Uncover</w:t>
            </w:r>
            <w:r>
              <w:rPr>
                <w:spacing w:val="-6"/>
              </w:rPr>
              <w:t> </w:t>
            </w:r>
            <w:r>
              <w:rPr/>
              <w:t>the</w:t>
            </w:r>
            <w:r>
              <w:rPr>
                <w:spacing w:val="-6"/>
              </w:rPr>
              <w:t> </w:t>
            </w:r>
            <w:r>
              <w:rPr/>
              <w:t>Effects</w:t>
            </w:r>
            <w:r>
              <w:rPr>
                <w:spacing w:val="-6"/>
              </w:rPr>
              <w:t> </w:t>
            </w:r>
            <w:r>
              <w:rPr/>
              <w:t>of</w:t>
            </w:r>
            <w:r>
              <w:rPr>
                <w:spacing w:val="-6"/>
              </w:rPr>
              <w:t> </w:t>
            </w:r>
            <w:r>
              <w:rPr/>
              <w:t>Ground</w:t>
            </w:r>
            <w:r>
              <w:rPr>
                <w:spacing w:val="-7"/>
              </w:rPr>
              <w:t> </w:t>
            </w:r>
            <w:r>
              <w:rPr/>
              <w:t>and</w:t>
            </w:r>
            <w:r>
              <w:rPr>
                <w:spacing w:val="-6"/>
              </w:rPr>
              <w:t> </w:t>
            </w:r>
            <w:r>
              <w:rPr/>
              <w:t>Drinking</w:t>
            </w:r>
            <w:r>
              <w:rPr>
                <w:spacing w:val="39"/>
              </w:rPr>
              <w:t> </w:t>
            </w:r>
            <w:r>
              <w:rPr/>
              <w:t>Water</w:t>
            </w:r>
            <w:r>
              <w:rPr>
                <w:spacing w:val="-6"/>
              </w:rPr>
              <w:t> </w:t>
            </w:r>
            <w:r>
              <w:rPr/>
              <w:t>Pollution</w:t>
            </w:r>
            <w:r>
              <w:rPr>
                <w:spacing w:val="-6"/>
              </w:rPr>
              <w:t> </w:t>
            </w:r>
            <w:r>
              <w:rPr/>
              <w:t>on</w:t>
            </w:r>
            <w:r>
              <w:rPr>
                <w:spacing w:val="-6"/>
              </w:rPr>
              <w:t> </w:t>
            </w:r>
            <w:r>
              <w:rPr/>
              <w:t>Home</w:t>
            </w:r>
            <w:r>
              <w:rPr>
                <w:spacing w:val="-6"/>
              </w:rPr>
              <w:t> </w:t>
            </w:r>
            <w:r>
              <w:rPr>
                <w:spacing w:val="-2"/>
              </w:rPr>
              <w:t>Values</w:t>
            </w:r>
            <w:r>
              <w:rPr/>
              <w:tab/>
            </w:r>
            <w:r>
              <w:rPr>
                <w:spacing w:val="-5"/>
              </w:rPr>
              <w:t>2</w:t>
            </w:r>
          </w:hyperlink>
          <w:r>
            <w:rPr>
              <w:spacing w:val="-5"/>
            </w:rPr>
            <w:t>36</w:t>
          </w:r>
        </w:p>
        <w:p>
          <w:pPr>
            <w:pStyle w:val="TOC3"/>
            <w:rPr>
              <w:i/>
            </w:rPr>
          </w:pPr>
          <w:r>
            <w:rPr>
              <w:i/>
            </w:rPr>
            <w:t>Anna</w:t>
          </w:r>
          <w:r>
            <w:rPr>
              <w:i/>
              <w:spacing w:val="-5"/>
            </w:rPr>
            <w:t> </w:t>
          </w:r>
          <w:r>
            <w:rPr>
              <w:i/>
            </w:rPr>
            <w:t>Silva</w:t>
          </w:r>
          <w:r>
            <w:rPr>
              <w:i/>
              <w:spacing w:val="-4"/>
            </w:rPr>
            <w:t> </w:t>
          </w:r>
          <w:r>
            <w:rPr>
              <w:i/>
            </w:rPr>
            <w:t>and</w:t>
          </w:r>
          <w:r>
            <w:rPr>
              <w:i/>
              <w:spacing w:val="-5"/>
            </w:rPr>
            <w:t> </w:t>
          </w:r>
          <w:r>
            <w:rPr>
              <w:i/>
            </w:rPr>
            <w:t>Dennis</w:t>
          </w:r>
          <w:r>
            <w:rPr>
              <w:i/>
              <w:spacing w:val="-4"/>
            </w:rPr>
            <w:t> </w:t>
          </w:r>
          <w:r>
            <w:rPr>
              <w:i/>
              <w:spacing w:val="-2"/>
            </w:rPr>
            <w:t>Guignet</w:t>
          </w:r>
        </w:p>
        <w:p>
          <w:pPr>
            <w:pStyle w:val="TOC1"/>
            <w:tabs>
              <w:tab w:pos="10263" w:val="left" w:leader="none"/>
            </w:tabs>
            <w:ind w:right="954"/>
          </w:pPr>
          <w:hyperlink w:history="true" w:anchor="h.3ivbxwrvk43">
            <w:r>
              <w:rPr/>
              <w:t>A Randomized,</w:t>
            </w:r>
            <w:r>
              <w:rPr>
                <w:spacing w:val="-1"/>
              </w:rPr>
              <w:t> </w:t>
            </w:r>
            <w:r>
              <w:rPr/>
              <w:t>Auto-Graded Excel</w:t>
            </w:r>
            <w:r>
              <w:rPr>
                <w:spacing w:val="-1"/>
              </w:rPr>
              <w:t> </w:t>
            </w:r>
            <w:r>
              <w:rPr/>
              <w:t>Accounting Cycle</w:t>
            </w:r>
            <w:r>
              <w:rPr>
                <w:spacing w:val="-1"/>
              </w:rPr>
              <w:t> </w:t>
            </w:r>
            <w:r>
              <w:rPr/>
              <w:t>Project for</w:t>
            </w:r>
            <w:r>
              <w:rPr>
                <w:spacing w:val="-1"/>
              </w:rPr>
              <w:t> </w:t>
            </w:r>
            <w:r>
              <w:rPr/>
              <w:t>Intermediate Accounting</w:t>
            </w:r>
            <w:r>
              <w:rPr>
                <w:spacing w:val="-1"/>
              </w:rPr>
              <w:t> </w:t>
            </w:r>
            <w:r>
              <w:rPr/>
              <w:t>I: Design</w:t>
            </w:r>
            <w:r>
              <w:rPr>
                <w:spacing w:val="-1"/>
              </w:rPr>
              <w:t> </w:t>
            </w:r>
            <w:r>
              <w:rPr/>
              <w:t>and Early</w:t>
            </w:r>
            <w:r>
              <w:rPr>
                <w:spacing w:val="-1"/>
              </w:rPr>
              <w:t> </w:t>
            </w:r>
            <w:r>
              <w:rPr/>
              <w:t>Classroom</w:t>
            </w:r>
          </w:hyperlink>
          <w:r>
            <w:rPr/>
            <w:t> </w:t>
          </w:r>
          <w:hyperlink w:history="true" w:anchor="h.3ivbxwrvk43">
            <w:r>
              <w:rPr>
                <w:spacing w:val="-2"/>
              </w:rPr>
              <w:t>Evidence</w:t>
            </w:r>
            <w:r>
              <w:rPr/>
              <w:tab/>
            </w:r>
            <w:r>
              <w:rPr>
                <w:spacing w:val="-4"/>
              </w:rPr>
              <w:t>2</w:t>
            </w:r>
          </w:hyperlink>
          <w:r>
            <w:rPr>
              <w:spacing w:val="-4"/>
            </w:rPr>
            <w:t>37</w:t>
          </w:r>
        </w:p>
        <w:p>
          <w:pPr>
            <w:pStyle w:val="TOC3"/>
            <w:rPr>
              <w:i/>
            </w:rPr>
          </w:pPr>
          <w:r>
            <w:rPr>
              <w:i/>
              <w:spacing w:val="-2"/>
            </w:rPr>
            <w:t>Wenye</w:t>
          </w:r>
          <w:r>
            <w:rPr>
              <w:i/>
              <w:spacing w:val="-5"/>
            </w:rPr>
            <w:t> </w:t>
          </w:r>
          <w:r>
            <w:rPr>
              <w:i/>
              <w:spacing w:val="-2"/>
            </w:rPr>
            <w:t>Tang</w:t>
          </w:r>
          <w:r>
            <w:rPr>
              <w:i/>
              <w:spacing w:val="-5"/>
            </w:rPr>
            <w:t> </w:t>
          </w:r>
          <w:r>
            <w:rPr>
              <w:i/>
              <w:spacing w:val="-2"/>
            </w:rPr>
            <w:t>and</w:t>
          </w:r>
          <w:r>
            <w:rPr>
              <w:i/>
              <w:spacing w:val="-5"/>
            </w:rPr>
            <w:t> </w:t>
          </w:r>
          <w:r>
            <w:rPr>
              <w:i/>
              <w:spacing w:val="-2"/>
            </w:rPr>
            <w:t>Chris</w:t>
          </w:r>
          <w:r>
            <w:rPr>
              <w:i/>
              <w:spacing w:val="-4"/>
            </w:rPr>
            <w:t> </w:t>
          </w:r>
          <w:r>
            <w:rPr>
              <w:i/>
              <w:spacing w:val="-2"/>
            </w:rPr>
            <w:t>McNeil</w:t>
          </w:r>
        </w:p>
        <w:p>
          <w:pPr>
            <w:pStyle w:val="TOC1"/>
            <w:tabs>
              <w:tab w:pos="10263" w:val="left" w:leader="none"/>
            </w:tabs>
          </w:pPr>
          <w:hyperlink w:history="true" w:anchor="h.renax4qkfbyf">
            <w:r>
              <w:rPr/>
              <w:t>Challenges</w:t>
            </w:r>
            <w:r>
              <w:rPr>
                <w:spacing w:val="-11"/>
              </w:rPr>
              <w:t> </w:t>
            </w:r>
            <w:r>
              <w:rPr/>
              <w:t>and</w:t>
            </w:r>
            <w:r>
              <w:rPr>
                <w:spacing w:val="-10"/>
              </w:rPr>
              <w:t> </w:t>
            </w:r>
            <w:r>
              <w:rPr/>
              <w:t>Implementation</w:t>
            </w:r>
            <w:r>
              <w:rPr>
                <w:spacing w:val="-11"/>
              </w:rPr>
              <w:t> </w:t>
            </w:r>
            <w:r>
              <w:rPr/>
              <w:t>Strategies:</w:t>
            </w:r>
            <w:r>
              <w:rPr>
                <w:spacing w:val="-10"/>
              </w:rPr>
              <w:t> </w:t>
            </w:r>
            <w:r>
              <w:rPr/>
              <w:t>Women</w:t>
            </w:r>
            <w:r>
              <w:rPr>
                <w:spacing w:val="-10"/>
              </w:rPr>
              <w:t> </w:t>
            </w:r>
            <w:r>
              <w:rPr/>
              <w:t>Empowerment</w:t>
            </w:r>
            <w:r>
              <w:rPr>
                <w:spacing w:val="-11"/>
              </w:rPr>
              <w:t> </w:t>
            </w:r>
            <w:r>
              <w:rPr/>
              <w:t>Initiatives</w:t>
            </w:r>
            <w:r>
              <w:rPr>
                <w:spacing w:val="-10"/>
              </w:rPr>
              <w:t> </w:t>
            </w:r>
            <w:r>
              <w:rPr/>
              <w:t>in</w:t>
            </w:r>
            <w:r>
              <w:rPr>
                <w:spacing w:val="-10"/>
              </w:rPr>
              <w:t> </w:t>
            </w:r>
            <w:r>
              <w:rPr>
                <w:spacing w:val="-2"/>
              </w:rPr>
              <w:t>India</w:t>
            </w:r>
            <w:r>
              <w:rPr/>
              <w:tab/>
            </w:r>
            <w:r>
              <w:rPr>
                <w:spacing w:val="-5"/>
              </w:rPr>
              <w:t>2</w:t>
            </w:r>
          </w:hyperlink>
          <w:r>
            <w:rPr>
              <w:spacing w:val="-5"/>
            </w:rPr>
            <w:t>38</w:t>
          </w:r>
        </w:p>
        <w:p>
          <w:pPr>
            <w:pStyle w:val="TOC3"/>
            <w:rPr>
              <w:i/>
            </w:rPr>
          </w:pPr>
          <w:r>
            <w:rPr>
              <w:i/>
              <w:spacing w:val="-2"/>
            </w:rPr>
            <w:t>Uday</w:t>
          </w:r>
          <w:r>
            <w:rPr>
              <w:i/>
              <w:spacing w:val="-6"/>
            </w:rPr>
            <w:t> </w:t>
          </w:r>
          <w:r>
            <w:rPr>
              <w:i/>
              <w:spacing w:val="-2"/>
            </w:rPr>
            <w:t>Tate,</w:t>
          </w:r>
          <w:r>
            <w:rPr>
              <w:i/>
              <w:spacing w:val="-4"/>
            </w:rPr>
            <w:t> </w:t>
          </w:r>
          <w:r>
            <w:rPr>
              <w:i/>
              <w:spacing w:val="-2"/>
            </w:rPr>
            <w:t>Varsha</w:t>
          </w:r>
          <w:r>
            <w:rPr>
              <w:i/>
              <w:spacing w:val="-3"/>
            </w:rPr>
            <w:t> </w:t>
          </w:r>
          <w:r>
            <w:rPr>
              <w:i/>
              <w:spacing w:val="-2"/>
            </w:rPr>
            <w:t>Varshakumar</w:t>
          </w:r>
          <w:r>
            <w:rPr>
              <w:i/>
              <w:spacing w:val="-4"/>
            </w:rPr>
            <w:t> </w:t>
          </w:r>
          <w:r>
            <w:rPr>
              <w:i/>
              <w:spacing w:val="-2"/>
            </w:rPr>
            <w:t>Ps</w:t>
          </w:r>
          <w:r>
            <w:rPr>
              <w:i/>
              <w:spacing w:val="-3"/>
            </w:rPr>
            <w:t> </w:t>
          </w:r>
          <w:r>
            <w:rPr>
              <w:i/>
              <w:spacing w:val="-2"/>
            </w:rPr>
            <w:t>and</w:t>
          </w:r>
          <w:r>
            <w:rPr>
              <w:i/>
              <w:spacing w:val="-4"/>
            </w:rPr>
            <w:t> </w:t>
          </w:r>
          <w:r>
            <w:rPr>
              <w:i/>
              <w:spacing w:val="-2"/>
            </w:rPr>
            <w:t>Deepak</w:t>
          </w:r>
          <w:r>
            <w:rPr>
              <w:i/>
              <w:spacing w:val="-3"/>
            </w:rPr>
            <w:t> </w:t>
          </w:r>
          <w:r>
            <w:rPr>
              <w:i/>
              <w:spacing w:val="-2"/>
            </w:rPr>
            <w:t>Subedi</w:t>
          </w:r>
        </w:p>
        <w:p>
          <w:pPr>
            <w:pStyle w:val="TOC1"/>
            <w:tabs>
              <w:tab w:pos="10263" w:val="left" w:leader="none"/>
            </w:tabs>
          </w:pPr>
          <w:hyperlink w:history="true" w:anchor="h.hrm4jnb7o8ca">
            <w:r>
              <w:rPr/>
              <w:t>Understanding</w:t>
            </w:r>
            <w:r>
              <w:rPr>
                <w:spacing w:val="-11"/>
              </w:rPr>
              <w:t> </w:t>
            </w:r>
            <w:r>
              <w:rPr/>
              <w:t>Dyslexic</w:t>
            </w:r>
            <w:r>
              <w:rPr>
                <w:spacing w:val="-10"/>
              </w:rPr>
              <w:t> </w:t>
            </w:r>
            <w:r>
              <w:rPr>
                <w:spacing w:val="-2"/>
              </w:rPr>
              <w:t>Learning</w:t>
            </w:r>
            <w:r>
              <w:rPr/>
              <w:tab/>
            </w:r>
            <w:r>
              <w:rPr>
                <w:spacing w:val="-5"/>
              </w:rPr>
              <w:t>2</w:t>
            </w:r>
          </w:hyperlink>
          <w:r>
            <w:rPr>
              <w:spacing w:val="-5"/>
            </w:rPr>
            <w:t>39</w:t>
          </w:r>
        </w:p>
        <w:p>
          <w:pPr>
            <w:pStyle w:val="TOC2"/>
            <w:rPr>
              <w:i/>
            </w:rPr>
          </w:pPr>
          <w:r>
            <w:rPr>
              <w:i/>
            </w:rPr>
            <w:t>Maxim</w:t>
          </w:r>
          <w:r>
            <w:rPr>
              <w:i/>
              <w:spacing w:val="-11"/>
            </w:rPr>
            <w:t> </w:t>
          </w:r>
          <w:r>
            <w:rPr>
              <w:i/>
            </w:rPr>
            <w:t>Timperman,</w:t>
          </w:r>
          <w:r>
            <w:rPr>
              <w:i/>
              <w:spacing w:val="-8"/>
            </w:rPr>
            <w:t> </w:t>
          </w:r>
          <w:r>
            <w:rPr>
              <w:i/>
            </w:rPr>
            <w:t>Jason</w:t>
          </w:r>
          <w:r>
            <w:rPr>
              <w:i/>
              <w:spacing w:val="-8"/>
            </w:rPr>
            <w:t> </w:t>
          </w:r>
          <w:r>
            <w:rPr>
              <w:i/>
            </w:rPr>
            <w:t>LaFrance</w:t>
          </w:r>
          <w:r>
            <w:rPr>
              <w:i/>
              <w:spacing w:val="-8"/>
            </w:rPr>
            <w:t> </w:t>
          </w:r>
          <w:r>
            <w:rPr>
              <w:i/>
            </w:rPr>
            <w:t>and</w:t>
          </w:r>
          <w:r>
            <w:rPr>
              <w:i/>
              <w:spacing w:val="-8"/>
            </w:rPr>
            <w:t> </w:t>
          </w:r>
          <w:r>
            <w:rPr>
              <w:i/>
            </w:rPr>
            <w:t>Santosh</w:t>
          </w:r>
          <w:r>
            <w:rPr>
              <w:i/>
              <w:spacing w:val="-8"/>
            </w:rPr>
            <w:t> </w:t>
          </w:r>
          <w:r>
            <w:rPr>
              <w:i/>
              <w:spacing w:val="-2"/>
            </w:rPr>
            <w:t>Nandi</w:t>
          </w:r>
        </w:p>
        <w:p>
          <w:pPr>
            <w:pStyle w:val="TOC1"/>
            <w:tabs>
              <w:tab w:pos="10263" w:val="left" w:leader="none"/>
            </w:tabs>
          </w:pPr>
          <w:hyperlink w:history="true" w:anchor="h.kl9tzgyawuvs">
            <w:r>
              <w:rPr/>
              <w:t>Bidirectional</w:t>
            </w:r>
            <w:r>
              <w:rPr>
                <w:spacing w:val="-8"/>
              </w:rPr>
              <w:t> </w:t>
            </w:r>
            <w:r>
              <w:rPr/>
              <w:t>Price</w:t>
            </w:r>
            <w:r>
              <w:rPr>
                <w:spacing w:val="-7"/>
              </w:rPr>
              <w:t> </w:t>
            </w:r>
            <w:r>
              <w:rPr/>
              <w:t>Discovery</w:t>
            </w:r>
            <w:r>
              <w:rPr>
                <w:spacing w:val="-7"/>
              </w:rPr>
              <w:t> </w:t>
            </w:r>
            <w:r>
              <w:rPr/>
              <w:t>Between</w:t>
            </w:r>
            <w:r>
              <w:rPr>
                <w:spacing w:val="-7"/>
              </w:rPr>
              <w:t> </w:t>
            </w:r>
            <w:r>
              <w:rPr/>
              <w:t>Bitcoin</w:t>
            </w:r>
            <w:r>
              <w:rPr>
                <w:spacing w:val="-7"/>
              </w:rPr>
              <w:t> </w:t>
            </w:r>
            <w:r>
              <w:rPr/>
              <w:t>Spot</w:t>
            </w:r>
            <w:r>
              <w:rPr>
                <w:spacing w:val="-7"/>
              </w:rPr>
              <w:t> </w:t>
            </w:r>
            <w:r>
              <w:rPr/>
              <w:t>and</w:t>
            </w:r>
            <w:r>
              <w:rPr>
                <w:spacing w:val="-7"/>
              </w:rPr>
              <w:t> </w:t>
            </w:r>
            <w:r>
              <w:rPr/>
              <w:t>Perpetual</w:t>
            </w:r>
            <w:r>
              <w:rPr>
                <w:spacing w:val="-7"/>
              </w:rPr>
              <w:t> </w:t>
            </w:r>
            <w:r>
              <w:rPr/>
              <w:t>Futures</w:t>
            </w:r>
            <w:r>
              <w:rPr>
                <w:spacing w:val="-7"/>
              </w:rPr>
              <w:t> </w:t>
            </w:r>
            <w:r>
              <w:rPr>
                <w:spacing w:val="-2"/>
              </w:rPr>
              <w:t>Prices</w:t>
            </w:r>
            <w:r>
              <w:rPr/>
              <w:tab/>
            </w:r>
            <w:r>
              <w:rPr>
                <w:spacing w:val="-5"/>
              </w:rPr>
              <w:t>2</w:t>
            </w:r>
          </w:hyperlink>
          <w:r>
            <w:rPr>
              <w:spacing w:val="-5"/>
            </w:rPr>
            <w:t>40</w:t>
          </w:r>
        </w:p>
        <w:p>
          <w:pPr>
            <w:pStyle w:val="TOC3"/>
            <w:rPr>
              <w:i/>
            </w:rPr>
          </w:pPr>
          <w:r>
            <w:rPr>
              <w:i/>
            </w:rPr>
            <w:t>William</w:t>
          </w:r>
          <w:r>
            <w:rPr>
              <w:i/>
              <w:spacing w:val="-11"/>
            </w:rPr>
            <w:t> </w:t>
          </w:r>
          <w:r>
            <w:rPr>
              <w:i/>
            </w:rPr>
            <w:t>Trainor</w:t>
          </w:r>
          <w:r>
            <w:rPr>
              <w:i/>
              <w:spacing w:val="-11"/>
            </w:rPr>
            <w:t> </w:t>
          </w:r>
          <w:r>
            <w:rPr>
              <w:i/>
            </w:rPr>
            <w:t>and</w:t>
          </w:r>
          <w:r>
            <w:rPr>
              <w:i/>
              <w:spacing w:val="-11"/>
            </w:rPr>
            <w:t> </w:t>
          </w:r>
          <w:r>
            <w:rPr>
              <w:i/>
            </w:rPr>
            <w:t>Akash</w:t>
          </w:r>
          <w:r>
            <w:rPr>
              <w:i/>
              <w:spacing w:val="-11"/>
            </w:rPr>
            <w:t> </w:t>
          </w:r>
          <w:r>
            <w:rPr>
              <w:i/>
              <w:spacing w:val="-2"/>
            </w:rPr>
            <w:t>Ashwin</w:t>
          </w:r>
        </w:p>
        <w:p>
          <w:pPr>
            <w:pStyle w:val="TOC1"/>
            <w:tabs>
              <w:tab w:pos="10263" w:val="left" w:leader="none"/>
            </w:tabs>
          </w:pPr>
          <w:hyperlink w:history="true" w:anchor="h.mwun3689o8aw">
            <w:r>
              <w:rPr/>
              <w:t>Authenticity</w:t>
            </w:r>
            <w:r>
              <w:rPr>
                <w:spacing w:val="-12"/>
              </w:rPr>
              <w:t> </w:t>
            </w:r>
            <w:r>
              <w:rPr/>
              <w:t>in</w:t>
            </w:r>
            <w:r>
              <w:rPr>
                <w:spacing w:val="-9"/>
              </w:rPr>
              <w:t> </w:t>
            </w:r>
            <w:r>
              <w:rPr/>
              <w:t>Recruitment:</w:t>
            </w:r>
            <w:r>
              <w:rPr>
                <w:spacing w:val="-9"/>
              </w:rPr>
              <w:t> </w:t>
            </w:r>
            <w:r>
              <w:rPr/>
              <w:t>Assessing</w:t>
            </w:r>
            <w:r>
              <w:rPr>
                <w:spacing w:val="-9"/>
              </w:rPr>
              <w:t> </w:t>
            </w:r>
            <w:r>
              <w:rPr/>
              <w:t>the</w:t>
            </w:r>
            <w:r>
              <w:rPr>
                <w:spacing w:val="-9"/>
              </w:rPr>
              <w:t> </w:t>
            </w:r>
            <w:r>
              <w:rPr/>
              <w:t>Accuracy</w:t>
            </w:r>
            <w:r>
              <w:rPr>
                <w:spacing w:val="-9"/>
              </w:rPr>
              <w:t> </w:t>
            </w:r>
            <w:r>
              <w:rPr/>
              <w:t>of</w:t>
            </w:r>
            <w:r>
              <w:rPr>
                <w:spacing w:val="-9"/>
              </w:rPr>
              <w:t> </w:t>
            </w:r>
            <w:r>
              <w:rPr/>
              <w:t>Career</w:t>
            </w:r>
            <w:r>
              <w:rPr>
                <w:spacing w:val="-9"/>
              </w:rPr>
              <w:t> </w:t>
            </w:r>
            <w:r>
              <w:rPr/>
              <w:t>Websites</w:t>
            </w:r>
            <w:r>
              <w:rPr>
                <w:spacing w:val="-9"/>
              </w:rPr>
              <w:t> </w:t>
            </w:r>
            <w:r>
              <w:rPr/>
              <w:t>in</w:t>
            </w:r>
            <w:r>
              <w:rPr>
                <w:spacing w:val="-9"/>
              </w:rPr>
              <w:t> </w:t>
            </w:r>
            <w:r>
              <w:rPr/>
              <w:t>Representing</w:t>
            </w:r>
            <w:r>
              <w:rPr>
                <w:spacing w:val="-9"/>
              </w:rPr>
              <w:t> </w:t>
            </w:r>
            <w:r>
              <w:rPr/>
              <w:t>Organizational</w:t>
            </w:r>
            <w:r>
              <w:rPr>
                <w:spacing w:val="-9"/>
              </w:rPr>
              <w:t> </w:t>
            </w:r>
            <w:r>
              <w:rPr>
                <w:spacing w:val="-2"/>
              </w:rPr>
              <w:t>Cultures</w:t>
            </w:r>
            <w:r>
              <w:rPr/>
              <w:tab/>
            </w:r>
            <w:r>
              <w:rPr>
                <w:spacing w:val="-5"/>
              </w:rPr>
              <w:t>2</w:t>
            </w:r>
          </w:hyperlink>
          <w:r>
            <w:rPr>
              <w:spacing w:val="-5"/>
            </w:rPr>
            <w:t>41</w:t>
          </w:r>
        </w:p>
        <w:p>
          <w:pPr>
            <w:pStyle w:val="TOC3"/>
            <w:rPr>
              <w:i/>
            </w:rPr>
          </w:pPr>
          <w:r>
            <w:rPr>
              <w:i/>
            </w:rPr>
            <w:t>Leah</w:t>
          </w:r>
          <w:r>
            <w:rPr>
              <w:i/>
              <w:spacing w:val="-9"/>
            </w:rPr>
            <w:t> </w:t>
          </w:r>
          <w:r>
            <w:rPr>
              <w:i/>
            </w:rPr>
            <w:t>Uteg,</w:t>
          </w:r>
          <w:r>
            <w:rPr>
              <w:i/>
              <w:spacing w:val="-7"/>
            </w:rPr>
            <w:t> </w:t>
          </w:r>
          <w:r>
            <w:rPr>
              <w:i/>
            </w:rPr>
            <w:t>Leslie</w:t>
          </w:r>
          <w:r>
            <w:rPr>
              <w:i/>
              <w:spacing w:val="-7"/>
            </w:rPr>
            <w:t> </w:t>
          </w:r>
          <w:r>
            <w:rPr>
              <w:i/>
            </w:rPr>
            <w:t>Goodman,</w:t>
          </w:r>
          <w:r>
            <w:rPr>
              <w:i/>
              <w:spacing w:val="-6"/>
            </w:rPr>
            <w:t> </w:t>
          </w:r>
          <w:r>
            <w:rPr>
              <w:i/>
            </w:rPr>
            <w:t>Niasia</w:t>
          </w:r>
          <w:r>
            <w:rPr>
              <w:i/>
              <w:spacing w:val="-7"/>
            </w:rPr>
            <w:t> </w:t>
          </w:r>
          <w:r>
            <w:rPr>
              <w:i/>
            </w:rPr>
            <w:t>Jones,</w:t>
          </w:r>
          <w:r>
            <w:rPr>
              <w:i/>
              <w:spacing w:val="-7"/>
            </w:rPr>
            <w:t> </w:t>
          </w:r>
          <w:r>
            <w:rPr>
              <w:i/>
            </w:rPr>
            <w:t>Delaney</w:t>
          </w:r>
          <w:r>
            <w:rPr>
              <w:i/>
              <w:spacing w:val="-6"/>
            </w:rPr>
            <w:t> </w:t>
          </w:r>
          <w:r>
            <w:rPr>
              <w:i/>
            </w:rPr>
            <w:t>Clark,</w:t>
          </w:r>
          <w:r>
            <w:rPr>
              <w:i/>
              <w:spacing w:val="-7"/>
            </w:rPr>
            <w:t> </w:t>
          </w:r>
          <w:r>
            <w:rPr>
              <w:i/>
            </w:rPr>
            <w:t>Tim</w:t>
          </w:r>
          <w:r>
            <w:rPr>
              <w:i/>
              <w:spacing w:val="-7"/>
            </w:rPr>
            <w:t> </w:t>
          </w:r>
          <w:r>
            <w:rPr>
              <w:i/>
            </w:rPr>
            <w:t>Huelsman,</w:t>
          </w:r>
          <w:r>
            <w:rPr>
              <w:i/>
              <w:spacing w:val="-7"/>
            </w:rPr>
            <w:t> </w:t>
          </w:r>
          <w:r>
            <w:rPr>
              <w:i/>
            </w:rPr>
            <w:t>Kristl</w:t>
          </w:r>
          <w:r>
            <w:rPr>
              <w:i/>
              <w:spacing w:val="-6"/>
            </w:rPr>
            <w:t> </w:t>
          </w:r>
          <w:r>
            <w:rPr>
              <w:i/>
            </w:rPr>
            <w:t>Davison</w:t>
          </w:r>
          <w:r>
            <w:rPr>
              <w:i/>
              <w:spacing w:val="-7"/>
            </w:rPr>
            <w:t> </w:t>
          </w:r>
          <w:r>
            <w:rPr>
              <w:i/>
            </w:rPr>
            <w:t>and</w:t>
          </w:r>
          <w:r>
            <w:rPr>
              <w:i/>
              <w:spacing w:val="-7"/>
            </w:rPr>
            <w:t> </w:t>
          </w:r>
          <w:r>
            <w:rPr>
              <w:i/>
            </w:rPr>
            <w:t>Jessica</w:t>
          </w:r>
          <w:r>
            <w:rPr>
              <w:i/>
              <w:spacing w:val="-6"/>
            </w:rPr>
            <w:t> </w:t>
          </w:r>
          <w:r>
            <w:rPr>
              <w:i/>
              <w:spacing w:val="-4"/>
            </w:rPr>
            <w:t>Doll</w:t>
          </w:r>
        </w:p>
        <w:p>
          <w:pPr>
            <w:pStyle w:val="TOC1"/>
            <w:tabs>
              <w:tab w:pos="10263" w:val="left" w:leader="none"/>
            </w:tabs>
          </w:pPr>
          <w:hyperlink w:history="true" w:anchor="h.ilzzq58vhxxz">
            <w:r>
              <w:rPr/>
              <w:t>Methodologies</w:t>
            </w:r>
            <w:r>
              <w:rPr>
                <w:spacing w:val="-7"/>
              </w:rPr>
              <w:t> </w:t>
            </w:r>
            <w:r>
              <w:rPr/>
              <w:t>for</w:t>
            </w:r>
            <w:r>
              <w:rPr>
                <w:spacing w:val="-6"/>
              </w:rPr>
              <w:t> </w:t>
            </w:r>
            <w:r>
              <w:rPr/>
              <w:t>Generating</w:t>
            </w:r>
            <w:r>
              <w:rPr>
                <w:spacing w:val="-6"/>
              </w:rPr>
              <w:t> </w:t>
            </w:r>
            <w:r>
              <w:rPr/>
              <w:t>Passive</w:t>
            </w:r>
            <w:r>
              <w:rPr>
                <w:spacing w:val="-6"/>
              </w:rPr>
              <w:t> </w:t>
            </w:r>
            <w:r>
              <w:rPr/>
              <w:t>Income</w:t>
            </w:r>
            <w:r>
              <w:rPr>
                <w:spacing w:val="-6"/>
              </w:rPr>
              <w:t> </w:t>
            </w:r>
            <w:r>
              <w:rPr/>
              <w:t>as</w:t>
            </w:r>
            <w:r>
              <w:rPr>
                <w:spacing w:val="-6"/>
              </w:rPr>
              <w:t> </w:t>
            </w:r>
            <w:r>
              <w:rPr/>
              <w:t>a</w:t>
            </w:r>
            <w:r>
              <w:rPr>
                <w:spacing w:val="-6"/>
              </w:rPr>
              <w:t> </w:t>
            </w:r>
            <w:r>
              <w:rPr/>
              <w:t>Digital</w:t>
            </w:r>
            <w:r>
              <w:rPr>
                <w:spacing w:val="-6"/>
              </w:rPr>
              <w:t> </w:t>
            </w:r>
            <w:r>
              <w:rPr>
                <w:spacing w:val="-2"/>
              </w:rPr>
              <w:t>Artist</w:t>
            </w:r>
            <w:r>
              <w:rPr/>
              <w:tab/>
            </w:r>
            <w:r>
              <w:rPr>
                <w:spacing w:val="-5"/>
              </w:rPr>
              <w:t>2</w:t>
            </w:r>
          </w:hyperlink>
          <w:r>
            <w:rPr>
              <w:spacing w:val="-5"/>
            </w:rPr>
            <w:t>42</w:t>
          </w:r>
        </w:p>
        <w:p>
          <w:pPr>
            <w:pStyle w:val="TOC3"/>
            <w:rPr>
              <w:i/>
            </w:rPr>
          </w:pPr>
          <w:r>
            <w:rPr>
              <w:i/>
            </w:rPr>
            <w:t>Levi</w:t>
          </w:r>
          <w:r>
            <w:rPr>
              <w:i/>
              <w:spacing w:val="-4"/>
            </w:rPr>
            <w:t> </w:t>
          </w:r>
          <w:r>
            <w:rPr>
              <w:i/>
              <w:spacing w:val="-2"/>
            </w:rPr>
            <w:t>Walker</w:t>
          </w:r>
        </w:p>
        <w:p>
          <w:pPr>
            <w:pStyle w:val="TOC1"/>
            <w:tabs>
              <w:tab w:pos="10263" w:val="left" w:leader="none"/>
            </w:tabs>
            <w:ind w:right="954"/>
          </w:pPr>
          <w:hyperlink w:history="true" w:anchor="h.ftq9cryzi5vk">
            <w:r>
              <w:rPr/>
              <w:t>We’re All A Family: Investigating How Diversity Interacts with Feelings of Mattering,</w:t>
            </w:r>
            <w:r>
              <w:rPr>
                <w:spacing w:val="40"/>
              </w:rPr>
              <w:t> </w:t>
            </w:r>
            <w:r>
              <w:rPr/>
              <w:t>Belonging, Work Outcomes, and</w:t>
            </w:r>
          </w:hyperlink>
          <w:r>
            <w:rPr/>
            <w:t> </w:t>
          </w:r>
          <w:hyperlink w:history="true" w:anchor="h.ftq9cryzi5vk">
            <w:r>
              <w:rPr>
                <w:spacing w:val="-2"/>
              </w:rPr>
              <w:t>Well-Being</w:t>
            </w:r>
            <w:r>
              <w:rPr/>
              <w:tab/>
            </w:r>
            <w:r>
              <w:rPr>
                <w:spacing w:val="-4"/>
              </w:rPr>
              <w:t>2</w:t>
            </w:r>
          </w:hyperlink>
          <w:r>
            <w:rPr>
              <w:spacing w:val="-4"/>
            </w:rPr>
            <w:t>43</w:t>
          </w:r>
        </w:p>
        <w:p>
          <w:pPr>
            <w:pStyle w:val="TOC2"/>
            <w:rPr>
              <w:i/>
            </w:rPr>
          </w:pPr>
          <w:r>
            <w:rPr>
              <w:i/>
            </w:rPr>
            <w:t>Hannah</w:t>
          </w:r>
          <w:r>
            <w:rPr>
              <w:i/>
              <w:spacing w:val="-12"/>
            </w:rPr>
            <w:t> </w:t>
          </w:r>
          <w:r>
            <w:rPr>
              <w:i/>
            </w:rPr>
            <w:t>Wallace,</w:t>
          </w:r>
          <w:r>
            <w:rPr>
              <w:i/>
              <w:spacing w:val="-11"/>
            </w:rPr>
            <w:t> </w:t>
          </w:r>
          <w:r>
            <w:rPr>
              <w:i/>
            </w:rPr>
            <w:t>Brody</w:t>
          </w:r>
          <w:r>
            <w:rPr>
              <w:i/>
              <w:spacing w:val="-11"/>
            </w:rPr>
            <w:t> </w:t>
          </w:r>
          <w:r>
            <w:rPr>
              <w:i/>
            </w:rPr>
            <w:t>Behm,</w:t>
          </w:r>
          <w:r>
            <w:rPr>
              <w:i/>
              <w:spacing w:val="-11"/>
            </w:rPr>
            <w:t> </w:t>
          </w:r>
          <w:r>
            <w:rPr>
              <w:i/>
            </w:rPr>
            <w:t>Tessa</w:t>
          </w:r>
          <w:r>
            <w:rPr>
              <w:i/>
              <w:spacing w:val="-11"/>
            </w:rPr>
            <w:t> </w:t>
          </w:r>
          <w:r>
            <w:rPr>
              <w:i/>
            </w:rPr>
            <w:t>Trate,</w:t>
          </w:r>
          <w:r>
            <w:rPr>
              <w:i/>
              <w:spacing w:val="-11"/>
            </w:rPr>
            <w:t> </w:t>
          </w:r>
          <w:r>
            <w:rPr>
              <w:i/>
            </w:rPr>
            <w:t>Leila</w:t>
          </w:r>
          <w:r>
            <w:rPr>
              <w:i/>
              <w:spacing w:val="-12"/>
            </w:rPr>
            <w:t> </w:t>
          </w:r>
          <w:r>
            <w:rPr>
              <w:i/>
            </w:rPr>
            <w:t>Young,</w:t>
          </w:r>
          <w:r>
            <w:rPr>
              <w:i/>
              <w:spacing w:val="-11"/>
            </w:rPr>
            <w:t> </w:t>
          </w:r>
          <w:r>
            <w:rPr>
              <w:i/>
            </w:rPr>
            <w:t>Bella</w:t>
          </w:r>
          <w:r>
            <w:rPr>
              <w:i/>
              <w:spacing w:val="-11"/>
            </w:rPr>
            <w:t> </w:t>
          </w:r>
          <w:r>
            <w:rPr>
              <w:i/>
            </w:rPr>
            <w:t>Watkins,</w:t>
          </w:r>
          <w:r>
            <w:rPr>
              <w:i/>
              <w:spacing w:val="-11"/>
            </w:rPr>
            <w:t> </w:t>
          </w:r>
          <w:r>
            <w:rPr>
              <w:i/>
            </w:rPr>
            <w:t>Jess</w:t>
          </w:r>
          <w:r>
            <w:rPr>
              <w:i/>
              <w:spacing w:val="-11"/>
            </w:rPr>
            <w:t> </w:t>
          </w:r>
          <w:r>
            <w:rPr>
              <w:i/>
            </w:rPr>
            <w:t>Doll,</w:t>
          </w:r>
          <w:r>
            <w:rPr>
              <w:i/>
              <w:spacing w:val="-11"/>
            </w:rPr>
            <w:t> </w:t>
          </w:r>
          <w:r>
            <w:rPr>
              <w:i/>
            </w:rPr>
            <w:t>Tim</w:t>
          </w:r>
          <w:r>
            <w:rPr>
              <w:i/>
              <w:spacing w:val="-12"/>
            </w:rPr>
            <w:t> </w:t>
          </w:r>
          <w:r>
            <w:rPr>
              <w:i/>
            </w:rPr>
            <w:t>Huelsman</w:t>
          </w:r>
          <w:r>
            <w:rPr>
              <w:i/>
              <w:spacing w:val="-11"/>
            </w:rPr>
            <w:t> </w:t>
          </w:r>
          <w:r>
            <w:rPr>
              <w:i/>
            </w:rPr>
            <w:t>and</w:t>
          </w:r>
          <w:r>
            <w:rPr>
              <w:i/>
              <w:spacing w:val="29"/>
            </w:rPr>
            <w:t> </w:t>
          </w:r>
          <w:r>
            <w:rPr>
              <w:i/>
            </w:rPr>
            <w:t>Kristl</w:t>
          </w:r>
          <w:r>
            <w:rPr>
              <w:i/>
              <w:spacing w:val="-11"/>
            </w:rPr>
            <w:t> </w:t>
          </w:r>
          <w:r>
            <w:rPr>
              <w:i/>
              <w:spacing w:val="-2"/>
            </w:rPr>
            <w:t>Davison</w:t>
          </w:r>
        </w:p>
        <w:p>
          <w:pPr>
            <w:pStyle w:val="TOC1"/>
            <w:tabs>
              <w:tab w:pos="10263" w:val="left" w:leader="none"/>
            </w:tabs>
            <w:spacing w:line="263" w:lineRule="exact" w:before="31"/>
          </w:pPr>
          <w:hyperlink w:history="true" w:anchor="h.lhjrta8h1wp5">
            <w:r>
              <w:rPr/>
              <w:t>Sentiment</w:t>
            </w:r>
            <w:r>
              <w:rPr>
                <w:spacing w:val="-12"/>
              </w:rPr>
              <w:t> </w:t>
            </w:r>
            <w:r>
              <w:rPr/>
              <w:t>and</w:t>
            </w:r>
            <w:r>
              <w:rPr>
                <w:spacing w:val="-11"/>
              </w:rPr>
              <w:t> </w:t>
            </w:r>
            <w:r>
              <w:rPr/>
              <w:t>Trust</w:t>
            </w:r>
            <w:r>
              <w:rPr>
                <w:spacing w:val="-11"/>
              </w:rPr>
              <w:t> </w:t>
            </w:r>
            <w:r>
              <w:rPr/>
              <w:t>Toward</w:t>
            </w:r>
            <w:r>
              <w:rPr>
                <w:spacing w:val="-11"/>
              </w:rPr>
              <w:t> </w:t>
            </w:r>
            <w:r>
              <w:rPr/>
              <w:t>Artificial</w:t>
            </w:r>
            <w:r>
              <w:rPr>
                <w:spacing w:val="-11"/>
              </w:rPr>
              <w:t> </w:t>
            </w:r>
            <w:r>
              <w:rPr/>
              <w:t>Intelligence</w:t>
            </w:r>
            <w:r>
              <w:rPr>
                <w:spacing w:val="-12"/>
              </w:rPr>
              <w:t> </w:t>
            </w:r>
            <w:r>
              <w:rPr/>
              <w:t>in</w:t>
            </w:r>
            <w:r>
              <w:rPr>
                <w:spacing w:val="-11"/>
              </w:rPr>
              <w:t> </w:t>
            </w:r>
            <w:r>
              <w:rPr/>
              <w:t>Business</w:t>
            </w:r>
            <w:r>
              <w:rPr>
                <w:spacing w:val="-11"/>
              </w:rPr>
              <w:t> </w:t>
            </w:r>
            <w:r>
              <w:rPr/>
              <w:t>Contexts:</w:t>
            </w:r>
            <w:r>
              <w:rPr>
                <w:spacing w:val="-11"/>
              </w:rPr>
              <w:t> </w:t>
            </w:r>
            <w:r>
              <w:rPr/>
              <w:t>A</w:t>
            </w:r>
            <w:r>
              <w:rPr>
                <w:spacing w:val="-11"/>
              </w:rPr>
              <w:t> </w:t>
            </w:r>
            <w:r>
              <w:rPr/>
              <w:t>Multi</w:t>
            </w:r>
            <w:r>
              <w:rPr>
                <w:rFonts w:ascii="Segoe UI Symbol" w:hAnsi="Segoe UI Symbol"/>
              </w:rPr>
              <w:t>‑</w:t>
            </w:r>
            <w:r>
              <w:rPr/>
              <w:t>Stakeholder</w:t>
            </w:r>
            <w:r>
              <w:rPr>
                <w:spacing w:val="-12"/>
              </w:rPr>
              <w:t> </w:t>
            </w:r>
            <w:r>
              <w:rPr>
                <w:spacing w:val="-2"/>
              </w:rPr>
              <w:t>Assessment</w:t>
            </w:r>
            <w:r>
              <w:rPr/>
              <w:tab/>
            </w:r>
            <w:r>
              <w:rPr>
                <w:spacing w:val="-5"/>
              </w:rPr>
              <w:t>2</w:t>
            </w:r>
          </w:hyperlink>
          <w:r>
            <w:rPr>
              <w:spacing w:val="-5"/>
            </w:rPr>
            <w:t>45</w:t>
          </w:r>
        </w:p>
        <w:p>
          <w:pPr>
            <w:pStyle w:val="TOC2"/>
            <w:spacing w:line="227" w:lineRule="exact"/>
            <w:rPr>
              <w:i/>
            </w:rPr>
          </w:pPr>
          <w:r>
            <w:rPr>
              <w:i/>
            </w:rPr>
            <w:t>Alexander</w:t>
          </w:r>
          <w:r>
            <w:rPr>
              <w:i/>
              <w:spacing w:val="-12"/>
            </w:rPr>
            <w:t> </w:t>
          </w:r>
          <w:r>
            <w:rPr>
              <w:i/>
            </w:rPr>
            <w:t>Williams,</w:t>
          </w:r>
          <w:r>
            <w:rPr>
              <w:i/>
              <w:spacing w:val="-9"/>
            </w:rPr>
            <w:t> </w:t>
          </w:r>
          <w:r>
            <w:rPr>
              <w:i/>
            </w:rPr>
            <w:t>Johnathan</w:t>
          </w:r>
          <w:r>
            <w:rPr>
              <w:i/>
              <w:spacing w:val="-9"/>
            </w:rPr>
            <w:t> </w:t>
          </w:r>
          <w:r>
            <w:rPr>
              <w:i/>
            </w:rPr>
            <w:t>Bitting</w:t>
          </w:r>
          <w:r>
            <w:rPr>
              <w:i/>
              <w:spacing w:val="-9"/>
            </w:rPr>
            <w:t> </w:t>
          </w:r>
          <w:r>
            <w:rPr>
              <w:i/>
            </w:rPr>
            <w:t>and</w:t>
          </w:r>
          <w:r>
            <w:rPr>
              <w:i/>
              <w:spacing w:val="-9"/>
            </w:rPr>
            <w:t> </w:t>
          </w:r>
          <w:r>
            <w:rPr>
              <w:i/>
            </w:rPr>
            <w:t>Santosh</w:t>
          </w:r>
          <w:r>
            <w:rPr>
              <w:i/>
              <w:spacing w:val="-9"/>
            </w:rPr>
            <w:t> </w:t>
          </w:r>
          <w:r>
            <w:rPr>
              <w:i/>
              <w:spacing w:val="-2"/>
            </w:rPr>
            <w:t>Nandi</w:t>
          </w:r>
        </w:p>
        <w:p>
          <w:pPr>
            <w:pStyle w:val="TOC1"/>
            <w:tabs>
              <w:tab w:pos="10263" w:val="left" w:leader="none"/>
            </w:tabs>
            <w:spacing w:line="263" w:lineRule="exact" w:before="31"/>
          </w:pPr>
          <w:hyperlink w:history="true" w:anchor="h.jnx8bjntevd5">
            <w:r>
              <w:rPr/>
              <w:t>Passive</w:t>
            </w:r>
            <w:r>
              <w:rPr>
                <w:spacing w:val="-9"/>
              </w:rPr>
              <w:t> </w:t>
            </w:r>
            <w:r>
              <w:rPr/>
              <w:t>Drift</w:t>
            </w:r>
            <w:r>
              <w:rPr>
                <w:spacing w:val="-8"/>
              </w:rPr>
              <w:t> </w:t>
            </w:r>
            <w:r>
              <w:rPr/>
              <w:t>in</w:t>
            </w:r>
            <w:r>
              <w:rPr>
                <w:spacing w:val="-9"/>
              </w:rPr>
              <w:t> </w:t>
            </w:r>
            <w:r>
              <w:rPr/>
              <w:t>AI</w:t>
            </w:r>
            <w:r>
              <w:rPr>
                <w:rFonts w:ascii="Segoe UI Symbol" w:hAnsi="Segoe UI Symbol"/>
              </w:rPr>
              <w:t>‑</w:t>
            </w:r>
            <w:r>
              <w:rPr/>
              <w:t>Mediated</w:t>
            </w:r>
            <w:r>
              <w:rPr>
                <w:spacing w:val="-8"/>
              </w:rPr>
              <w:t> </w:t>
            </w:r>
            <w:r>
              <w:rPr/>
              <w:t>Platforms:</w:t>
            </w:r>
            <w:r>
              <w:rPr>
                <w:spacing w:val="-9"/>
              </w:rPr>
              <w:t> </w:t>
            </w:r>
            <w:r>
              <w:rPr/>
              <w:t>A</w:t>
            </w:r>
            <w:r>
              <w:rPr>
                <w:spacing w:val="-8"/>
              </w:rPr>
              <w:t> </w:t>
            </w:r>
            <w:r>
              <w:rPr/>
              <w:t>Systematic</w:t>
            </w:r>
            <w:r>
              <w:rPr>
                <w:spacing w:val="-8"/>
              </w:rPr>
              <w:t> </w:t>
            </w:r>
            <w:r>
              <w:rPr/>
              <w:t>Review</w:t>
            </w:r>
            <w:r>
              <w:rPr>
                <w:spacing w:val="-9"/>
              </w:rPr>
              <w:t> </w:t>
            </w:r>
            <w:r>
              <w:rPr/>
              <w:t>of</w:t>
            </w:r>
            <w:r>
              <w:rPr>
                <w:spacing w:val="-8"/>
              </w:rPr>
              <w:t> </w:t>
            </w:r>
            <w:r>
              <w:rPr/>
              <w:t>Engagement</w:t>
            </w:r>
            <w:r>
              <w:rPr>
                <w:spacing w:val="-9"/>
              </w:rPr>
              <w:t> </w:t>
            </w:r>
            <w:r>
              <w:rPr>
                <w:spacing w:val="-2"/>
              </w:rPr>
              <w:t>Mechanisms</w:t>
            </w:r>
            <w:r>
              <w:rPr/>
              <w:tab/>
            </w:r>
            <w:r>
              <w:rPr>
                <w:spacing w:val="-5"/>
              </w:rPr>
              <w:t>2</w:t>
            </w:r>
          </w:hyperlink>
          <w:r>
            <w:rPr>
              <w:spacing w:val="-5"/>
            </w:rPr>
            <w:t>46</w:t>
          </w:r>
        </w:p>
        <w:p>
          <w:pPr>
            <w:pStyle w:val="TOC3"/>
            <w:spacing w:line="227" w:lineRule="exact"/>
            <w:ind w:left="1251"/>
            <w:rPr>
              <w:i/>
            </w:rPr>
          </w:pPr>
          <w:r>
            <w:rPr>
              <w:i/>
            </w:rPr>
            <w:t>Shishi</w:t>
          </w:r>
          <w:r>
            <w:rPr>
              <w:i/>
              <w:spacing w:val="-6"/>
            </w:rPr>
            <w:t> </w:t>
          </w:r>
          <w:r>
            <w:rPr>
              <w:i/>
              <w:spacing w:val="-5"/>
            </w:rPr>
            <w:t>Wu</w:t>
          </w:r>
        </w:p>
        <w:p>
          <w:pPr>
            <w:pStyle w:val="TOC1"/>
            <w:tabs>
              <w:tab w:pos="10263" w:val="left" w:leader="none"/>
            </w:tabs>
            <w:ind w:right="954"/>
          </w:pPr>
          <w:hyperlink w:history="true" w:anchor="h.3pojia4np0fi">
            <w:r>
              <w:rPr/>
              <w:t>The Influence of Experiential and Dispositional Factors in Phishing: A Replication-Plus-Extension Study Fifteen Years</w:t>
            </w:r>
          </w:hyperlink>
          <w:r>
            <w:rPr/>
            <w:t> </w:t>
          </w:r>
          <w:hyperlink w:history="true" w:anchor="h.3pojia4np0fi">
            <w:r>
              <w:rPr>
                <w:spacing w:val="-2"/>
              </w:rPr>
              <w:t>Later</w:t>
            </w:r>
            <w:r>
              <w:rPr/>
              <w:tab/>
            </w:r>
            <w:r>
              <w:rPr>
                <w:spacing w:val="-4"/>
              </w:rPr>
              <w:t>2</w:t>
            </w:r>
          </w:hyperlink>
          <w:r>
            <w:rPr>
              <w:spacing w:val="-4"/>
            </w:rPr>
            <w:t>47</w:t>
          </w:r>
        </w:p>
        <w:p>
          <w:pPr>
            <w:pStyle w:val="TOC3"/>
            <w:rPr>
              <w:i/>
            </w:rPr>
          </w:pPr>
          <w:r>
            <w:rPr>
              <w:i/>
            </w:rPr>
            <w:t>Wei</w:t>
          </w:r>
          <w:r>
            <w:rPr>
              <w:i/>
              <w:spacing w:val="-7"/>
            </w:rPr>
            <w:t> </w:t>
          </w:r>
          <w:r>
            <w:rPr>
              <w:i/>
            </w:rPr>
            <w:t>Xie,</w:t>
          </w:r>
          <w:r>
            <w:rPr>
              <w:i/>
              <w:spacing w:val="-7"/>
            </w:rPr>
            <w:t> </w:t>
          </w:r>
          <w:r>
            <w:rPr>
              <w:i/>
            </w:rPr>
            <w:t>Jung</w:t>
          </w:r>
          <w:r>
            <w:rPr>
              <w:i/>
              <w:spacing w:val="-6"/>
            </w:rPr>
            <w:t> </w:t>
          </w:r>
          <w:r>
            <w:rPr>
              <w:i/>
            </w:rPr>
            <w:t>Kim</w:t>
          </w:r>
          <w:r>
            <w:rPr>
              <w:i/>
              <w:spacing w:val="-7"/>
            </w:rPr>
            <w:t> </w:t>
          </w:r>
          <w:r>
            <w:rPr>
              <w:i/>
            </w:rPr>
            <w:t>and</w:t>
          </w:r>
          <w:r>
            <w:rPr>
              <w:i/>
              <w:spacing w:val="-7"/>
            </w:rPr>
            <w:t> </w:t>
          </w:r>
          <w:r>
            <w:rPr>
              <w:i/>
            </w:rPr>
            <w:t>Lijun</w:t>
          </w:r>
          <w:r>
            <w:rPr>
              <w:i/>
              <w:spacing w:val="-6"/>
            </w:rPr>
            <w:t> </w:t>
          </w:r>
          <w:r>
            <w:rPr>
              <w:i/>
              <w:spacing w:val="-4"/>
            </w:rPr>
            <w:t>Chen</w:t>
          </w:r>
        </w:p>
        <w:p>
          <w:pPr>
            <w:pStyle w:val="TOC1"/>
            <w:tabs>
              <w:tab w:pos="10263" w:val="left" w:leader="none"/>
            </w:tabs>
          </w:pPr>
          <w:hyperlink w:history="true" w:anchor="h.li5r1jvlrfwl">
            <w:r>
              <w:rPr/>
              <w:t>Designing</w:t>
            </w:r>
            <w:r>
              <w:rPr>
                <w:spacing w:val="-7"/>
              </w:rPr>
              <w:t> </w:t>
            </w:r>
            <w:r>
              <w:rPr/>
              <w:t>the</w:t>
            </w:r>
            <w:r>
              <w:rPr>
                <w:spacing w:val="-6"/>
              </w:rPr>
              <w:t> </w:t>
            </w:r>
            <w:r>
              <w:rPr/>
              <w:t>Next</w:t>
            </w:r>
            <w:r>
              <w:rPr>
                <w:spacing w:val="-7"/>
              </w:rPr>
              <w:t> </w:t>
            </w:r>
            <w:r>
              <w:rPr/>
              <w:t>Generation</w:t>
            </w:r>
            <w:r>
              <w:rPr>
                <w:spacing w:val="-6"/>
              </w:rPr>
              <w:t> </w:t>
            </w:r>
            <w:r>
              <w:rPr/>
              <w:t>of</w:t>
            </w:r>
            <w:r>
              <w:rPr>
                <w:spacing w:val="-7"/>
              </w:rPr>
              <w:t> </w:t>
            </w:r>
            <w:r>
              <w:rPr/>
              <w:t>Graduate</w:t>
            </w:r>
            <w:r>
              <w:rPr>
                <w:spacing w:val="-6"/>
              </w:rPr>
              <w:t> </w:t>
            </w:r>
            <w:r>
              <w:rPr/>
              <w:t>Business</w:t>
            </w:r>
            <w:r>
              <w:rPr>
                <w:spacing w:val="-7"/>
              </w:rPr>
              <w:t> </w:t>
            </w:r>
            <w:r>
              <w:rPr/>
              <w:t>Education:</w:t>
            </w:r>
            <w:r>
              <w:rPr>
                <w:spacing w:val="-6"/>
              </w:rPr>
              <w:t> </w:t>
            </w:r>
            <w:r>
              <w:rPr/>
              <w:t>AI,</w:t>
            </w:r>
            <w:r>
              <w:rPr>
                <w:spacing w:val="-7"/>
              </w:rPr>
              <w:t> </w:t>
            </w:r>
            <w:r>
              <w:rPr/>
              <w:t>Applied</w:t>
            </w:r>
            <w:r>
              <w:rPr>
                <w:spacing w:val="-6"/>
              </w:rPr>
              <w:t> </w:t>
            </w:r>
            <w:r>
              <w:rPr/>
              <w:t>Research,</w:t>
            </w:r>
            <w:r>
              <w:rPr>
                <w:spacing w:val="-7"/>
              </w:rPr>
              <w:t> </w:t>
            </w:r>
            <w:r>
              <w:rPr/>
              <w:t>and</w:t>
            </w:r>
            <w:r>
              <w:rPr>
                <w:spacing w:val="-6"/>
              </w:rPr>
              <w:t> </w:t>
            </w:r>
            <w:r>
              <w:rPr/>
              <w:t>Industry</w:t>
            </w:r>
            <w:r>
              <w:rPr>
                <w:spacing w:val="-6"/>
              </w:rPr>
              <w:t> </w:t>
            </w:r>
            <w:r>
              <w:rPr>
                <w:spacing w:val="-2"/>
              </w:rPr>
              <w:t>Integration</w:t>
            </w:r>
            <w:r>
              <w:rPr/>
              <w:tab/>
            </w:r>
            <w:r>
              <w:rPr>
                <w:spacing w:val="-5"/>
              </w:rPr>
              <w:t>2</w:t>
            </w:r>
          </w:hyperlink>
          <w:r>
            <w:rPr>
              <w:spacing w:val="-5"/>
            </w:rPr>
            <w:t>49</w:t>
          </w:r>
        </w:p>
        <w:p>
          <w:pPr>
            <w:pStyle w:val="TOC3"/>
            <w:rPr>
              <w:i/>
            </w:rPr>
          </w:pPr>
          <w:r>
            <w:rPr>
              <w:i/>
            </w:rPr>
            <w:t>Jason</w:t>
          </w:r>
          <w:r>
            <w:rPr>
              <w:i/>
              <w:spacing w:val="-5"/>
            </w:rPr>
            <w:t> </w:t>
          </w:r>
          <w:r>
            <w:rPr>
              <w:i/>
              <w:spacing w:val="-2"/>
            </w:rPr>
            <w:t>Xiong</w:t>
          </w:r>
        </w:p>
        <w:p>
          <w:pPr>
            <w:pStyle w:val="TOC1"/>
            <w:tabs>
              <w:tab w:pos="10263" w:val="left" w:leader="none"/>
            </w:tabs>
            <w:spacing w:line="263" w:lineRule="exact" w:before="31"/>
          </w:pPr>
          <w:hyperlink w:history="true" w:anchor="h.oovdayongrv1">
            <w:r>
              <w:rPr/>
              <w:t>Specialization</w:t>
            </w:r>
            <w:r>
              <w:rPr>
                <w:spacing w:val="-12"/>
              </w:rPr>
              <w:t> </w:t>
            </w:r>
            <w:r>
              <w:rPr/>
              <w:t>or</w:t>
            </w:r>
            <w:r>
              <w:rPr>
                <w:spacing w:val="-12"/>
              </w:rPr>
              <w:t> </w:t>
            </w:r>
            <w:r>
              <w:rPr/>
              <w:t>Diversification?</w:t>
            </w:r>
            <w:r>
              <w:rPr>
                <w:spacing w:val="-12"/>
              </w:rPr>
              <w:t> </w:t>
            </w:r>
            <w:r>
              <w:rPr/>
              <w:t>Creators’</w:t>
            </w:r>
            <w:r>
              <w:rPr>
                <w:spacing w:val="-12"/>
              </w:rPr>
              <w:t> </w:t>
            </w:r>
            <w:r>
              <w:rPr/>
              <w:t>Strategies</w:t>
            </w:r>
            <w:r>
              <w:rPr>
                <w:spacing w:val="-11"/>
              </w:rPr>
              <w:t> </w:t>
            </w:r>
            <w:r>
              <w:rPr/>
              <w:t>on</w:t>
            </w:r>
            <w:r>
              <w:rPr>
                <w:spacing w:val="-12"/>
              </w:rPr>
              <w:t> </w:t>
            </w:r>
            <w:r>
              <w:rPr/>
              <w:t>User</w:t>
            </w:r>
            <w:r>
              <w:rPr>
                <w:rFonts w:ascii="Segoe UI Symbol" w:hAnsi="Segoe UI Symbol"/>
              </w:rPr>
              <w:t>‑</w:t>
            </w:r>
            <w:r>
              <w:rPr/>
              <w:t>Generated</w:t>
            </w:r>
            <w:r>
              <w:rPr>
                <w:spacing w:val="-12"/>
              </w:rPr>
              <w:t> </w:t>
            </w:r>
            <w:r>
              <w:rPr/>
              <w:t>Content</w:t>
            </w:r>
            <w:r>
              <w:rPr>
                <w:spacing w:val="-12"/>
              </w:rPr>
              <w:t> </w:t>
            </w:r>
            <w:r>
              <w:rPr>
                <w:spacing w:val="-2"/>
              </w:rPr>
              <w:t>Platforms</w:t>
            </w:r>
            <w:r>
              <w:rPr/>
              <w:tab/>
            </w:r>
            <w:r>
              <w:rPr>
                <w:spacing w:val="-5"/>
              </w:rPr>
              <w:t>2</w:t>
            </w:r>
          </w:hyperlink>
          <w:r>
            <w:rPr>
              <w:spacing w:val="-5"/>
            </w:rPr>
            <w:t>50</w:t>
          </w:r>
        </w:p>
        <w:p>
          <w:pPr>
            <w:pStyle w:val="TOC3"/>
            <w:spacing w:line="227" w:lineRule="exact"/>
            <w:rPr>
              <w:i/>
            </w:rPr>
          </w:pPr>
          <w:r>
            <w:rPr>
              <w:i/>
            </w:rPr>
            <w:t>Ziwei</w:t>
          </w:r>
          <w:r>
            <w:rPr>
              <w:i/>
              <w:spacing w:val="-7"/>
            </w:rPr>
            <w:t> </w:t>
          </w:r>
          <w:r>
            <w:rPr>
              <w:i/>
            </w:rPr>
            <w:t>Ye,</w:t>
          </w:r>
          <w:r>
            <w:rPr>
              <w:i/>
              <w:spacing w:val="-7"/>
            </w:rPr>
            <w:t> </w:t>
          </w:r>
          <w:r>
            <w:rPr>
              <w:i/>
            </w:rPr>
            <w:t>Kedong</w:t>
          </w:r>
          <w:r>
            <w:rPr>
              <w:i/>
              <w:spacing w:val="-7"/>
            </w:rPr>
            <w:t> </w:t>
          </w:r>
          <w:r>
            <w:rPr>
              <w:i/>
            </w:rPr>
            <w:t>Chen</w:t>
          </w:r>
          <w:r>
            <w:rPr>
              <w:i/>
              <w:spacing w:val="-7"/>
            </w:rPr>
            <w:t> </w:t>
          </w:r>
          <w:r>
            <w:rPr>
              <w:i/>
            </w:rPr>
            <w:t>and</w:t>
          </w:r>
          <w:r>
            <w:rPr>
              <w:i/>
              <w:spacing w:val="-7"/>
            </w:rPr>
            <w:t> </w:t>
          </w:r>
          <w:r>
            <w:rPr>
              <w:i/>
            </w:rPr>
            <w:t>Lan</w:t>
          </w:r>
          <w:r>
            <w:rPr>
              <w:i/>
              <w:spacing w:val="-7"/>
            </w:rPr>
            <w:t> </w:t>
          </w:r>
          <w:r>
            <w:rPr>
              <w:i/>
              <w:spacing w:val="-5"/>
            </w:rPr>
            <w:t>Cao</w:t>
          </w:r>
        </w:p>
        <w:p>
          <w:pPr>
            <w:pStyle w:val="TOC1"/>
            <w:tabs>
              <w:tab w:pos="10263" w:val="left" w:leader="none"/>
            </w:tabs>
            <w:ind w:right="954"/>
          </w:pPr>
          <w:hyperlink w:history="true" w:anchor="h.bvzo4empc0y3">
            <w:r>
              <w:rPr/>
              <w:t>The Art of Gratitude: How Card Size, Message Length, and Writer</w:t>
            </w:r>
            <w:r>
              <w:rPr>
                <w:spacing w:val="40"/>
              </w:rPr>
              <w:t> </w:t>
            </w:r>
            <w:r>
              <w:rPr/>
              <w:t>Identity Shape the Fundraising Effectiveness of Thank</w:t>
            </w:r>
          </w:hyperlink>
          <w:r>
            <w:rPr/>
            <w:t> </w:t>
          </w:r>
          <w:hyperlink w:history="true" w:anchor="h.bvzo4empc0y3">
            <w:r>
              <w:rPr/>
              <w:t>You Cards</w:t>
              <w:tab/>
            </w:r>
            <w:r>
              <w:rPr>
                <w:spacing w:val="-4"/>
              </w:rPr>
              <w:t>2</w:t>
            </w:r>
          </w:hyperlink>
          <w:r>
            <w:rPr>
              <w:spacing w:val="-4"/>
            </w:rPr>
            <w:t>52</w:t>
          </w:r>
        </w:p>
      </w:sdtContent>
    </w:sdt>
    <w:p>
      <w:pPr>
        <w:pStyle w:val="TOC1"/>
        <w:spacing w:after="0"/>
        <w:sectPr>
          <w:type w:val="continuous"/>
          <w:pgSz w:w="12240" w:h="15840"/>
          <w:pgMar w:header="0" w:footer="726" w:top="619" w:bottom="1133" w:left="720" w:right="0"/>
        </w:sectPr>
      </w:pPr>
    </w:p>
    <w:p>
      <w:pPr>
        <w:spacing w:before="0"/>
        <w:ind w:left="1201" w:right="0" w:firstLine="0"/>
        <w:jc w:val="left"/>
        <w:rPr>
          <w:i/>
          <w:sz w:val="20"/>
        </w:rPr>
      </w:pPr>
      <w:r>
        <w:rPr>
          <w:i/>
          <w:sz w:val="20"/>
        </w:rPr>
        <w:t>Ziwei</w:t>
      </w:r>
      <w:r>
        <w:rPr>
          <w:i/>
          <w:spacing w:val="-7"/>
          <w:sz w:val="20"/>
        </w:rPr>
        <w:t> </w:t>
      </w:r>
      <w:r>
        <w:rPr>
          <w:i/>
          <w:sz w:val="20"/>
        </w:rPr>
        <w:t>Ye,</w:t>
      </w:r>
      <w:r>
        <w:rPr>
          <w:i/>
          <w:spacing w:val="-7"/>
          <w:sz w:val="20"/>
        </w:rPr>
        <w:t> </w:t>
      </w:r>
      <w:r>
        <w:rPr>
          <w:i/>
          <w:sz w:val="20"/>
        </w:rPr>
        <w:t>Kedong</w:t>
      </w:r>
      <w:r>
        <w:rPr>
          <w:i/>
          <w:spacing w:val="-7"/>
          <w:sz w:val="20"/>
        </w:rPr>
        <w:t> </w:t>
      </w:r>
      <w:r>
        <w:rPr>
          <w:i/>
          <w:sz w:val="20"/>
        </w:rPr>
        <w:t>Chen</w:t>
      </w:r>
      <w:r>
        <w:rPr>
          <w:i/>
          <w:spacing w:val="-7"/>
          <w:sz w:val="20"/>
        </w:rPr>
        <w:t> </w:t>
      </w:r>
      <w:r>
        <w:rPr>
          <w:i/>
          <w:sz w:val="20"/>
        </w:rPr>
        <w:t>and</w:t>
      </w:r>
      <w:r>
        <w:rPr>
          <w:i/>
          <w:spacing w:val="-7"/>
          <w:sz w:val="20"/>
        </w:rPr>
        <w:t> </w:t>
      </w:r>
      <w:r>
        <w:rPr>
          <w:i/>
          <w:sz w:val="20"/>
        </w:rPr>
        <w:t>Lan</w:t>
      </w:r>
      <w:r>
        <w:rPr>
          <w:i/>
          <w:spacing w:val="-7"/>
          <w:sz w:val="20"/>
        </w:rPr>
        <w:t> </w:t>
      </w:r>
      <w:r>
        <w:rPr>
          <w:i/>
          <w:spacing w:val="-5"/>
          <w:sz w:val="20"/>
        </w:rPr>
        <w:t>Cao</w:t>
      </w:r>
    </w:p>
    <w:p>
      <w:pPr>
        <w:spacing w:after="0"/>
        <w:jc w:val="left"/>
        <w:rPr>
          <w:i/>
          <w:sz w:val="20"/>
        </w:rPr>
        <w:sectPr>
          <w:type w:val="continuous"/>
          <w:pgSz w:w="12240" w:h="15840"/>
          <w:pgMar w:header="0" w:footer="726" w:top="620" w:bottom="960" w:left="720" w:right="0"/>
        </w:sectPr>
      </w:pPr>
    </w:p>
    <w:p>
      <w:pPr>
        <w:pStyle w:val="Heading1"/>
        <w:ind w:left="1556"/>
      </w:pPr>
      <w:bookmarkStart w:name="Tipsy Shopping: When Impulsivity Meets I" w:id="9"/>
      <w:bookmarkEnd w:id="9"/>
      <w:r>
        <w:rPr>
          <w:b w:val="0"/>
        </w:rPr>
      </w:r>
      <w:bookmarkStart w:name="h.2j1pwtojk7o9" w:id="10"/>
      <w:bookmarkEnd w:id="10"/>
      <w:r>
        <w:rPr>
          <w:b w:val="0"/>
        </w:rPr>
      </w:r>
      <w:r>
        <w:rPr/>
        <w:t>Tipsy</w:t>
      </w:r>
      <w:r>
        <w:rPr>
          <w:spacing w:val="-8"/>
        </w:rPr>
        <w:t> </w:t>
      </w:r>
      <w:r>
        <w:rPr/>
        <w:t>Shopping:</w:t>
      </w:r>
      <w:r>
        <w:rPr>
          <w:spacing w:val="-8"/>
        </w:rPr>
        <w:t> </w:t>
      </w:r>
      <w:r>
        <w:rPr/>
        <w:t>When</w:t>
      </w:r>
      <w:r>
        <w:rPr>
          <w:spacing w:val="-8"/>
        </w:rPr>
        <w:t> </w:t>
      </w:r>
      <w:r>
        <w:rPr/>
        <w:t>Impulsivity</w:t>
      </w:r>
      <w:r>
        <w:rPr>
          <w:spacing w:val="-8"/>
        </w:rPr>
        <w:t> </w:t>
      </w:r>
      <w:r>
        <w:rPr/>
        <w:t>Meets</w:t>
      </w:r>
      <w:r>
        <w:rPr>
          <w:spacing w:val="-7"/>
        </w:rPr>
        <w:t> </w:t>
      </w:r>
      <w:r>
        <w:rPr>
          <w:spacing w:val="-2"/>
        </w:rPr>
        <w:t>Inhibition</w:t>
      </w:r>
    </w:p>
    <w:p>
      <w:pPr>
        <w:pStyle w:val="BodyText"/>
        <w:spacing w:before="290"/>
        <w:ind w:right="711"/>
        <w:jc w:val="center"/>
      </w:pPr>
      <w:r>
        <w:rPr/>
        <w:t>Pia A. </w:t>
      </w:r>
      <w:r>
        <w:rPr>
          <w:spacing w:val="-2"/>
        </w:rPr>
        <w:t>Albinsson</w:t>
      </w:r>
    </w:p>
    <w:p>
      <w:pPr>
        <w:pStyle w:val="BodyText"/>
        <w:ind w:left="2711" w:right="3420"/>
        <w:jc w:val="center"/>
      </w:pPr>
      <w:r>
        <w:rPr/>
        <w:t>Department</w:t>
      </w:r>
      <w:r>
        <w:rPr>
          <w:spacing w:val="-7"/>
        </w:rPr>
        <w:t> </w:t>
      </w:r>
      <w:r>
        <w:rPr/>
        <w:t>of</w:t>
      </w:r>
      <w:r>
        <w:rPr>
          <w:spacing w:val="-7"/>
        </w:rPr>
        <w:t> </w:t>
      </w:r>
      <w:r>
        <w:rPr/>
        <w:t>Marketing</w:t>
      </w:r>
      <w:r>
        <w:rPr>
          <w:spacing w:val="-7"/>
        </w:rPr>
        <w:t> </w:t>
      </w:r>
      <w:r>
        <w:rPr/>
        <w:t>&amp;</w:t>
      </w:r>
      <w:r>
        <w:rPr>
          <w:spacing w:val="-7"/>
        </w:rPr>
        <w:t> </w:t>
      </w:r>
      <w:r>
        <w:rPr/>
        <w:t>Supply</w:t>
      </w:r>
      <w:r>
        <w:rPr>
          <w:spacing w:val="-7"/>
        </w:rPr>
        <w:t> </w:t>
      </w:r>
      <w:r>
        <w:rPr/>
        <w:t>Chain</w:t>
      </w:r>
      <w:r>
        <w:rPr>
          <w:spacing w:val="-7"/>
        </w:rPr>
        <w:t> </w:t>
      </w:r>
      <w:r>
        <w:rPr/>
        <w:t>Management Walker College of Business</w:t>
      </w:r>
    </w:p>
    <w:p>
      <w:pPr>
        <w:pStyle w:val="BodyText"/>
        <w:ind w:left="3986" w:right="4705"/>
        <w:jc w:val="center"/>
      </w:pPr>
      <w:r>
        <w:rPr/>
        <w:t>Appalachian</w:t>
      </w:r>
      <w:r>
        <w:rPr>
          <w:spacing w:val="-15"/>
        </w:rPr>
        <w:t> </w:t>
      </w:r>
      <w:r>
        <w:rPr/>
        <w:t>State</w:t>
      </w:r>
      <w:r>
        <w:rPr>
          <w:spacing w:val="-15"/>
        </w:rPr>
        <w:t> </w:t>
      </w:r>
      <w:r>
        <w:rPr/>
        <w:t>University 416 Howard Street</w:t>
      </w:r>
    </w:p>
    <w:p>
      <w:pPr>
        <w:pStyle w:val="BodyText"/>
        <w:ind w:left="4136" w:right="4834" w:hanging="28"/>
        <w:jc w:val="center"/>
      </w:pPr>
      <w:r>
        <w:rPr/>
        <w:t>Boone, NC 28608 </w:t>
      </w:r>
      <w:hyperlink r:id="rId8">
        <w:r>
          <w:rPr>
            <w:spacing w:val="-2"/>
          </w:rPr>
          <w:t>albinssonpa@appstate.edu</w:t>
        </w:r>
      </w:hyperlink>
    </w:p>
    <w:p>
      <w:pPr>
        <w:pStyle w:val="BodyText"/>
        <w:ind w:right="688"/>
        <w:jc w:val="center"/>
      </w:pPr>
      <w:r>
        <w:rPr/>
        <w:t>828-262-6197 (Contact </w:t>
      </w:r>
      <w:r>
        <w:rPr>
          <w:spacing w:val="-2"/>
        </w:rPr>
        <w:t>Author)</w:t>
      </w:r>
    </w:p>
    <w:p>
      <w:pPr>
        <w:pStyle w:val="BodyText"/>
        <w:spacing w:before="272"/>
        <w:ind w:right="705"/>
        <w:jc w:val="center"/>
      </w:pPr>
      <w:r>
        <w:rPr/>
        <w:t>Lucie </w:t>
      </w:r>
      <w:r>
        <w:rPr>
          <w:spacing w:val="-2"/>
        </w:rPr>
        <w:t>Ozanne</w:t>
      </w:r>
    </w:p>
    <w:p>
      <w:pPr>
        <w:pStyle w:val="BodyText"/>
        <w:ind w:left="2816" w:right="3552"/>
        <w:jc w:val="center"/>
      </w:pPr>
      <w:r>
        <w:rPr/>
        <w:t>Department</w:t>
      </w:r>
      <w:r>
        <w:rPr>
          <w:spacing w:val="-11"/>
        </w:rPr>
        <w:t> </w:t>
      </w:r>
      <w:r>
        <w:rPr/>
        <w:t>of</w:t>
      </w:r>
      <w:r>
        <w:rPr>
          <w:spacing w:val="-11"/>
        </w:rPr>
        <w:t> </w:t>
      </w:r>
      <w:r>
        <w:rPr/>
        <w:t>Management,</w:t>
      </w:r>
      <w:r>
        <w:rPr>
          <w:spacing w:val="-11"/>
        </w:rPr>
        <w:t> </w:t>
      </w:r>
      <w:r>
        <w:rPr/>
        <w:t>Marketing,</w:t>
      </w:r>
      <w:r>
        <w:rPr>
          <w:spacing w:val="-11"/>
        </w:rPr>
        <w:t> </w:t>
      </w:r>
      <w:r>
        <w:rPr/>
        <w:t>and</w:t>
      </w:r>
      <w:r>
        <w:rPr>
          <w:spacing w:val="-11"/>
        </w:rPr>
        <w:t> </w:t>
      </w:r>
      <w:r>
        <w:rPr/>
        <w:t>Tourism University of Canterbury</w:t>
      </w:r>
    </w:p>
    <w:p>
      <w:pPr>
        <w:pStyle w:val="BodyText"/>
        <w:ind w:left="3716" w:right="4440"/>
        <w:jc w:val="center"/>
      </w:pPr>
      <w:r>
        <w:rPr/>
        <w:t>Meremere</w:t>
      </w:r>
      <w:r>
        <w:rPr>
          <w:spacing w:val="-8"/>
        </w:rPr>
        <w:t> </w:t>
      </w:r>
      <w:r>
        <w:rPr/>
        <w:t>302b</w:t>
      </w:r>
      <w:r>
        <w:rPr>
          <w:spacing w:val="-8"/>
        </w:rPr>
        <w:t> </w:t>
      </w:r>
      <w:r>
        <w:rPr/>
        <w:t>|</w:t>
      </w:r>
      <w:r>
        <w:rPr>
          <w:spacing w:val="-8"/>
        </w:rPr>
        <w:t> </w:t>
      </w:r>
      <w:r>
        <w:rPr/>
        <w:t>Private</w:t>
      </w:r>
      <w:r>
        <w:rPr>
          <w:spacing w:val="-8"/>
        </w:rPr>
        <w:t> </w:t>
      </w:r>
      <w:r>
        <w:rPr/>
        <w:t>Bag</w:t>
      </w:r>
      <w:r>
        <w:rPr>
          <w:spacing w:val="-8"/>
        </w:rPr>
        <w:t> </w:t>
      </w:r>
      <w:r>
        <w:rPr/>
        <w:t>4800 Christchurch 8140 </w:t>
      </w:r>
      <w:hyperlink r:id="rId9">
        <w:r>
          <w:rPr>
            <w:spacing w:val="-2"/>
          </w:rPr>
          <w:t>Lucie.ozanne@canterbury.ac.nz</w:t>
        </w:r>
      </w:hyperlink>
    </w:p>
    <w:p>
      <w:pPr>
        <w:pStyle w:val="BodyText"/>
        <w:ind w:right="709"/>
        <w:jc w:val="center"/>
      </w:pPr>
      <w:r>
        <w:rPr>
          <w:spacing w:val="-2"/>
        </w:rPr>
        <w:t>+6433694073</w:t>
      </w:r>
    </w:p>
    <w:p>
      <w:pPr>
        <w:pStyle w:val="BodyText"/>
        <w:spacing w:before="272"/>
        <w:ind w:left="3581" w:right="4296" w:firstLine="1110"/>
      </w:pPr>
      <w:r>
        <w:rPr/>
        <w:t>Mohan Menon Department</w:t>
      </w:r>
      <w:r>
        <w:rPr>
          <w:spacing w:val="-10"/>
        </w:rPr>
        <w:t> </w:t>
      </w:r>
      <w:r>
        <w:rPr/>
        <w:t>of</w:t>
      </w:r>
      <w:r>
        <w:rPr>
          <w:spacing w:val="-10"/>
        </w:rPr>
        <w:t> </w:t>
      </w:r>
      <w:r>
        <w:rPr/>
        <w:t>Marketing</w:t>
      </w:r>
      <w:r>
        <w:rPr>
          <w:spacing w:val="-10"/>
        </w:rPr>
        <w:t> </w:t>
      </w:r>
      <w:r>
        <w:rPr/>
        <w:t>&amp;</w:t>
      </w:r>
      <w:r>
        <w:rPr>
          <w:spacing w:val="-10"/>
        </w:rPr>
        <w:t> </w:t>
      </w:r>
      <w:r>
        <w:rPr/>
        <w:t>Logistics</w:t>
      </w:r>
    </w:p>
    <w:p>
      <w:pPr>
        <w:pStyle w:val="BodyText"/>
        <w:ind w:left="3692" w:right="4407"/>
        <w:jc w:val="center"/>
      </w:pPr>
      <w:r>
        <w:rPr/>
        <w:t>Mike</w:t>
      </w:r>
      <w:r>
        <w:rPr>
          <w:spacing w:val="-10"/>
        </w:rPr>
        <w:t> </w:t>
      </w:r>
      <w:r>
        <w:rPr/>
        <w:t>Cottrell</w:t>
      </w:r>
      <w:r>
        <w:rPr>
          <w:spacing w:val="-10"/>
        </w:rPr>
        <w:t> </w:t>
      </w:r>
      <w:r>
        <w:rPr/>
        <w:t>College</w:t>
      </w:r>
      <w:r>
        <w:rPr>
          <w:spacing w:val="-10"/>
        </w:rPr>
        <w:t> </w:t>
      </w:r>
      <w:r>
        <w:rPr/>
        <w:t>of</w:t>
      </w:r>
      <w:r>
        <w:rPr>
          <w:spacing w:val="-10"/>
        </w:rPr>
        <w:t> </w:t>
      </w:r>
      <w:r>
        <w:rPr/>
        <w:t>Business University of North Georgia Cottrell Center 279</w:t>
      </w:r>
    </w:p>
    <w:p>
      <w:pPr>
        <w:pStyle w:val="BodyText"/>
        <w:ind w:left="3746" w:right="4452"/>
        <w:jc w:val="center"/>
      </w:pPr>
      <w:r>
        <w:rPr/>
        <w:t>82</w:t>
      </w:r>
      <w:r>
        <w:rPr>
          <w:spacing w:val="-10"/>
        </w:rPr>
        <w:t> </w:t>
      </w:r>
      <w:r>
        <w:rPr/>
        <w:t>College</w:t>
      </w:r>
      <w:r>
        <w:rPr>
          <w:spacing w:val="-10"/>
        </w:rPr>
        <w:t> </w:t>
      </w:r>
      <w:r>
        <w:rPr/>
        <w:t>Circle,</w:t>
      </w:r>
      <w:r>
        <w:rPr>
          <w:spacing w:val="-10"/>
        </w:rPr>
        <w:t> </w:t>
      </w:r>
      <w:r>
        <w:rPr/>
        <w:t>Dahlonega,</w:t>
      </w:r>
      <w:r>
        <w:rPr>
          <w:spacing w:val="-10"/>
        </w:rPr>
        <w:t> </w:t>
      </w:r>
      <w:r>
        <w:rPr/>
        <w:t>GA </w:t>
      </w:r>
      <w:hyperlink r:id="rId10">
        <w:r>
          <w:rPr>
            <w:spacing w:val="-2"/>
          </w:rPr>
          <w:t>mohan.menon@ung.edu</w:t>
        </w:r>
      </w:hyperlink>
    </w:p>
    <w:p>
      <w:pPr>
        <w:pStyle w:val="BodyText"/>
        <w:ind w:right="699"/>
        <w:jc w:val="center"/>
      </w:pPr>
      <w:r>
        <w:rPr/>
        <w:t>+706-867-</w:t>
      </w:r>
      <w:r>
        <w:rPr>
          <w:spacing w:val="-4"/>
        </w:rPr>
        <w:t>4535</w:t>
      </w:r>
    </w:p>
    <w:p>
      <w:pPr>
        <w:pStyle w:val="BodyText"/>
        <w:spacing w:before="272"/>
        <w:ind w:left="716" w:right="954"/>
      </w:pPr>
      <w:r>
        <w:rPr/>
        <w:t>Keywords:</w:t>
      </w:r>
      <w:r>
        <w:rPr>
          <w:spacing w:val="-9"/>
        </w:rPr>
        <w:t> </w:t>
      </w:r>
      <w:r>
        <w:rPr/>
        <w:t>Impulse</w:t>
      </w:r>
      <w:r>
        <w:rPr>
          <w:spacing w:val="-9"/>
        </w:rPr>
        <w:t> </w:t>
      </w:r>
      <w:r>
        <w:rPr/>
        <w:t>shopping,</w:t>
      </w:r>
      <w:r>
        <w:rPr>
          <w:spacing w:val="-9"/>
        </w:rPr>
        <w:t> </w:t>
      </w:r>
      <w:r>
        <w:rPr/>
        <w:t>inhibition,</w:t>
      </w:r>
      <w:r>
        <w:rPr>
          <w:spacing w:val="-9"/>
        </w:rPr>
        <w:t> </w:t>
      </w:r>
      <w:r>
        <w:rPr/>
        <w:t>situational</w:t>
      </w:r>
      <w:r>
        <w:rPr>
          <w:spacing w:val="-9"/>
        </w:rPr>
        <w:t> </w:t>
      </w:r>
      <w:r>
        <w:rPr/>
        <w:t>vulnerability,</w:t>
      </w:r>
      <w:r>
        <w:rPr>
          <w:spacing w:val="-9"/>
        </w:rPr>
        <w:t> </w:t>
      </w:r>
      <w:r>
        <w:rPr/>
        <w:t>consumer</w:t>
      </w:r>
      <w:r>
        <w:rPr>
          <w:spacing w:val="-9"/>
        </w:rPr>
        <w:t> </w:t>
      </w:r>
      <w:r>
        <w:rPr/>
        <w:t>behavior,</w:t>
      </w:r>
      <w:r>
        <w:rPr>
          <w:spacing w:val="-9"/>
        </w:rPr>
        <w:t> </w:t>
      </w:r>
      <w:r>
        <w:rPr/>
        <w:t>Transformative Consumer Research</w:t>
      </w:r>
    </w:p>
    <w:p>
      <w:pPr>
        <w:pStyle w:val="Heading4"/>
        <w:spacing w:before="256"/>
        <w:ind w:left="701"/>
      </w:pPr>
      <w:r>
        <w:rPr>
          <w:spacing w:val="-2"/>
        </w:rPr>
        <w:t>Introduction</w:t>
      </w:r>
    </w:p>
    <w:p>
      <w:pPr>
        <w:pStyle w:val="BodyText"/>
        <w:spacing w:line="230" w:lineRule="auto" w:before="126"/>
        <w:ind w:left="716" w:right="1380" w:firstLine="15"/>
        <w:jc w:val="both"/>
      </w:pPr>
      <w:r>
        <w:rPr/>
        <w:t>Shopping has long been viewed as a pleasure-oriented activity and one of America’s </w:t>
      </w:r>
      <w:r>
        <w:rPr/>
        <w:t>favorite pastimes, whether through weekend store visits</w:t>
      </w:r>
      <w:r>
        <w:rPr>
          <w:spacing w:val="-3"/>
        </w:rPr>
        <w:t> </w:t>
      </w:r>
      <w:r>
        <w:rPr/>
        <w:t>or</w:t>
      </w:r>
      <w:r>
        <w:rPr>
          <w:spacing w:val="-3"/>
        </w:rPr>
        <w:t> </w:t>
      </w:r>
      <w:r>
        <w:rPr/>
        <w:t>browsing</w:t>
      </w:r>
      <w:r>
        <w:rPr>
          <w:spacing w:val="-3"/>
        </w:rPr>
        <w:t> </w:t>
      </w:r>
      <w:r>
        <w:rPr/>
        <w:t>retail</w:t>
      </w:r>
      <w:r>
        <w:rPr>
          <w:spacing w:val="-3"/>
        </w:rPr>
        <w:t> </w:t>
      </w:r>
      <w:r>
        <w:rPr/>
        <w:t>websites.</w:t>
      </w:r>
      <w:r>
        <w:rPr>
          <w:spacing w:val="-3"/>
        </w:rPr>
        <w:t> </w:t>
      </w:r>
      <w:r>
        <w:rPr/>
        <w:t>This</w:t>
      </w:r>
      <w:r>
        <w:rPr>
          <w:spacing w:val="-3"/>
        </w:rPr>
        <w:t> </w:t>
      </w:r>
      <w:r>
        <w:rPr/>
        <w:t>behavior</w:t>
      </w:r>
      <w:r>
        <w:rPr>
          <w:spacing w:val="-3"/>
        </w:rPr>
        <w:t> </w:t>
      </w:r>
      <w:r>
        <w:rPr/>
        <w:t>carries economic weight, as according to a study by US Consumer Confidence, nearly 70% of the U.S. GDP depends on consumer spending, and consumer optimism remains high with the Consumer Confidence Index at 97.2 points. Yet this optimism coexists with total consumer debt at $18.2 trillion in Q1 2025 and credit card debt representing $1.8 trillion despite a recent $29 billion decline as per the 2025 Household Debt and Credit Report, 2025.</w:t>
      </w:r>
    </w:p>
    <w:p>
      <w:pPr>
        <w:pStyle w:val="BodyText"/>
        <w:spacing w:before="2"/>
      </w:pPr>
    </w:p>
    <w:p>
      <w:pPr>
        <w:pStyle w:val="BodyText"/>
        <w:spacing w:line="230" w:lineRule="auto"/>
        <w:ind w:left="716" w:right="1375"/>
        <w:jc w:val="both"/>
      </w:pPr>
      <w:r>
        <w:rPr/>
        <w:t>Within</w:t>
      </w:r>
      <w:r>
        <w:rPr>
          <w:spacing w:val="80"/>
        </w:rPr>
        <w:t> </w:t>
      </w:r>
      <w:r>
        <w:rPr/>
        <w:t>this</w:t>
      </w:r>
      <w:r>
        <w:rPr>
          <w:spacing w:val="80"/>
        </w:rPr>
        <w:t> </w:t>
      </w:r>
      <w:r>
        <w:rPr/>
        <w:t>broader</w:t>
      </w:r>
      <w:r>
        <w:rPr>
          <w:spacing w:val="80"/>
        </w:rPr>
        <w:t> </w:t>
      </w:r>
      <w:r>
        <w:rPr/>
        <w:t>context,</w:t>
      </w:r>
      <w:r>
        <w:rPr>
          <w:spacing w:val="80"/>
        </w:rPr>
        <w:t> </w:t>
      </w:r>
      <w:r>
        <w:rPr/>
        <w:t>we</w:t>
      </w:r>
      <w:r>
        <w:rPr>
          <w:spacing w:val="80"/>
        </w:rPr>
        <w:t> </w:t>
      </w:r>
      <w:r>
        <w:rPr/>
        <w:t>position</w:t>
      </w:r>
      <w:r>
        <w:rPr>
          <w:spacing w:val="80"/>
        </w:rPr>
        <w:t> </w:t>
      </w:r>
      <w:r>
        <w:rPr/>
        <w:t>shopping</w:t>
      </w:r>
      <w:r>
        <w:rPr>
          <w:spacing w:val="40"/>
        </w:rPr>
        <w:t> </w:t>
      </w:r>
      <w:r>
        <w:rPr/>
        <w:t>under</w:t>
      </w:r>
      <w:r>
        <w:rPr>
          <w:spacing w:val="40"/>
        </w:rPr>
        <w:t> </w:t>
      </w:r>
      <w:r>
        <w:rPr/>
        <w:t>the</w:t>
      </w:r>
      <w:r>
        <w:rPr>
          <w:spacing w:val="40"/>
        </w:rPr>
        <w:t> </w:t>
      </w:r>
      <w:r>
        <w:rPr/>
        <w:t>influence</w:t>
      </w:r>
      <w:r>
        <w:rPr>
          <w:spacing w:val="40"/>
        </w:rPr>
        <w:t> </w:t>
      </w:r>
      <w:r>
        <w:rPr/>
        <w:t>of</w:t>
      </w:r>
      <w:r>
        <w:rPr>
          <w:spacing w:val="40"/>
        </w:rPr>
        <w:t> </w:t>
      </w:r>
      <w:r>
        <w:rPr/>
        <w:t>alcohol</w:t>
      </w:r>
      <w:r>
        <w:rPr>
          <w:spacing w:val="40"/>
        </w:rPr>
        <w:t> </w:t>
      </w:r>
      <w:r>
        <w:rPr/>
        <w:t>as</w:t>
      </w:r>
      <w:r>
        <w:rPr>
          <w:spacing w:val="40"/>
        </w:rPr>
        <w:t> </w:t>
      </w:r>
      <w:r>
        <w:rPr/>
        <w:t>a micro-behavior embedded in a culture of overconsumption and impulse</w:t>
      </w:r>
      <w:r>
        <w:rPr>
          <w:spacing w:val="-3"/>
        </w:rPr>
        <w:t> </w:t>
      </w:r>
      <w:r>
        <w:rPr/>
        <w:t>buying.</w:t>
      </w:r>
      <w:r>
        <w:rPr>
          <w:spacing w:val="-3"/>
        </w:rPr>
        <w:t> </w:t>
      </w:r>
      <w:r>
        <w:rPr/>
        <w:t>While</w:t>
      </w:r>
      <w:r>
        <w:rPr>
          <w:spacing w:val="-3"/>
        </w:rPr>
        <w:t> </w:t>
      </w:r>
      <w:r>
        <w:rPr/>
        <w:t>consumer confidence fuels economic prosperity, impaired consumers may be more vulnerable to risky behaviors such</w:t>
      </w:r>
      <w:r>
        <w:rPr>
          <w:spacing w:val="-4"/>
        </w:rPr>
        <w:t> </w:t>
      </w:r>
      <w:r>
        <w:rPr/>
        <w:t>as</w:t>
      </w:r>
      <w:r>
        <w:rPr>
          <w:spacing w:val="-4"/>
        </w:rPr>
        <w:t> </w:t>
      </w:r>
      <w:r>
        <w:rPr/>
        <w:t>overspending.</w:t>
      </w:r>
      <w:r>
        <w:rPr>
          <w:spacing w:val="-4"/>
        </w:rPr>
        <w:t> </w:t>
      </w:r>
      <w:r>
        <w:rPr/>
        <w:t>Although</w:t>
      </w:r>
      <w:r>
        <w:rPr>
          <w:spacing w:val="-4"/>
        </w:rPr>
        <w:t> </w:t>
      </w:r>
      <w:r>
        <w:rPr/>
        <w:t>offline</w:t>
      </w:r>
      <w:r>
        <w:rPr>
          <w:spacing w:val="-4"/>
        </w:rPr>
        <w:t> </w:t>
      </w:r>
      <w:r>
        <w:rPr/>
        <w:t>intoxicated</w:t>
      </w:r>
      <w:r>
        <w:rPr>
          <w:spacing w:val="-4"/>
        </w:rPr>
        <w:t> </w:t>
      </w:r>
      <w:r>
        <w:rPr/>
        <w:t>shopping</w:t>
      </w:r>
      <w:r>
        <w:rPr>
          <w:spacing w:val="-4"/>
        </w:rPr>
        <w:t> </w:t>
      </w:r>
      <w:r>
        <w:rPr/>
        <w:t>is</w:t>
      </w:r>
      <w:r>
        <w:rPr>
          <w:spacing w:val="-4"/>
        </w:rPr>
        <w:t> </w:t>
      </w:r>
      <w:r>
        <w:rPr/>
        <w:t>rarely</w:t>
      </w:r>
      <w:r>
        <w:rPr>
          <w:spacing w:val="-4"/>
        </w:rPr>
        <w:t> </w:t>
      </w:r>
      <w:r>
        <w:rPr/>
        <w:t>discussed</w:t>
      </w:r>
      <w:r>
        <w:rPr>
          <w:spacing w:val="-4"/>
        </w:rPr>
        <w:t> </w:t>
      </w:r>
      <w:r>
        <w:rPr/>
        <w:t>outside news or police reports, marketers have noted that online shopping while intoxicated now contributes significantly to purchase volume. Market studies show consumers spend substantial amounts in this state (Laycock, 2023), and terms such as drunk shopping, buzzed buying, and tipsy</w:t>
      </w:r>
      <w:r>
        <w:rPr>
          <w:spacing w:val="40"/>
        </w:rPr>
        <w:t> </w:t>
      </w:r>
      <w:r>
        <w:rPr/>
        <w:t>shopping highlight its growing visibility.</w:t>
      </w:r>
    </w:p>
    <w:p>
      <w:pPr>
        <w:pStyle w:val="BodyText"/>
        <w:spacing w:line="230" w:lineRule="auto" w:before="275"/>
        <w:ind w:left="716" w:right="1381"/>
        <w:jc w:val="both"/>
      </w:pPr>
      <w:r>
        <w:rPr/>
        <w:t>Retailers have increasingly incorporated alcohol into brick-and-mortar</w:t>
      </w:r>
      <w:r>
        <w:rPr>
          <w:spacing w:val="-3"/>
        </w:rPr>
        <w:t> </w:t>
      </w:r>
      <w:r>
        <w:rPr/>
        <w:t>shopping</w:t>
      </w:r>
      <w:r>
        <w:rPr>
          <w:spacing w:val="-3"/>
        </w:rPr>
        <w:t> </w:t>
      </w:r>
      <w:r>
        <w:rPr/>
        <w:t>environments</w:t>
      </w:r>
      <w:r>
        <w:rPr>
          <w:spacing w:val="-3"/>
        </w:rPr>
        <w:t> </w:t>
      </w:r>
      <w:r>
        <w:rPr/>
        <w:t>to influence</w:t>
      </w:r>
      <w:r>
        <w:rPr>
          <w:spacing w:val="13"/>
        </w:rPr>
        <w:t> </w:t>
      </w:r>
      <w:r>
        <w:rPr/>
        <w:t>behavior.</w:t>
      </w:r>
      <w:r>
        <w:rPr>
          <w:spacing w:val="14"/>
        </w:rPr>
        <w:t> </w:t>
      </w:r>
      <w:r>
        <w:rPr/>
        <w:t>Saks,</w:t>
      </w:r>
      <w:r>
        <w:rPr>
          <w:spacing w:val="14"/>
        </w:rPr>
        <w:t> </w:t>
      </w:r>
      <w:r>
        <w:rPr/>
        <w:t>Nordstrom,</w:t>
      </w:r>
      <w:r>
        <w:rPr>
          <w:spacing w:val="14"/>
        </w:rPr>
        <w:t> </w:t>
      </w:r>
      <w:r>
        <w:rPr/>
        <w:t>and</w:t>
      </w:r>
      <w:r>
        <w:rPr>
          <w:spacing w:val="14"/>
        </w:rPr>
        <w:t> </w:t>
      </w:r>
      <w:r>
        <w:rPr/>
        <w:t>Urban</w:t>
      </w:r>
      <w:r>
        <w:rPr>
          <w:spacing w:val="14"/>
        </w:rPr>
        <w:t> </w:t>
      </w:r>
      <w:r>
        <w:rPr/>
        <w:t>Outfitters</w:t>
      </w:r>
      <w:r>
        <w:rPr>
          <w:spacing w:val="13"/>
        </w:rPr>
        <w:t> </w:t>
      </w:r>
      <w:r>
        <w:rPr/>
        <w:t>have</w:t>
      </w:r>
      <w:r>
        <w:rPr>
          <w:spacing w:val="14"/>
        </w:rPr>
        <w:t> </w:t>
      </w:r>
      <w:r>
        <w:rPr/>
        <w:t>obtained</w:t>
      </w:r>
      <w:r>
        <w:rPr>
          <w:spacing w:val="14"/>
        </w:rPr>
        <w:t> </w:t>
      </w:r>
      <w:r>
        <w:rPr/>
        <w:t>liquor</w:t>
      </w:r>
      <w:r>
        <w:rPr>
          <w:spacing w:val="14"/>
        </w:rPr>
        <w:t> </w:t>
      </w:r>
      <w:r>
        <w:rPr/>
        <w:t>licenses</w:t>
      </w:r>
      <w:r>
        <w:rPr>
          <w:spacing w:val="14"/>
        </w:rPr>
        <w:t> </w:t>
      </w:r>
      <w:r>
        <w:rPr/>
        <w:t>to</w:t>
      </w:r>
      <w:r>
        <w:rPr>
          <w:spacing w:val="14"/>
        </w:rPr>
        <w:t> </w:t>
      </w:r>
      <w:r>
        <w:rPr>
          <w:spacing w:val="-4"/>
        </w:rPr>
        <w:t>offer</w:t>
      </w:r>
    </w:p>
    <w:p>
      <w:pPr>
        <w:pStyle w:val="BodyText"/>
        <w:spacing w:after="0" w:line="230" w:lineRule="auto"/>
        <w:jc w:val="both"/>
        <w:sectPr>
          <w:pgSz w:w="12240" w:h="15840"/>
          <w:pgMar w:header="0" w:footer="726" w:top="640" w:bottom="960" w:left="720" w:right="0"/>
        </w:sectPr>
      </w:pPr>
    </w:p>
    <w:p>
      <w:pPr>
        <w:pStyle w:val="BodyText"/>
        <w:spacing w:line="230" w:lineRule="auto" w:before="80"/>
        <w:ind w:left="716" w:right="1379"/>
        <w:jc w:val="both"/>
      </w:pPr>
      <w:r>
        <w:rPr/>
        <w:t>bar services, and supermarkets and high-end grocers began adding wine and beer bars to </w:t>
      </w:r>
      <w:r>
        <w:rPr/>
        <w:t>boost dwell time and. Target has allowed customers to drink while shopping (Lusinski,</w:t>
      </w:r>
      <w:r>
        <w:rPr>
          <w:spacing w:val="-4"/>
        </w:rPr>
        <w:t> </w:t>
      </w:r>
      <w:r>
        <w:rPr/>
        <w:t>2015),</w:t>
      </w:r>
      <w:r>
        <w:rPr>
          <w:spacing w:val="-4"/>
        </w:rPr>
        <w:t> </w:t>
      </w:r>
      <w:r>
        <w:rPr/>
        <w:t>and</w:t>
      </w:r>
      <w:r>
        <w:rPr>
          <w:spacing w:val="-4"/>
        </w:rPr>
        <w:t> </w:t>
      </w:r>
      <w:r>
        <w:rPr/>
        <w:t>this practice has expanded to Whole Foods, Wegman’s, DeCicco &amp; Sons, Lowes Foods, and others. Newsmedia coverage and nascent scholarly work view this trend as a “life hack,” allowing consumers to combine errands with socializing, benefiting and transforming both shoppers’ experience and grocers’ structure (Flanigan, 2018; Menon, 2019). Even before the pandemic, several states had introduced bills to permit alcohol consumption while shopping at retail establishments (Gonzalez, 2020).</w:t>
      </w:r>
    </w:p>
    <w:p>
      <w:pPr>
        <w:pStyle w:val="BodyText"/>
        <w:spacing w:before="1"/>
      </w:pPr>
    </w:p>
    <w:p>
      <w:pPr>
        <w:pStyle w:val="BodyText"/>
        <w:spacing w:line="230" w:lineRule="auto" w:before="1"/>
        <w:ind w:left="716" w:right="1374" w:firstLine="15"/>
        <w:jc w:val="both"/>
      </w:pPr>
      <w:r>
        <w:rPr/>
        <w:t>Online shopping platforms and e-commerce, however, remove social and physical barriers, making impulsive, intoxicated purchasing more likely. Public intoxication carries legal consequences, but</w:t>
      </w:r>
      <w:r>
        <w:rPr>
          <w:spacing w:val="-4"/>
        </w:rPr>
        <w:t> </w:t>
      </w:r>
      <w:r>
        <w:rPr/>
        <w:t>drunk</w:t>
      </w:r>
      <w:r>
        <w:rPr>
          <w:spacing w:val="-4"/>
        </w:rPr>
        <w:t> </w:t>
      </w:r>
      <w:r>
        <w:rPr/>
        <w:t>online</w:t>
      </w:r>
      <w:r>
        <w:rPr>
          <w:spacing w:val="-4"/>
        </w:rPr>
        <w:t> </w:t>
      </w:r>
      <w:r>
        <w:rPr/>
        <w:t>shopping</w:t>
      </w:r>
      <w:r>
        <w:rPr>
          <w:spacing w:val="-4"/>
        </w:rPr>
        <w:t> </w:t>
      </w:r>
      <w:r>
        <w:rPr/>
        <w:t>primarily</w:t>
      </w:r>
      <w:r>
        <w:rPr>
          <w:spacing w:val="-4"/>
        </w:rPr>
        <w:t> </w:t>
      </w:r>
      <w:r>
        <w:rPr/>
        <w:t>results</w:t>
      </w:r>
      <w:r>
        <w:rPr>
          <w:spacing w:val="-4"/>
        </w:rPr>
        <w:t> </w:t>
      </w:r>
      <w:r>
        <w:rPr/>
        <w:t>in</w:t>
      </w:r>
      <w:r>
        <w:rPr>
          <w:spacing w:val="-4"/>
        </w:rPr>
        <w:t> </w:t>
      </w:r>
      <w:r>
        <w:rPr/>
        <w:t>financial</w:t>
      </w:r>
      <w:r>
        <w:rPr>
          <w:spacing w:val="-4"/>
        </w:rPr>
        <w:t> </w:t>
      </w:r>
      <w:r>
        <w:rPr/>
        <w:t>harm,</w:t>
      </w:r>
      <w:r>
        <w:rPr>
          <w:spacing w:val="-4"/>
        </w:rPr>
        <w:t> </w:t>
      </w:r>
      <w:r>
        <w:rPr/>
        <w:t>unplanned</w:t>
      </w:r>
      <w:r>
        <w:rPr>
          <w:spacing w:val="-4"/>
        </w:rPr>
        <w:t> </w:t>
      </w:r>
      <w:r>
        <w:rPr/>
        <w:t>spending, and regret. Alcohol impairs impulse control, and compulsive overspending affects about six percent of consumers (Tracy, 2019). Despite links between impulse shopping, regret, and financial</w:t>
      </w:r>
      <w:r>
        <w:rPr>
          <w:spacing w:val="40"/>
        </w:rPr>
        <w:t> </w:t>
      </w:r>
      <w:r>
        <w:rPr/>
        <w:t>instability (Black, 2022), academic research has largely overlooked intoxicated digital purchasing.</w:t>
      </w:r>
      <w:r>
        <w:rPr>
          <w:spacing w:val="40"/>
        </w:rPr>
        <w:t> </w:t>
      </w:r>
      <w:r>
        <w:rPr/>
        <w:t>Guided by Transformative Consumer Research (Mick, Pettigrew, Pechmann, &amp; Ozanne, 2012),</w:t>
      </w:r>
      <w:r>
        <w:rPr>
          <w:spacing w:val="40"/>
        </w:rPr>
        <w:t> </w:t>
      </w:r>
      <w:r>
        <w:rPr/>
        <w:t>we ask the following overarching research question: How does alcohol intoxication influence</w:t>
      </w:r>
      <w:r>
        <w:rPr>
          <w:spacing w:val="40"/>
        </w:rPr>
        <w:t> </w:t>
      </w:r>
      <w:r>
        <w:rPr/>
        <w:t>consumers' online impulse purchasing behaviors, and what are the subsequent emotional and</w:t>
      </w:r>
      <w:r>
        <w:rPr>
          <w:spacing w:val="40"/>
        </w:rPr>
        <w:t> </w:t>
      </w:r>
      <w:r>
        <w:rPr/>
        <w:t>financial consequences?</w:t>
      </w:r>
    </w:p>
    <w:p>
      <w:pPr>
        <w:pStyle w:val="BodyText"/>
      </w:pPr>
    </w:p>
    <w:p>
      <w:pPr>
        <w:pStyle w:val="BodyText"/>
        <w:spacing w:line="230" w:lineRule="auto"/>
        <w:ind w:left="731" w:right="1377"/>
        <w:jc w:val="both"/>
      </w:pPr>
      <w:r>
        <w:rPr/>
        <w:t>Our work contributes to scholarly work on how to improve consumer wellbeing and TCR by examining</w:t>
      </w:r>
      <w:r>
        <w:rPr>
          <w:spacing w:val="80"/>
          <w:w w:val="150"/>
        </w:rPr>
        <w:t> </w:t>
      </w:r>
      <w:r>
        <w:rPr/>
        <w:t>impaired</w:t>
      </w:r>
      <w:r>
        <w:rPr>
          <w:spacing w:val="80"/>
          <w:w w:val="150"/>
        </w:rPr>
        <w:t> </w:t>
      </w:r>
      <w:r>
        <w:rPr/>
        <w:t>shopping</w:t>
      </w:r>
      <w:r>
        <w:rPr>
          <w:spacing w:val="80"/>
          <w:w w:val="150"/>
        </w:rPr>
        <w:t> </w:t>
      </w:r>
      <w:r>
        <w:rPr/>
        <w:t>behavior</w:t>
      </w:r>
      <w:r>
        <w:rPr>
          <w:spacing w:val="80"/>
          <w:w w:val="150"/>
        </w:rPr>
        <w:t> </w:t>
      </w:r>
      <w:r>
        <w:rPr/>
        <w:t>in</w:t>
      </w:r>
      <w:r>
        <w:rPr>
          <w:spacing w:val="80"/>
          <w:w w:val="150"/>
        </w:rPr>
        <w:t> </w:t>
      </w:r>
      <w:r>
        <w:rPr/>
        <w:t>digitally</w:t>
      </w:r>
      <w:r>
        <w:rPr>
          <w:spacing w:val="80"/>
          <w:w w:val="150"/>
        </w:rPr>
        <w:t> </w:t>
      </w:r>
      <w:r>
        <w:rPr/>
        <w:t>mediated</w:t>
      </w:r>
      <w:r>
        <w:rPr>
          <w:spacing w:val="80"/>
          <w:w w:val="150"/>
        </w:rPr>
        <w:t> </w:t>
      </w:r>
      <w:r>
        <w:rPr/>
        <w:t>contexts,</w:t>
      </w:r>
      <w:r>
        <w:rPr>
          <w:spacing w:val="80"/>
          <w:w w:val="150"/>
        </w:rPr>
        <w:t> </w:t>
      </w:r>
      <w:r>
        <w:rPr/>
        <w:t>reframing alcohol-enhanced</w:t>
      </w:r>
      <w:r>
        <w:rPr>
          <w:spacing w:val="40"/>
        </w:rPr>
        <w:t> </w:t>
      </w:r>
      <w:r>
        <w:rPr/>
        <w:t>impulse shopping as a failure of self-regulation shaped by intentionally designed online interfaces.</w:t>
      </w:r>
    </w:p>
    <w:p>
      <w:pPr>
        <w:pStyle w:val="BodyText"/>
        <w:spacing w:before="4"/>
      </w:pPr>
    </w:p>
    <w:p>
      <w:pPr>
        <w:pStyle w:val="BodyText"/>
        <w:spacing w:line="230" w:lineRule="auto"/>
        <w:ind w:left="731" w:right="1385"/>
        <w:jc w:val="both"/>
      </w:pPr>
      <w:r>
        <w:rPr/>
        <w:t>We share preliminary findings based on qualitative</w:t>
      </w:r>
      <w:r>
        <w:rPr>
          <w:spacing w:val="-5"/>
        </w:rPr>
        <w:t> </w:t>
      </w:r>
      <w:r>
        <w:rPr/>
        <w:t>research</w:t>
      </w:r>
      <w:r>
        <w:rPr>
          <w:spacing w:val="-5"/>
        </w:rPr>
        <w:t> </w:t>
      </w:r>
      <w:r>
        <w:rPr/>
        <w:t>methods</w:t>
      </w:r>
      <w:r>
        <w:rPr>
          <w:spacing w:val="-5"/>
        </w:rPr>
        <w:t> </w:t>
      </w:r>
      <w:r>
        <w:rPr/>
        <w:t>and</w:t>
      </w:r>
      <w:r>
        <w:rPr>
          <w:spacing w:val="-5"/>
        </w:rPr>
        <w:t> </w:t>
      </w:r>
      <w:r>
        <w:rPr/>
        <w:t>discuss</w:t>
      </w:r>
      <w:r>
        <w:rPr>
          <w:spacing w:val="-5"/>
        </w:rPr>
        <w:t> </w:t>
      </w:r>
      <w:r>
        <w:rPr/>
        <w:t>managerial</w:t>
      </w:r>
      <w:r>
        <w:rPr>
          <w:spacing w:val="-5"/>
        </w:rPr>
        <w:t> </w:t>
      </w:r>
      <w:r>
        <w:rPr/>
        <w:t>and policy implications to support consumer well-being.</w:t>
      </w:r>
    </w:p>
    <w:p>
      <w:pPr>
        <w:pStyle w:val="BodyText"/>
        <w:spacing w:before="5"/>
      </w:pPr>
    </w:p>
    <w:p>
      <w:pPr>
        <w:pStyle w:val="Heading4"/>
        <w:ind w:left="731"/>
        <w:jc w:val="both"/>
      </w:pPr>
      <w:r>
        <w:rPr/>
        <w:t>Literature</w:t>
      </w:r>
      <w:r>
        <w:rPr>
          <w:spacing w:val="-5"/>
        </w:rPr>
        <w:t> </w:t>
      </w:r>
      <w:r>
        <w:rPr>
          <w:spacing w:val="-2"/>
        </w:rPr>
        <w:t>Overview</w:t>
      </w:r>
    </w:p>
    <w:p>
      <w:pPr>
        <w:pStyle w:val="BodyText"/>
        <w:spacing w:line="230" w:lineRule="auto" w:before="272"/>
        <w:ind w:left="716" w:right="1376" w:firstLine="15"/>
        <w:jc w:val="both"/>
      </w:pPr>
      <w:r>
        <w:rPr/>
        <w:t>The situational vulnerability (Hill &amp; Sharma 2020)</w:t>
      </w:r>
      <w:r>
        <w:rPr>
          <w:spacing w:val="-3"/>
        </w:rPr>
        <w:t> </w:t>
      </w:r>
      <w:r>
        <w:rPr/>
        <w:t>that</w:t>
      </w:r>
      <w:r>
        <w:rPr>
          <w:spacing w:val="-3"/>
        </w:rPr>
        <w:t> </w:t>
      </w:r>
      <w:r>
        <w:rPr/>
        <w:t>buying</w:t>
      </w:r>
      <w:r>
        <w:rPr>
          <w:spacing w:val="-3"/>
        </w:rPr>
        <w:t> </w:t>
      </w:r>
      <w:r>
        <w:rPr/>
        <w:t>under</w:t>
      </w:r>
      <w:r>
        <w:rPr>
          <w:spacing w:val="-3"/>
        </w:rPr>
        <w:t> </w:t>
      </w:r>
      <w:r>
        <w:rPr/>
        <w:t>the</w:t>
      </w:r>
      <w:r>
        <w:rPr>
          <w:spacing w:val="-3"/>
        </w:rPr>
        <w:t> </w:t>
      </w:r>
      <w:r>
        <w:rPr/>
        <w:t>influence</w:t>
      </w:r>
      <w:r>
        <w:rPr>
          <w:spacing w:val="-3"/>
        </w:rPr>
        <w:t> </w:t>
      </w:r>
      <w:r>
        <w:rPr/>
        <w:t>can</w:t>
      </w:r>
      <w:r>
        <w:rPr>
          <w:spacing w:val="-3"/>
        </w:rPr>
        <w:t> </w:t>
      </w:r>
      <w:r>
        <w:rPr/>
        <w:t>create</w:t>
      </w:r>
      <w:r>
        <w:rPr>
          <w:spacing w:val="-3"/>
        </w:rPr>
        <w:t> </w:t>
      </w:r>
      <w:r>
        <w:rPr/>
        <w:t>for consumers is currently neglected in the consumer behavior literature. We find that in the current e-commerce marketplace there are structural imbalances in the consumer-marketer relationship, especially when consumers are in</w:t>
      </w:r>
      <w:r>
        <w:rPr>
          <w:spacing w:val="-3"/>
        </w:rPr>
        <w:t> </w:t>
      </w:r>
      <w:r>
        <w:rPr/>
        <w:t>“at</w:t>
      </w:r>
      <w:r>
        <w:rPr>
          <w:spacing w:val="-3"/>
        </w:rPr>
        <w:t> </w:t>
      </w:r>
      <w:r>
        <w:rPr/>
        <w:t>risk”</w:t>
      </w:r>
      <w:r>
        <w:rPr>
          <w:spacing w:val="-3"/>
        </w:rPr>
        <w:t> </w:t>
      </w:r>
      <w:r>
        <w:rPr/>
        <w:t>psychological</w:t>
      </w:r>
      <w:r>
        <w:rPr>
          <w:spacing w:val="-3"/>
        </w:rPr>
        <w:t> </w:t>
      </w:r>
      <w:r>
        <w:rPr/>
        <w:t>states</w:t>
      </w:r>
      <w:r>
        <w:rPr>
          <w:spacing w:val="-3"/>
        </w:rPr>
        <w:t> </w:t>
      </w:r>
      <w:r>
        <w:rPr/>
        <w:t>such</w:t>
      </w:r>
      <w:r>
        <w:rPr>
          <w:spacing w:val="-3"/>
        </w:rPr>
        <w:t> </w:t>
      </w:r>
      <w:r>
        <w:rPr/>
        <w:t>as</w:t>
      </w:r>
      <w:r>
        <w:rPr>
          <w:spacing w:val="-3"/>
        </w:rPr>
        <w:t> </w:t>
      </w:r>
      <w:r>
        <w:rPr/>
        <w:t>impaired</w:t>
      </w:r>
      <w:r>
        <w:rPr>
          <w:spacing w:val="-3"/>
        </w:rPr>
        <w:t> </w:t>
      </w:r>
      <w:r>
        <w:rPr/>
        <w:t>by</w:t>
      </w:r>
      <w:r>
        <w:rPr>
          <w:spacing w:val="-3"/>
        </w:rPr>
        <w:t> </w:t>
      </w:r>
      <w:r>
        <w:rPr/>
        <w:t>alcohol</w:t>
      </w:r>
      <w:r>
        <w:rPr>
          <w:spacing w:val="-3"/>
        </w:rPr>
        <w:t> </w:t>
      </w:r>
      <w:r>
        <w:rPr/>
        <w:t>(e.g., Pechmann et al., 2011). In such states, consumers’ self-control is decreased. While impulse buying has been of interest to consumer researchers for decades</w:t>
      </w:r>
      <w:r>
        <w:rPr>
          <w:spacing w:val="-3"/>
        </w:rPr>
        <w:t> </w:t>
      </w:r>
      <w:r>
        <w:rPr/>
        <w:t>(Beikverdi,</w:t>
      </w:r>
      <w:r>
        <w:rPr>
          <w:spacing w:val="-3"/>
        </w:rPr>
        <w:t> </w:t>
      </w:r>
      <w:r>
        <w:rPr/>
        <w:t>Sipilä</w:t>
      </w:r>
      <w:r>
        <w:rPr>
          <w:spacing w:val="-3"/>
        </w:rPr>
        <w:t> </w:t>
      </w:r>
      <w:r>
        <w:rPr/>
        <w:t>&amp;</w:t>
      </w:r>
      <w:r>
        <w:rPr>
          <w:spacing w:val="-3"/>
        </w:rPr>
        <w:t> </w:t>
      </w:r>
      <w:r>
        <w:rPr/>
        <w:t>Tarkiainen, 2023), the intersection of alcohol consumption and consumer decision-making remains an understudied yet critically relevant domain in behavioral research (Menon, Ngamsiriudom, &amp; Anthony,</w:t>
      </w:r>
      <w:r>
        <w:rPr>
          <w:spacing w:val="-7"/>
        </w:rPr>
        <w:t> </w:t>
      </w:r>
      <w:r>
        <w:rPr/>
        <w:t>2020;</w:t>
      </w:r>
      <w:r>
        <w:rPr>
          <w:spacing w:val="-7"/>
        </w:rPr>
        <w:t> </w:t>
      </w:r>
      <w:r>
        <w:rPr/>
        <w:t>Harnish,</w:t>
      </w:r>
      <w:r>
        <w:rPr>
          <w:spacing w:val="-7"/>
        </w:rPr>
        <w:t> </w:t>
      </w:r>
      <w:r>
        <w:rPr/>
        <w:t>Ryerson,</w:t>
      </w:r>
      <w:r>
        <w:rPr>
          <w:spacing w:val="-7"/>
        </w:rPr>
        <w:t> </w:t>
      </w:r>
      <w:r>
        <w:rPr/>
        <w:t>&amp;</w:t>
      </w:r>
      <w:r>
        <w:rPr>
          <w:spacing w:val="-7"/>
        </w:rPr>
        <w:t> </w:t>
      </w:r>
      <w:r>
        <w:rPr/>
        <w:t>Tarka,</w:t>
      </w:r>
      <w:r>
        <w:rPr>
          <w:spacing w:val="-7"/>
        </w:rPr>
        <w:t> </w:t>
      </w:r>
      <w:r>
        <w:rPr/>
        <w:t>2023).</w:t>
      </w:r>
      <w:r>
        <w:rPr>
          <w:spacing w:val="-7"/>
        </w:rPr>
        <w:t> </w:t>
      </w:r>
      <w:r>
        <w:rPr/>
        <w:t>Although</w:t>
      </w:r>
      <w:r>
        <w:rPr>
          <w:spacing w:val="-7"/>
        </w:rPr>
        <w:t> </w:t>
      </w:r>
      <w:r>
        <w:rPr/>
        <w:t>anecdotal</w:t>
      </w:r>
      <w:r>
        <w:rPr>
          <w:spacing w:val="-7"/>
        </w:rPr>
        <w:t> </w:t>
      </w:r>
      <w:r>
        <w:rPr/>
        <w:t>and</w:t>
      </w:r>
      <w:r>
        <w:rPr>
          <w:spacing w:val="-7"/>
        </w:rPr>
        <w:t> </w:t>
      </w:r>
      <w:r>
        <w:rPr/>
        <w:t>commercial</w:t>
      </w:r>
      <w:r>
        <w:rPr>
          <w:spacing w:val="-7"/>
        </w:rPr>
        <w:t> </w:t>
      </w:r>
      <w:r>
        <w:rPr/>
        <w:t>data</w:t>
      </w:r>
      <w:r>
        <w:rPr>
          <w:spacing w:val="-7"/>
        </w:rPr>
        <w:t> </w:t>
      </w:r>
      <w:r>
        <w:rPr/>
        <w:t>(e.g., from media outlets and market surveys) suggest</w:t>
      </w:r>
      <w:r>
        <w:rPr>
          <w:spacing w:val="-3"/>
        </w:rPr>
        <w:t> </w:t>
      </w:r>
      <w:r>
        <w:rPr/>
        <w:t>that</w:t>
      </w:r>
      <w:r>
        <w:rPr>
          <w:spacing w:val="-3"/>
        </w:rPr>
        <w:t> </w:t>
      </w:r>
      <w:r>
        <w:rPr/>
        <w:t>consumers</w:t>
      </w:r>
      <w:r>
        <w:rPr>
          <w:spacing w:val="-3"/>
        </w:rPr>
        <w:t> </w:t>
      </w:r>
      <w:r>
        <w:rPr/>
        <w:t>frequently</w:t>
      </w:r>
      <w:r>
        <w:rPr>
          <w:spacing w:val="-3"/>
        </w:rPr>
        <w:t> </w:t>
      </w:r>
      <w:r>
        <w:rPr/>
        <w:t>make</w:t>
      </w:r>
      <w:r>
        <w:rPr>
          <w:spacing w:val="-3"/>
        </w:rPr>
        <w:t> </w:t>
      </w:r>
      <w:r>
        <w:rPr/>
        <w:t>purchases</w:t>
      </w:r>
      <w:r>
        <w:rPr>
          <w:spacing w:val="-3"/>
        </w:rPr>
        <w:t> </w:t>
      </w:r>
      <w:r>
        <w:rPr/>
        <w:t>while under the influence of alcohol, referred to informally as “drunk shopping,” there is a significant lack of empirical, theory-driven research to understand the psychological mechanisms,</w:t>
      </w:r>
      <w:r>
        <w:rPr>
          <w:spacing w:val="40"/>
        </w:rPr>
        <w:t> </w:t>
      </w:r>
      <w:r>
        <w:rPr/>
        <w:t>personality predictors, and emotional consequences associated with this behavior. For example, recent market reports (e.g., Finder.com, 2021) estimate that over $30 billion is spent annually in the U.S. on purchases made</w:t>
      </w:r>
      <w:r>
        <w:rPr>
          <w:spacing w:val="-3"/>
        </w:rPr>
        <w:t> </w:t>
      </w:r>
      <w:r>
        <w:rPr/>
        <w:t>while</w:t>
      </w:r>
      <w:r>
        <w:rPr>
          <w:spacing w:val="-3"/>
        </w:rPr>
        <w:t> </w:t>
      </w:r>
      <w:r>
        <w:rPr/>
        <w:t>intoxicated.</w:t>
      </w:r>
      <w:r>
        <w:rPr>
          <w:spacing w:val="-3"/>
        </w:rPr>
        <w:t> </w:t>
      </w:r>
      <w:r>
        <w:rPr/>
        <w:t>In</w:t>
      </w:r>
      <w:r>
        <w:rPr>
          <w:spacing w:val="-3"/>
        </w:rPr>
        <w:t> </w:t>
      </w:r>
      <w:r>
        <w:rPr/>
        <w:t>psychology</w:t>
      </w:r>
      <w:r>
        <w:rPr>
          <w:spacing w:val="-3"/>
        </w:rPr>
        <w:t> </w:t>
      </w:r>
      <w:r>
        <w:rPr/>
        <w:t>research,</w:t>
      </w:r>
      <w:r>
        <w:rPr>
          <w:spacing w:val="-3"/>
        </w:rPr>
        <w:t> </w:t>
      </w:r>
      <w:r>
        <w:rPr/>
        <w:t>investigations</w:t>
      </w:r>
      <w:r>
        <w:rPr>
          <w:spacing w:val="-3"/>
        </w:rPr>
        <w:t> </w:t>
      </w:r>
      <w:r>
        <w:rPr/>
        <w:t>by</w:t>
      </w:r>
      <w:r>
        <w:rPr>
          <w:spacing w:val="-3"/>
        </w:rPr>
        <w:t> </w:t>
      </w:r>
      <w:r>
        <w:rPr/>
        <w:t>Harnish, et al., (2023) and Harnish, Miller and Davis, (2025) were the first to empirically examine problematic online shopping while intoxicated. They found a strong link between hazardous drinking patterns and impulsive online purchasing when under the influence, especially among individuals scoring high on impulsivity (Harnish et al., 2023; Harnish et al., 2025).</w:t>
      </w:r>
    </w:p>
    <w:p>
      <w:pPr>
        <w:pStyle w:val="Heading4"/>
        <w:spacing w:line="271" w:lineRule="exact" w:before="271"/>
        <w:ind w:left="731"/>
      </w:pPr>
      <w:r>
        <w:rPr>
          <w:spacing w:val="-2"/>
        </w:rPr>
        <w:t>Method</w:t>
      </w:r>
    </w:p>
    <w:p>
      <w:pPr>
        <w:pStyle w:val="BodyText"/>
        <w:spacing w:line="230" w:lineRule="auto" w:before="4"/>
        <w:ind w:left="716" w:right="1381"/>
      </w:pPr>
      <w:r>
        <w:rPr/>
        <w:t>As</w:t>
      </w:r>
      <w:r>
        <w:rPr>
          <w:spacing w:val="71"/>
        </w:rPr>
        <w:t> </w:t>
      </w:r>
      <w:r>
        <w:rPr/>
        <w:t>we</w:t>
      </w:r>
      <w:r>
        <w:rPr>
          <w:spacing w:val="71"/>
        </w:rPr>
        <w:t> </w:t>
      </w:r>
      <w:r>
        <w:rPr/>
        <w:t>find</w:t>
      </w:r>
      <w:r>
        <w:rPr>
          <w:spacing w:val="71"/>
        </w:rPr>
        <w:t> </w:t>
      </w:r>
      <w:r>
        <w:rPr/>
        <w:t>limited</w:t>
      </w:r>
      <w:r>
        <w:rPr>
          <w:spacing w:val="71"/>
        </w:rPr>
        <w:t> </w:t>
      </w:r>
      <w:r>
        <w:rPr/>
        <w:t>marketing</w:t>
      </w:r>
      <w:r>
        <w:rPr>
          <w:spacing w:val="71"/>
        </w:rPr>
        <w:t> </w:t>
      </w:r>
      <w:r>
        <w:rPr/>
        <w:t>and</w:t>
      </w:r>
      <w:r>
        <w:rPr>
          <w:spacing w:val="40"/>
        </w:rPr>
        <w:t> </w:t>
      </w:r>
      <w:r>
        <w:rPr/>
        <w:t>consumer</w:t>
      </w:r>
      <w:r>
        <w:rPr>
          <w:spacing w:val="40"/>
        </w:rPr>
        <w:t> </w:t>
      </w:r>
      <w:r>
        <w:rPr/>
        <w:t>literature</w:t>
      </w:r>
      <w:r>
        <w:rPr>
          <w:spacing w:val="40"/>
        </w:rPr>
        <w:t> </w:t>
      </w:r>
      <w:r>
        <w:rPr/>
        <w:t>on</w:t>
      </w:r>
      <w:r>
        <w:rPr>
          <w:spacing w:val="40"/>
        </w:rPr>
        <w:t> </w:t>
      </w:r>
      <w:r>
        <w:rPr/>
        <w:t>consumption</w:t>
      </w:r>
      <w:r>
        <w:rPr>
          <w:spacing w:val="40"/>
        </w:rPr>
        <w:t> </w:t>
      </w:r>
      <w:r>
        <w:rPr/>
        <w:t>practices</w:t>
      </w:r>
      <w:r>
        <w:rPr>
          <w:spacing w:val="40"/>
        </w:rPr>
        <w:t> </w:t>
      </w:r>
      <w:r>
        <w:rPr/>
        <w:t>under</w:t>
      </w:r>
      <w:r>
        <w:rPr>
          <w:spacing w:val="40"/>
        </w:rPr>
        <w:t> </w:t>
      </w:r>
      <w:r>
        <w:rPr/>
        <w:t>the influence</w:t>
      </w:r>
      <w:r>
        <w:rPr>
          <w:spacing w:val="15"/>
        </w:rPr>
        <w:t> </w:t>
      </w:r>
      <w:r>
        <w:rPr/>
        <w:t>of alcohol, we decided to conduct a qualitative study using text and thematic analysis </w:t>
      </w:r>
      <w:r>
        <w:rPr>
          <w:spacing w:val="-5"/>
        </w:rPr>
        <w:t>of</w:t>
      </w:r>
    </w:p>
    <w:p>
      <w:pPr>
        <w:pStyle w:val="BodyText"/>
        <w:spacing w:after="0" w:line="230" w:lineRule="auto"/>
        <w:sectPr>
          <w:pgSz w:w="12240" w:h="15840"/>
          <w:pgMar w:header="0" w:footer="726" w:top="620" w:bottom="920" w:left="720" w:right="0"/>
        </w:sectPr>
      </w:pPr>
    </w:p>
    <w:p>
      <w:pPr>
        <w:pStyle w:val="BodyText"/>
        <w:spacing w:line="230" w:lineRule="auto" w:before="80"/>
        <w:ind w:left="716" w:right="1375"/>
        <w:jc w:val="both"/>
      </w:pPr>
      <w:r>
        <w:rPr/>
        <w:t>Reddit comments. Using a Python script, we collected textual data by scraping 4,337 </w:t>
      </w:r>
      <w:r>
        <w:rPr/>
        <w:t>comments from</w:t>
      </w:r>
      <w:r>
        <w:rPr>
          <w:spacing w:val="-4"/>
        </w:rPr>
        <w:t> </w:t>
      </w:r>
      <w:r>
        <w:rPr/>
        <w:t>12</w:t>
      </w:r>
      <w:r>
        <w:rPr>
          <w:spacing w:val="-4"/>
        </w:rPr>
        <w:t> </w:t>
      </w:r>
      <w:r>
        <w:rPr/>
        <w:t>Reddit</w:t>
      </w:r>
      <w:r>
        <w:rPr>
          <w:spacing w:val="-4"/>
        </w:rPr>
        <w:t> </w:t>
      </w:r>
      <w:r>
        <w:rPr/>
        <w:t>threads</w:t>
      </w:r>
      <w:r>
        <w:rPr>
          <w:spacing w:val="-4"/>
        </w:rPr>
        <w:t> </w:t>
      </w:r>
      <w:r>
        <w:rPr/>
        <w:t>spanning</w:t>
      </w:r>
      <w:r>
        <w:rPr>
          <w:spacing w:val="-4"/>
        </w:rPr>
        <w:t> </w:t>
      </w:r>
      <w:r>
        <w:rPr/>
        <w:t>years</w:t>
      </w:r>
      <w:r>
        <w:rPr>
          <w:spacing w:val="-4"/>
        </w:rPr>
        <w:t> </w:t>
      </w:r>
      <w:r>
        <w:rPr/>
        <w:t>2011-2024.</w:t>
      </w:r>
      <w:r>
        <w:rPr>
          <w:spacing w:val="-4"/>
        </w:rPr>
        <w:t> </w:t>
      </w:r>
      <w:r>
        <w:rPr/>
        <w:t>As</w:t>
      </w:r>
      <w:r>
        <w:rPr>
          <w:spacing w:val="-4"/>
        </w:rPr>
        <w:t> </w:t>
      </w:r>
      <w:r>
        <w:rPr/>
        <w:t>Reddit’s</w:t>
      </w:r>
      <w:r>
        <w:rPr>
          <w:spacing w:val="-4"/>
        </w:rPr>
        <w:t> </w:t>
      </w:r>
      <w:r>
        <w:rPr/>
        <w:t>comments</w:t>
      </w:r>
      <w:r>
        <w:rPr>
          <w:spacing w:val="-4"/>
        </w:rPr>
        <w:t> </w:t>
      </w:r>
      <w:r>
        <w:rPr/>
        <w:t>are</w:t>
      </w:r>
      <w:r>
        <w:rPr>
          <w:spacing w:val="-4"/>
        </w:rPr>
        <w:t> </w:t>
      </w:r>
      <w:r>
        <w:rPr/>
        <w:t>public</w:t>
      </w:r>
      <w:r>
        <w:rPr>
          <w:spacing w:val="-4"/>
        </w:rPr>
        <w:t> </w:t>
      </w:r>
      <w:r>
        <w:rPr/>
        <w:t>(e.g.,</w:t>
      </w:r>
      <w:r>
        <w:rPr>
          <w:spacing w:val="-4"/>
        </w:rPr>
        <w:t> </w:t>
      </w:r>
      <w:r>
        <w:rPr/>
        <w:t>Reddit, 2021; Nilsson Vestola 2023), we decided to search for terms related to purchasing under the influence of alcohol. However, to protect the privacy of the posters, any direct quotes are disguised</w:t>
      </w:r>
      <w:r>
        <w:rPr>
          <w:spacing w:val="40"/>
        </w:rPr>
        <w:t> </w:t>
      </w:r>
      <w:r>
        <w:rPr/>
        <w:t>and do not display any usernames.</w:t>
      </w:r>
    </w:p>
    <w:p>
      <w:pPr>
        <w:pStyle w:val="BodyText"/>
        <w:spacing w:before="3"/>
      </w:pPr>
    </w:p>
    <w:p>
      <w:pPr>
        <w:pStyle w:val="BodyText"/>
        <w:spacing w:line="230" w:lineRule="auto"/>
        <w:ind w:left="716" w:right="1376"/>
        <w:jc w:val="both"/>
      </w:pPr>
      <w:r>
        <w:rPr/>
        <w:t>After initial semantic coding</w:t>
      </w:r>
      <w:r>
        <w:rPr>
          <w:spacing w:val="-2"/>
        </w:rPr>
        <w:t> </w:t>
      </w:r>
      <w:r>
        <w:rPr/>
        <w:t>and</w:t>
      </w:r>
      <w:r>
        <w:rPr>
          <w:spacing w:val="-3"/>
        </w:rPr>
        <w:t> </w:t>
      </w:r>
      <w:r>
        <w:rPr/>
        <w:t>later</w:t>
      </w:r>
      <w:r>
        <w:rPr>
          <w:spacing w:val="-2"/>
        </w:rPr>
        <w:t> </w:t>
      </w:r>
      <w:r>
        <w:rPr/>
        <w:t>thematic</w:t>
      </w:r>
      <w:r>
        <w:rPr>
          <w:spacing w:val="-3"/>
        </w:rPr>
        <w:t> </w:t>
      </w:r>
      <w:r>
        <w:rPr/>
        <w:t>analysis</w:t>
      </w:r>
      <w:r>
        <w:rPr>
          <w:spacing w:val="-2"/>
        </w:rPr>
        <w:t> </w:t>
      </w:r>
      <w:r>
        <w:rPr/>
        <w:t>(Braun</w:t>
      </w:r>
      <w:r>
        <w:rPr>
          <w:spacing w:val="-3"/>
        </w:rPr>
        <w:t> </w:t>
      </w:r>
      <w:r>
        <w:rPr/>
        <w:t>&amp;</w:t>
      </w:r>
      <w:r>
        <w:rPr>
          <w:spacing w:val="-2"/>
        </w:rPr>
        <w:t> </w:t>
      </w:r>
      <w:r>
        <w:rPr/>
        <w:t>Clarke,</w:t>
      </w:r>
      <w:r>
        <w:rPr>
          <w:spacing w:val="-3"/>
        </w:rPr>
        <w:t> </w:t>
      </w:r>
      <w:r>
        <w:rPr/>
        <w:t>2019)</w:t>
      </w:r>
      <w:r>
        <w:rPr>
          <w:spacing w:val="-2"/>
        </w:rPr>
        <w:t> </w:t>
      </w:r>
      <w:r>
        <w:rPr/>
        <w:t>through</w:t>
      </w:r>
      <w:r>
        <w:rPr>
          <w:spacing w:val="-3"/>
        </w:rPr>
        <w:t> </w:t>
      </w:r>
      <w:r>
        <w:rPr/>
        <w:t>iterative readings of Reddit posts by the authors and a research assistant we finalized our aggregate</w:t>
      </w:r>
      <w:r>
        <w:rPr>
          <w:spacing w:val="40"/>
        </w:rPr>
        <w:t> </w:t>
      </w:r>
      <w:r>
        <w:rPr/>
        <w:t>themes.</w:t>
      </w:r>
      <w:r>
        <w:rPr>
          <w:spacing w:val="40"/>
        </w:rPr>
        <w:t> </w:t>
      </w:r>
      <w:r>
        <w:rPr/>
        <w:t>Some exemplary codes from our initial coding were level of intoxication, </w:t>
      </w:r>
      <w:r>
        <w:rPr/>
        <w:t>sentiment (affect) while</w:t>
      </w:r>
      <w:r>
        <w:rPr>
          <w:spacing w:val="40"/>
        </w:rPr>
        <w:t> </w:t>
      </w:r>
      <w:r>
        <w:rPr/>
        <w:t>buying, sentiment post purchase, category of purchased item, shopping medium, whether the item</w:t>
      </w:r>
      <w:r>
        <w:rPr>
          <w:spacing w:val="40"/>
        </w:rPr>
        <w:t> </w:t>
      </w:r>
      <w:r>
        <w:rPr/>
        <w:t>was kept or returned, and whether the item was bought for self or others. We present the</w:t>
      </w:r>
      <w:r>
        <w:rPr>
          <w:spacing w:val="40"/>
        </w:rPr>
        <w:t> </w:t>
      </w:r>
      <w:r>
        <w:rPr/>
        <w:t>preliminary findings of our aggregate themes below</w:t>
      </w:r>
    </w:p>
    <w:p>
      <w:pPr>
        <w:pStyle w:val="BodyText"/>
        <w:spacing w:before="3"/>
      </w:pPr>
    </w:p>
    <w:p>
      <w:pPr>
        <w:pStyle w:val="Heading4"/>
        <w:ind w:left="731"/>
        <w:jc w:val="both"/>
      </w:pPr>
      <w:r>
        <w:rPr/>
        <w:t>Findings and </w:t>
      </w:r>
      <w:r>
        <w:rPr>
          <w:spacing w:val="-2"/>
        </w:rPr>
        <w:t>implications</w:t>
      </w:r>
    </w:p>
    <w:p>
      <w:pPr>
        <w:pStyle w:val="BodyText"/>
        <w:spacing w:line="230" w:lineRule="auto" w:before="272"/>
        <w:ind w:left="716" w:right="1375" w:firstLine="15"/>
        <w:jc w:val="both"/>
      </w:pPr>
      <w:r>
        <w:rPr/>
        <w:t>Our analysis of Reddit discussion posts reveals key psychological, social, and technological factors</w:t>
      </w:r>
      <w:r>
        <w:rPr>
          <w:spacing w:val="40"/>
        </w:rPr>
        <w:t> </w:t>
      </w:r>
      <w:r>
        <w:rPr/>
        <w:t>that drive consumers to shop while under the influence of alcohol. At the center of </w:t>
      </w:r>
      <w:r>
        <w:rPr/>
        <w:t>this behavior is what we call the “Drunk Me Effect,” where impaired judgment and lowered inhibitions make spending feel less consequential. Individuals describe a carefree mindset of feeling “rich,”</w:t>
      </w:r>
      <w:r>
        <w:rPr>
          <w:spacing w:val="40"/>
        </w:rPr>
        <w:t> </w:t>
      </w:r>
      <w:r>
        <w:rPr/>
        <w:t>“happy,”</w:t>
      </w:r>
      <w:r>
        <w:rPr>
          <w:spacing w:val="-5"/>
        </w:rPr>
        <w:t> </w:t>
      </w:r>
      <w:r>
        <w:rPr/>
        <w:t>or</w:t>
      </w:r>
      <w:r>
        <w:rPr>
          <w:spacing w:val="-5"/>
        </w:rPr>
        <w:t> </w:t>
      </w:r>
      <w:r>
        <w:rPr/>
        <w:t>simply</w:t>
      </w:r>
      <w:r>
        <w:rPr>
          <w:spacing w:val="-5"/>
        </w:rPr>
        <w:t> </w:t>
      </w:r>
      <w:r>
        <w:rPr/>
        <w:t>unconcerned</w:t>
      </w:r>
      <w:r>
        <w:rPr>
          <w:spacing w:val="-5"/>
        </w:rPr>
        <w:t> </w:t>
      </w:r>
      <w:r>
        <w:rPr/>
        <w:t>about</w:t>
      </w:r>
      <w:r>
        <w:rPr>
          <w:spacing w:val="-5"/>
        </w:rPr>
        <w:t> </w:t>
      </w:r>
      <w:r>
        <w:rPr/>
        <w:t>money,</w:t>
      </w:r>
      <w:r>
        <w:rPr>
          <w:spacing w:val="-5"/>
        </w:rPr>
        <w:t> </w:t>
      </w:r>
      <w:r>
        <w:rPr/>
        <w:t>which</w:t>
      </w:r>
      <w:r>
        <w:rPr>
          <w:spacing w:val="-5"/>
        </w:rPr>
        <w:t> </w:t>
      </w:r>
      <w:r>
        <w:rPr/>
        <w:t>leads</w:t>
      </w:r>
      <w:r>
        <w:rPr>
          <w:spacing w:val="-5"/>
        </w:rPr>
        <w:t> </w:t>
      </w:r>
      <w:r>
        <w:rPr/>
        <w:t>to</w:t>
      </w:r>
      <w:r>
        <w:rPr>
          <w:spacing w:val="-5"/>
        </w:rPr>
        <w:t> </w:t>
      </w:r>
      <w:r>
        <w:rPr/>
        <w:t>impulsive</w:t>
      </w:r>
      <w:r>
        <w:rPr>
          <w:spacing w:val="-5"/>
        </w:rPr>
        <w:t> </w:t>
      </w:r>
      <w:r>
        <w:rPr/>
        <w:t>purchases they would</w:t>
      </w:r>
      <w:r>
        <w:rPr>
          <w:spacing w:val="40"/>
        </w:rPr>
        <w:t> </w:t>
      </w:r>
      <w:r>
        <w:rPr/>
        <w:t>normally hesitate to make. Alcohol dampens the internal voice that urges caution, allowing people</w:t>
      </w:r>
      <w:r>
        <w:rPr>
          <w:spacing w:val="40"/>
        </w:rPr>
        <w:t> </w:t>
      </w:r>
      <w:r>
        <w:rPr/>
        <w:t>to “treat themselves”</w:t>
      </w:r>
      <w:r>
        <w:rPr>
          <w:spacing w:val="-3"/>
        </w:rPr>
        <w:t> </w:t>
      </w:r>
      <w:r>
        <w:rPr/>
        <w:t>or</w:t>
      </w:r>
      <w:r>
        <w:rPr>
          <w:spacing w:val="-3"/>
        </w:rPr>
        <w:t> </w:t>
      </w:r>
      <w:r>
        <w:rPr/>
        <w:t>finally</w:t>
      </w:r>
      <w:r>
        <w:rPr>
          <w:spacing w:val="-3"/>
        </w:rPr>
        <w:t> </w:t>
      </w:r>
      <w:r>
        <w:rPr/>
        <w:t>buy</w:t>
      </w:r>
      <w:r>
        <w:rPr>
          <w:spacing w:val="-3"/>
        </w:rPr>
        <w:t> </w:t>
      </w:r>
      <w:r>
        <w:rPr/>
        <w:t>items</w:t>
      </w:r>
      <w:r>
        <w:rPr>
          <w:spacing w:val="-3"/>
        </w:rPr>
        <w:t> </w:t>
      </w:r>
      <w:r>
        <w:rPr/>
        <w:t>they</w:t>
      </w:r>
      <w:r>
        <w:rPr>
          <w:spacing w:val="-3"/>
        </w:rPr>
        <w:t> </w:t>
      </w:r>
      <w:r>
        <w:rPr/>
        <w:t>have</w:t>
      </w:r>
      <w:r>
        <w:rPr>
          <w:spacing w:val="-3"/>
        </w:rPr>
        <w:t> </w:t>
      </w:r>
      <w:r>
        <w:rPr/>
        <w:t>long</w:t>
      </w:r>
      <w:r>
        <w:rPr>
          <w:spacing w:val="-3"/>
        </w:rPr>
        <w:t> </w:t>
      </w:r>
      <w:r>
        <w:rPr/>
        <w:t>considered</w:t>
      </w:r>
      <w:r>
        <w:rPr>
          <w:spacing w:val="-3"/>
        </w:rPr>
        <w:t> </w:t>
      </w:r>
      <w:r>
        <w:rPr/>
        <w:t>but</w:t>
      </w:r>
      <w:r>
        <w:rPr>
          <w:spacing w:val="-3"/>
        </w:rPr>
        <w:t> </w:t>
      </w:r>
      <w:r>
        <w:rPr/>
        <w:t>resisted while sober.</w:t>
      </w:r>
    </w:p>
    <w:p>
      <w:pPr>
        <w:pStyle w:val="BodyText"/>
        <w:spacing w:before="1"/>
      </w:pPr>
    </w:p>
    <w:p>
      <w:pPr>
        <w:pStyle w:val="BodyText"/>
        <w:spacing w:line="230" w:lineRule="auto"/>
        <w:ind w:left="731" w:right="1375"/>
        <w:jc w:val="both"/>
      </w:pPr>
      <w:r>
        <w:rPr/>
        <w:t>Social settings play a notable role. Drinking with friends can provide encouragement, humor, </w:t>
      </w:r>
      <w:r>
        <w:rPr/>
        <w:t>or dares that nudge individuals toward buying. Although peers may not exert explicit pressure, the social atmosphere normalizes spontaneous spending. Conversely, highly interactive social contexts sometimes decrease online shopping, as individuals spend less time on their phones.</w:t>
      </w:r>
    </w:p>
    <w:p>
      <w:pPr>
        <w:pStyle w:val="BodyText"/>
        <w:spacing w:line="230" w:lineRule="auto" w:before="4"/>
        <w:ind w:left="731" w:right="1375"/>
        <w:jc w:val="both"/>
      </w:pPr>
      <w:r>
        <w:rPr/>
        <w:t>Technology further facilitates drunk shopping by enabling seamless purchasing through </w:t>
      </w:r>
      <w:r>
        <w:rPr/>
        <w:t>mobile apps and one-click systems. Platforms like Amazon, eBay, TikTok shops, Fashion Nova, and Temu make transactions nearly frictionless. This minimizes the psychological “pain of paying,” especially since no physical money is exchanged. Some users even suggest technological safeguards, such as shopping cart delays, login barriers, or breathalyzer-linked locks, to counter impulsive late-night purchases.</w:t>
      </w:r>
    </w:p>
    <w:p>
      <w:pPr>
        <w:pStyle w:val="BodyText"/>
        <w:spacing w:before="3"/>
      </w:pPr>
    </w:p>
    <w:p>
      <w:pPr>
        <w:pStyle w:val="BodyText"/>
        <w:spacing w:line="230" w:lineRule="auto"/>
        <w:ind w:left="716" w:right="1378" w:firstLine="15"/>
        <w:jc w:val="both"/>
      </w:pPr>
      <w:r>
        <w:rPr/>
        <w:t>Our analysis shows that when items arrive, reactions vary widely. Some consumers feel </w:t>
      </w:r>
      <w:r>
        <w:rPr/>
        <w:t>regret, embarrassment, or frustration, especially when products are unnecessary, expensive, or of poor quality. Others experience delight or amusement, describing the arrival as a “surprise gift” from their past selves. The ability to return items reduces anxiety and often leads individuals to downplay the seriousness of their habits.</w:t>
      </w:r>
    </w:p>
    <w:p>
      <w:pPr>
        <w:pStyle w:val="BodyText"/>
        <w:spacing w:before="3"/>
      </w:pPr>
    </w:p>
    <w:p>
      <w:pPr>
        <w:pStyle w:val="BodyText"/>
        <w:spacing w:line="230" w:lineRule="auto"/>
        <w:ind w:left="716" w:right="1377" w:firstLine="15"/>
        <w:jc w:val="both"/>
      </w:pPr>
      <w:r>
        <w:rPr/>
        <w:t>Surprisingly, we find that despite acknowledging the frequency of their drunk shopping, </w:t>
      </w:r>
      <w:r>
        <w:rPr/>
        <w:t>many consumers do not perceive it as a significant problem. They rationalize these behaviors as manageable, low-cost, or</w:t>
      </w:r>
      <w:r>
        <w:rPr>
          <w:spacing w:val="-3"/>
        </w:rPr>
        <w:t> </w:t>
      </w:r>
      <w:r>
        <w:rPr/>
        <w:t>simply</w:t>
      </w:r>
      <w:r>
        <w:rPr>
          <w:spacing w:val="-3"/>
        </w:rPr>
        <w:t> </w:t>
      </w:r>
      <w:r>
        <w:rPr/>
        <w:t>part</w:t>
      </w:r>
      <w:r>
        <w:rPr>
          <w:spacing w:val="-3"/>
        </w:rPr>
        <w:t> </w:t>
      </w:r>
      <w:r>
        <w:rPr/>
        <w:t>of</w:t>
      </w:r>
      <w:r>
        <w:rPr>
          <w:spacing w:val="-3"/>
        </w:rPr>
        <w:t> </w:t>
      </w:r>
      <w:r>
        <w:rPr/>
        <w:t>their</w:t>
      </w:r>
      <w:r>
        <w:rPr>
          <w:spacing w:val="-3"/>
        </w:rPr>
        <w:t> </w:t>
      </w:r>
      <w:r>
        <w:rPr/>
        <w:t>routine.</w:t>
      </w:r>
      <w:r>
        <w:rPr>
          <w:spacing w:val="-3"/>
        </w:rPr>
        <w:t> </w:t>
      </w:r>
      <w:r>
        <w:rPr/>
        <w:t>Only</w:t>
      </w:r>
      <w:r>
        <w:rPr>
          <w:spacing w:val="-3"/>
        </w:rPr>
        <w:t> </w:t>
      </w:r>
      <w:r>
        <w:rPr/>
        <w:t>those</w:t>
      </w:r>
      <w:r>
        <w:rPr>
          <w:spacing w:val="-3"/>
        </w:rPr>
        <w:t> </w:t>
      </w:r>
      <w:r>
        <w:rPr/>
        <w:t>who</w:t>
      </w:r>
      <w:r>
        <w:rPr>
          <w:spacing w:val="-3"/>
        </w:rPr>
        <w:t> </w:t>
      </w:r>
      <w:r>
        <w:rPr/>
        <w:t>make</w:t>
      </w:r>
      <w:r>
        <w:rPr>
          <w:spacing w:val="-3"/>
        </w:rPr>
        <w:t> </w:t>
      </w:r>
      <w:r>
        <w:rPr/>
        <w:t>high-ticket</w:t>
      </w:r>
      <w:r>
        <w:rPr>
          <w:spacing w:val="-3"/>
        </w:rPr>
        <w:t> </w:t>
      </w:r>
      <w:r>
        <w:rPr/>
        <w:t>purchases like</w:t>
      </w:r>
      <w:r>
        <w:rPr>
          <w:spacing w:val="40"/>
        </w:rPr>
        <w:t> </w:t>
      </w:r>
      <w:r>
        <w:rPr/>
        <w:t>flights or concert tickets express more concern, though they often also feel satisfied for finally</w:t>
      </w:r>
      <w:r>
        <w:rPr>
          <w:spacing w:val="40"/>
        </w:rPr>
        <w:t> </w:t>
      </w:r>
      <w:r>
        <w:rPr/>
        <w:t>“biting the bullet.”</w:t>
      </w:r>
    </w:p>
    <w:p>
      <w:pPr>
        <w:pStyle w:val="BodyText"/>
        <w:spacing w:before="3"/>
      </w:pPr>
    </w:p>
    <w:p>
      <w:pPr>
        <w:pStyle w:val="BodyText"/>
        <w:spacing w:line="230" w:lineRule="auto"/>
        <w:ind w:left="731" w:right="1380"/>
        <w:jc w:val="both"/>
      </w:pPr>
      <w:r>
        <w:rPr/>
        <w:t>In sum, we find that purchasing under the influence is common, fueled by impaired </w:t>
      </w:r>
      <w:r>
        <w:rPr/>
        <w:t>judgment, supportive social contexts, and frictionless digital shopping environments. While regret does occur, many consumers experience neutral or positive emotions, and most do not view the behavior</w:t>
      </w:r>
      <w:r>
        <w:rPr>
          <w:spacing w:val="40"/>
        </w:rPr>
        <w:t> </w:t>
      </w:r>
      <w:r>
        <w:rPr/>
        <w:t>as problematic, citing returns, low costs, and personal control as justification.</w:t>
      </w:r>
    </w:p>
    <w:p>
      <w:pPr>
        <w:pStyle w:val="BodyText"/>
        <w:spacing w:after="0" w:line="230" w:lineRule="auto"/>
        <w:jc w:val="both"/>
        <w:sectPr>
          <w:pgSz w:w="12240" w:h="15840"/>
          <w:pgMar w:header="0" w:footer="726" w:top="620" w:bottom="960" w:left="720" w:right="0"/>
        </w:sectPr>
      </w:pPr>
    </w:p>
    <w:p>
      <w:pPr>
        <w:pStyle w:val="BodyText"/>
        <w:spacing w:line="230" w:lineRule="auto" w:before="80"/>
        <w:ind w:left="716" w:right="1375" w:firstLine="15"/>
        <w:jc w:val="both"/>
      </w:pPr>
      <w:r>
        <w:rPr/>
        <w:t>The 24/7 accessibility of online retail facilitates impulsive buying and aligns with higher-</w:t>
      </w:r>
      <w:r>
        <w:rPr/>
        <w:t>risk drinking</w:t>
      </w:r>
      <w:r>
        <w:rPr>
          <w:spacing w:val="40"/>
        </w:rPr>
        <w:t> </w:t>
      </w:r>
      <w:r>
        <w:rPr/>
        <w:t>behaviors.</w:t>
      </w:r>
      <w:r>
        <w:rPr>
          <w:spacing w:val="40"/>
        </w:rPr>
        <w:t> </w:t>
      </w:r>
      <w:r>
        <w:rPr/>
        <w:t>Consumer</w:t>
      </w:r>
      <w:r>
        <w:rPr>
          <w:spacing w:val="40"/>
        </w:rPr>
        <w:t> </w:t>
      </w:r>
      <w:r>
        <w:rPr/>
        <w:t>protection</w:t>
      </w:r>
      <w:r>
        <w:rPr>
          <w:spacing w:val="40"/>
        </w:rPr>
        <w:t> </w:t>
      </w:r>
      <w:r>
        <w:rPr/>
        <w:t>may</w:t>
      </w:r>
      <w:r>
        <w:rPr>
          <w:spacing w:val="40"/>
        </w:rPr>
        <w:t> </w:t>
      </w:r>
      <w:r>
        <w:rPr/>
        <w:t>include</w:t>
      </w:r>
      <w:r>
        <w:rPr>
          <w:spacing w:val="40"/>
        </w:rPr>
        <w:t> </w:t>
      </w:r>
      <w:r>
        <w:rPr/>
        <w:t>removing</w:t>
      </w:r>
      <w:r>
        <w:rPr>
          <w:spacing w:val="40"/>
        </w:rPr>
        <w:t> </w:t>
      </w:r>
      <w:r>
        <w:rPr/>
        <w:t>shopping</w:t>
      </w:r>
      <w:r>
        <w:rPr>
          <w:spacing w:val="40"/>
        </w:rPr>
        <w:t> </w:t>
      </w:r>
      <w:r>
        <w:rPr/>
        <w:t>apps,</w:t>
      </w:r>
      <w:r>
        <w:rPr>
          <w:spacing w:val="40"/>
        </w:rPr>
        <w:t> </w:t>
      </w:r>
      <w:r>
        <w:rPr/>
        <w:t>disabling</w:t>
      </w:r>
      <w:r>
        <w:rPr>
          <w:spacing w:val="40"/>
        </w:rPr>
        <w:t> </w:t>
      </w:r>
      <w:r>
        <w:rPr/>
        <w:t>one-click purchases, or using blocking tools. Retailers can incorporate ethical friction - such as multi-step checkout or “sleep on it” nudges, while</w:t>
      </w:r>
      <w:r>
        <w:rPr>
          <w:spacing w:val="-2"/>
        </w:rPr>
        <w:t> </w:t>
      </w:r>
      <w:r>
        <w:rPr/>
        <w:t>policymakers</w:t>
      </w:r>
      <w:r>
        <w:rPr>
          <w:spacing w:val="-2"/>
        </w:rPr>
        <w:t> </w:t>
      </w:r>
      <w:r>
        <w:rPr/>
        <w:t>can</w:t>
      </w:r>
      <w:r>
        <w:rPr>
          <w:spacing w:val="-2"/>
        </w:rPr>
        <w:t> </w:t>
      </w:r>
      <w:r>
        <w:rPr/>
        <w:t>promote</w:t>
      </w:r>
      <w:r>
        <w:rPr>
          <w:spacing w:val="-2"/>
        </w:rPr>
        <w:t> </w:t>
      </w:r>
      <w:r>
        <w:rPr/>
        <w:t>financial</w:t>
      </w:r>
      <w:r>
        <w:rPr>
          <w:spacing w:val="-2"/>
        </w:rPr>
        <w:t> </w:t>
      </w:r>
      <w:r>
        <w:rPr/>
        <w:t>education and safeguards for vulnerable consumers.</w:t>
      </w:r>
    </w:p>
    <w:p>
      <w:pPr>
        <w:pStyle w:val="BodyText"/>
        <w:spacing w:before="4"/>
      </w:pPr>
    </w:p>
    <w:p>
      <w:pPr>
        <w:pStyle w:val="Heading4"/>
        <w:ind w:left="731"/>
      </w:pPr>
      <w:r>
        <w:rPr>
          <w:spacing w:val="-2"/>
        </w:rPr>
        <w:t>Conclusion</w:t>
      </w:r>
    </w:p>
    <w:p>
      <w:pPr>
        <w:pStyle w:val="BodyText"/>
        <w:spacing w:line="230" w:lineRule="auto" w:before="274"/>
        <w:ind w:left="716" w:right="1392"/>
      </w:pPr>
      <w:r>
        <w:rPr/>
        <w:t>Roughly 17% of Americans shop under the influence, spending an estimated $309 average per person annually (Laycock, 2023). This study contributes to emerging research on intoxicated consumption by examining the nature of these purchases, what drives them, and how consumers feel afterward. A central theme is the </w:t>
      </w:r>
      <w:r>
        <w:rPr>
          <w:i/>
        </w:rPr>
        <w:t>Drunk Me Effect</w:t>
      </w:r>
      <w:r>
        <w:rPr/>
        <w:t>: alcohol-induced impairment reduces inhibitions, removes budget-related caution, and heightens impulsive, emotionally driven purchasing. Social contexts can amplify this behavior through encouragement or playful dares. When items arrive, reactions vary - some consumers express regret, while others feel amused or pleased - often depending on product type. Despite the frequency of these purchases, many individuals do not view the behavior as problematic, citing low costs and easy returns. Our analysis of Reddit posts over more than a decade shows that impaired judgment combined with the frictionless design of online shopping platforms makes intoxicated buying common. Many purchases reflect existing desires that are only acted upon when inhibitions are lowered. Further research should examine long-term behavioral and financial impacts. This research offers three primary contributions to marketing and consumer behavior literature. First, it provides a theoretical contribution by addressing a significant gap in the impulse buying literature, while the effects of mood and store environment on impulse buying are well-documented, the specific phenomenon of purchasing under the influence of alcohol remains vastly under-researched. By bridging the concepts of alcohol myopia (cognitive narrowing) (Harnish et al. 2025) and the frictionless nature of digital commerce, this study conceptualizes intoxicated shopping as a distinct, chemically induced subset of impulse buying. Second, it offers a methodological contribution through the thematic analysis of organic, unfiltered consumer narratives. By</w:t>
      </w:r>
      <w:r>
        <w:rPr>
          <w:spacing w:val="40"/>
        </w:rPr>
        <w:t> </w:t>
      </w:r>
      <w:r>
        <w:rPr/>
        <w:t>scraping and analyzing over 4,300 public Reddit comments spanning more than a decade, this study bypasses the social desirability bias often found in traditional self-report surveys regarding alcohol use. This ethnographic approach successfully uncovers the authentic pre-purchase motivations, the spectrum of purchased goods, and the complex post-purchase coping mechanisms (e.g., returning vs. keeping items, rationalizing debt) employed by consumers once sober.</w:t>
      </w:r>
      <w:r>
        <w:rPr>
          <w:spacing w:val="-5"/>
        </w:rPr>
        <w:t> </w:t>
      </w:r>
      <w:r>
        <w:rPr/>
        <w:t>Third,</w:t>
      </w:r>
      <w:r>
        <w:rPr>
          <w:spacing w:val="-5"/>
        </w:rPr>
        <w:t> </w:t>
      </w:r>
      <w:r>
        <w:rPr/>
        <w:t>it</w:t>
      </w:r>
      <w:r>
        <w:rPr>
          <w:spacing w:val="-5"/>
        </w:rPr>
        <w:t> </w:t>
      </w:r>
      <w:r>
        <w:rPr/>
        <w:t>advances</w:t>
      </w:r>
      <w:r>
        <w:rPr>
          <w:spacing w:val="-5"/>
        </w:rPr>
        <w:t> </w:t>
      </w:r>
      <w:r>
        <w:rPr/>
        <w:t>the</w:t>
      </w:r>
      <w:r>
        <w:rPr>
          <w:spacing w:val="-5"/>
        </w:rPr>
        <w:t> </w:t>
      </w:r>
      <w:r>
        <w:rPr/>
        <w:t>Transformative</w:t>
      </w:r>
      <w:r>
        <w:rPr>
          <w:spacing w:val="-5"/>
        </w:rPr>
        <w:t> </w:t>
      </w:r>
      <w:r>
        <w:rPr/>
        <w:t>Consumer</w:t>
      </w:r>
      <w:r>
        <w:rPr>
          <w:spacing w:val="-5"/>
        </w:rPr>
        <w:t> </w:t>
      </w:r>
      <w:r>
        <w:rPr/>
        <w:t>Research</w:t>
      </w:r>
      <w:r>
        <w:rPr>
          <w:spacing w:val="-5"/>
        </w:rPr>
        <w:t> </w:t>
      </w:r>
      <w:r>
        <w:rPr/>
        <w:t>(TCR)</w:t>
      </w:r>
      <w:r>
        <w:rPr>
          <w:spacing w:val="-5"/>
        </w:rPr>
        <w:t> </w:t>
      </w:r>
      <w:r>
        <w:rPr/>
        <w:t>agenda</w:t>
      </w:r>
      <w:r>
        <w:rPr>
          <w:spacing w:val="-5"/>
        </w:rPr>
        <w:t> </w:t>
      </w:r>
      <w:r>
        <w:rPr/>
        <w:t>by</w:t>
      </w:r>
      <w:r>
        <w:rPr>
          <w:spacing w:val="-5"/>
        </w:rPr>
        <w:t> </w:t>
      </w:r>
      <w:r>
        <w:rPr/>
        <w:t>highlighting</w:t>
      </w:r>
      <w:r>
        <w:rPr>
          <w:spacing w:val="40"/>
        </w:rPr>
        <w:t> </w:t>
      </w:r>
      <w:r>
        <w:rPr/>
        <w:t>a hidden avenue of consumer vulnerability. We reframe the intoxicated consumer as a vulnerable actor operating within a digital environment designed to exploit lowered inhibitions (Harnish et al. 2023). By linking this micro-behavior to the macro-issue of escalating consumer debt, we provide a foundation for actionable interventions, offering practical recommendations for ethical e-tailer practices (e.g., introducing checkout friction) and targeted public policy initiatives</w:t>
      </w:r>
      <w:r>
        <w:rPr>
          <w:spacing w:val="40"/>
        </w:rPr>
        <w:t> </w:t>
      </w:r>
      <w:r>
        <w:rPr/>
        <w:t>focused on financial education.</w:t>
      </w:r>
    </w:p>
    <w:p>
      <w:pPr>
        <w:pStyle w:val="BodyText"/>
        <w:spacing w:before="225"/>
      </w:pPr>
    </w:p>
    <w:p>
      <w:pPr>
        <w:pStyle w:val="Heading4"/>
        <w:spacing w:line="253" w:lineRule="exact"/>
        <w:ind w:left="716"/>
      </w:pPr>
      <w:r>
        <w:rPr>
          <w:spacing w:val="-2"/>
        </w:rPr>
        <w:t>References</w:t>
      </w:r>
    </w:p>
    <w:p>
      <w:pPr>
        <w:pStyle w:val="BodyText"/>
        <w:spacing w:line="223" w:lineRule="auto"/>
        <w:ind w:left="716" w:right="1381"/>
      </w:pPr>
      <w:r>
        <w:rPr/>
        <w:t>Beikverdi,</w:t>
      </w:r>
      <w:r>
        <w:rPr>
          <w:spacing w:val="-3"/>
        </w:rPr>
        <w:t> </w:t>
      </w:r>
      <w:r>
        <w:rPr/>
        <w:t>L.,</w:t>
      </w:r>
      <w:r>
        <w:rPr>
          <w:spacing w:val="-3"/>
        </w:rPr>
        <w:t> </w:t>
      </w:r>
      <w:r>
        <w:rPr/>
        <w:t>Sipilä,</w:t>
      </w:r>
      <w:r>
        <w:rPr>
          <w:spacing w:val="-3"/>
        </w:rPr>
        <w:t> </w:t>
      </w:r>
      <w:r>
        <w:rPr/>
        <w:t>J.</w:t>
      </w:r>
      <w:r>
        <w:rPr>
          <w:spacing w:val="-3"/>
        </w:rPr>
        <w:t> </w:t>
      </w:r>
      <w:r>
        <w:rPr/>
        <w:t>&amp;</w:t>
      </w:r>
      <w:r>
        <w:rPr>
          <w:spacing w:val="-3"/>
        </w:rPr>
        <w:t> </w:t>
      </w:r>
      <w:r>
        <w:rPr/>
        <w:t>Tarkiainen,</w:t>
      </w:r>
      <w:r>
        <w:rPr>
          <w:spacing w:val="-3"/>
        </w:rPr>
        <w:t> </w:t>
      </w:r>
      <w:r>
        <w:rPr/>
        <w:t>A.</w:t>
      </w:r>
      <w:r>
        <w:rPr>
          <w:spacing w:val="-3"/>
        </w:rPr>
        <w:t> </w:t>
      </w:r>
      <w:r>
        <w:rPr/>
        <w:t>(2024).</w:t>
      </w:r>
      <w:r>
        <w:rPr>
          <w:spacing w:val="-3"/>
        </w:rPr>
        <w:t> </w:t>
      </w:r>
      <w:r>
        <w:rPr/>
        <w:t>"Post</w:t>
      </w:r>
      <w:r>
        <w:rPr>
          <w:rFonts w:ascii="Segoe UI Symbol" w:hAnsi="Segoe UI Symbol"/>
        </w:rPr>
        <w:t>-</w:t>
      </w:r>
      <w:r>
        <w:rPr/>
        <w:t>purchase</w:t>
      </w:r>
      <w:r>
        <w:rPr>
          <w:spacing w:val="-3"/>
        </w:rPr>
        <w:t> </w:t>
      </w:r>
      <w:r>
        <w:rPr/>
        <w:t>effects</w:t>
      </w:r>
      <w:r>
        <w:rPr>
          <w:spacing w:val="-3"/>
        </w:rPr>
        <w:t> </w:t>
      </w:r>
      <w:r>
        <w:rPr/>
        <w:t>of</w:t>
      </w:r>
      <w:r>
        <w:rPr>
          <w:spacing w:val="-3"/>
        </w:rPr>
        <w:t> </w:t>
      </w:r>
      <w:r>
        <w:rPr/>
        <w:t>impulse</w:t>
      </w:r>
      <w:r>
        <w:rPr>
          <w:spacing w:val="-3"/>
        </w:rPr>
        <w:t> </w:t>
      </w:r>
      <w:r>
        <w:rPr/>
        <w:t>buying:</w:t>
      </w:r>
      <w:r>
        <w:rPr>
          <w:spacing w:val="-3"/>
        </w:rPr>
        <w:t> </w:t>
      </w:r>
      <w:r>
        <w:rPr/>
        <w:t>a review and research agenda." </w:t>
      </w:r>
      <w:r>
        <w:rPr>
          <w:i/>
        </w:rPr>
        <w:t>Journal of Consumer Behaviour 23</w:t>
      </w:r>
      <w:r>
        <w:rPr/>
        <w:t>(3), 1512-1527.</w:t>
      </w:r>
    </w:p>
    <w:p>
      <w:pPr>
        <w:pStyle w:val="BodyText"/>
        <w:spacing w:before="1"/>
      </w:pPr>
    </w:p>
    <w:p>
      <w:pPr>
        <w:spacing w:line="230" w:lineRule="auto" w:before="1"/>
        <w:ind w:left="731" w:right="1619" w:hanging="15"/>
        <w:jc w:val="left"/>
        <w:rPr>
          <w:sz w:val="24"/>
        </w:rPr>
      </w:pPr>
      <w:r>
        <w:rPr>
          <w:color w:val="212121"/>
          <w:sz w:val="24"/>
        </w:rPr>
        <w:t>Black,</w:t>
      </w:r>
      <w:r>
        <w:rPr>
          <w:color w:val="212121"/>
          <w:spacing w:val="-6"/>
          <w:sz w:val="24"/>
        </w:rPr>
        <w:t> </w:t>
      </w:r>
      <w:r>
        <w:rPr>
          <w:color w:val="212121"/>
          <w:sz w:val="24"/>
        </w:rPr>
        <w:t>D.</w:t>
      </w:r>
      <w:r>
        <w:rPr>
          <w:color w:val="212121"/>
          <w:spacing w:val="-6"/>
          <w:sz w:val="24"/>
        </w:rPr>
        <w:t> </w:t>
      </w:r>
      <w:r>
        <w:rPr>
          <w:color w:val="212121"/>
          <w:sz w:val="24"/>
        </w:rPr>
        <w:t>W.</w:t>
      </w:r>
      <w:r>
        <w:rPr>
          <w:color w:val="212121"/>
          <w:spacing w:val="-6"/>
          <w:sz w:val="24"/>
        </w:rPr>
        <w:t> </w:t>
      </w:r>
      <w:r>
        <w:rPr>
          <w:color w:val="212121"/>
          <w:sz w:val="24"/>
        </w:rPr>
        <w:t>(2022).</w:t>
      </w:r>
      <w:r>
        <w:rPr>
          <w:color w:val="212121"/>
          <w:spacing w:val="-6"/>
          <w:sz w:val="24"/>
        </w:rPr>
        <w:t> </w:t>
      </w:r>
      <w:r>
        <w:rPr>
          <w:color w:val="212121"/>
          <w:sz w:val="24"/>
        </w:rPr>
        <w:t>Compulsive</w:t>
      </w:r>
      <w:r>
        <w:rPr>
          <w:color w:val="212121"/>
          <w:spacing w:val="-6"/>
          <w:sz w:val="24"/>
        </w:rPr>
        <w:t> </w:t>
      </w:r>
      <w:r>
        <w:rPr>
          <w:color w:val="212121"/>
          <w:sz w:val="24"/>
        </w:rPr>
        <w:t>shopping:</w:t>
      </w:r>
      <w:r>
        <w:rPr>
          <w:color w:val="212121"/>
          <w:spacing w:val="-6"/>
          <w:sz w:val="24"/>
        </w:rPr>
        <w:t> </w:t>
      </w:r>
      <w:r>
        <w:rPr>
          <w:color w:val="212121"/>
          <w:sz w:val="24"/>
        </w:rPr>
        <w:t>A</w:t>
      </w:r>
      <w:r>
        <w:rPr>
          <w:color w:val="212121"/>
          <w:spacing w:val="-6"/>
          <w:sz w:val="24"/>
        </w:rPr>
        <w:t> </w:t>
      </w:r>
      <w:r>
        <w:rPr>
          <w:color w:val="212121"/>
          <w:sz w:val="24"/>
        </w:rPr>
        <w:t>review</w:t>
      </w:r>
      <w:r>
        <w:rPr>
          <w:color w:val="212121"/>
          <w:spacing w:val="-6"/>
          <w:sz w:val="24"/>
        </w:rPr>
        <w:t> </w:t>
      </w:r>
      <w:r>
        <w:rPr>
          <w:color w:val="212121"/>
          <w:sz w:val="24"/>
        </w:rPr>
        <w:t>and</w:t>
      </w:r>
      <w:r>
        <w:rPr>
          <w:color w:val="212121"/>
          <w:spacing w:val="-6"/>
          <w:sz w:val="24"/>
        </w:rPr>
        <w:t> </w:t>
      </w:r>
      <w:r>
        <w:rPr>
          <w:color w:val="212121"/>
          <w:sz w:val="24"/>
        </w:rPr>
        <w:t>update.</w:t>
      </w:r>
      <w:r>
        <w:rPr>
          <w:color w:val="212121"/>
          <w:spacing w:val="-6"/>
          <w:sz w:val="24"/>
        </w:rPr>
        <w:t> </w:t>
      </w:r>
      <w:r>
        <w:rPr>
          <w:i/>
          <w:color w:val="212121"/>
          <w:sz w:val="24"/>
        </w:rPr>
        <w:t>Current</w:t>
      </w:r>
      <w:r>
        <w:rPr>
          <w:i/>
          <w:color w:val="212121"/>
          <w:spacing w:val="-6"/>
          <w:sz w:val="24"/>
        </w:rPr>
        <w:t> </w:t>
      </w:r>
      <w:r>
        <w:rPr>
          <w:i/>
          <w:color w:val="212121"/>
          <w:sz w:val="24"/>
        </w:rPr>
        <w:t>Opinion</w:t>
      </w:r>
      <w:r>
        <w:rPr>
          <w:i/>
          <w:color w:val="212121"/>
          <w:spacing w:val="-6"/>
          <w:sz w:val="24"/>
        </w:rPr>
        <w:t> </w:t>
      </w:r>
      <w:r>
        <w:rPr>
          <w:i/>
          <w:color w:val="212121"/>
          <w:sz w:val="24"/>
        </w:rPr>
        <w:t>in</w:t>
      </w:r>
      <w:r>
        <w:rPr>
          <w:i/>
          <w:color w:val="212121"/>
          <w:sz w:val="24"/>
        </w:rPr>
        <w:t> Psychology</w:t>
      </w:r>
      <w:r>
        <w:rPr>
          <w:color w:val="212121"/>
          <w:sz w:val="24"/>
        </w:rPr>
        <w:t>,</w:t>
      </w:r>
      <w:r>
        <w:rPr>
          <w:color w:val="212121"/>
          <w:spacing w:val="40"/>
          <w:sz w:val="24"/>
        </w:rPr>
        <w:t> </w:t>
      </w:r>
      <w:r>
        <w:rPr>
          <w:i/>
          <w:color w:val="212121"/>
          <w:sz w:val="24"/>
        </w:rPr>
        <w:t>46</w:t>
      </w:r>
      <w:r>
        <w:rPr>
          <w:color w:val="212121"/>
          <w:sz w:val="24"/>
        </w:rPr>
        <w:t>, 101321.</w:t>
      </w:r>
    </w:p>
    <w:p>
      <w:pPr>
        <w:pStyle w:val="BodyText"/>
        <w:spacing w:before="4"/>
      </w:pPr>
    </w:p>
    <w:p>
      <w:pPr>
        <w:spacing w:line="230" w:lineRule="auto" w:before="0"/>
        <w:ind w:left="716" w:right="1191" w:firstLine="0"/>
        <w:jc w:val="left"/>
        <w:rPr>
          <w:sz w:val="24"/>
        </w:rPr>
      </w:pPr>
      <w:r>
        <w:rPr>
          <w:sz w:val="24"/>
        </w:rPr>
        <w:t>Braun,</w:t>
      </w:r>
      <w:r>
        <w:rPr>
          <w:spacing w:val="-9"/>
          <w:sz w:val="24"/>
        </w:rPr>
        <w:t> </w:t>
      </w:r>
      <w:r>
        <w:rPr>
          <w:sz w:val="24"/>
        </w:rPr>
        <w:t>V.,</w:t>
      </w:r>
      <w:r>
        <w:rPr>
          <w:spacing w:val="-9"/>
          <w:sz w:val="24"/>
        </w:rPr>
        <w:t> </w:t>
      </w:r>
      <w:r>
        <w:rPr>
          <w:sz w:val="24"/>
        </w:rPr>
        <w:t>&amp;</w:t>
      </w:r>
      <w:r>
        <w:rPr>
          <w:spacing w:val="-9"/>
          <w:sz w:val="24"/>
        </w:rPr>
        <w:t> </w:t>
      </w:r>
      <w:r>
        <w:rPr>
          <w:sz w:val="24"/>
        </w:rPr>
        <w:t>Clarke,</w:t>
      </w:r>
      <w:r>
        <w:rPr>
          <w:spacing w:val="-9"/>
          <w:sz w:val="24"/>
        </w:rPr>
        <w:t> </w:t>
      </w:r>
      <w:r>
        <w:rPr>
          <w:sz w:val="24"/>
        </w:rPr>
        <w:t>V.</w:t>
      </w:r>
      <w:r>
        <w:rPr>
          <w:spacing w:val="-9"/>
          <w:sz w:val="24"/>
        </w:rPr>
        <w:t> </w:t>
      </w:r>
      <w:r>
        <w:rPr>
          <w:sz w:val="24"/>
        </w:rPr>
        <w:t>(2019).</w:t>
      </w:r>
      <w:r>
        <w:rPr>
          <w:spacing w:val="-9"/>
          <w:sz w:val="24"/>
        </w:rPr>
        <w:t> </w:t>
      </w:r>
      <w:r>
        <w:rPr>
          <w:sz w:val="24"/>
        </w:rPr>
        <w:t>Reflecting</w:t>
      </w:r>
      <w:r>
        <w:rPr>
          <w:spacing w:val="-9"/>
          <w:sz w:val="24"/>
        </w:rPr>
        <w:t> </w:t>
      </w:r>
      <w:r>
        <w:rPr>
          <w:sz w:val="24"/>
        </w:rPr>
        <w:t>on</w:t>
      </w:r>
      <w:r>
        <w:rPr>
          <w:spacing w:val="-9"/>
          <w:sz w:val="24"/>
        </w:rPr>
        <w:t> </w:t>
      </w:r>
      <w:r>
        <w:rPr>
          <w:sz w:val="24"/>
        </w:rPr>
        <w:t>reflexive</w:t>
      </w:r>
      <w:r>
        <w:rPr>
          <w:spacing w:val="-9"/>
          <w:sz w:val="24"/>
        </w:rPr>
        <w:t> </w:t>
      </w:r>
      <w:r>
        <w:rPr>
          <w:sz w:val="24"/>
        </w:rPr>
        <w:t>thematic</w:t>
      </w:r>
      <w:r>
        <w:rPr>
          <w:spacing w:val="-9"/>
          <w:sz w:val="24"/>
        </w:rPr>
        <w:t> </w:t>
      </w:r>
      <w:r>
        <w:rPr>
          <w:sz w:val="24"/>
        </w:rPr>
        <w:t>analysis.</w:t>
      </w:r>
      <w:r>
        <w:rPr>
          <w:spacing w:val="-9"/>
          <w:sz w:val="24"/>
        </w:rPr>
        <w:t> </w:t>
      </w:r>
      <w:r>
        <w:rPr>
          <w:i/>
          <w:sz w:val="24"/>
        </w:rPr>
        <w:t>Qualitative</w:t>
      </w:r>
      <w:r>
        <w:rPr>
          <w:i/>
          <w:spacing w:val="-9"/>
          <w:sz w:val="24"/>
        </w:rPr>
        <w:t> </w:t>
      </w:r>
      <w:r>
        <w:rPr>
          <w:i/>
          <w:sz w:val="24"/>
        </w:rPr>
        <w:t>research</w:t>
      </w:r>
      <w:r>
        <w:rPr>
          <w:i/>
          <w:spacing w:val="-9"/>
          <w:sz w:val="24"/>
        </w:rPr>
        <w:t> </w:t>
      </w:r>
      <w:r>
        <w:rPr>
          <w:i/>
          <w:sz w:val="24"/>
        </w:rPr>
        <w:t>in</w:t>
      </w:r>
      <w:r>
        <w:rPr>
          <w:i/>
          <w:sz w:val="24"/>
        </w:rPr>
        <w:t> sport, exercise and health</w:t>
      </w:r>
      <w:r>
        <w:rPr>
          <w:sz w:val="24"/>
        </w:rPr>
        <w:t>, </w:t>
      </w:r>
      <w:r>
        <w:rPr>
          <w:i/>
          <w:sz w:val="24"/>
        </w:rPr>
        <w:t>11</w:t>
      </w:r>
      <w:r>
        <w:rPr>
          <w:sz w:val="24"/>
        </w:rPr>
        <w:t>(4), 589-597.</w:t>
      </w:r>
    </w:p>
    <w:p>
      <w:pPr>
        <w:pStyle w:val="BodyText"/>
        <w:spacing w:line="275" w:lineRule="exact"/>
        <w:ind w:left="731"/>
      </w:pPr>
      <w:r>
        <w:rPr/>
        <w:t>Gonzalez,</w:t>
      </w:r>
      <w:r>
        <w:rPr>
          <w:spacing w:val="15"/>
        </w:rPr>
        <w:t> </w:t>
      </w:r>
      <w:r>
        <w:rPr/>
        <w:t>J.</w:t>
      </w:r>
      <w:r>
        <w:rPr>
          <w:spacing w:val="15"/>
        </w:rPr>
        <w:t> </w:t>
      </w:r>
      <w:r>
        <w:rPr/>
        <w:t>(2020),</w:t>
      </w:r>
      <w:r>
        <w:rPr>
          <w:spacing w:val="15"/>
        </w:rPr>
        <w:t> </w:t>
      </w:r>
      <w:r>
        <w:rPr/>
        <w:t>“New</w:t>
      </w:r>
      <w:r>
        <w:rPr>
          <w:spacing w:val="15"/>
        </w:rPr>
        <w:t> </w:t>
      </w:r>
      <w:r>
        <w:rPr/>
        <w:t>open</w:t>
      </w:r>
      <w:r>
        <w:rPr>
          <w:spacing w:val="15"/>
        </w:rPr>
        <w:t> </w:t>
      </w:r>
      <w:r>
        <w:rPr/>
        <w:t>container</w:t>
      </w:r>
      <w:r>
        <w:rPr>
          <w:spacing w:val="15"/>
        </w:rPr>
        <w:t> </w:t>
      </w:r>
      <w:r>
        <w:rPr/>
        <w:t>bill</w:t>
      </w:r>
      <w:r>
        <w:rPr>
          <w:spacing w:val="15"/>
        </w:rPr>
        <w:t> </w:t>
      </w:r>
      <w:r>
        <w:rPr/>
        <w:t>may allow drinking while shopping at retail </w:t>
      </w:r>
      <w:r>
        <w:rPr>
          <w:spacing w:val="-2"/>
        </w:rPr>
        <w:t>stores</w:t>
      </w:r>
    </w:p>
    <w:p>
      <w:pPr>
        <w:pStyle w:val="BodyText"/>
        <w:spacing w:after="0" w:line="275" w:lineRule="exact"/>
        <w:sectPr>
          <w:pgSz w:w="12240" w:h="15840"/>
          <w:pgMar w:header="0" w:footer="726" w:top="620" w:bottom="960" w:left="720" w:right="0"/>
        </w:sectPr>
      </w:pPr>
    </w:p>
    <w:p>
      <w:pPr>
        <w:pStyle w:val="BodyText"/>
        <w:tabs>
          <w:tab w:pos="1158" w:val="left" w:leader="none"/>
          <w:tab w:pos="2360" w:val="left" w:leader="none"/>
          <w:tab w:pos="3315" w:val="left" w:leader="none"/>
          <w:tab w:pos="3875" w:val="left" w:leader="none"/>
          <w:tab w:pos="4795" w:val="left" w:leader="none"/>
          <w:tab w:pos="5469" w:val="left" w:leader="none"/>
          <w:tab w:pos="6628" w:val="left" w:leader="none"/>
          <w:tab w:pos="7375" w:val="left" w:leader="none"/>
          <w:tab w:pos="7915" w:val="left" w:leader="none"/>
          <w:tab w:pos="8774" w:val="left" w:leader="none"/>
          <w:tab w:pos="9961" w:val="left" w:leader="none"/>
        </w:tabs>
        <w:spacing w:before="61"/>
        <w:ind w:left="716" w:right="1383"/>
      </w:pPr>
      <w:bookmarkStart w:name="  " w:id="11"/>
      <w:bookmarkEnd w:id="11"/>
      <w:r>
        <w:rPr/>
      </w:r>
      <w:bookmarkStart w:name=" " w:id="12"/>
      <w:bookmarkEnd w:id="12"/>
      <w:r>
        <w:rPr/>
      </w:r>
      <w:bookmarkStart w:name=" " w:id="13"/>
      <w:bookmarkEnd w:id="13"/>
      <w:r>
        <w:rPr/>
      </w:r>
      <w:r>
        <w:rPr>
          <w:spacing w:val="-6"/>
        </w:rPr>
        <w:t>in</w:t>
      </w:r>
      <w:r>
        <w:rPr/>
        <w:tab/>
      </w:r>
      <w:r>
        <w:rPr>
          <w:spacing w:val="-2"/>
        </w:rPr>
        <w:t>Virginia,”</w:t>
      </w:r>
      <w:r>
        <w:rPr/>
        <w:tab/>
      </w:r>
      <w:r>
        <w:rPr>
          <w:spacing w:val="-2"/>
        </w:rPr>
        <w:t>WJLA,</w:t>
      </w:r>
      <w:r>
        <w:rPr/>
        <w:tab/>
      </w:r>
      <w:r>
        <w:rPr>
          <w:spacing w:val="-6"/>
        </w:rPr>
        <w:t>TV</w:t>
      </w:r>
      <w:r>
        <w:rPr/>
        <w:tab/>
      </w:r>
      <w:r>
        <w:rPr>
          <w:spacing w:val="-2"/>
        </w:rPr>
        <w:t>Station</w:t>
      </w:r>
      <w:r>
        <w:rPr/>
        <w:tab/>
      </w:r>
      <w:r>
        <w:rPr>
          <w:spacing w:val="-2"/>
        </w:rPr>
        <w:t>Site,</w:t>
      </w:r>
      <w:r>
        <w:rPr/>
        <w:tab/>
      </w:r>
      <w:r>
        <w:rPr>
          <w:spacing w:val="-2"/>
        </w:rPr>
        <w:t>(accessed</w:t>
      </w:r>
      <w:r>
        <w:rPr/>
        <w:tab/>
      </w:r>
      <w:r>
        <w:rPr>
          <w:spacing w:val="-2"/>
        </w:rPr>
        <w:t>April</w:t>
      </w:r>
      <w:r>
        <w:rPr/>
        <w:tab/>
      </w:r>
      <w:r>
        <w:rPr>
          <w:spacing w:val="-4"/>
        </w:rPr>
        <w:t>19,</w:t>
      </w:r>
      <w:r>
        <w:rPr/>
        <w:tab/>
      </w:r>
      <w:r>
        <w:rPr>
          <w:spacing w:val="-2"/>
        </w:rPr>
        <w:t>2020),</w:t>
      </w:r>
      <w:r>
        <w:rPr/>
        <w:tab/>
      </w:r>
      <w:r>
        <w:rPr>
          <w:spacing w:val="-2"/>
        </w:rPr>
        <w:t>[available</w:t>
      </w:r>
      <w:r>
        <w:rPr/>
        <w:tab/>
      </w:r>
      <w:r>
        <w:rPr>
          <w:spacing w:val="-6"/>
        </w:rPr>
        <w:t>at </w:t>
      </w:r>
      <w:hyperlink r:id="rId11">
        <w:r>
          <w:rPr>
            <w:color w:val="457886"/>
            <w:spacing w:val="-2"/>
            <w:u w:val="thick" w:color="457886"/>
          </w:rPr>
          <w:t>https://wjla.com/news/local/open-container-bill-is-being-introduced-in-virginia</w:t>
        </w:r>
      </w:hyperlink>
      <w:r>
        <w:rPr>
          <w:spacing w:val="-2"/>
          <w:u w:val="none"/>
        </w:rPr>
        <w:t>].</w:t>
      </w:r>
    </w:p>
    <w:p>
      <w:pPr>
        <w:pStyle w:val="BodyText"/>
        <w:spacing w:before="275"/>
        <w:ind w:left="731" w:right="1619" w:hanging="15"/>
      </w:pPr>
      <w:r>
        <w:rPr/>
        <w:t>Harnish,</w:t>
      </w:r>
      <w:r>
        <w:rPr>
          <w:spacing w:val="-6"/>
        </w:rPr>
        <w:t> </w:t>
      </w:r>
      <w:r>
        <w:rPr/>
        <w:t>R.</w:t>
      </w:r>
      <w:r>
        <w:rPr>
          <w:spacing w:val="-6"/>
        </w:rPr>
        <w:t> </w:t>
      </w:r>
      <w:r>
        <w:rPr/>
        <w:t>J.,</w:t>
      </w:r>
      <w:r>
        <w:rPr>
          <w:spacing w:val="-6"/>
        </w:rPr>
        <w:t> </w:t>
      </w:r>
      <w:r>
        <w:rPr/>
        <w:t>Ryerson,</w:t>
      </w:r>
      <w:r>
        <w:rPr>
          <w:spacing w:val="-6"/>
        </w:rPr>
        <w:t> </w:t>
      </w:r>
      <w:r>
        <w:rPr/>
        <w:t>N.</w:t>
      </w:r>
      <w:r>
        <w:rPr>
          <w:spacing w:val="-6"/>
        </w:rPr>
        <w:t> </w:t>
      </w:r>
      <w:r>
        <w:rPr/>
        <w:t>C.,</w:t>
      </w:r>
      <w:r>
        <w:rPr>
          <w:spacing w:val="-6"/>
        </w:rPr>
        <w:t> </w:t>
      </w:r>
      <w:r>
        <w:rPr/>
        <w:t>&amp;</w:t>
      </w:r>
      <w:r>
        <w:rPr>
          <w:spacing w:val="-6"/>
        </w:rPr>
        <w:t> </w:t>
      </w:r>
      <w:r>
        <w:rPr/>
        <w:t>Tarka,</w:t>
      </w:r>
      <w:r>
        <w:rPr>
          <w:spacing w:val="-6"/>
        </w:rPr>
        <w:t> </w:t>
      </w:r>
      <w:r>
        <w:rPr/>
        <w:t>P.</w:t>
      </w:r>
      <w:r>
        <w:rPr>
          <w:spacing w:val="-6"/>
        </w:rPr>
        <w:t> </w:t>
      </w:r>
      <w:r>
        <w:rPr/>
        <w:t>(2023).</w:t>
      </w:r>
      <w:r>
        <w:rPr>
          <w:spacing w:val="-6"/>
        </w:rPr>
        <w:t> </w:t>
      </w:r>
      <w:r>
        <w:rPr/>
        <w:t>Purchasing</w:t>
      </w:r>
      <w:r>
        <w:rPr>
          <w:spacing w:val="-6"/>
        </w:rPr>
        <w:t> </w:t>
      </w:r>
      <w:r>
        <w:rPr/>
        <w:t>Under</w:t>
      </w:r>
      <w:r>
        <w:rPr>
          <w:spacing w:val="-6"/>
        </w:rPr>
        <w:t> </w:t>
      </w:r>
      <w:r>
        <w:rPr/>
        <w:t>the</w:t>
      </w:r>
      <w:r>
        <w:rPr>
          <w:spacing w:val="-6"/>
        </w:rPr>
        <w:t> </w:t>
      </w:r>
      <w:r>
        <w:rPr/>
        <w:t>Influence</w:t>
      </w:r>
      <w:r>
        <w:rPr>
          <w:spacing w:val="-6"/>
        </w:rPr>
        <w:t> </w:t>
      </w:r>
      <w:r>
        <w:rPr/>
        <w:t>of</w:t>
      </w:r>
      <w:r>
        <w:rPr>
          <w:spacing w:val="-6"/>
        </w:rPr>
        <w:t> </w:t>
      </w:r>
      <w:r>
        <w:rPr/>
        <w:t>Alcohol: The Impact of Hazardous and Harmful Patterns of Alcohol Consumption, Impulsivity, and</w:t>
      </w:r>
    </w:p>
    <w:p>
      <w:pPr>
        <w:pStyle w:val="BodyText"/>
      </w:pPr>
    </w:p>
    <w:p>
      <w:pPr>
        <w:pStyle w:val="BodyText"/>
        <w:ind w:left="716" w:right="1191" w:firstLine="15"/>
      </w:pPr>
      <w:r>
        <w:rPr/>
        <w:t>Compulsive</w:t>
      </w:r>
      <w:r>
        <w:rPr>
          <w:spacing w:val="-8"/>
        </w:rPr>
        <w:t> </w:t>
      </w:r>
      <w:r>
        <w:rPr/>
        <w:t>Buying.</w:t>
      </w:r>
      <w:r>
        <w:rPr>
          <w:spacing w:val="-8"/>
        </w:rPr>
        <w:t> </w:t>
      </w:r>
      <w:r>
        <w:rPr/>
        <w:t>Psychological</w:t>
      </w:r>
      <w:r>
        <w:rPr>
          <w:spacing w:val="-8"/>
        </w:rPr>
        <w:t> </w:t>
      </w:r>
      <w:r>
        <w:rPr/>
        <w:t>reports,</w:t>
      </w:r>
      <w:r>
        <w:rPr>
          <w:spacing w:val="-8"/>
        </w:rPr>
        <w:t> </w:t>
      </w:r>
      <w:r>
        <w:rPr/>
        <w:t>128(2),</w:t>
      </w:r>
      <w:r>
        <w:rPr>
          <w:spacing w:val="-8"/>
        </w:rPr>
        <w:t> </w:t>
      </w:r>
      <w:r>
        <w:rPr/>
        <w:t>638–</w:t>
      </w:r>
      <w:r>
        <w:rPr/>
        <w:t>677. </w:t>
      </w:r>
      <w:hyperlink r:id="rId12">
        <w:r>
          <w:rPr>
            <w:color w:val="457886"/>
            <w:spacing w:val="-2"/>
            <w:u w:val="thick" w:color="457886"/>
          </w:rPr>
          <w:t>https://doi.org/10.1177/00332941231164348</w:t>
        </w:r>
      </w:hyperlink>
    </w:p>
    <w:p>
      <w:pPr>
        <w:pStyle w:val="BodyText"/>
        <w:spacing w:before="6"/>
      </w:pPr>
    </w:p>
    <w:p>
      <w:pPr>
        <w:pStyle w:val="BodyText"/>
        <w:spacing w:line="230" w:lineRule="auto"/>
        <w:ind w:left="716" w:right="1376"/>
        <w:jc w:val="both"/>
      </w:pPr>
      <w:r>
        <w:rPr/>
        <w:t>Harnish, R. J., Miller, A. E., &amp; Davis, K. L. (2025). Purchasing under the Influence of Alcohol: Exploring problematic online shopping. </w:t>
      </w:r>
      <w:r>
        <w:rPr>
          <w:i/>
        </w:rPr>
        <w:t>Psychological Reports</w:t>
      </w:r>
      <w:r>
        <w:rPr/>
        <w:t>. Advance online </w:t>
      </w:r>
      <w:r>
        <w:rPr/>
        <w:t>publication. </w:t>
      </w:r>
      <w:hyperlink r:id="rId12">
        <w:r>
          <w:rPr>
            <w:color w:val="457886"/>
            <w:spacing w:val="-2"/>
            <w:u w:val="thick" w:color="457886"/>
          </w:rPr>
          <w:t>https://doi.org/10.1177/00332941231164348</w:t>
        </w:r>
      </w:hyperlink>
    </w:p>
    <w:p>
      <w:pPr>
        <w:pStyle w:val="BodyText"/>
        <w:spacing w:before="4"/>
      </w:pPr>
    </w:p>
    <w:p>
      <w:pPr>
        <w:spacing w:line="230" w:lineRule="auto" w:before="0"/>
        <w:ind w:left="731" w:right="1619" w:hanging="15"/>
        <w:jc w:val="left"/>
        <w:rPr>
          <w:sz w:val="24"/>
        </w:rPr>
      </w:pPr>
      <w:r>
        <w:rPr>
          <w:color w:val="212121"/>
          <w:sz w:val="24"/>
        </w:rPr>
        <w:t>Hill,</w:t>
      </w:r>
      <w:r>
        <w:rPr>
          <w:color w:val="212121"/>
          <w:spacing w:val="-7"/>
          <w:sz w:val="24"/>
        </w:rPr>
        <w:t> </w:t>
      </w:r>
      <w:r>
        <w:rPr>
          <w:color w:val="212121"/>
          <w:sz w:val="24"/>
        </w:rPr>
        <w:t>R.</w:t>
      </w:r>
      <w:r>
        <w:rPr>
          <w:color w:val="212121"/>
          <w:spacing w:val="-7"/>
          <w:sz w:val="24"/>
        </w:rPr>
        <w:t> </w:t>
      </w:r>
      <w:r>
        <w:rPr>
          <w:color w:val="212121"/>
          <w:sz w:val="24"/>
        </w:rPr>
        <w:t>P.,</w:t>
      </w:r>
      <w:r>
        <w:rPr>
          <w:color w:val="212121"/>
          <w:spacing w:val="-7"/>
          <w:sz w:val="24"/>
        </w:rPr>
        <w:t> </w:t>
      </w:r>
      <w:r>
        <w:rPr>
          <w:color w:val="212121"/>
          <w:sz w:val="24"/>
        </w:rPr>
        <w:t>&amp;</w:t>
      </w:r>
      <w:r>
        <w:rPr>
          <w:color w:val="212121"/>
          <w:spacing w:val="-7"/>
          <w:sz w:val="24"/>
        </w:rPr>
        <w:t> </w:t>
      </w:r>
      <w:r>
        <w:rPr>
          <w:color w:val="212121"/>
          <w:sz w:val="24"/>
        </w:rPr>
        <w:t>Sharma,</w:t>
      </w:r>
      <w:r>
        <w:rPr>
          <w:color w:val="212121"/>
          <w:spacing w:val="-7"/>
          <w:sz w:val="24"/>
        </w:rPr>
        <w:t> </w:t>
      </w:r>
      <w:r>
        <w:rPr>
          <w:color w:val="212121"/>
          <w:sz w:val="24"/>
        </w:rPr>
        <w:t>E.</w:t>
      </w:r>
      <w:r>
        <w:rPr>
          <w:color w:val="212121"/>
          <w:spacing w:val="-7"/>
          <w:sz w:val="24"/>
        </w:rPr>
        <w:t> </w:t>
      </w:r>
      <w:r>
        <w:rPr>
          <w:color w:val="212121"/>
          <w:sz w:val="24"/>
        </w:rPr>
        <w:t>(2020).</w:t>
      </w:r>
      <w:r>
        <w:rPr>
          <w:color w:val="212121"/>
          <w:spacing w:val="-7"/>
          <w:sz w:val="24"/>
        </w:rPr>
        <w:t> </w:t>
      </w:r>
      <w:r>
        <w:rPr>
          <w:color w:val="212121"/>
          <w:sz w:val="24"/>
        </w:rPr>
        <w:t>Consumer</w:t>
      </w:r>
      <w:r>
        <w:rPr>
          <w:color w:val="212121"/>
          <w:spacing w:val="-7"/>
          <w:sz w:val="24"/>
        </w:rPr>
        <w:t> </w:t>
      </w:r>
      <w:r>
        <w:rPr>
          <w:color w:val="212121"/>
          <w:sz w:val="24"/>
        </w:rPr>
        <w:t>vulnerability.</w:t>
      </w:r>
      <w:r>
        <w:rPr>
          <w:color w:val="212121"/>
          <w:spacing w:val="-7"/>
          <w:sz w:val="24"/>
        </w:rPr>
        <w:t> </w:t>
      </w:r>
      <w:r>
        <w:rPr>
          <w:i/>
          <w:color w:val="212121"/>
          <w:sz w:val="24"/>
        </w:rPr>
        <w:t>Journal</w:t>
      </w:r>
      <w:r>
        <w:rPr>
          <w:i/>
          <w:color w:val="212121"/>
          <w:spacing w:val="-7"/>
          <w:sz w:val="24"/>
        </w:rPr>
        <w:t> </w:t>
      </w:r>
      <w:r>
        <w:rPr>
          <w:i/>
          <w:color w:val="212121"/>
          <w:sz w:val="24"/>
        </w:rPr>
        <w:t>of</w:t>
      </w:r>
      <w:r>
        <w:rPr>
          <w:i/>
          <w:color w:val="212121"/>
          <w:spacing w:val="-7"/>
          <w:sz w:val="24"/>
        </w:rPr>
        <w:t> </w:t>
      </w:r>
      <w:r>
        <w:rPr>
          <w:i/>
          <w:color w:val="212121"/>
          <w:sz w:val="24"/>
        </w:rPr>
        <w:t>Consumer</w:t>
      </w:r>
      <w:r>
        <w:rPr>
          <w:i/>
          <w:color w:val="212121"/>
          <w:spacing w:val="-7"/>
          <w:sz w:val="24"/>
        </w:rPr>
        <w:t> </w:t>
      </w:r>
      <w:r>
        <w:rPr>
          <w:i/>
          <w:color w:val="212121"/>
          <w:sz w:val="24"/>
        </w:rPr>
        <w:t>Psychology</w:t>
      </w:r>
      <w:r>
        <w:rPr>
          <w:color w:val="212121"/>
          <w:sz w:val="24"/>
        </w:rPr>
        <w:t>, </w:t>
      </w:r>
      <w:r>
        <w:rPr>
          <w:i/>
          <w:color w:val="212121"/>
          <w:sz w:val="24"/>
        </w:rPr>
        <w:t>30</w:t>
      </w:r>
      <w:r>
        <w:rPr>
          <w:color w:val="212121"/>
          <w:sz w:val="24"/>
        </w:rPr>
        <w:t>(3), 551-570.</w:t>
      </w:r>
    </w:p>
    <w:p>
      <w:pPr>
        <w:pStyle w:val="BodyText"/>
        <w:spacing w:before="5"/>
      </w:pPr>
    </w:p>
    <w:p>
      <w:pPr>
        <w:pStyle w:val="BodyText"/>
        <w:spacing w:line="230" w:lineRule="auto"/>
        <w:ind w:left="716" w:right="1381"/>
      </w:pPr>
      <w:r>
        <w:rPr/>
        <w:t>Household</w:t>
      </w:r>
      <w:r>
        <w:rPr>
          <w:spacing w:val="-5"/>
        </w:rPr>
        <w:t> </w:t>
      </w:r>
      <w:r>
        <w:rPr/>
        <w:t>debt</w:t>
      </w:r>
      <w:r>
        <w:rPr>
          <w:spacing w:val="-5"/>
        </w:rPr>
        <w:t> </w:t>
      </w:r>
      <w:r>
        <w:rPr/>
        <w:t>and</w:t>
      </w:r>
      <w:r>
        <w:rPr>
          <w:spacing w:val="-5"/>
        </w:rPr>
        <w:t> </w:t>
      </w:r>
      <w:r>
        <w:rPr/>
        <w:t>credit</w:t>
      </w:r>
      <w:r>
        <w:rPr>
          <w:spacing w:val="-5"/>
        </w:rPr>
        <w:t> </w:t>
      </w:r>
      <w:r>
        <w:rPr/>
        <w:t>report.</w:t>
      </w:r>
      <w:r>
        <w:rPr>
          <w:spacing w:val="-5"/>
        </w:rPr>
        <w:t> </w:t>
      </w:r>
      <w:r>
        <w:rPr/>
        <w:t>(2025,</w:t>
      </w:r>
      <w:r>
        <w:rPr>
          <w:spacing w:val="-5"/>
        </w:rPr>
        <w:t> </w:t>
      </w:r>
      <w:r>
        <w:rPr/>
        <w:t>March</w:t>
      </w:r>
      <w:r>
        <w:rPr>
          <w:spacing w:val="-5"/>
        </w:rPr>
        <w:t> </w:t>
      </w:r>
      <w:r>
        <w:rPr/>
        <w:t>31).</w:t>
      </w:r>
      <w:r>
        <w:rPr>
          <w:spacing w:val="-5"/>
        </w:rPr>
        <w:t> </w:t>
      </w:r>
      <w:r>
        <w:rPr/>
        <w:t>FEDERAL</w:t>
      </w:r>
      <w:r>
        <w:rPr>
          <w:spacing w:val="-5"/>
        </w:rPr>
        <w:t> </w:t>
      </w:r>
      <w:r>
        <w:rPr/>
        <w:t>RESERVE</w:t>
      </w:r>
      <w:r>
        <w:rPr>
          <w:spacing w:val="-5"/>
        </w:rPr>
        <w:t> </w:t>
      </w:r>
      <w:r>
        <w:rPr/>
        <w:t>BANK</w:t>
      </w:r>
      <w:r>
        <w:rPr>
          <w:spacing w:val="-5"/>
        </w:rPr>
        <w:t> </w:t>
      </w:r>
      <w:r>
        <w:rPr/>
        <w:t>of</w:t>
      </w:r>
      <w:r>
        <w:rPr>
          <w:spacing w:val="-5"/>
        </w:rPr>
        <w:t> </w:t>
      </w:r>
      <w:r>
        <w:rPr/>
        <w:t>NEW YORK. </w:t>
      </w:r>
      <w:hyperlink r:id="rId13">
        <w:r>
          <w:rPr/>
          <w:t>https://www.newyorkfed.org/microeconomics/hhdc</w:t>
        </w:r>
      </w:hyperlink>
    </w:p>
    <w:p>
      <w:pPr>
        <w:pStyle w:val="BodyText"/>
        <w:spacing w:before="5"/>
      </w:pPr>
    </w:p>
    <w:p>
      <w:pPr>
        <w:pStyle w:val="BodyText"/>
        <w:spacing w:line="230" w:lineRule="auto"/>
        <w:ind w:left="716" w:right="1381" w:firstLine="15"/>
      </w:pPr>
      <w:r>
        <w:rPr/>
        <w:t>Laylock,</w:t>
      </w:r>
      <w:r>
        <w:rPr>
          <w:spacing w:val="-3"/>
        </w:rPr>
        <w:t> </w:t>
      </w:r>
      <w:r>
        <w:rPr/>
        <w:t>R.</w:t>
      </w:r>
      <w:r>
        <w:rPr>
          <w:spacing w:val="-3"/>
        </w:rPr>
        <w:t> </w:t>
      </w:r>
      <w:r>
        <w:rPr/>
        <w:t>(2023,</w:t>
      </w:r>
      <w:r>
        <w:rPr>
          <w:spacing w:val="-3"/>
        </w:rPr>
        <w:t> </w:t>
      </w:r>
      <w:r>
        <w:rPr/>
        <w:t>Mar</w:t>
      </w:r>
      <w:r>
        <w:rPr>
          <w:spacing w:val="-3"/>
        </w:rPr>
        <w:t> </w:t>
      </w:r>
      <w:r>
        <w:rPr/>
        <w:t>7).</w:t>
      </w:r>
      <w:r>
        <w:rPr>
          <w:spacing w:val="-3"/>
        </w:rPr>
        <w:t> </w:t>
      </w:r>
      <w:r>
        <w:rPr/>
        <w:t>America's</w:t>
      </w:r>
      <w:r>
        <w:rPr>
          <w:spacing w:val="-3"/>
        </w:rPr>
        <w:t> </w:t>
      </w:r>
      <w:r>
        <w:rPr/>
        <w:t>Drunk</w:t>
      </w:r>
      <w:r>
        <w:rPr>
          <w:spacing w:val="-3"/>
        </w:rPr>
        <w:t> </w:t>
      </w:r>
      <w:r>
        <w:rPr/>
        <w:t>Shopping</w:t>
      </w:r>
      <w:r>
        <w:rPr>
          <w:spacing w:val="-3"/>
        </w:rPr>
        <w:t> </w:t>
      </w:r>
      <w:r>
        <w:rPr/>
        <w:t>Habit</w:t>
      </w:r>
      <w:r>
        <w:rPr>
          <w:spacing w:val="-3"/>
        </w:rPr>
        <w:t> </w:t>
      </w:r>
      <w:r>
        <w:rPr/>
        <w:t>at</w:t>
      </w:r>
      <w:r>
        <w:rPr>
          <w:spacing w:val="-3"/>
        </w:rPr>
        <w:t> </w:t>
      </w:r>
      <w:r>
        <w:rPr/>
        <w:t>$14</w:t>
      </w:r>
      <w:r>
        <w:rPr>
          <w:spacing w:val="-3"/>
        </w:rPr>
        <w:t> </w:t>
      </w:r>
      <w:r>
        <w:rPr/>
        <w:t>Billion:</w:t>
      </w:r>
      <w:r>
        <w:rPr>
          <w:spacing w:val="-3"/>
        </w:rPr>
        <w:t> </w:t>
      </w:r>
      <w:r>
        <w:rPr/>
        <w:t>America</w:t>
      </w:r>
      <w:r>
        <w:rPr>
          <w:spacing w:val="-3"/>
        </w:rPr>
        <w:t> </w:t>
      </w:r>
      <w:r>
        <w:rPr/>
        <w:t>is</w:t>
      </w:r>
      <w:r>
        <w:rPr>
          <w:spacing w:val="-3"/>
        </w:rPr>
        <w:t> </w:t>
      </w:r>
      <w:r>
        <w:rPr/>
        <w:t>Home</w:t>
      </w:r>
      <w:r>
        <w:rPr>
          <w:spacing w:val="-3"/>
        </w:rPr>
        <w:t> </w:t>
      </w:r>
      <w:r>
        <w:rPr/>
        <w:t>to 45 million Drunk Shoppers. </w:t>
      </w:r>
      <w:hyperlink r:id="rId14">
        <w:r>
          <w:rPr>
            <w:color w:val="457886"/>
            <w:u w:val="thick" w:color="457886"/>
          </w:rPr>
          <w:t>https://www.finder.com/credit-cards/drunk-shopping</w:t>
        </w:r>
      </w:hyperlink>
    </w:p>
    <w:p>
      <w:pPr>
        <w:pStyle w:val="BodyText"/>
        <w:spacing w:before="5"/>
      </w:pPr>
    </w:p>
    <w:p>
      <w:pPr>
        <w:pStyle w:val="BodyText"/>
        <w:spacing w:line="230" w:lineRule="auto"/>
        <w:ind w:left="731" w:right="1191" w:hanging="15"/>
      </w:pPr>
      <w:r>
        <w:rPr/>
        <w:t>Menon,</w:t>
      </w:r>
      <w:r>
        <w:rPr>
          <w:spacing w:val="-5"/>
        </w:rPr>
        <w:t> </w:t>
      </w:r>
      <w:r>
        <w:rPr/>
        <w:t>M.,</w:t>
      </w:r>
      <w:r>
        <w:rPr>
          <w:spacing w:val="-5"/>
        </w:rPr>
        <w:t> </w:t>
      </w:r>
      <w:r>
        <w:rPr/>
        <w:t>Ngamsiriudom,</w:t>
      </w:r>
      <w:r>
        <w:rPr>
          <w:spacing w:val="-5"/>
        </w:rPr>
        <w:t> </w:t>
      </w:r>
      <w:r>
        <w:rPr/>
        <w:t>W.</w:t>
      </w:r>
      <w:r>
        <w:rPr>
          <w:spacing w:val="-5"/>
        </w:rPr>
        <w:t> </w:t>
      </w:r>
      <w:r>
        <w:rPr/>
        <w:t>&amp;</w:t>
      </w:r>
      <w:r>
        <w:rPr>
          <w:spacing w:val="-5"/>
        </w:rPr>
        <w:t> </w:t>
      </w:r>
      <w:r>
        <w:rPr/>
        <w:t>Anthony,</w:t>
      </w:r>
      <w:r>
        <w:rPr>
          <w:spacing w:val="-5"/>
        </w:rPr>
        <w:t> </w:t>
      </w:r>
      <w:r>
        <w:rPr/>
        <w:t>S.</w:t>
      </w:r>
      <w:r>
        <w:rPr>
          <w:spacing w:val="-5"/>
        </w:rPr>
        <w:t> </w:t>
      </w:r>
      <w:r>
        <w:rPr/>
        <w:t>(2020)</w:t>
      </w:r>
      <w:r>
        <w:rPr>
          <w:spacing w:val="-5"/>
        </w:rPr>
        <w:t> </w:t>
      </w:r>
      <w:r>
        <w:rPr/>
        <w:t>Sip</w:t>
      </w:r>
      <w:r>
        <w:rPr>
          <w:spacing w:val="-5"/>
        </w:rPr>
        <w:t> </w:t>
      </w:r>
      <w:r>
        <w:rPr/>
        <w:t>‘N</w:t>
      </w:r>
      <w:r>
        <w:rPr>
          <w:spacing w:val="-5"/>
        </w:rPr>
        <w:t> </w:t>
      </w:r>
      <w:r>
        <w:rPr/>
        <w:t>Shop:</w:t>
      </w:r>
      <w:r>
        <w:rPr>
          <w:spacing w:val="-5"/>
        </w:rPr>
        <w:t> </w:t>
      </w:r>
      <w:r>
        <w:rPr/>
        <w:t>An</w:t>
      </w:r>
      <w:r>
        <w:rPr>
          <w:spacing w:val="-5"/>
        </w:rPr>
        <w:t> </w:t>
      </w:r>
      <w:r>
        <w:rPr/>
        <w:t>Exploration</w:t>
      </w:r>
      <w:r>
        <w:rPr>
          <w:spacing w:val="-5"/>
        </w:rPr>
        <w:t> </w:t>
      </w:r>
      <w:r>
        <w:rPr/>
        <w:t>of</w:t>
      </w:r>
      <w:r>
        <w:rPr>
          <w:spacing w:val="-5"/>
        </w:rPr>
        <w:t> </w:t>
      </w:r>
      <w:r>
        <w:rPr/>
        <w:t>the</w:t>
      </w:r>
      <w:r>
        <w:rPr>
          <w:spacing w:val="-5"/>
        </w:rPr>
        <w:t> </w:t>
      </w:r>
      <w:r>
        <w:rPr/>
        <w:t>Drunk Shopping Phenomenon. 2020 Society for Marketing Advances Annual Conference Proceedings (Virtual). Pp. 94-17.</w:t>
      </w:r>
    </w:p>
    <w:p>
      <w:pPr>
        <w:pStyle w:val="BodyText"/>
        <w:spacing w:before="4"/>
      </w:pPr>
    </w:p>
    <w:p>
      <w:pPr>
        <w:pStyle w:val="BodyText"/>
        <w:spacing w:line="230" w:lineRule="auto"/>
        <w:ind w:left="716" w:right="1375"/>
        <w:jc w:val="both"/>
      </w:pPr>
      <w:r>
        <w:rPr/>
        <w:t>Menon, M. (2019), “Online Grocery Shopping: An Exploratory Study on Why It Lags in Adoption,” in Changing the ‘Rhythm’</w:t>
      </w:r>
      <w:r>
        <w:rPr>
          <w:spacing w:val="-5"/>
        </w:rPr>
        <w:t> </w:t>
      </w:r>
      <w:r>
        <w:rPr/>
        <w:t>of</w:t>
      </w:r>
      <w:r>
        <w:rPr>
          <w:spacing w:val="-5"/>
        </w:rPr>
        <w:t> </w:t>
      </w:r>
      <w:r>
        <w:rPr/>
        <w:t>Marketing:</w:t>
      </w:r>
      <w:r>
        <w:rPr>
          <w:spacing w:val="-5"/>
        </w:rPr>
        <w:t> </w:t>
      </w:r>
      <w:r>
        <w:rPr/>
        <w:t>Are</w:t>
      </w:r>
      <w:r>
        <w:rPr>
          <w:spacing w:val="-5"/>
        </w:rPr>
        <w:t> </w:t>
      </w:r>
      <w:r>
        <w:rPr/>
        <w:t>We</w:t>
      </w:r>
      <w:r>
        <w:rPr>
          <w:spacing w:val="-5"/>
        </w:rPr>
        <w:t> </w:t>
      </w:r>
      <w:r>
        <w:rPr/>
        <w:t>Listening?</w:t>
      </w:r>
      <w:r>
        <w:rPr>
          <w:spacing w:val="-5"/>
        </w:rPr>
        <w:t> </w:t>
      </w:r>
      <w:r>
        <w:rPr/>
        <w:t>New</w:t>
      </w:r>
      <w:r>
        <w:rPr>
          <w:spacing w:val="-5"/>
        </w:rPr>
        <w:t> </w:t>
      </w:r>
      <w:r>
        <w:rPr/>
        <w:t>Orleans,</w:t>
      </w:r>
      <w:r>
        <w:rPr>
          <w:spacing w:val="-5"/>
        </w:rPr>
        <w:t> </w:t>
      </w:r>
      <w:r>
        <w:rPr/>
        <w:t>Louisiana: Society for Marketing Advances, 350–61.</w:t>
      </w:r>
    </w:p>
    <w:p>
      <w:pPr>
        <w:pStyle w:val="BodyText"/>
        <w:spacing w:before="5"/>
      </w:pPr>
    </w:p>
    <w:p>
      <w:pPr>
        <w:spacing w:line="230" w:lineRule="auto" w:before="0"/>
        <w:ind w:left="731" w:right="1191" w:hanging="15"/>
        <w:jc w:val="left"/>
        <w:rPr>
          <w:sz w:val="24"/>
        </w:rPr>
      </w:pPr>
      <w:r>
        <w:rPr>
          <w:sz w:val="24"/>
        </w:rPr>
        <w:t>Mick,</w:t>
      </w:r>
      <w:r>
        <w:rPr>
          <w:spacing w:val="-5"/>
          <w:sz w:val="24"/>
        </w:rPr>
        <w:t> </w:t>
      </w:r>
      <w:r>
        <w:rPr>
          <w:sz w:val="24"/>
        </w:rPr>
        <w:t>D.</w:t>
      </w:r>
      <w:r>
        <w:rPr>
          <w:spacing w:val="-5"/>
          <w:sz w:val="24"/>
        </w:rPr>
        <w:t> </w:t>
      </w:r>
      <w:r>
        <w:rPr>
          <w:sz w:val="24"/>
        </w:rPr>
        <w:t>G.,</w:t>
      </w:r>
      <w:r>
        <w:rPr>
          <w:spacing w:val="-5"/>
          <w:sz w:val="24"/>
        </w:rPr>
        <w:t> </w:t>
      </w:r>
      <w:r>
        <w:rPr>
          <w:sz w:val="24"/>
        </w:rPr>
        <w:t>Pettigrew,</w:t>
      </w:r>
      <w:r>
        <w:rPr>
          <w:spacing w:val="-5"/>
          <w:sz w:val="24"/>
        </w:rPr>
        <w:t> </w:t>
      </w:r>
      <w:r>
        <w:rPr>
          <w:sz w:val="24"/>
        </w:rPr>
        <w:t>S.,</w:t>
      </w:r>
      <w:r>
        <w:rPr>
          <w:spacing w:val="-5"/>
          <w:sz w:val="24"/>
        </w:rPr>
        <w:t> </w:t>
      </w:r>
      <w:r>
        <w:rPr>
          <w:sz w:val="24"/>
        </w:rPr>
        <w:t>Pechmann,</w:t>
      </w:r>
      <w:r>
        <w:rPr>
          <w:spacing w:val="-5"/>
          <w:sz w:val="24"/>
        </w:rPr>
        <w:t> </w:t>
      </w:r>
      <w:r>
        <w:rPr>
          <w:sz w:val="24"/>
        </w:rPr>
        <w:t>C.</w:t>
      </w:r>
      <w:r>
        <w:rPr>
          <w:spacing w:val="-5"/>
          <w:sz w:val="24"/>
        </w:rPr>
        <w:t> </w:t>
      </w:r>
      <w:r>
        <w:rPr>
          <w:sz w:val="24"/>
        </w:rPr>
        <w:t>C.,</w:t>
      </w:r>
      <w:r>
        <w:rPr>
          <w:spacing w:val="-5"/>
          <w:sz w:val="24"/>
        </w:rPr>
        <w:t> </w:t>
      </w:r>
      <w:r>
        <w:rPr>
          <w:sz w:val="24"/>
        </w:rPr>
        <w:t>&amp;</w:t>
      </w:r>
      <w:r>
        <w:rPr>
          <w:spacing w:val="-5"/>
          <w:sz w:val="24"/>
        </w:rPr>
        <w:t> </w:t>
      </w:r>
      <w:r>
        <w:rPr>
          <w:sz w:val="24"/>
        </w:rPr>
        <w:t>Ozanne,</w:t>
      </w:r>
      <w:r>
        <w:rPr>
          <w:spacing w:val="-5"/>
          <w:sz w:val="24"/>
        </w:rPr>
        <w:t> </w:t>
      </w:r>
      <w:r>
        <w:rPr>
          <w:sz w:val="24"/>
        </w:rPr>
        <w:t>J.</w:t>
      </w:r>
      <w:r>
        <w:rPr>
          <w:spacing w:val="-5"/>
          <w:sz w:val="24"/>
        </w:rPr>
        <w:t> </w:t>
      </w:r>
      <w:r>
        <w:rPr>
          <w:sz w:val="24"/>
        </w:rPr>
        <w:t>L.</w:t>
      </w:r>
      <w:r>
        <w:rPr>
          <w:spacing w:val="-5"/>
          <w:sz w:val="24"/>
        </w:rPr>
        <w:t> </w:t>
      </w:r>
      <w:r>
        <w:rPr>
          <w:sz w:val="24"/>
        </w:rPr>
        <w:t>(Eds.).</w:t>
      </w:r>
      <w:r>
        <w:rPr>
          <w:spacing w:val="-5"/>
          <w:sz w:val="24"/>
        </w:rPr>
        <w:t> </w:t>
      </w:r>
      <w:r>
        <w:rPr>
          <w:sz w:val="24"/>
        </w:rPr>
        <w:t>(2012).</w:t>
      </w:r>
      <w:r>
        <w:rPr>
          <w:spacing w:val="-5"/>
          <w:sz w:val="24"/>
        </w:rPr>
        <w:t> </w:t>
      </w:r>
      <w:r>
        <w:rPr>
          <w:i/>
          <w:sz w:val="24"/>
        </w:rPr>
        <w:t>Transformative</w:t>
      </w:r>
      <w:r>
        <w:rPr>
          <w:i/>
          <w:sz w:val="24"/>
        </w:rPr>
        <w:t> consumer research for personal and collective well-being</w:t>
      </w:r>
      <w:r>
        <w:rPr>
          <w:sz w:val="24"/>
        </w:rPr>
        <w:t>. Routledge.</w:t>
      </w:r>
    </w:p>
    <w:p>
      <w:pPr>
        <w:pStyle w:val="BodyText"/>
        <w:spacing w:before="5"/>
      </w:pPr>
    </w:p>
    <w:p>
      <w:pPr>
        <w:spacing w:line="230" w:lineRule="auto" w:before="0"/>
        <w:ind w:left="731" w:right="1619" w:hanging="15"/>
        <w:jc w:val="left"/>
        <w:rPr>
          <w:sz w:val="24"/>
        </w:rPr>
      </w:pPr>
      <w:r>
        <w:rPr>
          <w:sz w:val="24"/>
        </w:rPr>
        <w:t>Nilsson</w:t>
      </w:r>
      <w:r>
        <w:rPr>
          <w:spacing w:val="-5"/>
          <w:sz w:val="24"/>
        </w:rPr>
        <w:t> </w:t>
      </w:r>
      <w:r>
        <w:rPr>
          <w:sz w:val="24"/>
        </w:rPr>
        <w:t>Vestola</w:t>
      </w:r>
      <w:r>
        <w:rPr>
          <w:spacing w:val="-5"/>
          <w:sz w:val="24"/>
        </w:rPr>
        <w:t> </w:t>
      </w:r>
      <w:r>
        <w:rPr>
          <w:sz w:val="24"/>
        </w:rPr>
        <w:t>J.</w:t>
      </w:r>
      <w:r>
        <w:rPr>
          <w:spacing w:val="-5"/>
          <w:sz w:val="24"/>
        </w:rPr>
        <w:t> </w:t>
      </w:r>
      <w:r>
        <w:rPr>
          <w:sz w:val="24"/>
        </w:rPr>
        <w:t>(2025).</w:t>
      </w:r>
      <w:r>
        <w:rPr>
          <w:spacing w:val="-5"/>
          <w:sz w:val="24"/>
        </w:rPr>
        <w:t> </w:t>
      </w:r>
      <w:r>
        <w:rPr>
          <w:sz w:val="24"/>
        </w:rPr>
        <w:t>Perceptions</w:t>
      </w:r>
      <w:r>
        <w:rPr>
          <w:spacing w:val="-5"/>
          <w:sz w:val="24"/>
        </w:rPr>
        <w:t> </w:t>
      </w:r>
      <w:r>
        <w:rPr>
          <w:sz w:val="24"/>
        </w:rPr>
        <w:t>of</w:t>
      </w:r>
      <w:r>
        <w:rPr>
          <w:spacing w:val="-5"/>
          <w:sz w:val="24"/>
        </w:rPr>
        <w:t> </w:t>
      </w:r>
      <w:r>
        <w:rPr>
          <w:sz w:val="24"/>
        </w:rPr>
        <w:t>climate</w:t>
      </w:r>
      <w:r>
        <w:rPr>
          <w:spacing w:val="-5"/>
          <w:sz w:val="24"/>
        </w:rPr>
        <w:t> </w:t>
      </w:r>
      <w:r>
        <w:rPr>
          <w:sz w:val="24"/>
        </w:rPr>
        <w:t>change</w:t>
      </w:r>
      <w:r>
        <w:rPr>
          <w:spacing w:val="-5"/>
          <w:sz w:val="24"/>
        </w:rPr>
        <w:t> </w:t>
      </w:r>
      <w:r>
        <w:rPr>
          <w:sz w:val="24"/>
        </w:rPr>
        <w:t>and</w:t>
      </w:r>
      <w:r>
        <w:rPr>
          <w:spacing w:val="-5"/>
          <w:sz w:val="24"/>
        </w:rPr>
        <w:t> </w:t>
      </w:r>
      <w:r>
        <w:rPr>
          <w:sz w:val="24"/>
        </w:rPr>
        <w:t>tourism:</w:t>
      </w:r>
      <w:r>
        <w:rPr>
          <w:spacing w:val="-5"/>
          <w:sz w:val="24"/>
        </w:rPr>
        <w:t> </w:t>
      </w:r>
      <w:r>
        <w:rPr>
          <w:sz w:val="24"/>
        </w:rPr>
        <w:t>A</w:t>
      </w:r>
      <w:r>
        <w:rPr>
          <w:spacing w:val="-5"/>
          <w:sz w:val="24"/>
        </w:rPr>
        <w:t> </w:t>
      </w:r>
      <w:r>
        <w:rPr>
          <w:sz w:val="24"/>
        </w:rPr>
        <w:t>deep</w:t>
      </w:r>
      <w:r>
        <w:rPr>
          <w:spacing w:val="-5"/>
          <w:sz w:val="24"/>
        </w:rPr>
        <w:t> </w:t>
      </w:r>
      <w:r>
        <w:rPr>
          <w:sz w:val="24"/>
        </w:rPr>
        <w:t>dive</w:t>
      </w:r>
      <w:r>
        <w:rPr>
          <w:spacing w:val="-5"/>
          <w:sz w:val="24"/>
        </w:rPr>
        <w:t> </w:t>
      </w:r>
      <w:r>
        <w:rPr>
          <w:sz w:val="24"/>
        </w:rPr>
        <w:t>into</w:t>
      </w:r>
      <w:r>
        <w:rPr>
          <w:spacing w:val="-5"/>
          <w:sz w:val="24"/>
        </w:rPr>
        <w:t> </w:t>
      </w:r>
      <w:r>
        <w:rPr>
          <w:sz w:val="24"/>
        </w:rPr>
        <w:t>the forums</w:t>
      </w:r>
      <w:r>
        <w:rPr>
          <w:spacing w:val="40"/>
          <w:sz w:val="24"/>
        </w:rPr>
        <w:t> </w:t>
      </w:r>
      <w:r>
        <w:rPr>
          <w:sz w:val="24"/>
        </w:rPr>
        <w:t>of Reddit. </w:t>
      </w:r>
      <w:r>
        <w:rPr>
          <w:i/>
          <w:sz w:val="24"/>
        </w:rPr>
        <w:t>Tourism and Hospitality Research</w:t>
      </w:r>
      <w:r>
        <w:rPr>
          <w:sz w:val="24"/>
        </w:rPr>
        <w:t>, </w:t>
      </w:r>
      <w:r>
        <w:rPr>
          <w:i/>
          <w:sz w:val="24"/>
        </w:rPr>
        <w:t>25</w:t>
      </w:r>
      <w:r>
        <w:rPr>
          <w:sz w:val="24"/>
        </w:rPr>
        <w:t>(2), 262-273.</w:t>
      </w:r>
    </w:p>
    <w:p>
      <w:pPr>
        <w:pStyle w:val="BodyText"/>
        <w:spacing w:before="4"/>
      </w:pPr>
    </w:p>
    <w:p>
      <w:pPr>
        <w:pStyle w:val="BodyText"/>
        <w:spacing w:line="230" w:lineRule="auto" w:before="1"/>
        <w:ind w:left="731" w:right="1619" w:hanging="15"/>
      </w:pPr>
      <w:r>
        <w:rPr/>
        <w:t>Pechmann,</w:t>
      </w:r>
      <w:r>
        <w:rPr>
          <w:spacing w:val="-7"/>
        </w:rPr>
        <w:t> </w:t>
      </w:r>
      <w:r>
        <w:rPr/>
        <w:t>C.,</w:t>
      </w:r>
      <w:r>
        <w:rPr>
          <w:spacing w:val="-7"/>
        </w:rPr>
        <w:t> </w:t>
      </w:r>
      <w:r>
        <w:rPr/>
        <w:t>Moore,</w:t>
      </w:r>
      <w:r>
        <w:rPr>
          <w:spacing w:val="-7"/>
        </w:rPr>
        <w:t> </w:t>
      </w:r>
      <w:r>
        <w:rPr/>
        <w:t>E.</w:t>
      </w:r>
      <w:r>
        <w:rPr>
          <w:spacing w:val="-7"/>
        </w:rPr>
        <w:t> </w:t>
      </w:r>
      <w:r>
        <w:rPr/>
        <w:t>S.,</w:t>
      </w:r>
      <w:r>
        <w:rPr>
          <w:spacing w:val="-7"/>
        </w:rPr>
        <w:t> </w:t>
      </w:r>
      <w:r>
        <w:rPr/>
        <w:t>Andreasen,</w:t>
      </w:r>
      <w:r>
        <w:rPr>
          <w:spacing w:val="-7"/>
        </w:rPr>
        <w:t> </w:t>
      </w:r>
      <w:r>
        <w:rPr/>
        <w:t>A.</w:t>
      </w:r>
      <w:r>
        <w:rPr>
          <w:spacing w:val="-7"/>
        </w:rPr>
        <w:t> </w:t>
      </w:r>
      <w:r>
        <w:rPr/>
        <w:t>R.,</w:t>
      </w:r>
      <w:r>
        <w:rPr>
          <w:spacing w:val="-7"/>
        </w:rPr>
        <w:t> </w:t>
      </w:r>
      <w:r>
        <w:rPr/>
        <w:t>Connell,</w:t>
      </w:r>
      <w:r>
        <w:rPr>
          <w:spacing w:val="-7"/>
        </w:rPr>
        <w:t> </w:t>
      </w:r>
      <w:r>
        <w:rPr/>
        <w:t>P.</w:t>
      </w:r>
      <w:r>
        <w:rPr>
          <w:spacing w:val="-7"/>
        </w:rPr>
        <w:t> </w:t>
      </w:r>
      <w:r>
        <w:rPr/>
        <w:t>M.,</w:t>
      </w:r>
      <w:r>
        <w:rPr>
          <w:spacing w:val="-7"/>
        </w:rPr>
        <w:t> </w:t>
      </w:r>
      <w:r>
        <w:rPr/>
        <w:t>Freeman,</w:t>
      </w:r>
      <w:r>
        <w:rPr>
          <w:spacing w:val="-7"/>
        </w:rPr>
        <w:t> </w:t>
      </w:r>
      <w:r>
        <w:rPr/>
        <w:t>D.,</w:t>
      </w:r>
      <w:r>
        <w:rPr>
          <w:spacing w:val="-7"/>
        </w:rPr>
        <w:t> </w:t>
      </w:r>
      <w:r>
        <w:rPr/>
        <w:t>Gardner,</w:t>
      </w:r>
      <w:r>
        <w:rPr>
          <w:spacing w:val="-7"/>
        </w:rPr>
        <w:t> </w:t>
      </w:r>
      <w:r>
        <w:rPr/>
        <w:t>M.</w:t>
      </w:r>
      <w:r>
        <w:rPr>
          <w:spacing w:val="-7"/>
        </w:rPr>
        <w:t> </w:t>
      </w:r>
      <w:r>
        <w:rPr/>
        <w:t>P.,</w:t>
      </w:r>
      <w:r>
        <w:rPr>
          <w:spacing w:val="-7"/>
        </w:rPr>
        <w:t> </w:t>
      </w:r>
      <w:r>
        <w:rPr/>
        <w:t>... &amp; Soster, R. L. (2011). Navigating the central tensions in research on at-risk consumers: challenges and opportunities. </w:t>
      </w:r>
      <w:r>
        <w:rPr>
          <w:i/>
        </w:rPr>
        <w:t>Journal of Public Policy &amp; Marketing</w:t>
      </w:r>
      <w:r>
        <w:rPr/>
        <w:t>, </w:t>
      </w:r>
      <w:r>
        <w:rPr>
          <w:i/>
        </w:rPr>
        <w:t>30</w:t>
      </w:r>
      <w:r>
        <w:rPr/>
        <w:t>(1), 23-30.</w:t>
      </w:r>
    </w:p>
    <w:p>
      <w:pPr>
        <w:pStyle w:val="BodyText"/>
        <w:spacing w:before="4"/>
      </w:pPr>
    </w:p>
    <w:p>
      <w:pPr>
        <w:pStyle w:val="BodyText"/>
        <w:spacing w:line="230" w:lineRule="auto"/>
        <w:ind w:left="716" w:right="1725"/>
      </w:pPr>
      <w:r>
        <w:rPr/>
        <w:t>Reddit</w:t>
      </w:r>
      <w:r>
        <w:rPr>
          <w:spacing w:val="-11"/>
        </w:rPr>
        <w:t> </w:t>
      </w:r>
      <w:r>
        <w:rPr/>
        <w:t>(2021)</w:t>
      </w:r>
      <w:r>
        <w:rPr>
          <w:spacing w:val="-11"/>
        </w:rPr>
        <w:t> </w:t>
      </w:r>
      <w:r>
        <w:rPr/>
        <w:t>Reddit</w:t>
      </w:r>
      <w:r>
        <w:rPr>
          <w:spacing w:val="-11"/>
        </w:rPr>
        <w:t> </w:t>
      </w:r>
      <w:r>
        <w:rPr/>
        <w:t>privacy</w:t>
      </w:r>
      <w:r>
        <w:rPr>
          <w:spacing w:val="-11"/>
        </w:rPr>
        <w:t> </w:t>
      </w:r>
      <w:r>
        <w:rPr/>
        <w:t>policy.</w:t>
      </w:r>
      <w:r>
        <w:rPr>
          <w:spacing w:val="-11"/>
        </w:rPr>
        <w:t> </w:t>
      </w:r>
      <w:r>
        <w:rPr/>
        <w:t>Available</w:t>
      </w:r>
      <w:r>
        <w:rPr>
          <w:spacing w:val="-11"/>
        </w:rPr>
        <w:t> </w:t>
      </w:r>
      <w:r>
        <w:rPr/>
        <w:t>at:</w:t>
      </w:r>
      <w:r>
        <w:rPr>
          <w:spacing w:val="-11"/>
        </w:rPr>
        <w:t> </w:t>
      </w:r>
      <w:r>
        <w:rPr/>
        <w:t>https://</w:t>
      </w:r>
      <w:r>
        <w:rPr>
          <w:spacing w:val="-11"/>
        </w:rPr>
        <w:t> </w:t>
      </w:r>
      <w:hyperlink r:id="rId15">
        <w:r>
          <w:rPr>
            <w:color w:val="457886"/>
            <w:u w:val="thick" w:color="457886"/>
          </w:rPr>
          <w:t>www.redditinc.com/policies/privacy</w:t>
        </w:r>
      </w:hyperlink>
      <w:r>
        <w:rPr>
          <w:color w:val="457886"/>
          <w:u w:val="none"/>
        </w:rPr>
        <w:t> </w:t>
      </w:r>
      <w:r>
        <w:rPr>
          <w:color w:val="457886"/>
          <w:spacing w:val="-2"/>
          <w:u w:val="none"/>
        </w:rPr>
        <w:t>p</w:t>
      </w:r>
      <w:r>
        <w:rPr>
          <w:color w:val="457886"/>
          <w:spacing w:val="-2"/>
          <w:u w:val="thick" w:color="457886"/>
        </w:rPr>
        <w:t>olicy#what-wecollect</w:t>
      </w:r>
    </w:p>
    <w:p>
      <w:pPr>
        <w:pStyle w:val="BodyText"/>
        <w:spacing w:before="5"/>
      </w:pPr>
    </w:p>
    <w:p>
      <w:pPr>
        <w:pStyle w:val="BodyText"/>
        <w:spacing w:line="230" w:lineRule="auto"/>
        <w:ind w:left="731" w:right="1461"/>
      </w:pPr>
      <w:r>
        <w:rPr/>
        <w:t>Tracy,</w:t>
      </w:r>
      <w:r>
        <w:rPr>
          <w:spacing w:val="-8"/>
        </w:rPr>
        <w:t> </w:t>
      </w:r>
      <w:r>
        <w:rPr/>
        <w:t>N.</w:t>
      </w:r>
      <w:r>
        <w:rPr>
          <w:spacing w:val="-8"/>
        </w:rPr>
        <w:t> </w:t>
      </w:r>
      <w:r>
        <w:rPr/>
        <w:t>(2019),</w:t>
      </w:r>
      <w:r>
        <w:rPr>
          <w:spacing w:val="-8"/>
        </w:rPr>
        <w:t> </w:t>
      </w:r>
      <w:r>
        <w:rPr/>
        <w:t>“Shopping</w:t>
      </w:r>
      <w:r>
        <w:rPr>
          <w:spacing w:val="-8"/>
        </w:rPr>
        <w:t> </w:t>
      </w:r>
      <w:r>
        <w:rPr/>
        <w:t>Addiction</w:t>
      </w:r>
      <w:r>
        <w:rPr>
          <w:spacing w:val="-8"/>
        </w:rPr>
        <w:t> </w:t>
      </w:r>
      <w:r>
        <w:rPr/>
        <w:t>(Over-Shopping,</w:t>
      </w:r>
      <w:r>
        <w:rPr>
          <w:spacing w:val="-8"/>
        </w:rPr>
        <w:t> </w:t>
      </w:r>
      <w:r>
        <w:rPr/>
        <w:t>Compulsive</w:t>
      </w:r>
      <w:r>
        <w:rPr>
          <w:spacing w:val="-8"/>
        </w:rPr>
        <w:t> </w:t>
      </w:r>
      <w:r>
        <w:rPr/>
        <w:t>Shopping)</w:t>
      </w:r>
      <w:r>
        <w:rPr>
          <w:spacing w:val="-8"/>
        </w:rPr>
        <w:t> </w:t>
      </w:r>
      <w:r>
        <w:rPr/>
        <w:t>|</w:t>
      </w:r>
      <w:r>
        <w:rPr>
          <w:spacing w:val="-8"/>
        </w:rPr>
        <w:t> </w:t>
      </w:r>
      <w:r>
        <w:rPr/>
        <w:t>HealthyPlace,” (accessed April 11, 2020), [available at </w:t>
      </w:r>
      <w:hyperlink r:id="rId16">
        <w:r>
          <w:rPr/>
          <w:t>https://www.healthyplace.com/addictions/shopping</w:t>
        </w:r>
      </w:hyperlink>
      <w:r>
        <w:rPr/>
        <w:t> </w:t>
      </w:r>
      <w:r>
        <w:rPr>
          <w:spacing w:val="-2"/>
        </w:rPr>
        <w:t>addiction/shopping-addiction-compulsive-shopping].</w:t>
      </w:r>
    </w:p>
    <w:p>
      <w:pPr>
        <w:pStyle w:val="BodyText"/>
        <w:spacing w:after="0" w:line="230" w:lineRule="auto"/>
        <w:sectPr>
          <w:pgSz w:w="12240" w:h="15840"/>
          <w:pgMar w:header="0" w:footer="726" w:top="640" w:bottom="960" w:left="720" w:right="0"/>
        </w:sectPr>
      </w:pPr>
    </w:p>
    <w:p>
      <w:pPr>
        <w:pStyle w:val="Heading3"/>
        <w:spacing w:before="61"/>
        <w:ind w:left="3013" w:right="0"/>
        <w:jc w:val="left"/>
      </w:pPr>
      <w:bookmarkStart w:name="AI Use Cases for Managing Projects  " w:id="14"/>
      <w:bookmarkEnd w:id="14"/>
      <w:r>
        <w:rPr>
          <w:b w:val="0"/>
        </w:rPr>
      </w:r>
      <w:bookmarkStart w:name="h.qyevl5yy79v" w:id="15"/>
      <w:bookmarkEnd w:id="15"/>
      <w:r>
        <w:rPr>
          <w:b w:val="0"/>
        </w:rPr>
      </w:r>
      <w:r>
        <w:rPr/>
        <w:t>AI</w:t>
      </w:r>
      <w:r>
        <w:rPr>
          <w:spacing w:val="-5"/>
        </w:rPr>
        <w:t> </w:t>
      </w:r>
      <w:r>
        <w:rPr/>
        <w:t>Use</w:t>
      </w:r>
      <w:r>
        <w:rPr>
          <w:spacing w:val="-4"/>
        </w:rPr>
        <w:t> </w:t>
      </w:r>
      <w:r>
        <w:rPr/>
        <w:t>Cases</w:t>
      </w:r>
      <w:r>
        <w:rPr>
          <w:spacing w:val="-4"/>
        </w:rPr>
        <w:t> </w:t>
      </w:r>
      <w:r>
        <w:rPr/>
        <w:t>for</w:t>
      </w:r>
      <w:r>
        <w:rPr>
          <w:spacing w:val="-4"/>
        </w:rPr>
        <w:t> </w:t>
      </w:r>
      <w:r>
        <w:rPr/>
        <w:t>Managing</w:t>
      </w:r>
      <w:r>
        <w:rPr>
          <w:spacing w:val="-4"/>
        </w:rPr>
        <w:t> </w:t>
      </w:r>
      <w:r>
        <w:rPr>
          <w:spacing w:val="-2"/>
        </w:rPr>
        <w:t>Projects</w:t>
      </w:r>
    </w:p>
    <w:p>
      <w:pPr>
        <w:pStyle w:val="BodyText"/>
        <w:spacing w:before="305"/>
        <w:rPr>
          <w:b/>
          <w:sz w:val="28"/>
        </w:rPr>
      </w:pPr>
    </w:p>
    <w:p>
      <w:pPr>
        <w:pStyle w:val="BodyText"/>
        <w:ind w:right="1046"/>
        <w:jc w:val="center"/>
      </w:pPr>
      <w:r>
        <w:rPr/>
        <w:t>Vittal</w:t>
      </w:r>
      <w:r>
        <w:rPr>
          <w:spacing w:val="-15"/>
        </w:rPr>
        <w:t> </w:t>
      </w:r>
      <w:r>
        <w:rPr>
          <w:spacing w:val="-2"/>
        </w:rPr>
        <w:t>Anantatmula</w:t>
      </w:r>
    </w:p>
    <w:p>
      <w:pPr>
        <w:pStyle w:val="BodyText"/>
        <w:spacing w:line="360" w:lineRule="auto" w:before="138"/>
        <w:ind w:left="1829" w:right="2675"/>
        <w:jc w:val="center"/>
      </w:pPr>
      <w:r>
        <w:rPr/>
        <w:t>Department</w:t>
      </w:r>
      <w:r>
        <w:rPr>
          <w:spacing w:val="-7"/>
        </w:rPr>
        <w:t> </w:t>
      </w:r>
      <w:r>
        <w:rPr/>
        <w:t>of</w:t>
      </w:r>
      <w:r>
        <w:rPr>
          <w:spacing w:val="-7"/>
        </w:rPr>
        <w:t> </w:t>
      </w:r>
      <w:r>
        <w:rPr/>
        <w:t>Economics,</w:t>
      </w:r>
      <w:r>
        <w:rPr>
          <w:spacing w:val="-7"/>
        </w:rPr>
        <w:t> </w:t>
      </w:r>
      <w:r>
        <w:rPr/>
        <w:t>Management</w:t>
      </w:r>
      <w:r>
        <w:rPr>
          <w:spacing w:val="-7"/>
        </w:rPr>
        <w:t> </w:t>
      </w:r>
      <w:r>
        <w:rPr/>
        <w:t>and</w:t>
      </w:r>
      <w:r>
        <w:rPr>
          <w:spacing w:val="-7"/>
        </w:rPr>
        <w:t> </w:t>
      </w:r>
      <w:r>
        <w:rPr/>
        <w:t>Project</w:t>
      </w:r>
      <w:r>
        <w:rPr>
          <w:spacing w:val="-7"/>
        </w:rPr>
        <w:t> </w:t>
      </w:r>
      <w:r>
        <w:rPr/>
        <w:t>Management College of Business</w:t>
      </w:r>
    </w:p>
    <w:p>
      <w:pPr>
        <w:pStyle w:val="BodyText"/>
        <w:spacing w:line="360" w:lineRule="auto"/>
        <w:ind w:left="4030" w:right="4748"/>
        <w:jc w:val="center"/>
      </w:pPr>
      <w:r>
        <w:rPr/>
        <w:t>Western</w:t>
      </w:r>
      <w:r>
        <w:rPr>
          <w:spacing w:val="-15"/>
        </w:rPr>
        <w:t> </w:t>
      </w:r>
      <w:r>
        <w:rPr/>
        <w:t>Carolina</w:t>
      </w:r>
      <w:r>
        <w:rPr>
          <w:spacing w:val="-15"/>
        </w:rPr>
        <w:t> </w:t>
      </w:r>
      <w:r>
        <w:rPr/>
        <w:t>University Forsyth 104</w:t>
      </w:r>
    </w:p>
    <w:p>
      <w:pPr>
        <w:pStyle w:val="BodyText"/>
        <w:spacing w:line="360" w:lineRule="auto"/>
        <w:ind w:left="4323" w:right="5041"/>
        <w:jc w:val="center"/>
      </w:pPr>
      <w:r>
        <w:rPr/>
        <w:t>Cullowhee,</w:t>
      </w:r>
      <w:r>
        <w:rPr>
          <w:spacing w:val="-15"/>
        </w:rPr>
        <w:t> </w:t>
      </w:r>
      <w:r>
        <w:rPr/>
        <w:t>NC</w:t>
      </w:r>
      <w:r>
        <w:rPr>
          <w:spacing w:val="-15"/>
        </w:rPr>
        <w:t> </w:t>
      </w:r>
      <w:r>
        <w:rPr/>
        <w:t>28723 </w:t>
      </w:r>
      <w:hyperlink r:id="rId18">
        <w:r>
          <w:rPr>
            <w:spacing w:val="-2"/>
          </w:rPr>
          <w:t>iha@wcu.edu</w:t>
        </w:r>
      </w:hyperlink>
      <w:r>
        <w:rPr>
          <w:spacing w:val="-2"/>
        </w:rPr>
        <w:t> 828.227.3990</w:t>
      </w:r>
    </w:p>
    <w:p>
      <w:pPr>
        <w:pStyle w:val="BodyText"/>
        <w:spacing w:before="138"/>
      </w:pPr>
    </w:p>
    <w:p>
      <w:pPr>
        <w:pStyle w:val="BodyText"/>
        <w:ind w:right="719"/>
        <w:jc w:val="center"/>
      </w:pPr>
      <w:r>
        <w:rPr/>
        <w:t>Key words (3-5): Artificial Intelligence (AI), Project Management (PM), projects, use </w:t>
      </w:r>
      <w:r>
        <w:rPr>
          <w:spacing w:val="-2"/>
        </w:rPr>
        <w:t>cases</w:t>
      </w:r>
    </w:p>
    <w:p>
      <w:pPr>
        <w:pStyle w:val="BodyText"/>
      </w:pPr>
    </w:p>
    <w:p>
      <w:pPr>
        <w:pStyle w:val="BodyText"/>
        <w:spacing w:before="66"/>
      </w:pPr>
    </w:p>
    <w:p>
      <w:pPr>
        <w:pStyle w:val="BodyText"/>
        <w:spacing w:line="230" w:lineRule="auto"/>
        <w:ind w:left="701" w:right="1359"/>
        <w:jc w:val="both"/>
      </w:pPr>
      <w:r>
        <w:rPr/>
        <w:t>As organizations face increasing complexities and uncertainties in general and projects </w:t>
      </w:r>
      <w:r>
        <w:rPr/>
        <w:t>in particular, creative and innovative approaches are necessary. Studies show that AI tools help in managing projects effectively. AI can be integrated with various PM knowledge systems such as scope,</w:t>
      </w:r>
      <w:r>
        <w:rPr>
          <w:spacing w:val="-5"/>
        </w:rPr>
        <w:t> </w:t>
      </w:r>
      <w:r>
        <w:rPr/>
        <w:t>schedule,</w:t>
      </w:r>
      <w:r>
        <w:rPr>
          <w:spacing w:val="-5"/>
        </w:rPr>
        <w:t> </w:t>
      </w:r>
      <w:r>
        <w:rPr/>
        <w:t>cost,</w:t>
      </w:r>
      <w:r>
        <w:rPr>
          <w:spacing w:val="-5"/>
        </w:rPr>
        <w:t> </w:t>
      </w:r>
      <w:r>
        <w:rPr/>
        <w:t>quality,</w:t>
      </w:r>
      <w:r>
        <w:rPr>
          <w:spacing w:val="-5"/>
        </w:rPr>
        <w:t> </w:t>
      </w:r>
      <w:r>
        <w:rPr/>
        <w:t>resources,</w:t>
      </w:r>
      <w:r>
        <w:rPr>
          <w:spacing w:val="-5"/>
        </w:rPr>
        <w:t> </w:t>
      </w:r>
      <w:r>
        <w:rPr/>
        <w:t>risk,</w:t>
      </w:r>
      <w:r>
        <w:rPr>
          <w:spacing w:val="-5"/>
        </w:rPr>
        <w:t> </w:t>
      </w:r>
      <w:r>
        <w:rPr/>
        <w:t>stakeholder,</w:t>
      </w:r>
      <w:r>
        <w:rPr>
          <w:spacing w:val="-5"/>
        </w:rPr>
        <w:t> </w:t>
      </w:r>
      <w:r>
        <w:rPr/>
        <w:t>and</w:t>
      </w:r>
      <w:r>
        <w:rPr>
          <w:spacing w:val="-5"/>
        </w:rPr>
        <w:t> </w:t>
      </w:r>
      <w:r>
        <w:rPr/>
        <w:t>communications.</w:t>
      </w:r>
      <w:r>
        <w:rPr>
          <w:spacing w:val="-5"/>
        </w:rPr>
        <w:t> </w:t>
      </w:r>
      <w:r>
        <w:rPr/>
        <w:t>AI</w:t>
      </w:r>
      <w:r>
        <w:rPr>
          <w:spacing w:val="-5"/>
        </w:rPr>
        <w:t> </w:t>
      </w:r>
      <w:r>
        <w:rPr/>
        <w:t>can</w:t>
      </w:r>
      <w:r>
        <w:rPr>
          <w:spacing w:val="-5"/>
        </w:rPr>
        <w:t> </w:t>
      </w:r>
      <w:r>
        <w:rPr/>
        <w:t>assist</w:t>
      </w:r>
      <w:r>
        <w:rPr>
          <w:spacing w:val="-5"/>
        </w:rPr>
        <w:t> </w:t>
      </w:r>
      <w:r>
        <w:rPr/>
        <w:t>with important tasks such as developing schedules, estimating costs, predicting risks, and identifying potential resource bottlenecks. Further, AI can improve accuracy of cost and schedule estimates using past data</w:t>
      </w:r>
      <w:r>
        <w:rPr>
          <w:spacing w:val="-2"/>
        </w:rPr>
        <w:t> </w:t>
      </w:r>
      <w:r>
        <w:rPr/>
        <w:t>and</w:t>
      </w:r>
      <w:r>
        <w:rPr>
          <w:spacing w:val="-2"/>
        </w:rPr>
        <w:t> </w:t>
      </w:r>
      <w:r>
        <w:rPr/>
        <w:t>may</w:t>
      </w:r>
      <w:r>
        <w:rPr>
          <w:spacing w:val="-2"/>
        </w:rPr>
        <w:t> </w:t>
      </w:r>
      <w:r>
        <w:rPr/>
        <w:t>take</w:t>
      </w:r>
      <w:r>
        <w:rPr>
          <w:spacing w:val="-2"/>
        </w:rPr>
        <w:t> </w:t>
      </w:r>
      <w:r>
        <w:rPr/>
        <w:t>the</w:t>
      </w:r>
      <w:r>
        <w:rPr>
          <w:spacing w:val="-2"/>
        </w:rPr>
        <w:t> </w:t>
      </w:r>
      <w:r>
        <w:rPr/>
        <w:t>role</w:t>
      </w:r>
      <w:r>
        <w:rPr>
          <w:spacing w:val="-2"/>
        </w:rPr>
        <w:t> </w:t>
      </w:r>
      <w:r>
        <w:rPr/>
        <w:t>of</w:t>
      </w:r>
      <w:r>
        <w:rPr>
          <w:spacing w:val="-2"/>
        </w:rPr>
        <w:t> </w:t>
      </w:r>
      <w:r>
        <w:rPr/>
        <w:t>change</w:t>
      </w:r>
      <w:r>
        <w:rPr>
          <w:spacing w:val="-2"/>
        </w:rPr>
        <w:t> </w:t>
      </w:r>
      <w:r>
        <w:rPr/>
        <w:t>management.</w:t>
      </w:r>
      <w:r>
        <w:rPr>
          <w:spacing w:val="-2"/>
        </w:rPr>
        <w:t> </w:t>
      </w:r>
      <w:r>
        <w:rPr/>
        <w:t>AI</w:t>
      </w:r>
      <w:r>
        <w:rPr>
          <w:spacing w:val="-2"/>
        </w:rPr>
        <w:t> </w:t>
      </w:r>
      <w:r>
        <w:rPr/>
        <w:t>is</w:t>
      </w:r>
      <w:r>
        <w:rPr>
          <w:spacing w:val="-2"/>
        </w:rPr>
        <w:t> </w:t>
      </w:r>
      <w:r>
        <w:rPr/>
        <w:t>expected</w:t>
      </w:r>
      <w:r>
        <w:rPr>
          <w:spacing w:val="-2"/>
        </w:rPr>
        <w:t> </w:t>
      </w:r>
      <w:r>
        <w:rPr/>
        <w:t>to</w:t>
      </w:r>
      <w:r>
        <w:rPr>
          <w:spacing w:val="-2"/>
        </w:rPr>
        <w:t> </w:t>
      </w:r>
      <w:r>
        <w:rPr/>
        <w:t>help</w:t>
      </w:r>
      <w:r>
        <w:rPr>
          <w:spacing w:val="-2"/>
        </w:rPr>
        <w:t> </w:t>
      </w:r>
      <w:r>
        <w:rPr/>
        <w:t>organizations promote innovation, streamline communication, alert organizations about possible hurdles, allocate resources effectively and implement knowledge management principles in managing projects. Project managers play an important role in determining human–AI collaboration. AI expands what project managers can analyze to monitor and manage projects, but it does not eliminate the need for leadership, ethical judgment, or contextual understanding of internal and external influencing factors. This paper aims to demonstrate the use of AI in managing PM processes by presenting a couple of use cases. These examples of use cases can be used for teaching</w:t>
      </w:r>
      <w:r>
        <w:rPr>
          <w:spacing w:val="40"/>
        </w:rPr>
        <w:t> </w:t>
      </w:r>
      <w:r>
        <w:rPr/>
        <w:t>and for developing more such use cases.</w:t>
      </w:r>
    </w:p>
    <w:p>
      <w:pPr>
        <w:pStyle w:val="BodyText"/>
        <w:spacing w:after="0" w:line="230" w:lineRule="auto"/>
        <w:jc w:val="both"/>
        <w:sectPr>
          <w:footerReference w:type="default" r:id="rId17"/>
          <w:pgSz w:w="12240" w:h="15840"/>
          <w:pgMar w:header="0" w:footer="776" w:top="640" w:bottom="960" w:left="720" w:right="0"/>
        </w:sectPr>
      </w:pPr>
    </w:p>
    <w:p>
      <w:pPr>
        <w:pStyle w:val="Heading1"/>
        <w:spacing w:line="266" w:lineRule="auto"/>
        <w:ind w:left="927" w:right="1629"/>
        <w:jc w:val="center"/>
      </w:pPr>
      <w:bookmarkStart w:name="Transforming Public Health Data into Act" w:id="16"/>
      <w:bookmarkEnd w:id="16"/>
      <w:r>
        <w:rPr>
          <w:b w:val="0"/>
        </w:rPr>
      </w:r>
      <w:r>
        <w:rPr/>
        <w:t>Transforming Public Health Data into Actionable Insights: A </w:t>
      </w:r>
      <w:bookmarkStart w:name="h.8qv01h4fpgj6" w:id="17"/>
      <w:bookmarkEnd w:id="17"/>
      <w:r>
        <w:rPr/>
        <w:t>C</w:t>
      </w:r>
      <w:r>
        <w:rPr/>
        <w:t>omparative</w:t>
      </w:r>
      <w:r>
        <w:rPr>
          <w:spacing w:val="-14"/>
        </w:rPr>
        <w:t> </w:t>
      </w:r>
      <w:r>
        <w:rPr/>
        <w:t>Analytics</w:t>
      </w:r>
      <w:r>
        <w:rPr>
          <w:spacing w:val="-14"/>
        </w:rPr>
        <w:t> </w:t>
      </w:r>
      <w:r>
        <w:rPr/>
        <w:t>Approach</w:t>
      </w:r>
      <w:r>
        <w:rPr>
          <w:spacing w:val="-14"/>
        </w:rPr>
        <w:t> </w:t>
      </w:r>
      <w:r>
        <w:rPr/>
        <w:t>Across</w:t>
      </w:r>
      <w:r>
        <w:rPr>
          <w:spacing w:val="-14"/>
        </w:rPr>
        <w:t> </w:t>
      </w:r>
      <w:r>
        <w:rPr/>
        <w:t>East</w:t>
      </w:r>
      <w:r>
        <w:rPr>
          <w:spacing w:val="-14"/>
        </w:rPr>
        <w:t> </w:t>
      </w:r>
      <w:r>
        <w:rPr/>
        <w:t>Tennessee</w:t>
      </w:r>
      <w:r>
        <w:rPr>
          <w:spacing w:val="-14"/>
        </w:rPr>
        <w:t> </w:t>
      </w:r>
      <w:r>
        <w:rPr/>
        <w:t>Regions.</w:t>
      </w:r>
    </w:p>
    <w:p>
      <w:pPr>
        <w:pStyle w:val="BodyText"/>
        <w:spacing w:before="182"/>
        <w:ind w:right="715"/>
        <w:jc w:val="center"/>
      </w:pPr>
      <w:r>
        <w:rPr/>
        <w:t>Isaac Aniemeke &amp; Michael </w:t>
      </w:r>
      <w:r>
        <w:rPr>
          <w:spacing w:val="-2"/>
        </w:rPr>
        <w:t>Onyia</w:t>
      </w:r>
    </w:p>
    <w:p>
      <w:pPr>
        <w:pStyle w:val="BodyText"/>
        <w:spacing w:line="412" w:lineRule="auto" w:before="200"/>
        <w:ind w:left="2531" w:right="3264"/>
        <w:jc w:val="center"/>
      </w:pPr>
      <w:r>
        <w:rPr/>
        <w:t>Department</w:t>
      </w:r>
      <w:r>
        <w:rPr>
          <w:spacing w:val="-9"/>
        </w:rPr>
        <w:t> </w:t>
      </w:r>
      <w:r>
        <w:rPr/>
        <w:t>of</w:t>
      </w:r>
      <w:r>
        <w:rPr>
          <w:spacing w:val="-9"/>
        </w:rPr>
        <w:t> </w:t>
      </w:r>
      <w:r>
        <w:rPr/>
        <w:t>Computing,</w:t>
      </w:r>
      <w:r>
        <w:rPr>
          <w:spacing w:val="-9"/>
        </w:rPr>
        <w:t> </w:t>
      </w:r>
      <w:r>
        <w:rPr/>
        <w:t>East</w:t>
      </w:r>
      <w:r>
        <w:rPr>
          <w:spacing w:val="-9"/>
        </w:rPr>
        <w:t> </w:t>
      </w:r>
      <w:r>
        <w:rPr/>
        <w:t>Tennessee</w:t>
      </w:r>
      <w:r>
        <w:rPr>
          <w:spacing w:val="-9"/>
        </w:rPr>
        <w:t> </w:t>
      </w:r>
      <w:r>
        <w:rPr/>
        <w:t>State</w:t>
      </w:r>
      <w:r>
        <w:rPr>
          <w:spacing w:val="-9"/>
        </w:rPr>
        <w:t> </w:t>
      </w:r>
      <w:r>
        <w:rPr/>
        <w:t>University Advisor: Dr. Stephen Hendrix</w:t>
      </w:r>
    </w:p>
    <w:p>
      <w:pPr>
        <w:pStyle w:val="Heading4"/>
        <w:spacing w:before="78"/>
        <w:ind w:left="679" w:right="9870"/>
        <w:jc w:val="center"/>
      </w:pPr>
      <w:r>
        <w:rPr>
          <w:spacing w:val="-2"/>
        </w:rPr>
        <w:t>Abstract</w:t>
      </w:r>
    </w:p>
    <w:p>
      <w:pPr>
        <w:pStyle w:val="BodyText"/>
        <w:spacing w:line="266" w:lineRule="auto" w:before="198"/>
        <w:ind w:left="716" w:right="1381" w:firstLine="15"/>
      </w:pPr>
      <w:r>
        <w:rPr/>
        <w:t>Organizations across the healthcare ecosystem increasingly rely on data-driven decision-making to</w:t>
      </w:r>
      <w:r>
        <w:rPr>
          <w:spacing w:val="-4"/>
        </w:rPr>
        <w:t> </w:t>
      </w:r>
      <w:r>
        <w:rPr/>
        <w:t>manage</w:t>
      </w:r>
      <w:r>
        <w:rPr>
          <w:spacing w:val="-4"/>
        </w:rPr>
        <w:t> </w:t>
      </w:r>
      <w:r>
        <w:rPr/>
        <w:t>rising</w:t>
      </w:r>
      <w:r>
        <w:rPr>
          <w:spacing w:val="-4"/>
        </w:rPr>
        <w:t> </w:t>
      </w:r>
      <w:r>
        <w:rPr/>
        <w:t>costs,</w:t>
      </w:r>
      <w:r>
        <w:rPr>
          <w:spacing w:val="-4"/>
        </w:rPr>
        <w:t> </w:t>
      </w:r>
      <w:r>
        <w:rPr/>
        <w:t>workforce</w:t>
      </w:r>
      <w:r>
        <w:rPr>
          <w:spacing w:val="-4"/>
        </w:rPr>
        <w:t> </w:t>
      </w:r>
      <w:r>
        <w:rPr/>
        <w:t>constraints,</w:t>
      </w:r>
      <w:r>
        <w:rPr>
          <w:spacing w:val="-4"/>
        </w:rPr>
        <w:t> </w:t>
      </w:r>
      <w:r>
        <w:rPr/>
        <w:t>and</w:t>
      </w:r>
      <w:r>
        <w:rPr>
          <w:spacing w:val="-4"/>
        </w:rPr>
        <w:t> </w:t>
      </w:r>
      <w:r>
        <w:rPr/>
        <w:t>uneven</w:t>
      </w:r>
      <w:r>
        <w:rPr>
          <w:spacing w:val="-4"/>
        </w:rPr>
        <w:t> </w:t>
      </w:r>
      <w:r>
        <w:rPr/>
        <w:t>demand</w:t>
      </w:r>
      <w:r>
        <w:rPr>
          <w:spacing w:val="-4"/>
        </w:rPr>
        <w:t> </w:t>
      </w:r>
      <w:r>
        <w:rPr/>
        <w:t>for</w:t>
      </w:r>
      <w:r>
        <w:rPr>
          <w:spacing w:val="-4"/>
        </w:rPr>
        <w:t> </w:t>
      </w:r>
      <w:r>
        <w:rPr/>
        <w:t>services.</w:t>
      </w:r>
      <w:r>
        <w:rPr>
          <w:spacing w:val="-4"/>
        </w:rPr>
        <w:t> </w:t>
      </w:r>
      <w:r>
        <w:rPr/>
        <w:t>These</w:t>
      </w:r>
      <w:r>
        <w:rPr>
          <w:spacing w:val="-4"/>
        </w:rPr>
        <w:t> </w:t>
      </w:r>
      <w:r>
        <w:rPr/>
        <w:t>challenges are especially pronounced in regions with strong rural–urban divides, such as East Tennessee.</w:t>
      </w:r>
    </w:p>
    <w:p>
      <w:pPr>
        <w:pStyle w:val="BodyText"/>
        <w:spacing w:line="266" w:lineRule="auto" w:before="175"/>
        <w:ind w:left="716" w:right="1461" w:firstLine="15"/>
      </w:pPr>
      <w:r>
        <w:rPr/>
        <w:t>This study presents a regional health intelligence framework that applies business intelligence principles</w:t>
      </w:r>
      <w:r>
        <w:rPr>
          <w:spacing w:val="-3"/>
        </w:rPr>
        <w:t> </w:t>
      </w:r>
      <w:r>
        <w:rPr/>
        <w:t>to</w:t>
      </w:r>
      <w:r>
        <w:rPr>
          <w:spacing w:val="-3"/>
        </w:rPr>
        <w:t> </w:t>
      </w:r>
      <w:r>
        <w:rPr/>
        <w:t>county-level</w:t>
      </w:r>
      <w:r>
        <w:rPr>
          <w:spacing w:val="-3"/>
        </w:rPr>
        <w:t> </w:t>
      </w:r>
      <w:r>
        <w:rPr/>
        <w:t>public</w:t>
      </w:r>
      <w:r>
        <w:rPr>
          <w:spacing w:val="-3"/>
        </w:rPr>
        <w:t> </w:t>
      </w:r>
      <w:r>
        <w:rPr/>
        <w:t>health</w:t>
      </w:r>
      <w:r>
        <w:rPr>
          <w:spacing w:val="-3"/>
        </w:rPr>
        <w:t> </w:t>
      </w:r>
      <w:r>
        <w:rPr/>
        <w:t>data.</w:t>
      </w:r>
      <w:r>
        <w:rPr>
          <w:spacing w:val="-3"/>
        </w:rPr>
        <w:t> </w:t>
      </w:r>
      <w:r>
        <w:rPr/>
        <w:t>Using</w:t>
      </w:r>
      <w:r>
        <w:rPr>
          <w:spacing w:val="-3"/>
        </w:rPr>
        <w:t> </w:t>
      </w:r>
      <w:r>
        <w:rPr/>
        <w:t>a</w:t>
      </w:r>
      <w:r>
        <w:rPr>
          <w:spacing w:val="-3"/>
        </w:rPr>
        <w:t> </w:t>
      </w:r>
      <w:r>
        <w:rPr/>
        <w:t>cleaned,</w:t>
      </w:r>
      <w:r>
        <w:rPr>
          <w:spacing w:val="-3"/>
        </w:rPr>
        <w:t> </w:t>
      </w:r>
      <w:r>
        <w:rPr/>
        <w:t>fully</w:t>
      </w:r>
      <w:r>
        <w:rPr>
          <w:spacing w:val="-3"/>
        </w:rPr>
        <w:t> </w:t>
      </w:r>
      <w:r>
        <w:rPr/>
        <w:t>numeric</w:t>
      </w:r>
      <w:r>
        <w:rPr>
          <w:spacing w:val="-3"/>
        </w:rPr>
        <w:t> </w:t>
      </w:r>
      <w:r>
        <w:rPr/>
        <w:t>dataset</w:t>
      </w:r>
      <w:r>
        <w:rPr>
          <w:spacing w:val="-3"/>
        </w:rPr>
        <w:t> </w:t>
      </w:r>
      <w:r>
        <w:rPr/>
        <w:t>covering</w:t>
      </w:r>
      <w:r>
        <w:rPr>
          <w:spacing w:val="-3"/>
        </w:rPr>
        <w:t> </w:t>
      </w:r>
      <w:r>
        <w:rPr/>
        <w:t>33 officially recognized East Tennessee counties from 2020–2024, the project integrates chronic disease indicators, population data, and mortality metrics into an interactive analytics environment using Microsoft Power BI.</w:t>
      </w:r>
    </w:p>
    <w:p>
      <w:pPr>
        <w:pStyle w:val="BodyText"/>
        <w:spacing w:line="266" w:lineRule="auto" w:before="171"/>
        <w:ind w:left="731" w:right="1191"/>
      </w:pPr>
      <w:r>
        <w:rPr/>
        <w:t>The</w:t>
      </w:r>
      <w:r>
        <w:rPr>
          <w:spacing w:val="-4"/>
        </w:rPr>
        <w:t> </w:t>
      </w:r>
      <w:r>
        <w:rPr/>
        <w:t>framework</w:t>
      </w:r>
      <w:r>
        <w:rPr>
          <w:spacing w:val="-4"/>
        </w:rPr>
        <w:t> </w:t>
      </w:r>
      <w:r>
        <w:rPr/>
        <w:t>is</w:t>
      </w:r>
      <w:r>
        <w:rPr>
          <w:spacing w:val="-4"/>
        </w:rPr>
        <w:t> </w:t>
      </w:r>
      <w:r>
        <w:rPr/>
        <w:t>further</w:t>
      </w:r>
      <w:r>
        <w:rPr>
          <w:spacing w:val="-4"/>
        </w:rPr>
        <w:t> </w:t>
      </w:r>
      <w:r>
        <w:rPr/>
        <w:t>enhanced</w:t>
      </w:r>
      <w:r>
        <w:rPr>
          <w:spacing w:val="-4"/>
        </w:rPr>
        <w:t> </w:t>
      </w:r>
      <w:r>
        <w:rPr/>
        <w:t>through</w:t>
      </w:r>
      <w:r>
        <w:rPr>
          <w:spacing w:val="-4"/>
        </w:rPr>
        <w:t> </w:t>
      </w:r>
      <w:r>
        <w:rPr/>
        <w:t>the</w:t>
      </w:r>
      <w:r>
        <w:rPr>
          <w:spacing w:val="-4"/>
        </w:rPr>
        <w:t> </w:t>
      </w:r>
      <w:r>
        <w:rPr/>
        <w:t>incorporation</w:t>
      </w:r>
      <w:r>
        <w:rPr>
          <w:spacing w:val="-4"/>
        </w:rPr>
        <w:t> </w:t>
      </w:r>
      <w:r>
        <w:rPr/>
        <w:t>of</w:t>
      </w:r>
      <w:r>
        <w:rPr>
          <w:spacing w:val="-4"/>
        </w:rPr>
        <w:t> </w:t>
      </w:r>
      <w:r>
        <w:rPr/>
        <w:t>health</w:t>
      </w:r>
      <w:r>
        <w:rPr>
          <w:spacing w:val="-4"/>
        </w:rPr>
        <w:t> </w:t>
      </w:r>
      <w:r>
        <w:rPr/>
        <w:t>district-level</w:t>
      </w:r>
      <w:r>
        <w:rPr>
          <w:spacing w:val="-4"/>
        </w:rPr>
        <w:t> </w:t>
      </w:r>
      <w:r>
        <w:rPr/>
        <w:t>aggregation, enabling multi-level analysis across counties, districts, and the broader region.</w:t>
      </w:r>
    </w:p>
    <w:p>
      <w:pPr>
        <w:pStyle w:val="BodyText"/>
        <w:spacing w:line="266" w:lineRule="auto" w:before="173"/>
        <w:ind w:left="716" w:right="1381" w:firstLine="15"/>
      </w:pPr>
      <w:r>
        <w:rPr/>
        <w:t>The</w:t>
      </w:r>
      <w:r>
        <w:rPr>
          <w:spacing w:val="-4"/>
        </w:rPr>
        <w:t> </w:t>
      </w:r>
      <w:r>
        <w:rPr/>
        <w:t>analysis</w:t>
      </w:r>
      <w:r>
        <w:rPr>
          <w:spacing w:val="-4"/>
        </w:rPr>
        <w:t> </w:t>
      </w:r>
      <w:r>
        <w:rPr/>
        <w:t>demonstrates</w:t>
      </w:r>
      <w:r>
        <w:rPr>
          <w:spacing w:val="-4"/>
        </w:rPr>
        <w:t> </w:t>
      </w:r>
      <w:r>
        <w:rPr/>
        <w:t>how</w:t>
      </w:r>
      <w:r>
        <w:rPr>
          <w:spacing w:val="-4"/>
        </w:rPr>
        <w:t> </w:t>
      </w:r>
      <w:r>
        <w:rPr/>
        <w:t>multi-year,</w:t>
      </w:r>
      <w:r>
        <w:rPr>
          <w:spacing w:val="-4"/>
        </w:rPr>
        <w:t> </w:t>
      </w:r>
      <w:r>
        <w:rPr/>
        <w:t>regionally</w:t>
      </w:r>
      <w:r>
        <w:rPr>
          <w:spacing w:val="-4"/>
        </w:rPr>
        <w:t> </w:t>
      </w:r>
      <w:r>
        <w:rPr/>
        <w:t>aggregated</w:t>
      </w:r>
      <w:r>
        <w:rPr>
          <w:spacing w:val="-4"/>
        </w:rPr>
        <w:t> </w:t>
      </w:r>
      <w:r>
        <w:rPr/>
        <w:t>data</w:t>
      </w:r>
      <w:r>
        <w:rPr>
          <w:spacing w:val="-4"/>
        </w:rPr>
        <w:t> </w:t>
      </w:r>
      <w:r>
        <w:rPr/>
        <w:t>can</w:t>
      </w:r>
      <w:r>
        <w:rPr>
          <w:spacing w:val="-4"/>
        </w:rPr>
        <w:t> </w:t>
      </w:r>
      <w:r>
        <w:rPr/>
        <w:t>be</w:t>
      </w:r>
      <w:r>
        <w:rPr>
          <w:spacing w:val="-4"/>
        </w:rPr>
        <w:t> </w:t>
      </w:r>
      <w:r>
        <w:rPr/>
        <w:t>transformed</w:t>
      </w:r>
      <w:r>
        <w:rPr>
          <w:spacing w:val="-4"/>
        </w:rPr>
        <w:t> </w:t>
      </w:r>
      <w:r>
        <w:rPr/>
        <w:t>into actionable insights that support planning, resource allocation, and preventive strategy development.</w:t>
      </w:r>
      <w:r>
        <w:rPr>
          <w:spacing w:val="-4"/>
        </w:rPr>
        <w:t> </w:t>
      </w:r>
      <w:r>
        <w:rPr/>
        <w:t>Results</w:t>
      </w:r>
      <w:r>
        <w:rPr>
          <w:spacing w:val="-4"/>
        </w:rPr>
        <w:t> </w:t>
      </w:r>
      <w:r>
        <w:rPr/>
        <w:t>highlight</w:t>
      </w:r>
      <w:r>
        <w:rPr>
          <w:spacing w:val="-4"/>
        </w:rPr>
        <w:t> </w:t>
      </w:r>
      <w:r>
        <w:rPr/>
        <w:t>persistent</w:t>
      </w:r>
      <w:r>
        <w:rPr>
          <w:spacing w:val="-4"/>
        </w:rPr>
        <w:t> </w:t>
      </w:r>
      <w:r>
        <w:rPr/>
        <w:t>geographic</w:t>
      </w:r>
      <w:r>
        <w:rPr>
          <w:spacing w:val="-4"/>
        </w:rPr>
        <w:t> </w:t>
      </w:r>
      <w:r>
        <w:rPr/>
        <w:t>disparities</w:t>
      </w:r>
      <w:r>
        <w:rPr>
          <w:spacing w:val="-4"/>
        </w:rPr>
        <w:t> </w:t>
      </w:r>
      <w:r>
        <w:rPr/>
        <w:t>and</w:t>
      </w:r>
      <w:r>
        <w:rPr>
          <w:spacing w:val="-4"/>
        </w:rPr>
        <w:t> </w:t>
      </w:r>
      <w:r>
        <w:rPr/>
        <w:t>stable</w:t>
      </w:r>
      <w:r>
        <w:rPr>
          <w:spacing w:val="-4"/>
        </w:rPr>
        <w:t> </w:t>
      </w:r>
      <w:r>
        <w:rPr/>
        <w:t>long-term</w:t>
      </w:r>
      <w:r>
        <w:rPr>
          <w:spacing w:val="-4"/>
        </w:rPr>
        <w:t> </w:t>
      </w:r>
      <w:r>
        <w:rPr/>
        <w:t>trends</w:t>
      </w:r>
      <w:r>
        <w:rPr>
          <w:spacing w:val="-4"/>
        </w:rPr>
        <w:t> </w:t>
      </w:r>
      <w:r>
        <w:rPr/>
        <w:t>in chronic disease burden. Beyond visualization, the dashboard functions as a decision-support system that enables comparative analysis, prioritization of high-risk regions, and performance </w:t>
      </w:r>
      <w:r>
        <w:rPr>
          <w:spacing w:val="-2"/>
        </w:rPr>
        <w:t>benchmarking.</w:t>
      </w:r>
    </w:p>
    <w:p>
      <w:pPr>
        <w:pStyle w:val="BodyText"/>
        <w:spacing w:line="266" w:lineRule="auto" w:before="173"/>
        <w:ind w:left="716" w:right="1461" w:firstLine="15"/>
      </w:pPr>
      <w:r>
        <w:rPr/>
        <w:t>The findings reinforce the value of business intelligence tools in translating public health data into</w:t>
      </w:r>
      <w:r>
        <w:rPr>
          <w:spacing w:val="-4"/>
        </w:rPr>
        <w:t> </w:t>
      </w:r>
      <w:r>
        <w:rPr/>
        <w:t>operational</w:t>
      </w:r>
      <w:r>
        <w:rPr>
          <w:spacing w:val="-4"/>
        </w:rPr>
        <w:t> </w:t>
      </w:r>
      <w:r>
        <w:rPr/>
        <w:t>knowledge</w:t>
      </w:r>
      <w:r>
        <w:rPr>
          <w:spacing w:val="-4"/>
        </w:rPr>
        <w:t> </w:t>
      </w:r>
      <w:r>
        <w:rPr/>
        <w:t>and</w:t>
      </w:r>
      <w:r>
        <w:rPr>
          <w:spacing w:val="-4"/>
        </w:rPr>
        <w:t> </w:t>
      </w:r>
      <w:r>
        <w:rPr/>
        <w:t>suggest</w:t>
      </w:r>
      <w:r>
        <w:rPr>
          <w:spacing w:val="-4"/>
        </w:rPr>
        <w:t> </w:t>
      </w:r>
      <w:r>
        <w:rPr/>
        <w:t>that</w:t>
      </w:r>
      <w:r>
        <w:rPr>
          <w:spacing w:val="-4"/>
        </w:rPr>
        <w:t> </w:t>
      </w:r>
      <w:r>
        <w:rPr/>
        <w:t>similar</w:t>
      </w:r>
      <w:r>
        <w:rPr>
          <w:spacing w:val="-4"/>
        </w:rPr>
        <w:t> </w:t>
      </w:r>
      <w:r>
        <w:rPr/>
        <w:t>frameworks</w:t>
      </w:r>
      <w:r>
        <w:rPr>
          <w:spacing w:val="-4"/>
        </w:rPr>
        <w:t> </w:t>
      </w:r>
      <w:r>
        <w:rPr/>
        <w:t>can</w:t>
      </w:r>
      <w:r>
        <w:rPr>
          <w:spacing w:val="-4"/>
        </w:rPr>
        <w:t> </w:t>
      </w:r>
      <w:r>
        <w:rPr/>
        <w:t>be</w:t>
      </w:r>
      <w:r>
        <w:rPr>
          <w:spacing w:val="-4"/>
        </w:rPr>
        <w:t> </w:t>
      </w:r>
      <w:r>
        <w:rPr/>
        <w:t>applied</w:t>
      </w:r>
      <w:r>
        <w:rPr>
          <w:spacing w:val="-4"/>
        </w:rPr>
        <w:t> </w:t>
      </w:r>
      <w:r>
        <w:rPr/>
        <w:t>across</w:t>
      </w:r>
      <w:r>
        <w:rPr>
          <w:spacing w:val="-4"/>
        </w:rPr>
        <w:t> </w:t>
      </w:r>
      <w:r>
        <w:rPr/>
        <w:t>industries where geographic and temporal data drive decision-making.</w:t>
      </w:r>
    </w:p>
    <w:p>
      <w:pPr>
        <w:pStyle w:val="Heading4"/>
        <w:spacing w:before="173"/>
        <w:ind w:left="731"/>
      </w:pPr>
      <w:r>
        <w:rPr>
          <w:spacing w:val="-2"/>
        </w:rPr>
        <w:t>Introduction</w:t>
      </w:r>
    </w:p>
    <w:p>
      <w:pPr>
        <w:pStyle w:val="BodyText"/>
        <w:spacing w:line="266" w:lineRule="auto" w:before="200"/>
        <w:ind w:left="716" w:right="1469" w:firstLine="15"/>
      </w:pPr>
      <w:r>
        <w:rPr/>
        <w:t>Healthcare</w:t>
      </w:r>
      <w:r>
        <w:rPr>
          <w:spacing w:val="-5"/>
        </w:rPr>
        <w:t> </w:t>
      </w:r>
      <w:r>
        <w:rPr/>
        <w:t>organizations</w:t>
      </w:r>
      <w:r>
        <w:rPr>
          <w:spacing w:val="-5"/>
        </w:rPr>
        <w:t> </w:t>
      </w:r>
      <w:r>
        <w:rPr/>
        <w:t>operate</w:t>
      </w:r>
      <w:r>
        <w:rPr>
          <w:spacing w:val="-5"/>
        </w:rPr>
        <w:t> </w:t>
      </w:r>
      <w:r>
        <w:rPr/>
        <w:t>in</w:t>
      </w:r>
      <w:r>
        <w:rPr>
          <w:spacing w:val="-5"/>
        </w:rPr>
        <w:t> </w:t>
      </w:r>
      <w:r>
        <w:rPr/>
        <w:t>an</w:t>
      </w:r>
      <w:r>
        <w:rPr>
          <w:spacing w:val="-5"/>
        </w:rPr>
        <w:t> </w:t>
      </w:r>
      <w:r>
        <w:rPr/>
        <w:t>increasingly</w:t>
      </w:r>
      <w:r>
        <w:rPr>
          <w:spacing w:val="-5"/>
        </w:rPr>
        <w:t> </w:t>
      </w:r>
      <w:r>
        <w:rPr/>
        <w:t>complex</w:t>
      </w:r>
      <w:r>
        <w:rPr>
          <w:spacing w:val="-5"/>
        </w:rPr>
        <w:t> </w:t>
      </w:r>
      <w:r>
        <w:rPr/>
        <w:t>environment</w:t>
      </w:r>
      <w:r>
        <w:rPr>
          <w:spacing w:val="-5"/>
        </w:rPr>
        <w:t> </w:t>
      </w:r>
      <w:r>
        <w:rPr/>
        <w:t>characterized</w:t>
      </w:r>
      <w:r>
        <w:rPr>
          <w:spacing w:val="-5"/>
        </w:rPr>
        <w:t> </w:t>
      </w:r>
      <w:r>
        <w:rPr/>
        <w:t>by</w:t>
      </w:r>
      <w:r>
        <w:rPr>
          <w:spacing w:val="-5"/>
        </w:rPr>
        <w:t> </w:t>
      </w:r>
      <w:r>
        <w:rPr/>
        <w:t>rising operational costs, chronic workforce shortages, and growing demand for services. In regions</w:t>
      </w:r>
      <w:r>
        <w:rPr>
          <w:spacing w:val="40"/>
        </w:rPr>
        <w:t> </w:t>
      </w:r>
      <w:r>
        <w:rPr/>
        <w:t>such as East Tennessee, these pressures are intensified by socioeconomic disparities, aging populations, and limited provider availability in rural counties.</w:t>
      </w:r>
    </w:p>
    <w:p>
      <w:pPr>
        <w:pStyle w:val="BodyText"/>
        <w:spacing w:line="266" w:lineRule="auto" w:before="174"/>
        <w:ind w:left="731" w:right="1619"/>
      </w:pPr>
      <w:r>
        <w:rPr/>
        <w:t>Despite</w:t>
      </w:r>
      <w:r>
        <w:rPr>
          <w:spacing w:val="-4"/>
        </w:rPr>
        <w:t> </w:t>
      </w:r>
      <w:r>
        <w:rPr/>
        <w:t>the</w:t>
      </w:r>
      <w:r>
        <w:rPr>
          <w:spacing w:val="-4"/>
        </w:rPr>
        <w:t> </w:t>
      </w:r>
      <w:r>
        <w:rPr/>
        <w:t>abundance</w:t>
      </w:r>
      <w:r>
        <w:rPr>
          <w:spacing w:val="-4"/>
        </w:rPr>
        <w:t> </w:t>
      </w:r>
      <w:r>
        <w:rPr/>
        <w:t>of</w:t>
      </w:r>
      <w:r>
        <w:rPr>
          <w:spacing w:val="-4"/>
        </w:rPr>
        <w:t> </w:t>
      </w:r>
      <w:r>
        <w:rPr/>
        <w:t>publicly</w:t>
      </w:r>
      <w:r>
        <w:rPr>
          <w:spacing w:val="-4"/>
        </w:rPr>
        <w:t> </w:t>
      </w:r>
      <w:r>
        <w:rPr/>
        <w:t>available</w:t>
      </w:r>
      <w:r>
        <w:rPr>
          <w:spacing w:val="-4"/>
        </w:rPr>
        <w:t> </w:t>
      </w:r>
      <w:r>
        <w:rPr/>
        <w:t>health</w:t>
      </w:r>
      <w:r>
        <w:rPr>
          <w:spacing w:val="-4"/>
        </w:rPr>
        <w:t> </w:t>
      </w:r>
      <w:r>
        <w:rPr/>
        <w:t>data,</w:t>
      </w:r>
      <w:r>
        <w:rPr>
          <w:spacing w:val="-4"/>
        </w:rPr>
        <w:t> </w:t>
      </w:r>
      <w:r>
        <w:rPr/>
        <w:t>these</w:t>
      </w:r>
      <w:r>
        <w:rPr>
          <w:spacing w:val="-4"/>
        </w:rPr>
        <w:t> </w:t>
      </w:r>
      <w:r>
        <w:rPr/>
        <w:t>datasets</w:t>
      </w:r>
      <w:r>
        <w:rPr>
          <w:spacing w:val="-4"/>
        </w:rPr>
        <w:t> </w:t>
      </w:r>
      <w:r>
        <w:rPr/>
        <w:t>are</w:t>
      </w:r>
      <w:r>
        <w:rPr>
          <w:spacing w:val="-4"/>
        </w:rPr>
        <w:t> </w:t>
      </w:r>
      <w:r>
        <w:rPr/>
        <w:t>often</w:t>
      </w:r>
      <w:r>
        <w:rPr>
          <w:spacing w:val="-4"/>
        </w:rPr>
        <w:t> </w:t>
      </w:r>
      <w:r>
        <w:rPr/>
        <w:t>fragmented across multiple sources and formats, limiting their effectiveness for strategic use. From a business analytics perspective, the challenge is not data scarcity but data integration, standardization, and interpretation.</w:t>
      </w:r>
    </w:p>
    <w:p>
      <w:pPr>
        <w:pStyle w:val="BodyText"/>
        <w:spacing w:line="266" w:lineRule="auto" w:before="172"/>
        <w:ind w:left="731" w:right="1619"/>
      </w:pPr>
      <w:r>
        <w:rPr/>
        <w:t>Decision-makers</w:t>
      </w:r>
      <w:r>
        <w:rPr>
          <w:spacing w:val="-5"/>
        </w:rPr>
        <w:t> </w:t>
      </w:r>
      <w:r>
        <w:rPr/>
        <w:t>require</w:t>
      </w:r>
      <w:r>
        <w:rPr>
          <w:spacing w:val="-5"/>
        </w:rPr>
        <w:t> </w:t>
      </w:r>
      <w:r>
        <w:rPr/>
        <w:t>tools</w:t>
      </w:r>
      <w:r>
        <w:rPr>
          <w:spacing w:val="-5"/>
        </w:rPr>
        <w:t> </w:t>
      </w:r>
      <w:r>
        <w:rPr/>
        <w:t>that</w:t>
      </w:r>
      <w:r>
        <w:rPr>
          <w:spacing w:val="-5"/>
        </w:rPr>
        <w:t> </w:t>
      </w:r>
      <w:r>
        <w:rPr/>
        <w:t>can</w:t>
      </w:r>
      <w:r>
        <w:rPr>
          <w:spacing w:val="-5"/>
        </w:rPr>
        <w:t> </w:t>
      </w:r>
      <w:r>
        <w:rPr/>
        <w:t>synthesize</w:t>
      </w:r>
      <w:r>
        <w:rPr>
          <w:spacing w:val="-5"/>
        </w:rPr>
        <w:t> </w:t>
      </w:r>
      <w:r>
        <w:rPr/>
        <w:t>large</w:t>
      </w:r>
      <w:r>
        <w:rPr>
          <w:spacing w:val="-5"/>
        </w:rPr>
        <w:t> </w:t>
      </w:r>
      <w:r>
        <w:rPr/>
        <w:t>volumes</w:t>
      </w:r>
      <w:r>
        <w:rPr>
          <w:spacing w:val="-5"/>
        </w:rPr>
        <w:t> </w:t>
      </w:r>
      <w:r>
        <w:rPr/>
        <w:t>of</w:t>
      </w:r>
      <w:r>
        <w:rPr>
          <w:spacing w:val="-5"/>
        </w:rPr>
        <w:t> </w:t>
      </w:r>
      <w:r>
        <w:rPr/>
        <w:t>data</w:t>
      </w:r>
      <w:r>
        <w:rPr>
          <w:spacing w:val="-5"/>
        </w:rPr>
        <w:t> </w:t>
      </w:r>
      <w:r>
        <w:rPr/>
        <w:t>into</w:t>
      </w:r>
      <w:r>
        <w:rPr>
          <w:spacing w:val="-5"/>
        </w:rPr>
        <w:t> </w:t>
      </w:r>
      <w:r>
        <w:rPr/>
        <w:t>clear,</w:t>
      </w:r>
      <w:r>
        <w:rPr>
          <w:spacing w:val="-5"/>
        </w:rPr>
        <w:t> </w:t>
      </w:r>
      <w:r>
        <w:rPr/>
        <w:t>actionable insights. Specifically, they need the ability to identify trends, compare regions, and detect outliers that signal increased risk or resource strain.</w:t>
      </w:r>
    </w:p>
    <w:p>
      <w:pPr>
        <w:pStyle w:val="BodyText"/>
        <w:spacing w:after="0" w:line="266" w:lineRule="auto"/>
        <w:sectPr>
          <w:footerReference w:type="default" r:id="rId19"/>
          <w:pgSz w:w="12240" w:h="15840"/>
          <w:pgMar w:header="0" w:footer="747" w:top="640" w:bottom="940" w:left="720" w:right="0"/>
          <w:pgNumType w:start="13"/>
        </w:sectPr>
      </w:pPr>
    </w:p>
    <w:p>
      <w:pPr>
        <w:pStyle w:val="BodyText"/>
        <w:spacing w:line="266" w:lineRule="auto" w:before="61"/>
        <w:ind w:left="716" w:right="1619" w:firstLine="15"/>
      </w:pPr>
      <w:r>
        <w:rPr/>
        <w:t>This project introduces a regional health intelligence framework that leverages business intelligence</w:t>
      </w:r>
      <w:r>
        <w:rPr>
          <w:spacing w:val="-5"/>
        </w:rPr>
        <w:t> </w:t>
      </w:r>
      <w:r>
        <w:rPr/>
        <w:t>techniques</w:t>
      </w:r>
      <w:r>
        <w:rPr>
          <w:spacing w:val="-5"/>
        </w:rPr>
        <w:t> </w:t>
      </w:r>
      <w:r>
        <w:rPr/>
        <w:t>to</w:t>
      </w:r>
      <w:r>
        <w:rPr>
          <w:spacing w:val="-5"/>
        </w:rPr>
        <w:t> </w:t>
      </w:r>
      <w:r>
        <w:rPr/>
        <w:t>integrate</w:t>
      </w:r>
      <w:r>
        <w:rPr>
          <w:spacing w:val="-5"/>
        </w:rPr>
        <w:t> </w:t>
      </w:r>
      <w:r>
        <w:rPr/>
        <w:t>multi-year,</w:t>
      </w:r>
      <w:r>
        <w:rPr>
          <w:spacing w:val="-5"/>
        </w:rPr>
        <w:t> </w:t>
      </w:r>
      <w:r>
        <w:rPr/>
        <w:t>county-level</w:t>
      </w:r>
      <w:r>
        <w:rPr>
          <w:spacing w:val="-5"/>
        </w:rPr>
        <w:t> </w:t>
      </w:r>
      <w:r>
        <w:rPr/>
        <w:t>health</w:t>
      </w:r>
      <w:r>
        <w:rPr>
          <w:spacing w:val="-5"/>
        </w:rPr>
        <w:t> </w:t>
      </w:r>
      <w:r>
        <w:rPr/>
        <w:t>data</w:t>
      </w:r>
      <w:r>
        <w:rPr>
          <w:spacing w:val="-5"/>
        </w:rPr>
        <w:t> </w:t>
      </w:r>
      <w:r>
        <w:rPr/>
        <w:t>into</w:t>
      </w:r>
      <w:r>
        <w:rPr>
          <w:spacing w:val="-5"/>
        </w:rPr>
        <w:t> </w:t>
      </w:r>
      <w:r>
        <w:rPr/>
        <w:t>a</w:t>
      </w:r>
      <w:r>
        <w:rPr>
          <w:spacing w:val="-5"/>
        </w:rPr>
        <w:t> </w:t>
      </w:r>
      <w:r>
        <w:rPr/>
        <w:t>unified</w:t>
      </w:r>
      <w:r>
        <w:rPr>
          <w:spacing w:val="-5"/>
        </w:rPr>
        <w:t> </w:t>
      </w:r>
      <w:r>
        <w:rPr/>
        <w:t>analytical environment. The framework is extended through hierarchical geographic modeling, incorporating both county-level data and health district groupings to reflect real-world administrative structures. The objective is to demonstrate how interactive dashboards can enhance</w:t>
      </w:r>
      <w:r>
        <w:rPr>
          <w:spacing w:val="-1"/>
        </w:rPr>
        <w:t> </w:t>
      </w:r>
      <w:r>
        <w:rPr/>
        <w:t>situational</w:t>
      </w:r>
      <w:r>
        <w:rPr>
          <w:spacing w:val="-1"/>
        </w:rPr>
        <w:t> </w:t>
      </w:r>
      <w:r>
        <w:rPr/>
        <w:t>awareness,</w:t>
      </w:r>
      <w:r>
        <w:rPr>
          <w:spacing w:val="-1"/>
        </w:rPr>
        <w:t> </w:t>
      </w:r>
      <w:r>
        <w:rPr/>
        <w:t>support</w:t>
      </w:r>
      <w:r>
        <w:rPr>
          <w:spacing w:val="-1"/>
        </w:rPr>
        <w:t> </w:t>
      </w:r>
      <w:r>
        <w:rPr/>
        <w:t>evidence-based</w:t>
      </w:r>
      <w:r>
        <w:rPr>
          <w:spacing w:val="-1"/>
        </w:rPr>
        <w:t> </w:t>
      </w:r>
      <w:r>
        <w:rPr/>
        <w:t>decision-making,</w:t>
      </w:r>
      <w:r>
        <w:rPr>
          <w:spacing w:val="-1"/>
        </w:rPr>
        <w:t> </w:t>
      </w:r>
      <w:r>
        <w:rPr/>
        <w:t>and</w:t>
      </w:r>
      <w:r>
        <w:rPr>
          <w:spacing w:val="-1"/>
        </w:rPr>
        <w:t> </w:t>
      </w:r>
      <w:r>
        <w:rPr/>
        <w:t>improve</w:t>
      </w:r>
      <w:r>
        <w:rPr>
          <w:spacing w:val="-1"/>
        </w:rPr>
        <w:t> </w:t>
      </w:r>
      <w:r>
        <w:rPr/>
        <w:t>strategic planning within healthcare systems.</w:t>
      </w:r>
    </w:p>
    <w:p>
      <w:pPr>
        <w:pStyle w:val="Heading4"/>
        <w:spacing w:before="201"/>
        <w:ind w:left="731"/>
      </w:pPr>
      <w:r>
        <w:rPr/>
        <w:t>Literature</w:t>
      </w:r>
      <w:r>
        <w:rPr>
          <w:spacing w:val="-5"/>
        </w:rPr>
        <w:t> </w:t>
      </w:r>
      <w:r>
        <w:rPr>
          <w:spacing w:val="-2"/>
        </w:rPr>
        <w:t>Review</w:t>
      </w:r>
    </w:p>
    <w:p>
      <w:pPr>
        <w:pStyle w:val="BodyText"/>
        <w:spacing w:line="266" w:lineRule="auto" w:before="200"/>
        <w:ind w:left="716" w:right="1381" w:firstLine="15"/>
      </w:pPr>
      <w:r>
        <w:rPr/>
        <w:t>Business</w:t>
      </w:r>
      <w:r>
        <w:rPr>
          <w:spacing w:val="-4"/>
        </w:rPr>
        <w:t> </w:t>
      </w:r>
      <w:r>
        <w:rPr/>
        <w:t>and</w:t>
      </w:r>
      <w:r>
        <w:rPr>
          <w:spacing w:val="-4"/>
        </w:rPr>
        <w:t> </w:t>
      </w:r>
      <w:r>
        <w:rPr/>
        <w:t>health</w:t>
      </w:r>
      <w:r>
        <w:rPr>
          <w:spacing w:val="-4"/>
        </w:rPr>
        <w:t> </w:t>
      </w:r>
      <w:r>
        <w:rPr/>
        <w:t>analytics</w:t>
      </w:r>
      <w:r>
        <w:rPr>
          <w:spacing w:val="-4"/>
        </w:rPr>
        <w:t> </w:t>
      </w:r>
      <w:r>
        <w:rPr/>
        <w:t>literature</w:t>
      </w:r>
      <w:r>
        <w:rPr>
          <w:spacing w:val="-4"/>
        </w:rPr>
        <w:t> </w:t>
      </w:r>
      <w:r>
        <w:rPr/>
        <w:t>consistently</w:t>
      </w:r>
      <w:r>
        <w:rPr>
          <w:spacing w:val="-4"/>
        </w:rPr>
        <w:t> </w:t>
      </w:r>
      <w:r>
        <w:rPr/>
        <w:t>emphasizes</w:t>
      </w:r>
      <w:r>
        <w:rPr>
          <w:spacing w:val="-4"/>
        </w:rPr>
        <w:t> </w:t>
      </w:r>
      <w:r>
        <w:rPr/>
        <w:t>the</w:t>
      </w:r>
      <w:r>
        <w:rPr>
          <w:spacing w:val="-4"/>
        </w:rPr>
        <w:t> </w:t>
      </w:r>
      <w:r>
        <w:rPr/>
        <w:t>importance</w:t>
      </w:r>
      <w:r>
        <w:rPr>
          <w:spacing w:val="-4"/>
        </w:rPr>
        <w:t> </w:t>
      </w:r>
      <w:r>
        <w:rPr/>
        <w:t>of</w:t>
      </w:r>
      <w:r>
        <w:rPr>
          <w:spacing w:val="-4"/>
        </w:rPr>
        <w:t> </w:t>
      </w:r>
      <w:r>
        <w:rPr/>
        <w:t>integrated</w:t>
      </w:r>
      <w:r>
        <w:rPr>
          <w:spacing w:val="-4"/>
        </w:rPr>
        <w:t> </w:t>
      </w:r>
      <w:r>
        <w:rPr/>
        <w:t>data systems for effective organizational decision-making. The CDC’s PLACES initiative demonstrates that chronic disease prevalence varies significantly across geographic regions, particularly between rural and urban populations, resulting in uneven healthcare demand.</w:t>
      </w:r>
    </w:p>
    <w:p>
      <w:pPr>
        <w:pStyle w:val="BodyText"/>
        <w:spacing w:line="266" w:lineRule="auto" w:before="175"/>
        <w:ind w:left="716" w:right="1191" w:firstLine="15"/>
      </w:pPr>
      <w:r>
        <w:rPr/>
        <w:t>Community</w:t>
      </w:r>
      <w:r>
        <w:rPr>
          <w:spacing w:val="-4"/>
        </w:rPr>
        <w:t> </w:t>
      </w:r>
      <w:r>
        <w:rPr/>
        <w:t>Health</w:t>
      </w:r>
      <w:r>
        <w:rPr>
          <w:spacing w:val="-4"/>
        </w:rPr>
        <w:t> </w:t>
      </w:r>
      <w:r>
        <w:rPr/>
        <w:t>Assessments</w:t>
      </w:r>
      <w:r>
        <w:rPr>
          <w:spacing w:val="-4"/>
        </w:rPr>
        <w:t> </w:t>
      </w:r>
      <w:r>
        <w:rPr/>
        <w:t>further</w:t>
      </w:r>
      <w:r>
        <w:rPr>
          <w:spacing w:val="-4"/>
        </w:rPr>
        <w:t> </w:t>
      </w:r>
      <w:r>
        <w:rPr/>
        <w:t>highlight</w:t>
      </w:r>
      <w:r>
        <w:rPr>
          <w:spacing w:val="-4"/>
        </w:rPr>
        <w:t> </w:t>
      </w:r>
      <w:r>
        <w:rPr/>
        <w:t>how</w:t>
      </w:r>
      <w:r>
        <w:rPr>
          <w:spacing w:val="-4"/>
        </w:rPr>
        <w:t> </w:t>
      </w:r>
      <w:r>
        <w:rPr/>
        <w:t>socioeconomic</w:t>
      </w:r>
      <w:r>
        <w:rPr>
          <w:spacing w:val="-4"/>
        </w:rPr>
        <w:t> </w:t>
      </w:r>
      <w:r>
        <w:rPr/>
        <w:t>factors</w:t>
      </w:r>
      <w:r>
        <w:rPr>
          <w:spacing w:val="-4"/>
        </w:rPr>
        <w:t> </w:t>
      </w:r>
      <w:r>
        <w:rPr/>
        <w:t>such</w:t>
      </w:r>
      <w:r>
        <w:rPr>
          <w:spacing w:val="-4"/>
        </w:rPr>
        <w:t> </w:t>
      </w:r>
      <w:r>
        <w:rPr/>
        <w:t>as</w:t>
      </w:r>
      <w:r>
        <w:rPr>
          <w:spacing w:val="-4"/>
        </w:rPr>
        <w:t> </w:t>
      </w:r>
      <w:r>
        <w:rPr/>
        <w:t>income, education, and access to care contribute to long-term health disparities and cost pressures.</w:t>
      </w:r>
    </w:p>
    <w:p>
      <w:pPr>
        <w:pStyle w:val="BodyText"/>
        <w:spacing w:line="266" w:lineRule="auto"/>
        <w:ind w:left="716" w:right="1381"/>
      </w:pPr>
      <w:r>
        <w:rPr/>
        <w:t>Google Data Commons provides standardized, machine-readable datasets that enable benchmarking</w:t>
      </w:r>
      <w:r>
        <w:rPr>
          <w:spacing w:val="-4"/>
        </w:rPr>
        <w:t> </w:t>
      </w:r>
      <w:r>
        <w:rPr/>
        <w:t>and</w:t>
      </w:r>
      <w:r>
        <w:rPr>
          <w:spacing w:val="-4"/>
        </w:rPr>
        <w:t> </w:t>
      </w:r>
      <w:r>
        <w:rPr/>
        <w:t>trend</w:t>
      </w:r>
      <w:r>
        <w:rPr>
          <w:spacing w:val="-4"/>
        </w:rPr>
        <w:t> </w:t>
      </w:r>
      <w:r>
        <w:rPr/>
        <w:t>analysis,</w:t>
      </w:r>
      <w:r>
        <w:rPr>
          <w:spacing w:val="-4"/>
        </w:rPr>
        <w:t> </w:t>
      </w:r>
      <w:r>
        <w:rPr/>
        <w:t>both</w:t>
      </w:r>
      <w:r>
        <w:rPr>
          <w:spacing w:val="-4"/>
        </w:rPr>
        <w:t> </w:t>
      </w:r>
      <w:r>
        <w:rPr/>
        <w:t>of</w:t>
      </w:r>
      <w:r>
        <w:rPr>
          <w:spacing w:val="-4"/>
        </w:rPr>
        <w:t> </w:t>
      </w:r>
      <w:r>
        <w:rPr/>
        <w:t>which</w:t>
      </w:r>
      <w:r>
        <w:rPr>
          <w:spacing w:val="-4"/>
        </w:rPr>
        <w:t> </w:t>
      </w:r>
      <w:r>
        <w:rPr/>
        <w:t>are</w:t>
      </w:r>
      <w:r>
        <w:rPr>
          <w:spacing w:val="-4"/>
        </w:rPr>
        <w:t> </w:t>
      </w:r>
      <w:r>
        <w:rPr/>
        <w:t>core</w:t>
      </w:r>
      <w:r>
        <w:rPr>
          <w:spacing w:val="-4"/>
        </w:rPr>
        <w:t> </w:t>
      </w:r>
      <w:r>
        <w:rPr/>
        <w:t>functions</w:t>
      </w:r>
      <w:r>
        <w:rPr>
          <w:spacing w:val="-4"/>
        </w:rPr>
        <w:t> </w:t>
      </w:r>
      <w:r>
        <w:rPr/>
        <w:t>of</w:t>
      </w:r>
      <w:r>
        <w:rPr>
          <w:spacing w:val="-4"/>
        </w:rPr>
        <w:t> </w:t>
      </w:r>
      <w:r>
        <w:rPr/>
        <w:t>business</w:t>
      </w:r>
      <w:r>
        <w:rPr>
          <w:spacing w:val="-4"/>
        </w:rPr>
        <w:t> </w:t>
      </w:r>
      <w:r>
        <w:rPr/>
        <w:t>intelligence </w:t>
      </w:r>
      <w:r>
        <w:rPr>
          <w:spacing w:val="-2"/>
        </w:rPr>
        <w:t>systems.</w:t>
      </w:r>
    </w:p>
    <w:p>
      <w:pPr>
        <w:pStyle w:val="BodyText"/>
        <w:spacing w:line="266" w:lineRule="auto" w:before="171"/>
        <w:ind w:left="716" w:right="1619" w:firstLine="15"/>
      </w:pPr>
      <w:r>
        <w:rPr/>
        <w:t>Prior research shows that dashboard-driven analytics improve decision-making speed and accuracy.</w:t>
      </w:r>
      <w:r>
        <w:rPr>
          <w:spacing w:val="-5"/>
        </w:rPr>
        <w:t> </w:t>
      </w:r>
      <w:r>
        <w:rPr/>
        <w:t>Khanna</w:t>
      </w:r>
      <w:r>
        <w:rPr>
          <w:spacing w:val="-5"/>
        </w:rPr>
        <w:t> </w:t>
      </w:r>
      <w:r>
        <w:rPr/>
        <w:t>et</w:t>
      </w:r>
      <w:r>
        <w:rPr>
          <w:spacing w:val="-5"/>
        </w:rPr>
        <w:t> </w:t>
      </w:r>
      <w:r>
        <w:rPr/>
        <w:t>al.</w:t>
      </w:r>
      <w:r>
        <w:rPr>
          <w:spacing w:val="-5"/>
        </w:rPr>
        <w:t> </w:t>
      </w:r>
      <w:r>
        <w:rPr/>
        <w:t>(2022)</w:t>
      </w:r>
      <w:r>
        <w:rPr>
          <w:spacing w:val="-5"/>
        </w:rPr>
        <w:t> </w:t>
      </w:r>
      <w:r>
        <w:rPr/>
        <w:t>demonstrate</w:t>
      </w:r>
      <w:r>
        <w:rPr>
          <w:spacing w:val="-5"/>
        </w:rPr>
        <w:t> </w:t>
      </w:r>
      <w:r>
        <w:rPr/>
        <w:t>that</w:t>
      </w:r>
      <w:r>
        <w:rPr>
          <w:spacing w:val="-5"/>
        </w:rPr>
        <w:t> </w:t>
      </w:r>
      <w:r>
        <w:rPr/>
        <w:t>delayed</w:t>
      </w:r>
      <w:r>
        <w:rPr>
          <w:spacing w:val="-5"/>
        </w:rPr>
        <w:t> </w:t>
      </w:r>
      <w:r>
        <w:rPr/>
        <w:t>preventive</w:t>
      </w:r>
      <w:r>
        <w:rPr>
          <w:spacing w:val="-5"/>
        </w:rPr>
        <w:t> </w:t>
      </w:r>
      <w:r>
        <w:rPr/>
        <w:t>care</w:t>
      </w:r>
      <w:r>
        <w:rPr>
          <w:spacing w:val="-5"/>
        </w:rPr>
        <w:t> </w:t>
      </w:r>
      <w:r>
        <w:rPr/>
        <w:t>increases</w:t>
      </w:r>
      <w:r>
        <w:rPr>
          <w:spacing w:val="-5"/>
        </w:rPr>
        <w:t> </w:t>
      </w:r>
      <w:r>
        <w:rPr/>
        <w:t>downstream healthcare costs, emphasizing the economic importance of early detection and proactive </w:t>
      </w:r>
      <w:r>
        <w:rPr>
          <w:spacing w:val="-2"/>
        </w:rPr>
        <w:t>planning.</w:t>
      </w:r>
    </w:p>
    <w:p>
      <w:pPr>
        <w:pStyle w:val="BodyText"/>
        <w:spacing w:line="266" w:lineRule="auto" w:before="174"/>
        <w:ind w:left="716" w:right="1191" w:firstLine="15"/>
      </w:pPr>
      <w:r>
        <w:rPr/>
        <w:t>From an operational standpoint, HRSA shortage designations provide indicators of healthcare capacity</w:t>
      </w:r>
      <w:r>
        <w:rPr>
          <w:spacing w:val="-4"/>
        </w:rPr>
        <w:t> </w:t>
      </w:r>
      <w:r>
        <w:rPr/>
        <w:t>risk,</w:t>
      </w:r>
      <w:r>
        <w:rPr>
          <w:spacing w:val="-5"/>
        </w:rPr>
        <w:t> </w:t>
      </w:r>
      <w:r>
        <w:rPr/>
        <w:t>which</w:t>
      </w:r>
      <w:r>
        <w:rPr>
          <w:spacing w:val="-4"/>
        </w:rPr>
        <w:t> </w:t>
      </w:r>
      <w:r>
        <w:rPr/>
        <w:t>can</w:t>
      </w:r>
      <w:r>
        <w:rPr>
          <w:spacing w:val="-5"/>
        </w:rPr>
        <w:t> </w:t>
      </w:r>
      <w:r>
        <w:rPr/>
        <w:t>be</w:t>
      </w:r>
      <w:r>
        <w:rPr>
          <w:spacing w:val="-4"/>
        </w:rPr>
        <w:t> </w:t>
      </w:r>
      <w:r>
        <w:rPr/>
        <w:t>monitored</w:t>
      </w:r>
      <w:r>
        <w:rPr>
          <w:spacing w:val="-5"/>
        </w:rPr>
        <w:t> </w:t>
      </w:r>
      <w:r>
        <w:rPr/>
        <w:t>using</w:t>
      </w:r>
      <w:r>
        <w:rPr>
          <w:spacing w:val="-4"/>
        </w:rPr>
        <w:t> </w:t>
      </w:r>
      <w:r>
        <w:rPr/>
        <w:t>data</w:t>
      </w:r>
      <w:r>
        <w:rPr>
          <w:spacing w:val="-5"/>
        </w:rPr>
        <w:t> </w:t>
      </w:r>
      <w:r>
        <w:rPr/>
        <w:t>analytics.</w:t>
      </w:r>
      <w:r>
        <w:rPr>
          <w:spacing w:val="-4"/>
        </w:rPr>
        <w:t> </w:t>
      </w:r>
      <w:r>
        <w:rPr/>
        <w:t>Collectively,</w:t>
      </w:r>
      <w:r>
        <w:rPr>
          <w:spacing w:val="-5"/>
        </w:rPr>
        <w:t> </w:t>
      </w:r>
      <w:r>
        <w:rPr/>
        <w:t>these</w:t>
      </w:r>
      <w:r>
        <w:rPr>
          <w:spacing w:val="-4"/>
        </w:rPr>
        <w:t> </w:t>
      </w:r>
      <w:r>
        <w:rPr/>
        <w:t>studies</w:t>
      </w:r>
      <w:r>
        <w:rPr>
          <w:spacing w:val="-5"/>
        </w:rPr>
        <w:t> </w:t>
      </w:r>
      <w:r>
        <w:rPr/>
        <w:t>support</w:t>
      </w:r>
      <w:r>
        <w:rPr>
          <w:spacing w:val="-4"/>
        </w:rPr>
        <w:t> </w:t>
      </w:r>
      <w:r>
        <w:rPr/>
        <w:t>the use of business intelligence platforms to transform fragmented data into actionable insights that guide resource allocation and strategic decision-making.</w:t>
      </w:r>
    </w:p>
    <w:p>
      <w:pPr>
        <w:pStyle w:val="Heading4"/>
        <w:spacing w:line="412" w:lineRule="auto" w:before="199"/>
        <w:ind w:left="716" w:right="9059" w:firstLine="15"/>
      </w:pPr>
      <w:r>
        <w:rPr>
          <w:spacing w:val="-2"/>
        </w:rPr>
        <w:t>Methodology </w:t>
      </w:r>
      <w:r>
        <w:rPr/>
        <w:t>Data</w:t>
      </w:r>
      <w:r>
        <w:rPr>
          <w:spacing w:val="-15"/>
        </w:rPr>
        <w:t> </w:t>
      </w:r>
      <w:r>
        <w:rPr/>
        <w:t>Description</w:t>
      </w:r>
    </w:p>
    <w:p>
      <w:pPr>
        <w:pStyle w:val="BodyText"/>
        <w:spacing w:line="266" w:lineRule="auto" w:before="2"/>
        <w:ind w:left="731" w:right="1191"/>
      </w:pPr>
      <w:r>
        <w:rPr/>
        <w:t>The analysis utilizes a clean and fully numeric dataset covering 33 counties in East Tennessee, aligned</w:t>
      </w:r>
      <w:r>
        <w:rPr>
          <w:spacing w:val="-4"/>
        </w:rPr>
        <w:t> </w:t>
      </w:r>
      <w:r>
        <w:rPr/>
        <w:t>with</w:t>
      </w:r>
      <w:r>
        <w:rPr>
          <w:spacing w:val="-4"/>
        </w:rPr>
        <w:t> </w:t>
      </w:r>
      <w:r>
        <w:rPr/>
        <w:t>official</w:t>
      </w:r>
      <w:r>
        <w:rPr>
          <w:spacing w:val="-4"/>
        </w:rPr>
        <w:t> </w:t>
      </w:r>
      <w:r>
        <w:rPr/>
        <w:t>state-recognized</w:t>
      </w:r>
      <w:r>
        <w:rPr>
          <w:spacing w:val="-4"/>
        </w:rPr>
        <w:t> </w:t>
      </w:r>
      <w:r>
        <w:rPr/>
        <w:t>regional</w:t>
      </w:r>
      <w:r>
        <w:rPr>
          <w:spacing w:val="-4"/>
        </w:rPr>
        <w:t> </w:t>
      </w:r>
      <w:r>
        <w:rPr/>
        <w:t>definitions,</w:t>
      </w:r>
      <w:r>
        <w:rPr>
          <w:spacing w:val="-4"/>
        </w:rPr>
        <w:t> </w:t>
      </w:r>
      <w:r>
        <w:rPr/>
        <w:t>from</w:t>
      </w:r>
      <w:r>
        <w:rPr>
          <w:spacing w:val="-4"/>
        </w:rPr>
        <w:t> </w:t>
      </w:r>
      <w:r>
        <w:rPr/>
        <w:t>2020</w:t>
      </w:r>
      <w:r>
        <w:rPr>
          <w:spacing w:val="-4"/>
        </w:rPr>
        <w:t> </w:t>
      </w:r>
      <w:r>
        <w:rPr/>
        <w:t>through</w:t>
      </w:r>
      <w:r>
        <w:rPr>
          <w:spacing w:val="-4"/>
        </w:rPr>
        <w:t> </w:t>
      </w:r>
      <w:r>
        <w:rPr/>
        <w:t>2024.</w:t>
      </w:r>
      <w:r>
        <w:rPr>
          <w:spacing w:val="-4"/>
        </w:rPr>
        <w:t> </w:t>
      </w:r>
      <w:r>
        <w:rPr/>
        <w:t>The</w:t>
      </w:r>
      <w:r>
        <w:rPr>
          <w:spacing w:val="-4"/>
        </w:rPr>
        <w:t> </w:t>
      </w:r>
      <w:r>
        <w:rPr/>
        <w:t>dataset includes chronic disease indicators, total population, and mortality counts, enabling both cross sectional and longitudinal analysis.</w:t>
      </w:r>
    </w:p>
    <w:p>
      <w:pPr>
        <w:pStyle w:val="Heading4"/>
        <w:spacing w:before="198"/>
        <w:ind w:left="716"/>
      </w:pPr>
      <w:r>
        <w:rPr/>
        <w:t>Data </w:t>
      </w:r>
      <w:r>
        <w:rPr>
          <w:spacing w:val="-2"/>
        </w:rPr>
        <w:t>Preparation</w:t>
      </w:r>
    </w:p>
    <w:p>
      <w:pPr>
        <w:pStyle w:val="BodyText"/>
        <w:spacing w:line="266" w:lineRule="auto" w:before="200"/>
        <w:ind w:left="716" w:right="1619" w:firstLine="15"/>
      </w:pPr>
      <w:r>
        <w:rPr/>
        <w:t>Data preparation was conducted using Python (pandas) and Power Query within Microsoft Power</w:t>
      </w:r>
      <w:r>
        <w:rPr>
          <w:spacing w:val="-4"/>
        </w:rPr>
        <w:t> </w:t>
      </w:r>
      <w:r>
        <w:rPr/>
        <w:t>BI.</w:t>
      </w:r>
      <w:r>
        <w:rPr>
          <w:spacing w:val="-4"/>
        </w:rPr>
        <w:t> </w:t>
      </w:r>
      <w:r>
        <w:rPr/>
        <w:t>Multiple</w:t>
      </w:r>
      <w:r>
        <w:rPr>
          <w:spacing w:val="-4"/>
        </w:rPr>
        <w:t> </w:t>
      </w:r>
      <w:r>
        <w:rPr/>
        <w:t>iterations</w:t>
      </w:r>
      <w:r>
        <w:rPr>
          <w:spacing w:val="-4"/>
        </w:rPr>
        <w:t> </w:t>
      </w:r>
      <w:r>
        <w:rPr/>
        <w:t>were</w:t>
      </w:r>
      <w:r>
        <w:rPr>
          <w:spacing w:val="-4"/>
        </w:rPr>
        <w:t> </w:t>
      </w:r>
      <w:r>
        <w:rPr/>
        <w:t>required</w:t>
      </w:r>
      <w:r>
        <w:rPr>
          <w:spacing w:val="-4"/>
        </w:rPr>
        <w:t> </w:t>
      </w:r>
      <w:r>
        <w:rPr/>
        <w:t>to</w:t>
      </w:r>
      <w:r>
        <w:rPr>
          <w:spacing w:val="-4"/>
        </w:rPr>
        <w:t> </w:t>
      </w:r>
      <w:r>
        <w:rPr/>
        <w:t>address</w:t>
      </w:r>
      <w:r>
        <w:rPr>
          <w:spacing w:val="-4"/>
        </w:rPr>
        <w:t> </w:t>
      </w:r>
      <w:r>
        <w:rPr/>
        <w:t>inconsistencies</w:t>
      </w:r>
      <w:r>
        <w:rPr>
          <w:spacing w:val="-4"/>
        </w:rPr>
        <w:t> </w:t>
      </w:r>
      <w:r>
        <w:rPr/>
        <w:t>in</w:t>
      </w:r>
      <w:r>
        <w:rPr>
          <w:spacing w:val="-4"/>
        </w:rPr>
        <w:t> </w:t>
      </w:r>
      <w:r>
        <w:rPr/>
        <w:t>formatting,</w:t>
      </w:r>
      <w:r>
        <w:rPr>
          <w:spacing w:val="-4"/>
        </w:rPr>
        <w:t> </w:t>
      </w:r>
      <w:r>
        <w:rPr/>
        <w:t>missing values, and categorical labeling.</w:t>
      </w:r>
    </w:p>
    <w:p>
      <w:pPr>
        <w:pStyle w:val="BodyText"/>
        <w:spacing w:before="172"/>
        <w:ind w:left="731"/>
      </w:pPr>
      <w:r>
        <w:rPr/>
        <w:t>The final dataset </w:t>
      </w:r>
      <w:r>
        <w:rPr>
          <w:spacing w:val="-2"/>
        </w:rPr>
        <w:t>includes:</w:t>
      </w:r>
    </w:p>
    <w:p>
      <w:pPr>
        <w:pStyle w:val="ListParagraph"/>
        <w:numPr>
          <w:ilvl w:val="0"/>
          <w:numId w:val="1"/>
        </w:numPr>
        <w:tabs>
          <w:tab w:pos="1212" w:val="left" w:leader="none"/>
        </w:tabs>
        <w:spacing w:line="240" w:lineRule="auto" w:before="271" w:after="0"/>
        <w:ind w:left="1212" w:right="0" w:hanging="121"/>
        <w:jc w:val="left"/>
        <w:rPr>
          <w:sz w:val="24"/>
        </w:rPr>
      </w:pPr>
      <w:r>
        <w:rPr>
          <w:sz w:val="24"/>
        </w:rPr>
        <w:t>Standardized county </w:t>
      </w:r>
      <w:r>
        <w:rPr>
          <w:spacing w:val="-2"/>
          <w:sz w:val="24"/>
        </w:rPr>
        <w:t>identifiers</w:t>
      </w:r>
    </w:p>
    <w:p>
      <w:pPr>
        <w:pStyle w:val="ListParagraph"/>
        <w:spacing w:after="0" w:line="240" w:lineRule="auto"/>
        <w:jc w:val="left"/>
        <w:rPr>
          <w:sz w:val="24"/>
        </w:rPr>
        <w:sectPr>
          <w:pgSz w:w="12240" w:h="15840"/>
          <w:pgMar w:header="0" w:footer="747" w:top="640" w:bottom="960" w:left="720" w:right="0"/>
        </w:sectPr>
      </w:pPr>
    </w:p>
    <w:p>
      <w:pPr>
        <w:pStyle w:val="ListParagraph"/>
        <w:numPr>
          <w:ilvl w:val="0"/>
          <w:numId w:val="1"/>
        </w:numPr>
        <w:tabs>
          <w:tab w:pos="1212" w:val="left" w:leader="none"/>
        </w:tabs>
        <w:spacing w:line="240" w:lineRule="auto" w:before="71" w:after="0"/>
        <w:ind w:left="1212" w:right="0" w:hanging="121"/>
        <w:jc w:val="left"/>
        <w:rPr>
          <w:sz w:val="24"/>
        </w:rPr>
      </w:pPr>
      <w:r>
        <w:rPr>
          <w:sz w:val="24"/>
        </w:rPr>
        <w:t>Fully numeric </w:t>
      </w:r>
      <w:r>
        <w:rPr>
          <w:spacing w:val="-2"/>
          <w:sz w:val="24"/>
        </w:rPr>
        <w:t>variables</w:t>
      </w:r>
    </w:p>
    <w:p>
      <w:pPr>
        <w:pStyle w:val="BodyText"/>
        <w:spacing w:before="56"/>
      </w:pPr>
    </w:p>
    <w:p>
      <w:pPr>
        <w:pStyle w:val="ListParagraph"/>
        <w:numPr>
          <w:ilvl w:val="0"/>
          <w:numId w:val="1"/>
        </w:numPr>
        <w:tabs>
          <w:tab w:pos="1212" w:val="left" w:leader="none"/>
        </w:tabs>
        <w:spacing w:line="240" w:lineRule="auto" w:before="1" w:after="0"/>
        <w:ind w:left="1212" w:right="0" w:hanging="121"/>
        <w:jc w:val="left"/>
        <w:rPr>
          <w:sz w:val="24"/>
        </w:rPr>
      </w:pPr>
      <w:r>
        <w:rPr>
          <w:sz w:val="24"/>
        </w:rPr>
        <w:t>A structured time dimension </w:t>
      </w:r>
      <w:r>
        <w:rPr>
          <w:spacing w:val="-2"/>
          <w:sz w:val="24"/>
        </w:rPr>
        <w:t>(year)</w:t>
      </w:r>
    </w:p>
    <w:p>
      <w:pPr>
        <w:pStyle w:val="BodyText"/>
        <w:spacing w:before="261"/>
        <w:ind w:left="731"/>
      </w:pPr>
      <w:r>
        <w:rPr/>
        <w:t>This</w:t>
      </w:r>
      <w:r>
        <w:rPr>
          <w:spacing w:val="-6"/>
        </w:rPr>
        <w:t> </w:t>
      </w:r>
      <w:r>
        <w:rPr/>
        <w:t>ensured</w:t>
      </w:r>
      <w:r>
        <w:rPr>
          <w:spacing w:val="-4"/>
        </w:rPr>
        <w:t> </w:t>
      </w:r>
      <w:r>
        <w:rPr/>
        <w:t>consistency,</w:t>
      </w:r>
      <w:r>
        <w:rPr>
          <w:spacing w:val="-3"/>
        </w:rPr>
        <w:t> </w:t>
      </w:r>
      <w:r>
        <w:rPr/>
        <w:t>reliability,</w:t>
      </w:r>
      <w:r>
        <w:rPr>
          <w:spacing w:val="-4"/>
        </w:rPr>
        <w:t> </w:t>
      </w:r>
      <w:r>
        <w:rPr/>
        <w:t>and</w:t>
      </w:r>
      <w:r>
        <w:rPr>
          <w:spacing w:val="-3"/>
        </w:rPr>
        <w:t> </w:t>
      </w:r>
      <w:r>
        <w:rPr/>
        <w:t>compatibility</w:t>
      </w:r>
      <w:r>
        <w:rPr>
          <w:spacing w:val="-4"/>
        </w:rPr>
        <w:t> </w:t>
      </w:r>
      <w:r>
        <w:rPr/>
        <w:t>with</w:t>
      </w:r>
      <w:r>
        <w:rPr>
          <w:spacing w:val="-3"/>
        </w:rPr>
        <w:t> </w:t>
      </w:r>
      <w:r>
        <w:rPr/>
        <w:t>business</w:t>
      </w:r>
      <w:r>
        <w:rPr>
          <w:spacing w:val="-4"/>
        </w:rPr>
        <w:t> </w:t>
      </w:r>
      <w:r>
        <w:rPr/>
        <w:t>intelligence</w:t>
      </w:r>
      <w:r>
        <w:rPr>
          <w:spacing w:val="-3"/>
        </w:rPr>
        <w:t> </w:t>
      </w:r>
      <w:r>
        <w:rPr>
          <w:spacing w:val="-2"/>
        </w:rPr>
        <w:t>workflows.</w:t>
      </w:r>
    </w:p>
    <w:p>
      <w:pPr>
        <w:pStyle w:val="Heading4"/>
        <w:spacing w:before="200"/>
        <w:ind w:left="716"/>
      </w:pPr>
      <w:r>
        <w:rPr/>
        <w:t>Analytical </w:t>
      </w:r>
      <w:r>
        <w:rPr>
          <w:spacing w:val="-2"/>
        </w:rPr>
        <w:t>Framework</w:t>
      </w:r>
    </w:p>
    <w:p>
      <w:pPr>
        <w:pStyle w:val="BodyText"/>
        <w:spacing w:line="266" w:lineRule="auto" w:before="200"/>
        <w:ind w:left="731" w:right="1191"/>
      </w:pPr>
      <w:r>
        <w:rPr/>
        <w:t>The dataset was analyzed using Power BI to support descriptive, comparative, and trend-based analytics.</w:t>
      </w:r>
      <w:r>
        <w:rPr>
          <w:spacing w:val="-4"/>
        </w:rPr>
        <w:t> </w:t>
      </w:r>
      <w:r>
        <w:rPr/>
        <w:t>Key</w:t>
      </w:r>
      <w:r>
        <w:rPr>
          <w:spacing w:val="-4"/>
        </w:rPr>
        <w:t> </w:t>
      </w:r>
      <w:r>
        <w:rPr/>
        <w:t>performance</w:t>
      </w:r>
      <w:r>
        <w:rPr>
          <w:spacing w:val="-4"/>
        </w:rPr>
        <w:t> </w:t>
      </w:r>
      <w:r>
        <w:rPr/>
        <w:t>indicators</w:t>
      </w:r>
      <w:r>
        <w:rPr>
          <w:spacing w:val="-4"/>
        </w:rPr>
        <w:t> </w:t>
      </w:r>
      <w:r>
        <w:rPr/>
        <w:t>(KPIs)</w:t>
      </w:r>
      <w:r>
        <w:rPr>
          <w:spacing w:val="-4"/>
        </w:rPr>
        <w:t> </w:t>
      </w:r>
      <w:r>
        <w:rPr/>
        <w:t>were</w:t>
      </w:r>
      <w:r>
        <w:rPr>
          <w:spacing w:val="-4"/>
        </w:rPr>
        <w:t> </w:t>
      </w:r>
      <w:r>
        <w:rPr/>
        <w:t>developed</w:t>
      </w:r>
      <w:r>
        <w:rPr>
          <w:spacing w:val="-4"/>
        </w:rPr>
        <w:t> </w:t>
      </w:r>
      <w:r>
        <w:rPr/>
        <w:t>to</w:t>
      </w:r>
      <w:r>
        <w:rPr>
          <w:spacing w:val="-4"/>
        </w:rPr>
        <w:t> </w:t>
      </w:r>
      <w:r>
        <w:rPr/>
        <w:t>normalize</w:t>
      </w:r>
      <w:r>
        <w:rPr>
          <w:spacing w:val="-4"/>
        </w:rPr>
        <w:t> </w:t>
      </w:r>
      <w:r>
        <w:rPr/>
        <w:t>health</w:t>
      </w:r>
      <w:r>
        <w:rPr>
          <w:spacing w:val="-4"/>
        </w:rPr>
        <w:t> </w:t>
      </w:r>
      <w:r>
        <w:rPr/>
        <w:t>outcomes</w:t>
      </w:r>
      <w:r>
        <w:rPr>
          <w:spacing w:val="-4"/>
        </w:rPr>
        <w:t> </w:t>
      </w:r>
      <w:r>
        <w:rPr/>
        <w:t>and enable fair comparisons across counties with varying population sizes.</w:t>
      </w:r>
    </w:p>
    <w:p>
      <w:pPr>
        <w:pStyle w:val="BodyText"/>
        <w:spacing w:before="202"/>
        <w:ind w:left="731"/>
      </w:pPr>
      <w:r>
        <w:rPr/>
        <w:t>The framework incorporates a multi-level geographic structure, enabling analysis </w:t>
      </w:r>
      <w:r>
        <w:rPr>
          <w:spacing w:val="-2"/>
        </w:rPr>
        <w:t>across:</w:t>
      </w:r>
    </w:p>
    <w:p>
      <w:pPr>
        <w:pStyle w:val="BodyText"/>
        <w:spacing w:before="25"/>
      </w:pPr>
    </w:p>
    <w:p>
      <w:pPr>
        <w:pStyle w:val="ListParagraph"/>
        <w:numPr>
          <w:ilvl w:val="0"/>
          <w:numId w:val="1"/>
        </w:numPr>
        <w:tabs>
          <w:tab w:pos="1182" w:val="left" w:leader="none"/>
        </w:tabs>
        <w:spacing w:line="240" w:lineRule="auto" w:before="0" w:after="0"/>
        <w:ind w:left="1182" w:right="0" w:hanging="121"/>
        <w:jc w:val="left"/>
        <w:rPr>
          <w:sz w:val="24"/>
        </w:rPr>
      </w:pPr>
      <w:r>
        <w:rPr>
          <w:sz w:val="24"/>
        </w:rPr>
        <w:t>County level (granular </w:t>
      </w:r>
      <w:r>
        <w:rPr>
          <w:spacing w:val="-2"/>
          <w:sz w:val="24"/>
        </w:rPr>
        <w:t>insights)</w:t>
      </w:r>
    </w:p>
    <w:p>
      <w:pPr>
        <w:pStyle w:val="BodyText"/>
        <w:spacing w:before="102"/>
      </w:pPr>
    </w:p>
    <w:p>
      <w:pPr>
        <w:pStyle w:val="ListParagraph"/>
        <w:numPr>
          <w:ilvl w:val="0"/>
          <w:numId w:val="1"/>
        </w:numPr>
        <w:tabs>
          <w:tab w:pos="1182" w:val="left" w:leader="none"/>
        </w:tabs>
        <w:spacing w:line="240" w:lineRule="auto" w:before="0" w:after="0"/>
        <w:ind w:left="1182" w:right="0" w:hanging="121"/>
        <w:jc w:val="left"/>
        <w:rPr>
          <w:sz w:val="24"/>
        </w:rPr>
      </w:pPr>
      <w:r>
        <w:rPr>
          <w:sz w:val="24"/>
        </w:rPr>
        <w:t>Health district level (operational </w:t>
      </w:r>
      <w:r>
        <w:rPr>
          <w:spacing w:val="-2"/>
          <w:sz w:val="24"/>
        </w:rPr>
        <w:t>insights)</w:t>
      </w:r>
    </w:p>
    <w:p>
      <w:pPr>
        <w:pStyle w:val="BodyText"/>
        <w:spacing w:before="102"/>
      </w:pPr>
    </w:p>
    <w:p>
      <w:pPr>
        <w:pStyle w:val="ListParagraph"/>
        <w:numPr>
          <w:ilvl w:val="0"/>
          <w:numId w:val="1"/>
        </w:numPr>
        <w:tabs>
          <w:tab w:pos="1182" w:val="left" w:leader="none"/>
        </w:tabs>
        <w:spacing w:line="240" w:lineRule="auto" w:before="0" w:after="0"/>
        <w:ind w:left="1182" w:right="0" w:hanging="121"/>
        <w:jc w:val="left"/>
        <w:rPr>
          <w:sz w:val="24"/>
        </w:rPr>
      </w:pPr>
      <w:r>
        <w:rPr>
          <w:sz w:val="24"/>
        </w:rPr>
        <w:t>Regional</w:t>
      </w:r>
      <w:r>
        <w:rPr>
          <w:spacing w:val="-3"/>
          <w:sz w:val="24"/>
        </w:rPr>
        <w:t> </w:t>
      </w:r>
      <w:r>
        <w:rPr>
          <w:sz w:val="24"/>
        </w:rPr>
        <w:t>level</w:t>
      </w:r>
      <w:r>
        <w:rPr>
          <w:spacing w:val="-2"/>
          <w:sz w:val="24"/>
        </w:rPr>
        <w:t> </w:t>
      </w:r>
      <w:r>
        <w:rPr>
          <w:sz w:val="24"/>
        </w:rPr>
        <w:t>(33</w:t>
      </w:r>
      <w:r>
        <w:rPr>
          <w:spacing w:val="-3"/>
          <w:sz w:val="24"/>
        </w:rPr>
        <w:t> </w:t>
      </w:r>
      <w:r>
        <w:rPr>
          <w:sz w:val="24"/>
        </w:rPr>
        <w:t>East</w:t>
      </w:r>
      <w:r>
        <w:rPr>
          <w:spacing w:val="-2"/>
          <w:sz w:val="24"/>
        </w:rPr>
        <w:t> </w:t>
      </w:r>
      <w:r>
        <w:rPr>
          <w:sz w:val="24"/>
        </w:rPr>
        <w:t>Tennessee</w:t>
      </w:r>
      <w:r>
        <w:rPr>
          <w:spacing w:val="-3"/>
          <w:sz w:val="24"/>
        </w:rPr>
        <w:t> </w:t>
      </w:r>
      <w:r>
        <w:rPr>
          <w:sz w:val="24"/>
        </w:rPr>
        <w:t>counties)</w:t>
      </w:r>
      <w:r>
        <w:rPr>
          <w:spacing w:val="-2"/>
          <w:sz w:val="24"/>
        </w:rPr>
        <w:t> </w:t>
      </w:r>
      <w:r>
        <w:rPr>
          <w:sz w:val="24"/>
        </w:rPr>
        <w:t>(strategic</w:t>
      </w:r>
      <w:r>
        <w:rPr>
          <w:spacing w:val="-2"/>
          <w:sz w:val="24"/>
        </w:rPr>
        <w:t> overview)</w:t>
      </w:r>
    </w:p>
    <w:p>
      <w:pPr>
        <w:pStyle w:val="BodyText"/>
        <w:spacing w:before="32"/>
      </w:pPr>
    </w:p>
    <w:p>
      <w:pPr>
        <w:pStyle w:val="BodyText"/>
        <w:spacing w:line="266" w:lineRule="auto"/>
        <w:ind w:left="731" w:right="1191"/>
      </w:pPr>
      <w:r>
        <w:rPr/>
        <w:t>Health districts were integrated through a mapping structure linking each county to its corresponding</w:t>
      </w:r>
      <w:r>
        <w:rPr>
          <w:spacing w:val="-5"/>
        </w:rPr>
        <w:t> </w:t>
      </w:r>
      <w:r>
        <w:rPr/>
        <w:t>district.</w:t>
      </w:r>
      <w:r>
        <w:rPr>
          <w:spacing w:val="-5"/>
        </w:rPr>
        <w:t> </w:t>
      </w:r>
      <w:r>
        <w:rPr/>
        <w:t>This</w:t>
      </w:r>
      <w:r>
        <w:rPr>
          <w:spacing w:val="-5"/>
        </w:rPr>
        <w:t> </w:t>
      </w:r>
      <w:r>
        <w:rPr/>
        <w:t>allows</w:t>
      </w:r>
      <w:r>
        <w:rPr>
          <w:spacing w:val="-5"/>
        </w:rPr>
        <w:t> </w:t>
      </w:r>
      <w:r>
        <w:rPr/>
        <w:t>dynamic</w:t>
      </w:r>
      <w:r>
        <w:rPr>
          <w:spacing w:val="-5"/>
        </w:rPr>
        <w:t> </w:t>
      </w:r>
      <w:r>
        <w:rPr/>
        <w:t>aggregation</w:t>
      </w:r>
      <w:r>
        <w:rPr>
          <w:spacing w:val="-5"/>
        </w:rPr>
        <w:t> </w:t>
      </w:r>
      <w:r>
        <w:rPr/>
        <w:t>and</w:t>
      </w:r>
      <w:r>
        <w:rPr>
          <w:spacing w:val="-5"/>
        </w:rPr>
        <w:t> </w:t>
      </w:r>
      <w:r>
        <w:rPr/>
        <w:t>comparison</w:t>
      </w:r>
      <w:r>
        <w:rPr>
          <w:spacing w:val="-5"/>
        </w:rPr>
        <w:t> </w:t>
      </w:r>
      <w:r>
        <w:rPr/>
        <w:t>across</w:t>
      </w:r>
      <w:r>
        <w:rPr>
          <w:spacing w:val="-5"/>
        </w:rPr>
        <w:t> </w:t>
      </w:r>
      <w:r>
        <w:rPr/>
        <w:t>different administrative levels.</w:t>
      </w:r>
    </w:p>
    <w:p>
      <w:pPr>
        <w:pStyle w:val="BodyText"/>
        <w:spacing w:before="172"/>
        <w:ind w:left="731"/>
      </w:pPr>
      <w:r>
        <w:rPr/>
        <w:t>Core analytical capabilities </w:t>
      </w:r>
      <w:r>
        <w:rPr>
          <w:spacing w:val="-2"/>
        </w:rPr>
        <w:t>include:</w:t>
      </w:r>
    </w:p>
    <w:p>
      <w:pPr>
        <w:pStyle w:val="ListParagraph"/>
        <w:numPr>
          <w:ilvl w:val="0"/>
          <w:numId w:val="1"/>
        </w:numPr>
        <w:tabs>
          <w:tab w:pos="1212" w:val="left" w:leader="none"/>
        </w:tabs>
        <w:spacing w:line="240" w:lineRule="auto" w:before="271" w:after="0"/>
        <w:ind w:left="1212" w:right="0" w:hanging="121"/>
        <w:jc w:val="left"/>
        <w:rPr>
          <w:sz w:val="24"/>
        </w:rPr>
      </w:pPr>
      <w:r>
        <w:rPr>
          <w:sz w:val="24"/>
        </w:rPr>
        <w:t>Per capita normalization (e.g., deaths per 100,000 </w:t>
      </w:r>
      <w:r>
        <w:rPr>
          <w:spacing w:val="-2"/>
          <w:sz w:val="24"/>
        </w:rPr>
        <w:t>residents)</w:t>
      </w:r>
    </w:p>
    <w:p>
      <w:pPr>
        <w:pStyle w:val="BodyText"/>
        <w:spacing w:before="56"/>
      </w:pPr>
    </w:p>
    <w:p>
      <w:pPr>
        <w:pStyle w:val="ListParagraph"/>
        <w:numPr>
          <w:ilvl w:val="0"/>
          <w:numId w:val="1"/>
        </w:numPr>
        <w:tabs>
          <w:tab w:pos="1212" w:val="left" w:leader="none"/>
        </w:tabs>
        <w:spacing w:line="240" w:lineRule="auto" w:before="0" w:after="0"/>
        <w:ind w:left="1212" w:right="0" w:hanging="121"/>
        <w:jc w:val="left"/>
        <w:rPr>
          <w:sz w:val="24"/>
        </w:rPr>
      </w:pPr>
      <w:r>
        <w:rPr>
          <w:sz w:val="24"/>
        </w:rPr>
        <w:t>Multi-year trend analysis (2020–</w:t>
      </w:r>
      <w:r>
        <w:rPr>
          <w:spacing w:val="-2"/>
          <w:sz w:val="24"/>
        </w:rPr>
        <w:t>2024)</w:t>
      </w:r>
    </w:p>
    <w:p>
      <w:pPr>
        <w:pStyle w:val="BodyText"/>
        <w:spacing w:before="56"/>
      </w:pPr>
    </w:p>
    <w:p>
      <w:pPr>
        <w:pStyle w:val="ListParagraph"/>
        <w:numPr>
          <w:ilvl w:val="0"/>
          <w:numId w:val="1"/>
        </w:numPr>
        <w:tabs>
          <w:tab w:pos="1212" w:val="left" w:leader="none"/>
        </w:tabs>
        <w:spacing w:line="240" w:lineRule="auto" w:before="0" w:after="0"/>
        <w:ind w:left="1212" w:right="0" w:hanging="121"/>
        <w:jc w:val="left"/>
        <w:rPr>
          <w:sz w:val="24"/>
        </w:rPr>
      </w:pPr>
      <w:r>
        <w:rPr>
          <w:sz w:val="24"/>
        </w:rPr>
        <w:t>Geographic comparison across counties, districts, and </w:t>
      </w:r>
      <w:r>
        <w:rPr>
          <w:spacing w:val="-2"/>
          <w:sz w:val="24"/>
        </w:rPr>
        <w:t>region</w:t>
      </w:r>
    </w:p>
    <w:p>
      <w:pPr>
        <w:pStyle w:val="BodyText"/>
        <w:spacing w:before="57"/>
      </w:pPr>
    </w:p>
    <w:p>
      <w:pPr>
        <w:pStyle w:val="ListParagraph"/>
        <w:numPr>
          <w:ilvl w:val="0"/>
          <w:numId w:val="1"/>
        </w:numPr>
        <w:tabs>
          <w:tab w:pos="1212" w:val="left" w:leader="none"/>
        </w:tabs>
        <w:spacing w:line="240" w:lineRule="auto" w:before="0" w:after="0"/>
        <w:ind w:left="1212" w:right="0" w:hanging="121"/>
        <w:jc w:val="left"/>
        <w:rPr>
          <w:sz w:val="24"/>
        </w:rPr>
      </w:pPr>
      <w:r>
        <w:rPr>
          <w:sz w:val="24"/>
        </w:rPr>
        <w:t>Ranking and benchmarking across multiple </w:t>
      </w:r>
      <w:r>
        <w:rPr>
          <w:spacing w:val="-2"/>
          <w:sz w:val="24"/>
        </w:rPr>
        <w:t>levels</w:t>
      </w:r>
    </w:p>
    <w:p>
      <w:pPr>
        <w:pStyle w:val="BodyText"/>
        <w:spacing w:line="266" w:lineRule="auto" w:before="261"/>
        <w:ind w:left="716" w:right="2135" w:firstLine="15"/>
      </w:pPr>
      <w:r>
        <w:rPr/>
        <w:t>This</w:t>
      </w:r>
      <w:r>
        <w:rPr>
          <w:spacing w:val="-4"/>
        </w:rPr>
        <w:t> </w:t>
      </w:r>
      <w:r>
        <w:rPr/>
        <w:t>hierarchical</w:t>
      </w:r>
      <w:r>
        <w:rPr>
          <w:spacing w:val="-4"/>
        </w:rPr>
        <w:t> </w:t>
      </w:r>
      <w:r>
        <w:rPr/>
        <w:t>approach</w:t>
      </w:r>
      <w:r>
        <w:rPr>
          <w:spacing w:val="-4"/>
        </w:rPr>
        <w:t> </w:t>
      </w:r>
      <w:r>
        <w:rPr/>
        <w:t>enables</w:t>
      </w:r>
      <w:r>
        <w:rPr>
          <w:spacing w:val="-4"/>
        </w:rPr>
        <w:t> </w:t>
      </w:r>
      <w:r>
        <w:rPr/>
        <w:t>both</w:t>
      </w:r>
      <w:r>
        <w:rPr>
          <w:spacing w:val="-4"/>
        </w:rPr>
        <w:t> </w:t>
      </w:r>
      <w:r>
        <w:rPr/>
        <w:t>drill-down</w:t>
      </w:r>
      <w:r>
        <w:rPr>
          <w:spacing w:val="-4"/>
        </w:rPr>
        <w:t> </w:t>
      </w:r>
      <w:r>
        <w:rPr/>
        <w:t>(county-level)</w:t>
      </w:r>
      <w:r>
        <w:rPr>
          <w:spacing w:val="-4"/>
        </w:rPr>
        <w:t> </w:t>
      </w:r>
      <w:r>
        <w:rPr/>
        <w:t>and</w:t>
      </w:r>
      <w:r>
        <w:rPr>
          <w:spacing w:val="-4"/>
        </w:rPr>
        <w:t> </w:t>
      </w:r>
      <w:r>
        <w:rPr/>
        <w:t>roll-up</w:t>
      </w:r>
      <w:r>
        <w:rPr>
          <w:spacing w:val="-4"/>
        </w:rPr>
        <w:t> </w:t>
      </w:r>
      <w:r>
        <w:rPr/>
        <w:t>(district</w:t>
      </w:r>
      <w:r>
        <w:rPr>
          <w:spacing w:val="-4"/>
        </w:rPr>
        <w:t> </w:t>
      </w:r>
      <w:r>
        <w:rPr/>
        <w:t>and regional-level) analysis within a single system.</w:t>
      </w:r>
    </w:p>
    <w:p>
      <w:pPr>
        <w:pStyle w:val="BodyText"/>
        <w:spacing w:after="0" w:line="266" w:lineRule="auto"/>
        <w:sectPr>
          <w:pgSz w:w="12240" w:h="15840"/>
          <w:pgMar w:header="0" w:footer="747" w:top="700" w:bottom="960" w:left="720" w:right="0"/>
        </w:sectPr>
      </w:pPr>
    </w:p>
    <w:p>
      <w:pPr>
        <w:pStyle w:val="Heading4"/>
        <w:spacing w:before="61"/>
        <w:ind w:left="731"/>
      </w:pPr>
      <w:r>
        <w:rPr/>
        <w:t>Results and </w:t>
      </w:r>
      <w:r>
        <w:rPr>
          <w:spacing w:val="-2"/>
        </w:rPr>
        <w:t>Implications</w:t>
      </w:r>
    </w:p>
    <w:p>
      <w:pPr>
        <w:pStyle w:val="BodyText"/>
        <w:spacing w:before="6"/>
        <w:rPr>
          <w:b/>
          <w:sz w:val="20"/>
        </w:rPr>
      </w:pPr>
      <w:r>
        <w:rPr>
          <w:b/>
          <w:sz w:val="20"/>
        </w:rPr>
        <w:drawing>
          <wp:anchor distT="0" distB="0" distL="0" distR="0" allowOverlap="1" layoutInCell="1" locked="0" behindDoc="1" simplePos="0" relativeHeight="487588352">
            <wp:simplePos x="0" y="0"/>
            <wp:positionH relativeFrom="page">
              <wp:posOffset>931392</wp:posOffset>
            </wp:positionH>
            <wp:positionV relativeFrom="paragraph">
              <wp:posOffset>165692</wp:posOffset>
            </wp:positionV>
            <wp:extent cx="5076825" cy="2838450"/>
            <wp:effectExtent l="0" t="0" r="0" b="0"/>
            <wp:wrapTopAndBottom/>
            <wp:docPr id="6" name="Image 6"/>
            <wp:cNvGraphicFramePr>
              <a:graphicFrameLocks/>
            </wp:cNvGraphicFramePr>
            <a:graphic>
              <a:graphicData uri="http://schemas.openxmlformats.org/drawingml/2006/picture">
                <pic:pic>
                  <pic:nvPicPr>
                    <pic:cNvPr id="6" name="Image 6"/>
                    <pic:cNvPicPr/>
                  </pic:nvPicPr>
                  <pic:blipFill>
                    <a:blip r:embed="rId20" cstate="print"/>
                    <a:stretch>
                      <a:fillRect/>
                    </a:stretch>
                  </pic:blipFill>
                  <pic:spPr>
                    <a:xfrm>
                      <a:off x="0" y="0"/>
                      <a:ext cx="5076825" cy="2838450"/>
                    </a:xfrm>
                    <a:prstGeom prst="rect">
                      <a:avLst/>
                    </a:prstGeom>
                  </pic:spPr>
                </pic:pic>
              </a:graphicData>
            </a:graphic>
          </wp:anchor>
        </w:drawing>
      </w:r>
    </w:p>
    <w:p>
      <w:pPr>
        <w:pStyle w:val="Heading4"/>
        <w:spacing w:before="261"/>
        <w:ind w:left="716"/>
      </w:pPr>
      <w:r>
        <w:rPr/>
        <w:t>Figure</w:t>
      </w:r>
      <w:r>
        <w:rPr>
          <w:spacing w:val="-2"/>
        </w:rPr>
        <w:t> </w:t>
      </w:r>
      <w:r>
        <w:rPr/>
        <w:t>1:</w:t>
      </w:r>
      <w:r>
        <w:rPr>
          <w:spacing w:val="-1"/>
        </w:rPr>
        <w:t> </w:t>
      </w:r>
      <w:r>
        <w:rPr/>
        <w:t>Regional</w:t>
      </w:r>
      <w:r>
        <w:rPr>
          <w:spacing w:val="-1"/>
        </w:rPr>
        <w:t> </w:t>
      </w:r>
      <w:r>
        <w:rPr/>
        <w:t>Overview</w:t>
      </w:r>
      <w:r>
        <w:rPr>
          <w:spacing w:val="-1"/>
        </w:rPr>
        <w:t> </w:t>
      </w:r>
      <w:r>
        <w:rPr>
          <w:spacing w:val="-2"/>
        </w:rPr>
        <w:t>Dashboard</w:t>
      </w:r>
    </w:p>
    <w:p>
      <w:pPr>
        <w:pStyle w:val="BodyText"/>
        <w:spacing w:line="266" w:lineRule="auto" w:before="76"/>
        <w:ind w:left="716" w:right="1619" w:firstLine="15"/>
      </w:pPr>
      <w:r>
        <w:rPr/>
        <w:drawing>
          <wp:anchor distT="0" distB="0" distL="0" distR="0" allowOverlap="1" layoutInCell="1" locked="0" behindDoc="1" simplePos="0" relativeHeight="487588864">
            <wp:simplePos x="0" y="0"/>
            <wp:positionH relativeFrom="page">
              <wp:posOffset>966248</wp:posOffset>
            </wp:positionH>
            <wp:positionV relativeFrom="paragraph">
              <wp:posOffset>866936</wp:posOffset>
            </wp:positionV>
            <wp:extent cx="4800868" cy="2699004"/>
            <wp:effectExtent l="0" t="0" r="0" b="0"/>
            <wp:wrapTopAndBottom/>
            <wp:docPr id="7" name="Image 7"/>
            <wp:cNvGraphicFramePr>
              <a:graphicFrameLocks/>
            </wp:cNvGraphicFramePr>
            <a:graphic>
              <a:graphicData uri="http://schemas.openxmlformats.org/drawingml/2006/picture">
                <pic:pic>
                  <pic:nvPicPr>
                    <pic:cNvPr id="7" name="Image 7"/>
                    <pic:cNvPicPr/>
                  </pic:nvPicPr>
                  <pic:blipFill>
                    <a:blip r:embed="rId21" cstate="print"/>
                    <a:stretch>
                      <a:fillRect/>
                    </a:stretch>
                  </pic:blipFill>
                  <pic:spPr>
                    <a:xfrm>
                      <a:off x="0" y="0"/>
                      <a:ext cx="4800868" cy="2699004"/>
                    </a:xfrm>
                    <a:prstGeom prst="rect">
                      <a:avLst/>
                    </a:prstGeom>
                  </pic:spPr>
                </pic:pic>
              </a:graphicData>
            </a:graphic>
          </wp:anchor>
        </w:drawing>
      </w:r>
      <w:r>
        <w:rPr/>
        <w:t>Figure 1 presents an overview of mortality across all Tennessee counties. This high-level view provides decision-makers with immediate insight into regional scale, variation, and relative burden,</w:t>
      </w:r>
      <w:r>
        <w:rPr>
          <w:spacing w:val="-3"/>
        </w:rPr>
        <w:t> </w:t>
      </w:r>
      <w:r>
        <w:rPr/>
        <w:t>serving</w:t>
      </w:r>
      <w:r>
        <w:rPr>
          <w:spacing w:val="-3"/>
        </w:rPr>
        <w:t> </w:t>
      </w:r>
      <w:r>
        <w:rPr/>
        <w:t>as</w:t>
      </w:r>
      <w:r>
        <w:rPr>
          <w:spacing w:val="-3"/>
        </w:rPr>
        <w:t> </w:t>
      </w:r>
      <w:r>
        <w:rPr/>
        <w:t>an</w:t>
      </w:r>
      <w:r>
        <w:rPr>
          <w:spacing w:val="-3"/>
        </w:rPr>
        <w:t> </w:t>
      </w:r>
      <w:r>
        <w:rPr/>
        <w:t>entry</w:t>
      </w:r>
      <w:r>
        <w:rPr>
          <w:spacing w:val="-3"/>
        </w:rPr>
        <w:t> </w:t>
      </w:r>
      <w:r>
        <w:rPr/>
        <w:t>point</w:t>
      </w:r>
      <w:r>
        <w:rPr>
          <w:spacing w:val="-3"/>
        </w:rPr>
        <w:t> </w:t>
      </w:r>
      <w:r>
        <w:rPr/>
        <w:t>for</w:t>
      </w:r>
      <w:r>
        <w:rPr>
          <w:spacing w:val="-3"/>
        </w:rPr>
        <w:t> </w:t>
      </w:r>
      <w:r>
        <w:rPr/>
        <w:t>deeper</w:t>
      </w:r>
      <w:r>
        <w:rPr>
          <w:spacing w:val="-3"/>
        </w:rPr>
        <w:t> </w:t>
      </w:r>
      <w:r>
        <w:rPr/>
        <w:t>analysis.</w:t>
      </w:r>
      <w:r>
        <w:rPr>
          <w:spacing w:val="-3"/>
        </w:rPr>
        <w:t> </w:t>
      </w:r>
      <w:r>
        <w:rPr/>
        <w:t>In</w:t>
      </w:r>
      <w:r>
        <w:rPr>
          <w:spacing w:val="-3"/>
        </w:rPr>
        <w:t> </w:t>
      </w:r>
      <w:r>
        <w:rPr/>
        <w:t>this</w:t>
      </w:r>
      <w:r>
        <w:rPr>
          <w:spacing w:val="-3"/>
        </w:rPr>
        <w:t> </w:t>
      </w:r>
      <w:r>
        <w:rPr/>
        <w:t>figure,</w:t>
      </w:r>
      <w:r>
        <w:rPr>
          <w:spacing w:val="-3"/>
        </w:rPr>
        <w:t> </w:t>
      </w:r>
      <w:r>
        <w:rPr/>
        <w:t>the</w:t>
      </w:r>
      <w:r>
        <w:rPr>
          <w:spacing w:val="-3"/>
        </w:rPr>
        <w:t> </w:t>
      </w:r>
      <w:r>
        <w:rPr/>
        <w:t>map</w:t>
      </w:r>
      <w:r>
        <w:rPr>
          <w:spacing w:val="-3"/>
        </w:rPr>
        <w:t> </w:t>
      </w:r>
      <w:r>
        <w:rPr/>
        <w:t>serves</w:t>
      </w:r>
      <w:r>
        <w:rPr>
          <w:spacing w:val="-3"/>
        </w:rPr>
        <w:t> </w:t>
      </w:r>
      <w:r>
        <w:rPr/>
        <w:t>as</w:t>
      </w:r>
      <w:r>
        <w:rPr>
          <w:spacing w:val="-3"/>
        </w:rPr>
        <w:t> </w:t>
      </w:r>
      <w:r>
        <w:rPr/>
        <w:t>the</w:t>
      </w:r>
      <w:r>
        <w:rPr>
          <w:spacing w:val="-3"/>
        </w:rPr>
        <w:t> </w:t>
      </w:r>
      <w:r>
        <w:rPr/>
        <w:t>slicer, so when a county is chosen, the visuals show the measures for the selected county</w:t>
      </w:r>
    </w:p>
    <w:p>
      <w:pPr>
        <w:pStyle w:val="Heading4"/>
        <w:spacing w:before="61"/>
        <w:ind w:left="716"/>
      </w:pPr>
      <w:r>
        <w:rPr/>
        <w:t>Figure</w:t>
      </w:r>
      <w:r>
        <w:rPr>
          <w:spacing w:val="-1"/>
        </w:rPr>
        <w:t> </w:t>
      </w:r>
      <w:r>
        <w:rPr/>
        <w:t>2:</w:t>
      </w:r>
      <w:r>
        <w:rPr>
          <w:spacing w:val="-1"/>
        </w:rPr>
        <w:t> </w:t>
      </w:r>
      <w:r>
        <w:rPr/>
        <w:t>Geographic</w:t>
      </w:r>
      <w:r>
        <w:rPr>
          <w:spacing w:val="-1"/>
        </w:rPr>
        <w:t> </w:t>
      </w:r>
      <w:r>
        <w:rPr/>
        <w:t>Distribution</w:t>
      </w:r>
      <w:r>
        <w:rPr>
          <w:spacing w:val="-1"/>
        </w:rPr>
        <w:t> </w:t>
      </w:r>
      <w:r>
        <w:rPr/>
        <w:t>of</w:t>
      </w:r>
      <w:r>
        <w:rPr>
          <w:spacing w:val="-1"/>
        </w:rPr>
        <w:t> </w:t>
      </w:r>
      <w:r>
        <w:rPr/>
        <w:t>Health </w:t>
      </w:r>
      <w:r>
        <w:rPr>
          <w:spacing w:val="-4"/>
        </w:rPr>
        <w:t>Risk</w:t>
      </w:r>
    </w:p>
    <w:p>
      <w:pPr>
        <w:pStyle w:val="BodyText"/>
        <w:spacing w:before="175"/>
        <w:rPr>
          <w:b/>
        </w:rPr>
      </w:pPr>
    </w:p>
    <w:p>
      <w:pPr>
        <w:pStyle w:val="BodyText"/>
        <w:spacing w:line="266" w:lineRule="auto"/>
        <w:ind w:left="716" w:right="1619" w:firstLine="15"/>
      </w:pPr>
      <w:r>
        <w:rPr/>
        <w:t>Figure 2 displays a county-level map illustrating chronic disease burden normalized by population</w:t>
      </w:r>
      <w:r>
        <w:rPr>
          <w:spacing w:val="-1"/>
        </w:rPr>
        <w:t> </w:t>
      </w:r>
      <w:r>
        <w:rPr/>
        <w:t>across</w:t>
      </w:r>
      <w:r>
        <w:rPr>
          <w:spacing w:val="-1"/>
        </w:rPr>
        <w:t> </w:t>
      </w:r>
      <w:r>
        <w:rPr/>
        <w:t>the</w:t>
      </w:r>
      <w:r>
        <w:rPr>
          <w:spacing w:val="-1"/>
        </w:rPr>
        <w:t> </w:t>
      </w:r>
      <w:r>
        <w:rPr/>
        <w:t>33</w:t>
      </w:r>
      <w:r>
        <w:rPr>
          <w:spacing w:val="-1"/>
        </w:rPr>
        <w:t> </w:t>
      </w:r>
      <w:r>
        <w:rPr/>
        <w:t>officially</w:t>
      </w:r>
      <w:r>
        <w:rPr>
          <w:spacing w:val="-1"/>
        </w:rPr>
        <w:t> </w:t>
      </w:r>
      <w:r>
        <w:rPr/>
        <w:t>recognized</w:t>
      </w:r>
      <w:r>
        <w:rPr>
          <w:spacing w:val="-1"/>
        </w:rPr>
        <w:t> </w:t>
      </w:r>
      <w:r>
        <w:rPr/>
        <w:t>East</w:t>
      </w:r>
      <w:r>
        <w:rPr>
          <w:spacing w:val="-1"/>
        </w:rPr>
        <w:t> </w:t>
      </w:r>
      <w:r>
        <w:rPr/>
        <w:t>Tennessee</w:t>
      </w:r>
      <w:r>
        <w:rPr>
          <w:spacing w:val="-1"/>
        </w:rPr>
        <w:t> </w:t>
      </w:r>
      <w:r>
        <w:rPr/>
        <w:t>counties.</w:t>
      </w:r>
      <w:r>
        <w:rPr>
          <w:spacing w:val="-1"/>
        </w:rPr>
        <w:t> </w:t>
      </w:r>
      <w:r>
        <w:rPr/>
        <w:t>In</w:t>
      </w:r>
      <w:r>
        <w:rPr>
          <w:spacing w:val="-1"/>
        </w:rPr>
        <w:t> </w:t>
      </w:r>
      <w:r>
        <w:rPr/>
        <w:t>this</w:t>
      </w:r>
      <w:r>
        <w:rPr>
          <w:spacing w:val="-1"/>
        </w:rPr>
        <w:t> </w:t>
      </w:r>
      <w:r>
        <w:rPr/>
        <w:t>figure,</w:t>
      </w:r>
      <w:r>
        <w:rPr>
          <w:spacing w:val="-1"/>
        </w:rPr>
        <w:t> </w:t>
      </w:r>
      <w:r>
        <w:rPr/>
        <w:t>the</w:t>
      </w:r>
      <w:r>
        <w:rPr>
          <w:spacing w:val="-1"/>
        </w:rPr>
        <w:t> </w:t>
      </w:r>
      <w:r>
        <w:rPr/>
        <w:t>map serves</w:t>
      </w:r>
      <w:r>
        <w:rPr>
          <w:spacing w:val="-3"/>
        </w:rPr>
        <w:t> </w:t>
      </w:r>
      <w:r>
        <w:rPr/>
        <w:t>as</w:t>
      </w:r>
      <w:r>
        <w:rPr>
          <w:spacing w:val="-3"/>
        </w:rPr>
        <w:t> </w:t>
      </w:r>
      <w:r>
        <w:rPr/>
        <w:t>the</w:t>
      </w:r>
      <w:r>
        <w:rPr>
          <w:spacing w:val="-3"/>
        </w:rPr>
        <w:t> </w:t>
      </w:r>
      <w:r>
        <w:rPr/>
        <w:t>slicer,</w:t>
      </w:r>
      <w:r>
        <w:rPr>
          <w:spacing w:val="-3"/>
        </w:rPr>
        <w:t> </w:t>
      </w:r>
      <w:r>
        <w:rPr/>
        <w:t>so</w:t>
      </w:r>
      <w:r>
        <w:rPr>
          <w:spacing w:val="-3"/>
        </w:rPr>
        <w:t> </w:t>
      </w:r>
      <w:r>
        <w:rPr/>
        <w:t>when</w:t>
      </w:r>
      <w:r>
        <w:rPr>
          <w:spacing w:val="-3"/>
        </w:rPr>
        <w:t> </w:t>
      </w:r>
      <w:r>
        <w:rPr/>
        <w:t>a</w:t>
      </w:r>
      <w:r>
        <w:rPr>
          <w:spacing w:val="-3"/>
        </w:rPr>
        <w:t> </w:t>
      </w:r>
      <w:r>
        <w:rPr/>
        <w:t>county</w:t>
      </w:r>
      <w:r>
        <w:rPr>
          <w:spacing w:val="-3"/>
        </w:rPr>
        <w:t> </w:t>
      </w:r>
      <w:r>
        <w:rPr/>
        <w:t>is</w:t>
      </w:r>
      <w:r>
        <w:rPr>
          <w:spacing w:val="-3"/>
        </w:rPr>
        <w:t> </w:t>
      </w:r>
      <w:r>
        <w:rPr/>
        <w:t>chosen,</w:t>
      </w:r>
      <w:r>
        <w:rPr>
          <w:spacing w:val="-3"/>
        </w:rPr>
        <w:t> </w:t>
      </w:r>
      <w:r>
        <w:rPr/>
        <w:t>the</w:t>
      </w:r>
      <w:r>
        <w:rPr>
          <w:spacing w:val="-3"/>
        </w:rPr>
        <w:t> </w:t>
      </w:r>
      <w:r>
        <w:rPr/>
        <w:t>visuals</w:t>
      </w:r>
      <w:r>
        <w:rPr>
          <w:spacing w:val="-3"/>
        </w:rPr>
        <w:t> </w:t>
      </w:r>
      <w:r>
        <w:rPr/>
        <w:t>show</w:t>
      </w:r>
      <w:r>
        <w:rPr>
          <w:spacing w:val="-3"/>
        </w:rPr>
        <w:t> </w:t>
      </w:r>
      <w:r>
        <w:rPr/>
        <w:t>the</w:t>
      </w:r>
      <w:r>
        <w:rPr>
          <w:spacing w:val="-3"/>
        </w:rPr>
        <w:t> </w:t>
      </w:r>
      <w:r>
        <w:rPr/>
        <w:t>measures</w:t>
      </w:r>
      <w:r>
        <w:rPr>
          <w:spacing w:val="-3"/>
        </w:rPr>
        <w:t> </w:t>
      </w:r>
      <w:r>
        <w:rPr/>
        <w:t>for</w:t>
      </w:r>
      <w:r>
        <w:rPr>
          <w:spacing w:val="-3"/>
        </w:rPr>
        <w:t> </w:t>
      </w:r>
      <w:r>
        <w:rPr/>
        <w:t>the</w:t>
      </w:r>
      <w:r>
        <w:rPr>
          <w:spacing w:val="-3"/>
        </w:rPr>
        <w:t> </w:t>
      </w:r>
      <w:r>
        <w:rPr/>
        <w:t>selected </w:t>
      </w:r>
      <w:r>
        <w:rPr>
          <w:spacing w:val="-2"/>
        </w:rPr>
        <w:t>county</w:t>
      </w:r>
    </w:p>
    <w:p>
      <w:pPr>
        <w:pStyle w:val="BodyText"/>
        <w:spacing w:line="266" w:lineRule="auto" w:before="174"/>
        <w:ind w:left="731" w:right="1381" w:hanging="15"/>
      </w:pPr>
      <w:r>
        <w:rPr/>
        <w:t>Unlike</w:t>
      </w:r>
      <w:r>
        <w:rPr>
          <w:spacing w:val="-4"/>
        </w:rPr>
        <w:t> </w:t>
      </w:r>
      <w:r>
        <w:rPr/>
        <w:t>Figure</w:t>
      </w:r>
      <w:r>
        <w:rPr>
          <w:spacing w:val="-4"/>
        </w:rPr>
        <w:t> </w:t>
      </w:r>
      <w:r>
        <w:rPr/>
        <w:t>1,</w:t>
      </w:r>
      <w:r>
        <w:rPr>
          <w:spacing w:val="-4"/>
        </w:rPr>
        <w:t> </w:t>
      </w:r>
      <w:r>
        <w:rPr/>
        <w:t>which</w:t>
      </w:r>
      <w:r>
        <w:rPr>
          <w:spacing w:val="-4"/>
        </w:rPr>
        <w:t> </w:t>
      </w:r>
      <w:r>
        <w:rPr/>
        <w:t>provides</w:t>
      </w:r>
      <w:r>
        <w:rPr>
          <w:spacing w:val="-4"/>
        </w:rPr>
        <w:t> </w:t>
      </w:r>
      <w:r>
        <w:rPr/>
        <w:t>raw</w:t>
      </w:r>
      <w:r>
        <w:rPr>
          <w:spacing w:val="-4"/>
        </w:rPr>
        <w:t> </w:t>
      </w:r>
      <w:r>
        <w:rPr/>
        <w:t>numbers,</w:t>
      </w:r>
      <w:r>
        <w:rPr>
          <w:spacing w:val="-4"/>
        </w:rPr>
        <w:t> </w:t>
      </w:r>
      <w:r>
        <w:rPr/>
        <w:t>this</w:t>
      </w:r>
      <w:r>
        <w:rPr>
          <w:spacing w:val="-4"/>
        </w:rPr>
        <w:t> </w:t>
      </w:r>
      <w:r>
        <w:rPr/>
        <w:t>visualization</w:t>
      </w:r>
      <w:r>
        <w:rPr>
          <w:spacing w:val="-4"/>
        </w:rPr>
        <w:t> </w:t>
      </w:r>
      <w:r>
        <w:rPr/>
        <w:t>emphasizes</w:t>
      </w:r>
      <w:r>
        <w:rPr>
          <w:spacing w:val="-4"/>
        </w:rPr>
        <w:t> </w:t>
      </w:r>
      <w:r>
        <w:rPr/>
        <w:t>spatial</w:t>
      </w:r>
      <w:r>
        <w:rPr>
          <w:spacing w:val="-4"/>
        </w:rPr>
        <w:t> </w:t>
      </w:r>
      <w:r>
        <w:rPr/>
        <w:t>distribution and geographic clustering of health risks within the region.</w:t>
      </w:r>
    </w:p>
    <w:p>
      <w:pPr>
        <w:pStyle w:val="BodyText"/>
        <w:spacing w:after="0" w:line="266" w:lineRule="auto"/>
        <w:sectPr>
          <w:pgSz w:w="12240" w:h="15840"/>
          <w:pgMar w:header="0" w:footer="747" w:top="640" w:bottom="960" w:left="720" w:right="0"/>
        </w:sectPr>
      </w:pPr>
    </w:p>
    <w:p>
      <w:pPr>
        <w:pStyle w:val="BodyText"/>
        <w:spacing w:line="266" w:lineRule="auto" w:before="61"/>
        <w:ind w:left="731" w:right="1381"/>
      </w:pPr>
      <w:r>
        <w:rPr/>
        <w:t>The map reveals that higher-risk counties are not randomly distributed but tend to cluster in specific subregions, particularly in more rural and resource-constrained areas. These clusters suggest</w:t>
      </w:r>
      <w:r>
        <w:rPr>
          <w:spacing w:val="-3"/>
        </w:rPr>
        <w:t> </w:t>
      </w:r>
      <w:r>
        <w:rPr/>
        <w:t>localized</w:t>
      </w:r>
      <w:r>
        <w:rPr>
          <w:spacing w:val="-3"/>
        </w:rPr>
        <w:t> </w:t>
      </w:r>
      <w:r>
        <w:rPr/>
        <w:t>patterns</w:t>
      </w:r>
      <w:r>
        <w:rPr>
          <w:spacing w:val="-3"/>
        </w:rPr>
        <w:t> </w:t>
      </w:r>
      <w:r>
        <w:rPr/>
        <w:t>of</w:t>
      </w:r>
      <w:r>
        <w:rPr>
          <w:spacing w:val="-3"/>
        </w:rPr>
        <w:t> </w:t>
      </w:r>
      <w:r>
        <w:rPr/>
        <w:t>elevated</w:t>
      </w:r>
      <w:r>
        <w:rPr>
          <w:spacing w:val="-3"/>
        </w:rPr>
        <w:t> </w:t>
      </w:r>
      <w:r>
        <w:rPr/>
        <w:t>health</w:t>
      </w:r>
      <w:r>
        <w:rPr>
          <w:spacing w:val="-3"/>
        </w:rPr>
        <w:t> </w:t>
      </w:r>
      <w:r>
        <w:rPr/>
        <w:t>risk</w:t>
      </w:r>
      <w:r>
        <w:rPr>
          <w:spacing w:val="-3"/>
        </w:rPr>
        <w:t> </w:t>
      </w:r>
      <w:r>
        <w:rPr/>
        <w:t>influenced</w:t>
      </w:r>
      <w:r>
        <w:rPr>
          <w:spacing w:val="-3"/>
        </w:rPr>
        <w:t> </w:t>
      </w:r>
      <w:r>
        <w:rPr/>
        <w:t>by</w:t>
      </w:r>
      <w:r>
        <w:rPr>
          <w:spacing w:val="-3"/>
        </w:rPr>
        <w:t> </w:t>
      </w:r>
      <w:r>
        <w:rPr/>
        <w:t>factors</w:t>
      </w:r>
      <w:r>
        <w:rPr>
          <w:spacing w:val="-3"/>
        </w:rPr>
        <w:t> </w:t>
      </w:r>
      <w:r>
        <w:rPr/>
        <w:t>such</w:t>
      </w:r>
      <w:r>
        <w:rPr>
          <w:spacing w:val="-3"/>
        </w:rPr>
        <w:t> </w:t>
      </w:r>
      <w:r>
        <w:rPr/>
        <w:t>as</w:t>
      </w:r>
      <w:r>
        <w:rPr>
          <w:spacing w:val="-3"/>
        </w:rPr>
        <w:t> </w:t>
      </w:r>
      <w:r>
        <w:rPr/>
        <w:t>healthcare</w:t>
      </w:r>
      <w:r>
        <w:rPr>
          <w:spacing w:val="-3"/>
        </w:rPr>
        <w:t> </w:t>
      </w:r>
      <w:r>
        <w:rPr/>
        <w:t>access limitations, socioeconomic conditions, and population density.</w:t>
      </w:r>
    </w:p>
    <w:p>
      <w:pPr>
        <w:pStyle w:val="BodyText"/>
        <w:spacing w:before="172"/>
        <w:ind w:left="731"/>
      </w:pPr>
      <w:r>
        <w:rPr/>
        <w:t>By highlighting these geographic patterns, the map enables decision-makers </w:t>
      </w:r>
      <w:r>
        <w:rPr>
          <w:spacing w:val="-5"/>
        </w:rPr>
        <w:t>to:</w:t>
      </w:r>
    </w:p>
    <w:p>
      <w:pPr>
        <w:pStyle w:val="ListParagraph"/>
        <w:numPr>
          <w:ilvl w:val="0"/>
          <w:numId w:val="1"/>
        </w:numPr>
        <w:tabs>
          <w:tab w:pos="1182" w:val="left" w:leader="none"/>
        </w:tabs>
        <w:spacing w:line="240" w:lineRule="auto" w:before="275" w:after="0"/>
        <w:ind w:left="1182" w:right="0" w:hanging="121"/>
        <w:jc w:val="left"/>
        <w:rPr>
          <w:sz w:val="24"/>
        </w:rPr>
      </w:pPr>
      <w:r>
        <w:rPr>
          <w:sz w:val="24"/>
        </w:rPr>
        <w:t>Identify priority regions for </w:t>
      </w:r>
      <w:r>
        <w:rPr>
          <w:spacing w:val="-2"/>
          <w:sz w:val="24"/>
        </w:rPr>
        <w:t>intervention</w:t>
      </w:r>
    </w:p>
    <w:p>
      <w:pPr>
        <w:pStyle w:val="BodyText"/>
        <w:spacing w:before="74"/>
      </w:pPr>
    </w:p>
    <w:p>
      <w:pPr>
        <w:pStyle w:val="ListParagraph"/>
        <w:numPr>
          <w:ilvl w:val="0"/>
          <w:numId w:val="1"/>
        </w:numPr>
        <w:tabs>
          <w:tab w:pos="1182" w:val="left" w:leader="none"/>
        </w:tabs>
        <w:spacing w:line="240" w:lineRule="auto" w:before="0" w:after="0"/>
        <w:ind w:left="1182" w:right="0" w:hanging="121"/>
        <w:jc w:val="left"/>
        <w:rPr>
          <w:sz w:val="24"/>
        </w:rPr>
      </w:pPr>
      <w:r>
        <w:rPr>
          <w:sz w:val="24"/>
        </w:rPr>
        <w:t>Allocate resources more </w:t>
      </w:r>
      <w:r>
        <w:rPr>
          <w:spacing w:val="-2"/>
          <w:sz w:val="24"/>
        </w:rPr>
        <w:t>effectively</w:t>
      </w:r>
    </w:p>
    <w:p>
      <w:pPr>
        <w:pStyle w:val="BodyText"/>
        <w:spacing w:before="75"/>
      </w:pPr>
    </w:p>
    <w:p>
      <w:pPr>
        <w:pStyle w:val="ListParagraph"/>
        <w:numPr>
          <w:ilvl w:val="0"/>
          <w:numId w:val="1"/>
        </w:numPr>
        <w:tabs>
          <w:tab w:pos="1182" w:val="left" w:leader="none"/>
        </w:tabs>
        <w:spacing w:line="240" w:lineRule="auto" w:before="0" w:after="0"/>
        <w:ind w:left="1182" w:right="0" w:hanging="121"/>
        <w:jc w:val="left"/>
        <w:rPr>
          <w:sz w:val="24"/>
        </w:rPr>
      </w:pPr>
      <w:r>
        <w:rPr>
          <w:sz w:val="24"/>
        </w:rPr>
        <w:t>Understand disparities beyond aggregate </w:t>
      </w:r>
      <w:r>
        <w:rPr>
          <w:spacing w:val="-2"/>
          <w:sz w:val="24"/>
        </w:rPr>
        <w:t>statistics</w:t>
      </w:r>
    </w:p>
    <w:p>
      <w:pPr>
        <w:pStyle w:val="BodyText"/>
        <w:spacing w:before="30"/>
      </w:pPr>
    </w:p>
    <w:p>
      <w:pPr>
        <w:pStyle w:val="BodyText"/>
        <w:spacing w:line="266" w:lineRule="auto" w:before="1"/>
        <w:ind w:left="716" w:right="1381" w:firstLine="15"/>
      </w:pPr>
      <w:r>
        <w:rPr/>
        <w:t>This</w:t>
      </w:r>
      <w:r>
        <w:rPr>
          <w:spacing w:val="-4"/>
        </w:rPr>
        <w:t> </w:t>
      </w:r>
      <w:r>
        <w:rPr/>
        <w:t>distinction</w:t>
      </w:r>
      <w:r>
        <w:rPr>
          <w:spacing w:val="-4"/>
        </w:rPr>
        <w:t> </w:t>
      </w:r>
      <w:r>
        <w:rPr/>
        <w:t>between</w:t>
      </w:r>
      <w:r>
        <w:rPr>
          <w:spacing w:val="-4"/>
        </w:rPr>
        <w:t> </w:t>
      </w:r>
      <w:r>
        <w:rPr/>
        <w:t>aggregated</w:t>
      </w:r>
      <w:r>
        <w:rPr>
          <w:spacing w:val="-4"/>
        </w:rPr>
        <w:t> </w:t>
      </w:r>
      <w:r>
        <w:rPr/>
        <w:t>trends</w:t>
      </w:r>
      <w:r>
        <w:rPr>
          <w:spacing w:val="-4"/>
        </w:rPr>
        <w:t> </w:t>
      </w:r>
      <w:r>
        <w:rPr/>
        <w:t>(Figure</w:t>
      </w:r>
      <w:r>
        <w:rPr>
          <w:spacing w:val="-4"/>
        </w:rPr>
        <w:t> </w:t>
      </w:r>
      <w:r>
        <w:rPr/>
        <w:t>1)</w:t>
      </w:r>
      <w:r>
        <w:rPr>
          <w:spacing w:val="-4"/>
        </w:rPr>
        <w:t> </w:t>
      </w:r>
      <w:r>
        <w:rPr/>
        <w:t>and</w:t>
      </w:r>
      <w:r>
        <w:rPr>
          <w:spacing w:val="-4"/>
        </w:rPr>
        <w:t> </w:t>
      </w:r>
      <w:r>
        <w:rPr/>
        <w:t>spatial</w:t>
      </w:r>
      <w:r>
        <w:rPr>
          <w:spacing w:val="-4"/>
        </w:rPr>
        <w:t> </w:t>
      </w:r>
      <w:r>
        <w:rPr/>
        <w:t>insights</w:t>
      </w:r>
      <w:r>
        <w:rPr>
          <w:spacing w:val="-4"/>
        </w:rPr>
        <w:t> </w:t>
      </w:r>
      <w:r>
        <w:rPr/>
        <w:t>(Figure</w:t>
      </w:r>
      <w:r>
        <w:rPr>
          <w:spacing w:val="-4"/>
        </w:rPr>
        <w:t> </w:t>
      </w:r>
      <w:r>
        <w:rPr/>
        <w:t>2)</w:t>
      </w:r>
      <w:r>
        <w:rPr>
          <w:spacing w:val="-4"/>
        </w:rPr>
        <w:t> </w:t>
      </w:r>
      <w:r>
        <w:rPr/>
        <w:t>underscores the importance of multi-dimensional analysis in health intelligence systems.</w:t>
      </w:r>
    </w:p>
    <w:p>
      <w:pPr>
        <w:pStyle w:val="BodyText"/>
        <w:spacing w:before="6"/>
        <w:rPr>
          <w:sz w:val="7"/>
        </w:rPr>
      </w:pPr>
      <w:r>
        <w:rPr>
          <w:sz w:val="7"/>
        </w:rPr>
        <w:drawing>
          <wp:anchor distT="0" distB="0" distL="0" distR="0" allowOverlap="1" layoutInCell="1" locked="0" behindDoc="1" simplePos="0" relativeHeight="487589376">
            <wp:simplePos x="0" y="0"/>
            <wp:positionH relativeFrom="page">
              <wp:posOffset>931392</wp:posOffset>
            </wp:positionH>
            <wp:positionV relativeFrom="paragraph">
              <wp:posOffset>70541</wp:posOffset>
            </wp:positionV>
            <wp:extent cx="5741038" cy="3161919"/>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22" cstate="print"/>
                    <a:stretch>
                      <a:fillRect/>
                    </a:stretch>
                  </pic:blipFill>
                  <pic:spPr>
                    <a:xfrm>
                      <a:off x="0" y="0"/>
                      <a:ext cx="5741038" cy="3161919"/>
                    </a:xfrm>
                    <a:prstGeom prst="rect">
                      <a:avLst/>
                    </a:prstGeom>
                  </pic:spPr>
                </pic:pic>
              </a:graphicData>
            </a:graphic>
          </wp:anchor>
        </w:drawing>
      </w:r>
    </w:p>
    <w:p>
      <w:pPr>
        <w:pStyle w:val="Heading4"/>
        <w:ind w:left="716"/>
      </w:pPr>
      <w:r>
        <w:rPr/>
        <w:t>Figure</w:t>
      </w:r>
      <w:r>
        <w:rPr>
          <w:spacing w:val="-14"/>
        </w:rPr>
        <w:t> </w:t>
      </w:r>
      <w:r>
        <w:rPr/>
        <w:t>3:</w:t>
      </w:r>
      <w:r>
        <w:rPr>
          <w:spacing w:val="-14"/>
        </w:rPr>
        <w:t> </w:t>
      </w:r>
      <w:r>
        <w:rPr/>
        <w:t>Multi-Year</w:t>
      </w:r>
      <w:r>
        <w:rPr>
          <w:spacing w:val="-14"/>
        </w:rPr>
        <w:t> </w:t>
      </w:r>
      <w:r>
        <w:rPr/>
        <w:t>Trend</w:t>
      </w:r>
      <w:r>
        <w:rPr>
          <w:spacing w:val="-13"/>
        </w:rPr>
        <w:t> </w:t>
      </w:r>
      <w:r>
        <w:rPr>
          <w:spacing w:val="-2"/>
        </w:rPr>
        <w:t>Analysis</w:t>
      </w:r>
    </w:p>
    <w:p>
      <w:pPr>
        <w:pStyle w:val="BodyText"/>
        <w:spacing w:line="266" w:lineRule="auto" w:before="36"/>
        <w:ind w:left="716" w:right="1461" w:firstLine="15"/>
      </w:pPr>
      <w:r>
        <w:rPr/>
        <w:t>Figure 3 presents a longitudinal analysis of selected health indicators from 2020–2024. The results</w:t>
      </w:r>
      <w:r>
        <w:rPr>
          <w:spacing w:val="-4"/>
        </w:rPr>
        <w:t> </w:t>
      </w:r>
      <w:r>
        <w:rPr/>
        <w:t>show</w:t>
      </w:r>
      <w:r>
        <w:rPr>
          <w:spacing w:val="-4"/>
        </w:rPr>
        <w:t> </w:t>
      </w:r>
      <w:r>
        <w:rPr/>
        <w:t>relatively</w:t>
      </w:r>
      <w:r>
        <w:rPr>
          <w:spacing w:val="-4"/>
        </w:rPr>
        <w:t> </w:t>
      </w:r>
      <w:r>
        <w:rPr/>
        <w:t>stable</w:t>
      </w:r>
      <w:r>
        <w:rPr>
          <w:spacing w:val="-4"/>
        </w:rPr>
        <w:t> </w:t>
      </w:r>
      <w:r>
        <w:rPr/>
        <w:t>trends</w:t>
      </w:r>
      <w:r>
        <w:rPr>
          <w:spacing w:val="-4"/>
        </w:rPr>
        <w:t> </w:t>
      </w:r>
      <w:r>
        <w:rPr/>
        <w:t>across</w:t>
      </w:r>
      <w:r>
        <w:rPr>
          <w:spacing w:val="-4"/>
        </w:rPr>
        <w:t> </w:t>
      </w:r>
      <w:r>
        <w:rPr/>
        <w:t>most</w:t>
      </w:r>
      <w:r>
        <w:rPr>
          <w:spacing w:val="-4"/>
        </w:rPr>
        <w:t> </w:t>
      </w:r>
      <w:r>
        <w:rPr/>
        <w:t>metrics,</w:t>
      </w:r>
      <w:r>
        <w:rPr>
          <w:spacing w:val="-4"/>
        </w:rPr>
        <w:t> </w:t>
      </w:r>
      <w:r>
        <w:rPr/>
        <w:t>suggesting</w:t>
      </w:r>
      <w:r>
        <w:rPr>
          <w:spacing w:val="-4"/>
        </w:rPr>
        <w:t> </w:t>
      </w:r>
      <w:r>
        <w:rPr/>
        <w:t>that</w:t>
      </w:r>
      <w:r>
        <w:rPr>
          <w:spacing w:val="-4"/>
        </w:rPr>
        <w:t> </w:t>
      </w:r>
      <w:r>
        <w:rPr/>
        <w:t>many</w:t>
      </w:r>
      <w:r>
        <w:rPr>
          <w:spacing w:val="-4"/>
        </w:rPr>
        <w:t> </w:t>
      </w:r>
      <w:r>
        <w:rPr/>
        <w:t>health</w:t>
      </w:r>
      <w:r>
        <w:rPr>
          <w:spacing w:val="-4"/>
        </w:rPr>
        <w:t> </w:t>
      </w:r>
      <w:r>
        <w:rPr/>
        <w:t>challenges are structural rather than short-term fluctuations.</w:t>
      </w:r>
    </w:p>
    <w:p>
      <w:pPr>
        <w:pStyle w:val="BodyText"/>
        <w:spacing w:line="266" w:lineRule="auto" w:before="172"/>
        <w:ind w:left="716" w:right="1381" w:firstLine="15"/>
      </w:pPr>
      <w:r>
        <w:rPr/>
        <w:t>This</w:t>
      </w:r>
      <w:r>
        <w:rPr>
          <w:spacing w:val="-4"/>
        </w:rPr>
        <w:t> </w:t>
      </w:r>
      <w:r>
        <w:rPr/>
        <w:t>stability</w:t>
      </w:r>
      <w:r>
        <w:rPr>
          <w:spacing w:val="-4"/>
        </w:rPr>
        <w:t> </w:t>
      </w:r>
      <w:r>
        <w:rPr/>
        <w:t>highlights</w:t>
      </w:r>
      <w:r>
        <w:rPr>
          <w:spacing w:val="-4"/>
        </w:rPr>
        <w:t> </w:t>
      </w:r>
      <w:r>
        <w:rPr/>
        <w:t>the</w:t>
      </w:r>
      <w:r>
        <w:rPr>
          <w:spacing w:val="-4"/>
        </w:rPr>
        <w:t> </w:t>
      </w:r>
      <w:r>
        <w:rPr/>
        <w:t>need</w:t>
      </w:r>
      <w:r>
        <w:rPr>
          <w:spacing w:val="-4"/>
        </w:rPr>
        <w:t> </w:t>
      </w:r>
      <w:r>
        <w:rPr/>
        <w:t>for</w:t>
      </w:r>
      <w:r>
        <w:rPr>
          <w:spacing w:val="-4"/>
        </w:rPr>
        <w:t> </w:t>
      </w:r>
      <w:r>
        <w:rPr/>
        <w:t>long-term</w:t>
      </w:r>
      <w:r>
        <w:rPr>
          <w:spacing w:val="-4"/>
        </w:rPr>
        <w:t> </w:t>
      </w:r>
      <w:r>
        <w:rPr/>
        <w:t>strategic</w:t>
      </w:r>
      <w:r>
        <w:rPr>
          <w:spacing w:val="-4"/>
        </w:rPr>
        <w:t> </w:t>
      </w:r>
      <w:r>
        <w:rPr/>
        <w:t>interventions</w:t>
      </w:r>
      <w:r>
        <w:rPr>
          <w:spacing w:val="-4"/>
        </w:rPr>
        <w:t> </w:t>
      </w:r>
      <w:r>
        <w:rPr/>
        <w:t>rather</w:t>
      </w:r>
      <w:r>
        <w:rPr>
          <w:spacing w:val="-4"/>
        </w:rPr>
        <w:t> </w:t>
      </w:r>
      <w:r>
        <w:rPr/>
        <w:t>than</w:t>
      </w:r>
      <w:r>
        <w:rPr>
          <w:spacing w:val="-4"/>
        </w:rPr>
        <w:t> </w:t>
      </w:r>
      <w:r>
        <w:rPr/>
        <w:t>reactive,</w:t>
      </w:r>
      <w:r>
        <w:rPr>
          <w:spacing w:val="-4"/>
        </w:rPr>
        <w:t> </w:t>
      </w:r>
      <w:r>
        <w:rPr/>
        <w:t>short term solutions.</w:t>
      </w:r>
    </w:p>
    <w:p>
      <w:pPr>
        <w:pStyle w:val="Heading4"/>
        <w:spacing w:before="199"/>
        <w:ind w:left="731"/>
      </w:pPr>
      <w:r>
        <w:rPr/>
        <w:t>Health District-Level </w:t>
      </w:r>
      <w:r>
        <w:rPr>
          <w:spacing w:val="-2"/>
        </w:rPr>
        <w:t>Insights</w:t>
      </w:r>
    </w:p>
    <w:p>
      <w:pPr>
        <w:pStyle w:val="BodyText"/>
        <w:spacing w:line="266" w:lineRule="auto" w:before="200"/>
        <w:ind w:left="716" w:right="1381" w:firstLine="15"/>
      </w:pPr>
      <w:r>
        <w:rPr/>
        <w:t>Beyond</w:t>
      </w:r>
      <w:r>
        <w:rPr>
          <w:spacing w:val="-5"/>
        </w:rPr>
        <w:t> </w:t>
      </w:r>
      <w:r>
        <w:rPr/>
        <w:t>county-level</w:t>
      </w:r>
      <w:r>
        <w:rPr>
          <w:spacing w:val="-5"/>
        </w:rPr>
        <w:t> </w:t>
      </w:r>
      <w:r>
        <w:rPr/>
        <w:t>analysis,</w:t>
      </w:r>
      <w:r>
        <w:rPr>
          <w:spacing w:val="-5"/>
        </w:rPr>
        <w:t> </w:t>
      </w:r>
      <w:r>
        <w:rPr/>
        <w:t>the</w:t>
      </w:r>
      <w:r>
        <w:rPr>
          <w:spacing w:val="-5"/>
        </w:rPr>
        <w:t> </w:t>
      </w:r>
      <w:r>
        <w:rPr/>
        <w:t>dashboard</w:t>
      </w:r>
      <w:r>
        <w:rPr>
          <w:spacing w:val="-5"/>
        </w:rPr>
        <w:t> </w:t>
      </w:r>
      <w:r>
        <w:rPr/>
        <w:t>incorporates</w:t>
      </w:r>
      <w:r>
        <w:rPr>
          <w:spacing w:val="-5"/>
        </w:rPr>
        <w:t> </w:t>
      </w:r>
      <w:r>
        <w:rPr/>
        <w:t>health</w:t>
      </w:r>
      <w:r>
        <w:rPr>
          <w:spacing w:val="-5"/>
        </w:rPr>
        <w:t> </w:t>
      </w:r>
      <w:r>
        <w:rPr/>
        <w:t>district-level</w:t>
      </w:r>
      <w:r>
        <w:rPr>
          <w:spacing w:val="-5"/>
        </w:rPr>
        <w:t> </w:t>
      </w:r>
      <w:r>
        <w:rPr/>
        <w:t>aggregation, providing a deeper and more operationally relevant perspective.</w:t>
      </w:r>
    </w:p>
    <w:p>
      <w:pPr>
        <w:pStyle w:val="BodyText"/>
        <w:spacing w:line="266" w:lineRule="auto" w:before="173"/>
        <w:ind w:left="716" w:right="1381" w:firstLine="15"/>
      </w:pPr>
      <w:r>
        <w:rPr/>
        <w:t>Health districts act as intermediate units between counties and the broader region, revealing patterns</w:t>
      </w:r>
      <w:r>
        <w:rPr>
          <w:spacing w:val="-3"/>
        </w:rPr>
        <w:t> </w:t>
      </w:r>
      <w:r>
        <w:rPr/>
        <w:t>that</w:t>
      </w:r>
      <w:r>
        <w:rPr>
          <w:spacing w:val="-3"/>
        </w:rPr>
        <w:t> </w:t>
      </w:r>
      <w:r>
        <w:rPr/>
        <w:t>may</w:t>
      </w:r>
      <w:r>
        <w:rPr>
          <w:spacing w:val="-3"/>
        </w:rPr>
        <w:t> </w:t>
      </w:r>
      <w:r>
        <w:rPr/>
        <w:t>not</w:t>
      </w:r>
      <w:r>
        <w:rPr>
          <w:spacing w:val="-3"/>
        </w:rPr>
        <w:t> </w:t>
      </w:r>
      <w:r>
        <w:rPr/>
        <w:t>be</w:t>
      </w:r>
      <w:r>
        <w:rPr>
          <w:spacing w:val="-3"/>
        </w:rPr>
        <w:t> </w:t>
      </w:r>
      <w:r>
        <w:rPr/>
        <w:t>visible</w:t>
      </w:r>
      <w:r>
        <w:rPr>
          <w:spacing w:val="-3"/>
        </w:rPr>
        <w:t> </w:t>
      </w:r>
      <w:r>
        <w:rPr/>
        <w:t>at</w:t>
      </w:r>
      <w:r>
        <w:rPr>
          <w:spacing w:val="-3"/>
        </w:rPr>
        <w:t> </w:t>
      </w:r>
      <w:r>
        <w:rPr/>
        <w:t>the</w:t>
      </w:r>
      <w:r>
        <w:rPr>
          <w:spacing w:val="-3"/>
        </w:rPr>
        <w:t> </w:t>
      </w:r>
      <w:r>
        <w:rPr/>
        <w:t>individual</w:t>
      </w:r>
      <w:r>
        <w:rPr>
          <w:spacing w:val="-3"/>
        </w:rPr>
        <w:t> </w:t>
      </w:r>
      <w:r>
        <w:rPr/>
        <w:t>county</w:t>
      </w:r>
      <w:r>
        <w:rPr>
          <w:spacing w:val="-3"/>
        </w:rPr>
        <w:t> </w:t>
      </w:r>
      <w:r>
        <w:rPr/>
        <w:t>level.</w:t>
      </w:r>
      <w:r>
        <w:rPr>
          <w:spacing w:val="-3"/>
        </w:rPr>
        <w:t> </w:t>
      </w:r>
      <w:r>
        <w:rPr/>
        <w:t>While</w:t>
      </w:r>
      <w:r>
        <w:rPr>
          <w:spacing w:val="-3"/>
        </w:rPr>
        <w:t> </w:t>
      </w:r>
      <w:r>
        <w:rPr/>
        <w:t>single</w:t>
      </w:r>
      <w:r>
        <w:rPr>
          <w:spacing w:val="-3"/>
        </w:rPr>
        <w:t> </w:t>
      </w:r>
      <w:r>
        <w:rPr/>
        <w:t>counties</w:t>
      </w:r>
      <w:r>
        <w:rPr>
          <w:spacing w:val="-3"/>
        </w:rPr>
        <w:t> </w:t>
      </w:r>
      <w:r>
        <w:rPr/>
        <w:t>may</w:t>
      </w:r>
      <w:r>
        <w:rPr>
          <w:spacing w:val="-3"/>
        </w:rPr>
        <w:t> </w:t>
      </w:r>
      <w:r>
        <w:rPr/>
        <w:t>show variability, district-level aggregation highlights consistent trends, shared risk factors, and</w:t>
      </w:r>
    </w:p>
    <w:p>
      <w:pPr>
        <w:pStyle w:val="BodyText"/>
        <w:spacing w:after="0" w:line="266" w:lineRule="auto"/>
        <w:sectPr>
          <w:pgSz w:w="12240" w:h="15840"/>
          <w:pgMar w:header="0" w:footer="747" w:top="640" w:bottom="960" w:left="720" w:right="0"/>
        </w:sectPr>
      </w:pPr>
    </w:p>
    <w:p>
      <w:pPr>
        <w:pStyle w:val="BodyText"/>
        <w:spacing w:line="417" w:lineRule="auto" w:before="61"/>
        <w:ind w:left="731" w:right="2135" w:hanging="15"/>
      </w:pPr>
      <w:r>
        <w:rPr/>
        <w:t>systemic</w:t>
      </w:r>
      <w:r>
        <w:rPr>
          <w:spacing w:val="-5"/>
        </w:rPr>
        <w:t> </w:t>
      </w:r>
      <w:r>
        <w:rPr/>
        <w:t>challenges</w:t>
      </w:r>
      <w:r>
        <w:rPr>
          <w:spacing w:val="-5"/>
        </w:rPr>
        <w:t> </w:t>
      </w:r>
      <w:r>
        <w:rPr/>
        <w:t>affecting</w:t>
      </w:r>
      <w:r>
        <w:rPr>
          <w:spacing w:val="-5"/>
        </w:rPr>
        <w:t> </w:t>
      </w:r>
      <w:r>
        <w:rPr/>
        <w:t>multiple</w:t>
      </w:r>
      <w:r>
        <w:rPr>
          <w:spacing w:val="-5"/>
        </w:rPr>
        <w:t> </w:t>
      </w:r>
      <w:r>
        <w:rPr/>
        <w:t>counties</w:t>
      </w:r>
      <w:r>
        <w:rPr>
          <w:spacing w:val="-5"/>
        </w:rPr>
        <w:t> </w:t>
      </w:r>
      <w:r>
        <w:rPr/>
        <w:t>within</w:t>
      </w:r>
      <w:r>
        <w:rPr>
          <w:spacing w:val="-5"/>
        </w:rPr>
        <w:t> </w:t>
      </w:r>
      <w:r>
        <w:rPr/>
        <w:t>the</w:t>
      </w:r>
      <w:r>
        <w:rPr>
          <w:spacing w:val="-5"/>
        </w:rPr>
        <w:t> </w:t>
      </w:r>
      <w:r>
        <w:rPr/>
        <w:t>same</w:t>
      </w:r>
      <w:r>
        <w:rPr>
          <w:spacing w:val="-5"/>
        </w:rPr>
        <w:t> </w:t>
      </w:r>
      <w:r>
        <w:rPr/>
        <w:t>administrative</w:t>
      </w:r>
      <w:r>
        <w:rPr>
          <w:spacing w:val="-5"/>
        </w:rPr>
        <w:t> </w:t>
      </w:r>
      <w:r>
        <w:rPr/>
        <w:t>grouping. This enables decision-makers to:</w:t>
      </w:r>
    </w:p>
    <w:p>
      <w:pPr>
        <w:pStyle w:val="ListParagraph"/>
        <w:numPr>
          <w:ilvl w:val="0"/>
          <w:numId w:val="1"/>
        </w:numPr>
        <w:tabs>
          <w:tab w:pos="1212" w:val="left" w:leader="none"/>
        </w:tabs>
        <w:spacing w:line="240" w:lineRule="auto" w:before="66" w:after="0"/>
        <w:ind w:left="1212" w:right="0" w:hanging="121"/>
        <w:jc w:val="left"/>
        <w:rPr>
          <w:sz w:val="24"/>
        </w:rPr>
      </w:pPr>
      <w:r>
        <w:rPr>
          <w:sz w:val="24"/>
        </w:rPr>
        <w:t>Identify high-risk districts rather than isolated </w:t>
      </w:r>
      <w:r>
        <w:rPr>
          <w:spacing w:val="-2"/>
          <w:sz w:val="24"/>
        </w:rPr>
        <w:t>counties</w:t>
      </w:r>
    </w:p>
    <w:p>
      <w:pPr>
        <w:pStyle w:val="BodyText"/>
        <w:spacing w:before="56"/>
      </w:pPr>
    </w:p>
    <w:p>
      <w:pPr>
        <w:pStyle w:val="ListParagraph"/>
        <w:numPr>
          <w:ilvl w:val="0"/>
          <w:numId w:val="1"/>
        </w:numPr>
        <w:tabs>
          <w:tab w:pos="1212" w:val="left" w:leader="none"/>
        </w:tabs>
        <w:spacing w:line="240" w:lineRule="auto" w:before="0" w:after="0"/>
        <w:ind w:left="1212" w:right="0" w:hanging="121"/>
        <w:jc w:val="left"/>
        <w:rPr>
          <w:sz w:val="24"/>
        </w:rPr>
      </w:pPr>
      <w:r>
        <w:rPr>
          <w:sz w:val="24"/>
        </w:rPr>
        <w:t>Allocate</w:t>
      </w:r>
      <w:r>
        <w:rPr>
          <w:spacing w:val="-1"/>
          <w:sz w:val="24"/>
        </w:rPr>
        <w:t> </w:t>
      </w:r>
      <w:r>
        <w:rPr>
          <w:sz w:val="24"/>
        </w:rPr>
        <w:t>resources</w:t>
      </w:r>
      <w:r>
        <w:rPr>
          <w:spacing w:val="-1"/>
          <w:sz w:val="24"/>
        </w:rPr>
        <w:t> </w:t>
      </w:r>
      <w:r>
        <w:rPr>
          <w:sz w:val="24"/>
        </w:rPr>
        <w:t>more efficiently</w:t>
      </w:r>
      <w:r>
        <w:rPr>
          <w:spacing w:val="-1"/>
          <w:sz w:val="24"/>
        </w:rPr>
        <w:t> </w:t>
      </w:r>
      <w:r>
        <w:rPr>
          <w:sz w:val="24"/>
        </w:rPr>
        <w:t>at</w:t>
      </w:r>
      <w:r>
        <w:rPr>
          <w:spacing w:val="-1"/>
          <w:sz w:val="24"/>
        </w:rPr>
        <w:t> </w:t>
      </w:r>
      <w:r>
        <w:rPr>
          <w:sz w:val="24"/>
        </w:rPr>
        <w:t>a regional</w:t>
      </w:r>
      <w:r>
        <w:rPr>
          <w:spacing w:val="-1"/>
          <w:sz w:val="24"/>
        </w:rPr>
        <w:t> </w:t>
      </w:r>
      <w:r>
        <w:rPr>
          <w:sz w:val="24"/>
        </w:rPr>
        <w:t>operational </w:t>
      </w:r>
      <w:r>
        <w:rPr>
          <w:spacing w:val="-2"/>
          <w:sz w:val="24"/>
        </w:rPr>
        <w:t>level</w:t>
      </w:r>
    </w:p>
    <w:p>
      <w:pPr>
        <w:pStyle w:val="BodyText"/>
        <w:spacing w:before="56"/>
      </w:pPr>
    </w:p>
    <w:p>
      <w:pPr>
        <w:pStyle w:val="ListParagraph"/>
        <w:numPr>
          <w:ilvl w:val="0"/>
          <w:numId w:val="1"/>
        </w:numPr>
        <w:tabs>
          <w:tab w:pos="1212" w:val="left" w:leader="none"/>
        </w:tabs>
        <w:spacing w:line="240" w:lineRule="auto" w:before="0" w:after="0"/>
        <w:ind w:left="1212" w:right="0" w:hanging="121"/>
        <w:jc w:val="left"/>
        <w:rPr>
          <w:sz w:val="24"/>
        </w:rPr>
      </w:pPr>
      <w:r>
        <w:rPr>
          <w:sz w:val="24"/>
        </w:rPr>
        <w:t>Evaluate intervention strategies across grouped </w:t>
      </w:r>
      <w:r>
        <w:rPr>
          <w:spacing w:val="-2"/>
          <w:sz w:val="24"/>
        </w:rPr>
        <w:t>populations</w:t>
      </w:r>
    </w:p>
    <w:p>
      <w:pPr>
        <w:pStyle w:val="BodyText"/>
        <w:spacing w:line="266" w:lineRule="auto" w:before="266"/>
        <w:ind w:left="701" w:right="1191"/>
      </w:pPr>
      <w:r>
        <w:rPr/>
        <w:t>The</w:t>
      </w:r>
      <w:r>
        <w:rPr>
          <w:spacing w:val="-3"/>
        </w:rPr>
        <w:t> </w:t>
      </w:r>
      <w:r>
        <w:rPr/>
        <w:t>inclusion</w:t>
      </w:r>
      <w:r>
        <w:rPr>
          <w:spacing w:val="-3"/>
        </w:rPr>
        <w:t> </w:t>
      </w:r>
      <w:r>
        <w:rPr/>
        <w:t>of</w:t>
      </w:r>
      <w:r>
        <w:rPr>
          <w:spacing w:val="-3"/>
        </w:rPr>
        <w:t> </w:t>
      </w:r>
      <w:r>
        <w:rPr/>
        <w:t>health</w:t>
      </w:r>
      <w:r>
        <w:rPr>
          <w:spacing w:val="-3"/>
        </w:rPr>
        <w:t> </w:t>
      </w:r>
      <w:r>
        <w:rPr/>
        <w:t>districts</w:t>
      </w:r>
      <w:r>
        <w:rPr>
          <w:spacing w:val="-3"/>
        </w:rPr>
        <w:t> </w:t>
      </w:r>
      <w:r>
        <w:rPr/>
        <w:t>enhances</w:t>
      </w:r>
      <w:r>
        <w:rPr>
          <w:spacing w:val="-3"/>
        </w:rPr>
        <w:t> </w:t>
      </w:r>
      <w:r>
        <w:rPr/>
        <w:t>the</w:t>
      </w:r>
      <w:r>
        <w:rPr>
          <w:spacing w:val="-3"/>
        </w:rPr>
        <w:t> </w:t>
      </w:r>
      <w:r>
        <w:rPr/>
        <w:t>model</w:t>
      </w:r>
      <w:r>
        <w:rPr>
          <w:spacing w:val="-3"/>
        </w:rPr>
        <w:t> </w:t>
      </w:r>
      <w:r>
        <w:rPr/>
        <w:t>by</w:t>
      </w:r>
      <w:r>
        <w:rPr>
          <w:spacing w:val="-3"/>
        </w:rPr>
        <w:t> </w:t>
      </w:r>
      <w:r>
        <w:rPr/>
        <w:t>aligning</w:t>
      </w:r>
      <w:r>
        <w:rPr>
          <w:spacing w:val="-3"/>
        </w:rPr>
        <w:t> </w:t>
      </w:r>
      <w:r>
        <w:rPr/>
        <w:t>insights</w:t>
      </w:r>
      <w:r>
        <w:rPr>
          <w:spacing w:val="-3"/>
        </w:rPr>
        <w:t> </w:t>
      </w:r>
      <w:r>
        <w:rPr/>
        <w:t>with</w:t>
      </w:r>
      <w:r>
        <w:rPr>
          <w:spacing w:val="-3"/>
        </w:rPr>
        <w:t> </w:t>
      </w:r>
      <w:r>
        <w:rPr/>
        <w:t>real-world</w:t>
      </w:r>
      <w:r>
        <w:rPr>
          <w:spacing w:val="-3"/>
        </w:rPr>
        <w:t> </w:t>
      </w:r>
      <w:r>
        <w:rPr/>
        <w:t>public health administrative structure</w:t>
      </w:r>
      <w:r>
        <w:rPr>
          <w:b/>
        </w:rPr>
        <w:t>s</w:t>
      </w:r>
      <w:r>
        <w:rPr/>
        <w:t>, increasing both relevance and usability.</w:t>
      </w:r>
    </w:p>
    <w:p>
      <w:pPr>
        <w:pStyle w:val="BodyText"/>
        <w:spacing w:before="2"/>
        <w:rPr>
          <w:sz w:val="18"/>
        </w:rPr>
      </w:pPr>
      <w:r>
        <w:rPr>
          <w:sz w:val="18"/>
        </w:rPr>
        <w:drawing>
          <wp:anchor distT="0" distB="0" distL="0" distR="0" allowOverlap="1" layoutInCell="1" locked="0" behindDoc="1" simplePos="0" relativeHeight="487589888">
            <wp:simplePos x="0" y="0"/>
            <wp:positionH relativeFrom="page">
              <wp:posOffset>940477</wp:posOffset>
            </wp:positionH>
            <wp:positionV relativeFrom="paragraph">
              <wp:posOffset>148485</wp:posOffset>
            </wp:positionV>
            <wp:extent cx="4854850" cy="2660332"/>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23" cstate="print"/>
                    <a:stretch>
                      <a:fillRect/>
                    </a:stretch>
                  </pic:blipFill>
                  <pic:spPr>
                    <a:xfrm>
                      <a:off x="0" y="0"/>
                      <a:ext cx="4854850" cy="2660332"/>
                    </a:xfrm>
                    <a:prstGeom prst="rect">
                      <a:avLst/>
                    </a:prstGeom>
                  </pic:spPr>
                </pic:pic>
              </a:graphicData>
            </a:graphic>
          </wp:anchor>
        </w:drawing>
      </w:r>
    </w:p>
    <w:p>
      <w:pPr>
        <w:pStyle w:val="Heading4"/>
        <w:spacing w:before="220"/>
        <w:ind w:left="716"/>
      </w:pPr>
      <w:r>
        <w:rPr/>
        <w:t>Figure</w:t>
      </w:r>
      <w:r>
        <w:rPr>
          <w:spacing w:val="-1"/>
        </w:rPr>
        <w:t> </w:t>
      </w:r>
      <w:r>
        <w:rPr/>
        <w:t>4:</w:t>
      </w:r>
      <w:r>
        <w:rPr>
          <w:spacing w:val="-1"/>
        </w:rPr>
        <w:t> </w:t>
      </w:r>
      <w:r>
        <w:rPr/>
        <w:t>Health</w:t>
      </w:r>
      <w:r>
        <w:rPr>
          <w:spacing w:val="-1"/>
        </w:rPr>
        <w:t> </w:t>
      </w:r>
      <w:r>
        <w:rPr/>
        <w:t>District</w:t>
      </w:r>
      <w:r>
        <w:rPr>
          <w:spacing w:val="-1"/>
        </w:rPr>
        <w:t> </w:t>
      </w:r>
      <w:r>
        <w:rPr/>
        <w:t>Comparative</w:t>
      </w:r>
      <w:r>
        <w:rPr>
          <w:spacing w:val="-1"/>
        </w:rPr>
        <w:t> </w:t>
      </w:r>
      <w:r>
        <w:rPr>
          <w:spacing w:val="-2"/>
        </w:rPr>
        <w:t>Analysis</w:t>
      </w:r>
    </w:p>
    <w:p>
      <w:pPr>
        <w:pStyle w:val="BodyText"/>
        <w:spacing w:before="183"/>
        <w:rPr>
          <w:b/>
        </w:rPr>
      </w:pPr>
    </w:p>
    <w:p>
      <w:pPr>
        <w:pStyle w:val="BodyText"/>
        <w:spacing w:line="266" w:lineRule="auto"/>
        <w:ind w:left="716" w:right="1381" w:firstLine="15"/>
      </w:pPr>
      <w:r>
        <w:rPr/>
        <w:t>Figure</w:t>
      </w:r>
      <w:r>
        <w:rPr>
          <w:spacing w:val="-3"/>
        </w:rPr>
        <w:t> </w:t>
      </w:r>
      <w:r>
        <w:rPr/>
        <w:t>4</w:t>
      </w:r>
      <w:r>
        <w:rPr>
          <w:spacing w:val="-3"/>
        </w:rPr>
        <w:t> </w:t>
      </w:r>
      <w:r>
        <w:rPr/>
        <w:t>presents</w:t>
      </w:r>
      <w:r>
        <w:rPr>
          <w:spacing w:val="-3"/>
        </w:rPr>
        <w:t> </w:t>
      </w:r>
      <w:r>
        <w:rPr/>
        <w:t>a</w:t>
      </w:r>
      <w:r>
        <w:rPr>
          <w:spacing w:val="-3"/>
        </w:rPr>
        <w:t> </w:t>
      </w:r>
      <w:r>
        <w:rPr/>
        <w:t>multi-level</w:t>
      </w:r>
      <w:r>
        <w:rPr>
          <w:spacing w:val="-3"/>
        </w:rPr>
        <w:t> </w:t>
      </w:r>
      <w:r>
        <w:rPr/>
        <w:t>view</w:t>
      </w:r>
      <w:r>
        <w:rPr>
          <w:spacing w:val="-3"/>
        </w:rPr>
        <w:t> </w:t>
      </w:r>
      <w:r>
        <w:rPr/>
        <w:t>of</w:t>
      </w:r>
      <w:r>
        <w:rPr>
          <w:spacing w:val="-3"/>
        </w:rPr>
        <w:t> </w:t>
      </w:r>
      <w:r>
        <w:rPr/>
        <w:t>health</w:t>
      </w:r>
      <w:r>
        <w:rPr>
          <w:spacing w:val="-3"/>
        </w:rPr>
        <w:t> </w:t>
      </w:r>
      <w:r>
        <w:rPr/>
        <w:t>outcomes</w:t>
      </w:r>
      <w:r>
        <w:rPr>
          <w:spacing w:val="-3"/>
        </w:rPr>
        <w:t> </w:t>
      </w:r>
      <w:r>
        <w:rPr/>
        <w:t>aggregated</w:t>
      </w:r>
      <w:r>
        <w:rPr>
          <w:spacing w:val="-3"/>
        </w:rPr>
        <w:t> </w:t>
      </w:r>
      <w:r>
        <w:rPr/>
        <w:t>at</w:t>
      </w:r>
      <w:r>
        <w:rPr>
          <w:spacing w:val="-3"/>
        </w:rPr>
        <w:t> </w:t>
      </w:r>
      <w:r>
        <w:rPr/>
        <w:t>the</w:t>
      </w:r>
      <w:r>
        <w:rPr>
          <w:spacing w:val="-3"/>
        </w:rPr>
        <w:t> </w:t>
      </w:r>
      <w:r>
        <w:rPr/>
        <w:t>health</w:t>
      </w:r>
      <w:r>
        <w:rPr>
          <w:spacing w:val="-3"/>
        </w:rPr>
        <w:t> </w:t>
      </w:r>
      <w:r>
        <w:rPr/>
        <w:t>district</w:t>
      </w:r>
      <w:r>
        <w:rPr>
          <w:spacing w:val="-3"/>
        </w:rPr>
        <w:t> </w:t>
      </w:r>
      <w:r>
        <w:rPr/>
        <w:t>level, combining ranking, trend analysis, and geographic visualization into a unified analytical </w:t>
      </w:r>
      <w:r>
        <w:rPr>
          <w:spacing w:val="-2"/>
        </w:rPr>
        <w:t>perspective.</w:t>
      </w:r>
    </w:p>
    <w:p>
      <w:pPr>
        <w:pStyle w:val="BodyText"/>
        <w:spacing w:line="266" w:lineRule="auto" w:before="175"/>
        <w:ind w:left="716" w:right="1191" w:firstLine="15"/>
      </w:pPr>
      <w:r>
        <w:rPr/>
        <w:t>The</w:t>
      </w:r>
      <w:r>
        <w:rPr>
          <w:spacing w:val="-3"/>
        </w:rPr>
        <w:t> </w:t>
      </w:r>
      <w:r>
        <w:rPr/>
        <w:t>table</w:t>
      </w:r>
      <w:r>
        <w:rPr>
          <w:spacing w:val="-3"/>
        </w:rPr>
        <w:t> </w:t>
      </w:r>
      <w:r>
        <w:rPr/>
        <w:t>component</w:t>
      </w:r>
      <w:r>
        <w:rPr>
          <w:spacing w:val="-3"/>
        </w:rPr>
        <w:t> </w:t>
      </w:r>
      <w:r>
        <w:rPr/>
        <w:t>ranks</w:t>
      </w:r>
      <w:r>
        <w:rPr>
          <w:spacing w:val="-3"/>
        </w:rPr>
        <w:t> </w:t>
      </w:r>
      <w:r>
        <w:rPr/>
        <w:t>health</w:t>
      </w:r>
      <w:r>
        <w:rPr>
          <w:spacing w:val="-3"/>
        </w:rPr>
        <w:t> </w:t>
      </w:r>
      <w:r>
        <w:rPr/>
        <w:t>districts</w:t>
      </w:r>
      <w:r>
        <w:rPr>
          <w:spacing w:val="-3"/>
        </w:rPr>
        <w:t> </w:t>
      </w:r>
      <w:r>
        <w:rPr/>
        <w:t>based</w:t>
      </w:r>
      <w:r>
        <w:rPr>
          <w:spacing w:val="-3"/>
        </w:rPr>
        <w:t> </w:t>
      </w:r>
      <w:r>
        <w:rPr/>
        <w:t>on</w:t>
      </w:r>
      <w:r>
        <w:rPr>
          <w:spacing w:val="-3"/>
        </w:rPr>
        <w:t> </w:t>
      </w:r>
      <w:r>
        <w:rPr/>
        <w:t>the</w:t>
      </w:r>
      <w:r>
        <w:rPr>
          <w:spacing w:val="-3"/>
        </w:rPr>
        <w:t> </w:t>
      </w:r>
      <w:r>
        <w:rPr/>
        <w:t>selected</w:t>
      </w:r>
      <w:r>
        <w:rPr>
          <w:spacing w:val="-3"/>
        </w:rPr>
        <w:t> </w:t>
      </w:r>
      <w:r>
        <w:rPr/>
        <w:t>health</w:t>
      </w:r>
      <w:r>
        <w:rPr>
          <w:spacing w:val="-3"/>
        </w:rPr>
        <w:t> </w:t>
      </w:r>
      <w:r>
        <w:rPr/>
        <w:t>metric</w:t>
      </w:r>
      <w:r>
        <w:rPr>
          <w:spacing w:val="-3"/>
        </w:rPr>
        <w:t> </w:t>
      </w:r>
      <w:r>
        <w:rPr/>
        <w:t>(in</w:t>
      </w:r>
      <w:r>
        <w:rPr>
          <w:spacing w:val="-3"/>
        </w:rPr>
        <w:t> </w:t>
      </w:r>
      <w:r>
        <w:rPr/>
        <w:t>this</w:t>
      </w:r>
      <w:r>
        <w:rPr>
          <w:spacing w:val="-3"/>
        </w:rPr>
        <w:t> </w:t>
      </w:r>
      <w:r>
        <w:rPr/>
        <w:t>case,</w:t>
      </w:r>
      <w:r>
        <w:rPr>
          <w:spacing w:val="-3"/>
        </w:rPr>
        <w:t> </w:t>
      </w:r>
      <w:r>
        <w:rPr/>
        <w:t>teen birth rate), enabling immediate identification of best-performing and highest-risk districts.</w:t>
      </w:r>
    </w:p>
    <w:p>
      <w:pPr>
        <w:pStyle w:val="BodyText"/>
        <w:spacing w:line="266" w:lineRule="auto"/>
        <w:ind w:left="716" w:right="1619"/>
      </w:pPr>
      <w:r>
        <w:rPr/>
        <w:t>Lower-ranked districts (e.g., Metro Knoxville and Metro Chattanooga) demonstrate comparatively</w:t>
      </w:r>
      <w:r>
        <w:rPr>
          <w:spacing w:val="-5"/>
        </w:rPr>
        <w:t> </w:t>
      </w:r>
      <w:r>
        <w:rPr/>
        <w:t>better</w:t>
      </w:r>
      <w:r>
        <w:rPr>
          <w:spacing w:val="-5"/>
        </w:rPr>
        <w:t> </w:t>
      </w:r>
      <w:r>
        <w:rPr/>
        <w:t>outcomes,</w:t>
      </w:r>
      <w:r>
        <w:rPr>
          <w:spacing w:val="-5"/>
        </w:rPr>
        <w:t> </w:t>
      </w:r>
      <w:r>
        <w:rPr/>
        <w:t>while</w:t>
      </w:r>
      <w:r>
        <w:rPr>
          <w:spacing w:val="-5"/>
        </w:rPr>
        <w:t> </w:t>
      </w:r>
      <w:r>
        <w:rPr/>
        <w:t>higher-ranked</w:t>
      </w:r>
      <w:r>
        <w:rPr>
          <w:spacing w:val="-5"/>
        </w:rPr>
        <w:t> </w:t>
      </w:r>
      <w:r>
        <w:rPr/>
        <w:t>districts</w:t>
      </w:r>
      <w:r>
        <w:rPr>
          <w:spacing w:val="-5"/>
        </w:rPr>
        <w:t> </w:t>
      </w:r>
      <w:r>
        <w:rPr/>
        <w:t>(e.g.,</w:t>
      </w:r>
      <w:r>
        <w:rPr>
          <w:spacing w:val="-5"/>
        </w:rPr>
        <w:t> </w:t>
      </w:r>
      <w:r>
        <w:rPr/>
        <w:t>Southeast</w:t>
      </w:r>
      <w:r>
        <w:rPr>
          <w:spacing w:val="-5"/>
        </w:rPr>
        <w:t> </w:t>
      </w:r>
      <w:r>
        <w:rPr/>
        <w:t>and</w:t>
      </w:r>
      <w:r>
        <w:rPr>
          <w:spacing w:val="-5"/>
        </w:rPr>
        <w:t> </w:t>
      </w:r>
      <w:r>
        <w:rPr/>
        <w:t>East)</w:t>
      </w:r>
      <w:r>
        <w:rPr>
          <w:spacing w:val="-5"/>
        </w:rPr>
        <w:t> </w:t>
      </w:r>
      <w:r>
        <w:rPr/>
        <w:t>indicate elevated risk levels. This ranking system allows for rapid benchmarking across districts and supports prioritization of intervention efforts.</w:t>
      </w:r>
    </w:p>
    <w:p>
      <w:pPr>
        <w:pStyle w:val="BodyText"/>
        <w:spacing w:line="268" w:lineRule="auto" w:before="171"/>
        <w:ind w:left="716" w:right="1381" w:firstLine="15"/>
      </w:pPr>
      <w:r>
        <w:rPr/>
        <w:t>The line chart provides a multi-year trend analysis (2020–2024) for each health district. While most districts exhibit a gradual decline in the selected metric over time, the relative positioning between districts remains largely consistent. This suggests that, although there may be modest improvements</w:t>
      </w:r>
      <w:r>
        <w:rPr>
          <w:spacing w:val="-3"/>
        </w:rPr>
        <w:t> </w:t>
      </w:r>
      <w:r>
        <w:rPr/>
        <w:t>overall,</w:t>
      </w:r>
      <w:r>
        <w:rPr>
          <w:spacing w:val="-3"/>
        </w:rPr>
        <w:t> </w:t>
      </w:r>
      <w:r>
        <w:rPr/>
        <w:t>structural</w:t>
      </w:r>
      <w:r>
        <w:rPr>
          <w:spacing w:val="-3"/>
        </w:rPr>
        <w:t> </w:t>
      </w:r>
      <w:r>
        <w:rPr/>
        <w:t>disparities</w:t>
      </w:r>
      <w:r>
        <w:rPr>
          <w:spacing w:val="-3"/>
        </w:rPr>
        <w:t> </w:t>
      </w:r>
      <w:r>
        <w:rPr/>
        <w:t>between</w:t>
      </w:r>
      <w:r>
        <w:rPr>
          <w:spacing w:val="-3"/>
        </w:rPr>
        <w:t> </w:t>
      </w:r>
      <w:r>
        <w:rPr/>
        <w:t>districts</w:t>
      </w:r>
      <w:r>
        <w:rPr>
          <w:spacing w:val="-3"/>
        </w:rPr>
        <w:t> </w:t>
      </w:r>
      <w:r>
        <w:rPr/>
        <w:t>persist.</w:t>
      </w:r>
      <w:r>
        <w:rPr>
          <w:spacing w:val="-3"/>
        </w:rPr>
        <w:t> </w:t>
      </w:r>
      <w:r>
        <w:rPr/>
        <w:t>Such</w:t>
      </w:r>
      <w:r>
        <w:rPr>
          <w:spacing w:val="-3"/>
        </w:rPr>
        <w:t> </w:t>
      </w:r>
      <w:r>
        <w:rPr/>
        <w:t>patterns</w:t>
      </w:r>
      <w:r>
        <w:rPr>
          <w:spacing w:val="-3"/>
        </w:rPr>
        <w:t> </w:t>
      </w:r>
      <w:r>
        <w:rPr/>
        <w:t>reinforce</w:t>
      </w:r>
      <w:r>
        <w:rPr>
          <w:spacing w:val="-3"/>
        </w:rPr>
        <w:t> </w:t>
      </w:r>
      <w:r>
        <w:rPr/>
        <w:t>the need for sustained, region-specific strategies rather than uniform, short-term interventions.</w:t>
      </w:r>
    </w:p>
    <w:p>
      <w:pPr>
        <w:pStyle w:val="BodyText"/>
        <w:spacing w:before="173"/>
        <w:ind w:left="731"/>
      </w:pPr>
      <w:r>
        <w:rPr/>
        <w:t>The geographic map complements these insights by visualizing the spatial distribution of </w:t>
      </w:r>
      <w:r>
        <w:rPr>
          <w:spacing w:val="-2"/>
        </w:rPr>
        <w:t>health</w:t>
      </w:r>
    </w:p>
    <w:p>
      <w:pPr>
        <w:pStyle w:val="BodyText"/>
        <w:spacing w:after="0"/>
        <w:sectPr>
          <w:pgSz w:w="12240" w:h="15840"/>
          <w:pgMar w:header="0" w:footer="747" w:top="640" w:bottom="960" w:left="720" w:right="0"/>
        </w:sectPr>
      </w:pPr>
    </w:p>
    <w:p>
      <w:pPr>
        <w:pStyle w:val="BodyText"/>
        <w:spacing w:line="266" w:lineRule="auto" w:before="61"/>
        <w:ind w:left="716" w:right="1461"/>
      </w:pPr>
      <w:r>
        <w:rPr/>
        <w:t>districts</w:t>
      </w:r>
      <w:r>
        <w:rPr>
          <w:spacing w:val="-5"/>
        </w:rPr>
        <w:t> </w:t>
      </w:r>
      <w:r>
        <w:rPr/>
        <w:t>across</w:t>
      </w:r>
      <w:r>
        <w:rPr>
          <w:spacing w:val="-5"/>
        </w:rPr>
        <w:t> </w:t>
      </w:r>
      <w:r>
        <w:rPr/>
        <w:t>Tennessee.</w:t>
      </w:r>
      <w:r>
        <w:rPr>
          <w:spacing w:val="-5"/>
        </w:rPr>
        <w:t> </w:t>
      </w:r>
      <w:r>
        <w:rPr/>
        <w:t>While</w:t>
      </w:r>
      <w:r>
        <w:rPr>
          <w:spacing w:val="-5"/>
        </w:rPr>
        <w:t> </w:t>
      </w:r>
      <w:r>
        <w:rPr/>
        <w:t>the</w:t>
      </w:r>
      <w:r>
        <w:rPr>
          <w:spacing w:val="-5"/>
        </w:rPr>
        <w:t> </w:t>
      </w:r>
      <w:r>
        <w:rPr/>
        <w:t>map</w:t>
      </w:r>
      <w:r>
        <w:rPr>
          <w:spacing w:val="-5"/>
        </w:rPr>
        <w:t> </w:t>
      </w:r>
      <w:r>
        <w:rPr/>
        <w:t>itself</w:t>
      </w:r>
      <w:r>
        <w:rPr>
          <w:spacing w:val="-5"/>
        </w:rPr>
        <w:t> </w:t>
      </w:r>
      <w:r>
        <w:rPr/>
        <w:t>provides</w:t>
      </w:r>
      <w:r>
        <w:rPr>
          <w:spacing w:val="-5"/>
        </w:rPr>
        <w:t> </w:t>
      </w:r>
      <w:r>
        <w:rPr/>
        <w:t>geographic</w:t>
      </w:r>
      <w:r>
        <w:rPr>
          <w:spacing w:val="-5"/>
        </w:rPr>
        <w:t> </w:t>
      </w:r>
      <w:r>
        <w:rPr/>
        <w:t>context,</w:t>
      </w:r>
      <w:r>
        <w:rPr>
          <w:spacing w:val="-5"/>
        </w:rPr>
        <w:t> </w:t>
      </w:r>
      <w:r>
        <w:rPr/>
        <w:t>its</w:t>
      </w:r>
      <w:r>
        <w:rPr>
          <w:spacing w:val="-5"/>
        </w:rPr>
        <w:t> </w:t>
      </w:r>
      <w:r>
        <w:rPr/>
        <w:t>integration</w:t>
      </w:r>
      <w:r>
        <w:rPr>
          <w:spacing w:val="-5"/>
        </w:rPr>
        <w:t> </w:t>
      </w:r>
      <w:r>
        <w:rPr/>
        <w:t>with the ranking and trend components enables users to connect where disparities exist with how severe and persistent they are over time.</w:t>
      </w:r>
    </w:p>
    <w:p>
      <w:pPr>
        <w:pStyle w:val="BodyText"/>
        <w:spacing w:line="266" w:lineRule="auto" w:before="173"/>
        <w:ind w:left="731" w:right="1381"/>
      </w:pPr>
      <w:r>
        <w:rPr/>
        <w:t>Together,</w:t>
      </w:r>
      <w:r>
        <w:rPr>
          <w:spacing w:val="-6"/>
        </w:rPr>
        <w:t> </w:t>
      </w:r>
      <w:r>
        <w:rPr/>
        <w:t>these</w:t>
      </w:r>
      <w:r>
        <w:rPr>
          <w:spacing w:val="-6"/>
        </w:rPr>
        <w:t> </w:t>
      </w:r>
      <w:r>
        <w:rPr/>
        <w:t>elements</w:t>
      </w:r>
      <w:r>
        <w:rPr>
          <w:spacing w:val="-6"/>
        </w:rPr>
        <w:t> </w:t>
      </w:r>
      <w:r>
        <w:rPr/>
        <w:t>demonstrate</w:t>
      </w:r>
      <w:r>
        <w:rPr>
          <w:spacing w:val="-6"/>
        </w:rPr>
        <w:t> </w:t>
      </w:r>
      <w:r>
        <w:rPr/>
        <w:t>the</w:t>
      </w:r>
      <w:r>
        <w:rPr>
          <w:spacing w:val="-6"/>
        </w:rPr>
        <w:t> </w:t>
      </w:r>
      <w:r>
        <w:rPr/>
        <w:t>value</w:t>
      </w:r>
      <w:r>
        <w:rPr>
          <w:spacing w:val="-6"/>
        </w:rPr>
        <w:t> </w:t>
      </w:r>
      <w:r>
        <w:rPr/>
        <w:t>of</w:t>
      </w:r>
      <w:r>
        <w:rPr>
          <w:spacing w:val="-6"/>
        </w:rPr>
        <w:t> </w:t>
      </w:r>
      <w:r>
        <w:rPr/>
        <w:t>district-level</w:t>
      </w:r>
      <w:r>
        <w:rPr>
          <w:spacing w:val="-6"/>
        </w:rPr>
        <w:t> </w:t>
      </w:r>
      <w:r>
        <w:rPr/>
        <w:t>aggregation</w:t>
      </w:r>
      <w:r>
        <w:rPr>
          <w:spacing w:val="-6"/>
        </w:rPr>
        <w:t> </w:t>
      </w:r>
      <w:r>
        <w:rPr/>
        <w:t>as</w:t>
      </w:r>
      <w:r>
        <w:rPr>
          <w:spacing w:val="-6"/>
        </w:rPr>
        <w:t> </w:t>
      </w:r>
      <w:r>
        <w:rPr/>
        <w:t>an</w:t>
      </w:r>
      <w:r>
        <w:rPr>
          <w:spacing w:val="-6"/>
        </w:rPr>
        <w:t> </w:t>
      </w:r>
      <w:r>
        <w:rPr/>
        <w:t>intermediate analytical layer between counties and the broader region. While county-level data provides granularity, and regional data provides a high-level overview, health districts offer a more operationally relevant perspective, aligning closely with how public health resources are organized and deployed.</w:t>
      </w:r>
    </w:p>
    <w:p>
      <w:pPr>
        <w:pStyle w:val="BodyText"/>
        <w:spacing w:before="171"/>
        <w:ind w:left="731"/>
      </w:pPr>
      <w:r>
        <w:rPr/>
        <w:t>This figure highlights the importance of multi-level analysis by showing </w:t>
      </w:r>
      <w:r>
        <w:rPr>
          <w:spacing w:val="-2"/>
        </w:rPr>
        <w:t>that:</w:t>
      </w:r>
    </w:p>
    <w:p>
      <w:pPr>
        <w:pStyle w:val="ListParagraph"/>
        <w:numPr>
          <w:ilvl w:val="0"/>
          <w:numId w:val="1"/>
        </w:numPr>
        <w:tabs>
          <w:tab w:pos="1182" w:val="left" w:leader="none"/>
        </w:tabs>
        <w:spacing w:line="240" w:lineRule="auto" w:before="274" w:after="0"/>
        <w:ind w:left="1182" w:right="0" w:hanging="121"/>
        <w:jc w:val="left"/>
        <w:rPr>
          <w:sz w:val="24"/>
        </w:rPr>
      </w:pPr>
      <w:r>
        <w:rPr>
          <w:sz w:val="24"/>
        </w:rPr>
        <w:t>District-level patterns can reveal systemic regional </w:t>
      </w:r>
      <w:r>
        <w:rPr>
          <w:spacing w:val="-2"/>
          <w:sz w:val="24"/>
        </w:rPr>
        <w:t>disparities</w:t>
      </w:r>
    </w:p>
    <w:p>
      <w:pPr>
        <w:pStyle w:val="BodyText"/>
        <w:spacing w:before="73"/>
      </w:pPr>
    </w:p>
    <w:p>
      <w:pPr>
        <w:pStyle w:val="ListParagraph"/>
        <w:numPr>
          <w:ilvl w:val="0"/>
          <w:numId w:val="1"/>
        </w:numPr>
        <w:tabs>
          <w:tab w:pos="1182" w:val="left" w:leader="none"/>
        </w:tabs>
        <w:spacing w:line="240" w:lineRule="auto" w:before="0" w:after="0"/>
        <w:ind w:left="1182" w:right="0" w:hanging="121"/>
        <w:jc w:val="left"/>
        <w:rPr>
          <w:sz w:val="24"/>
        </w:rPr>
      </w:pPr>
      <w:r>
        <w:rPr>
          <w:sz w:val="24"/>
        </w:rPr>
        <w:t>Trends</w:t>
      </w:r>
      <w:r>
        <w:rPr>
          <w:spacing w:val="-1"/>
          <w:sz w:val="24"/>
        </w:rPr>
        <w:t> </w:t>
      </w:r>
      <w:r>
        <w:rPr>
          <w:sz w:val="24"/>
        </w:rPr>
        <w:t>over</w:t>
      </w:r>
      <w:r>
        <w:rPr>
          <w:spacing w:val="-1"/>
          <w:sz w:val="24"/>
        </w:rPr>
        <w:t> </w:t>
      </w:r>
      <w:r>
        <w:rPr>
          <w:sz w:val="24"/>
        </w:rPr>
        <w:t>time</w:t>
      </w:r>
      <w:r>
        <w:rPr>
          <w:spacing w:val="-1"/>
          <w:sz w:val="24"/>
        </w:rPr>
        <w:t> </w:t>
      </w:r>
      <w:r>
        <w:rPr>
          <w:sz w:val="24"/>
        </w:rPr>
        <w:t>help</w:t>
      </w:r>
      <w:r>
        <w:rPr>
          <w:spacing w:val="-1"/>
          <w:sz w:val="24"/>
        </w:rPr>
        <w:t> </w:t>
      </w:r>
      <w:r>
        <w:rPr>
          <w:sz w:val="24"/>
        </w:rPr>
        <w:t>distinguish</w:t>
      </w:r>
      <w:r>
        <w:rPr>
          <w:spacing w:val="-1"/>
          <w:sz w:val="24"/>
        </w:rPr>
        <w:t> </w:t>
      </w:r>
      <w:r>
        <w:rPr>
          <w:sz w:val="24"/>
        </w:rPr>
        <w:t>between</w:t>
      </w:r>
      <w:r>
        <w:rPr>
          <w:spacing w:val="-1"/>
          <w:sz w:val="24"/>
        </w:rPr>
        <w:t> </w:t>
      </w:r>
      <w:r>
        <w:rPr>
          <w:sz w:val="24"/>
        </w:rPr>
        <w:t>temporary</w:t>
      </w:r>
      <w:r>
        <w:rPr>
          <w:spacing w:val="-1"/>
          <w:sz w:val="24"/>
        </w:rPr>
        <w:t> </w:t>
      </w:r>
      <w:r>
        <w:rPr>
          <w:sz w:val="24"/>
        </w:rPr>
        <w:t>variation</w:t>
      </w:r>
      <w:r>
        <w:rPr>
          <w:spacing w:val="-1"/>
          <w:sz w:val="24"/>
        </w:rPr>
        <w:t> </w:t>
      </w:r>
      <w:r>
        <w:rPr>
          <w:sz w:val="24"/>
        </w:rPr>
        <w:t>and</w:t>
      </w:r>
      <w:r>
        <w:rPr>
          <w:spacing w:val="-1"/>
          <w:sz w:val="24"/>
        </w:rPr>
        <w:t> </w:t>
      </w:r>
      <w:r>
        <w:rPr>
          <w:sz w:val="24"/>
        </w:rPr>
        <w:t>persistent </w:t>
      </w:r>
      <w:r>
        <w:rPr>
          <w:spacing w:val="-2"/>
          <w:sz w:val="24"/>
        </w:rPr>
        <w:t>challenges</w:t>
      </w:r>
    </w:p>
    <w:p>
      <w:pPr>
        <w:pStyle w:val="BodyText"/>
        <w:spacing w:before="74"/>
      </w:pPr>
    </w:p>
    <w:p>
      <w:pPr>
        <w:pStyle w:val="ListParagraph"/>
        <w:numPr>
          <w:ilvl w:val="0"/>
          <w:numId w:val="1"/>
        </w:numPr>
        <w:tabs>
          <w:tab w:pos="1182" w:val="left" w:leader="none"/>
        </w:tabs>
        <w:spacing w:line="240" w:lineRule="auto" w:before="0" w:after="0"/>
        <w:ind w:left="1182" w:right="0" w:hanging="121"/>
        <w:jc w:val="left"/>
        <w:rPr>
          <w:sz w:val="24"/>
        </w:rPr>
      </w:pPr>
      <w:r>
        <w:rPr>
          <w:sz w:val="24"/>
        </w:rPr>
        <w:t>Ranking enables data-driven prioritization of </w:t>
      </w:r>
      <w:r>
        <w:rPr>
          <w:spacing w:val="-2"/>
          <w:sz w:val="24"/>
        </w:rPr>
        <w:t>interventions</w:t>
      </w:r>
    </w:p>
    <w:p>
      <w:pPr>
        <w:pStyle w:val="BodyText"/>
        <w:spacing w:line="266" w:lineRule="auto" w:before="146"/>
        <w:ind w:left="716" w:right="1619" w:firstLine="15"/>
      </w:pPr>
      <w:r>
        <w:rPr/>
        <w:t>By</w:t>
      </w:r>
      <w:r>
        <w:rPr>
          <w:spacing w:val="-3"/>
        </w:rPr>
        <w:t> </w:t>
      </w:r>
      <w:r>
        <w:rPr/>
        <w:t>integrating</w:t>
      </w:r>
      <w:r>
        <w:rPr>
          <w:spacing w:val="-3"/>
        </w:rPr>
        <w:t> </w:t>
      </w:r>
      <w:r>
        <w:rPr/>
        <w:t>ranking,</w:t>
      </w:r>
      <w:r>
        <w:rPr>
          <w:spacing w:val="-3"/>
        </w:rPr>
        <w:t> </w:t>
      </w:r>
      <w:r>
        <w:rPr/>
        <w:t>temporal</w:t>
      </w:r>
      <w:r>
        <w:rPr>
          <w:spacing w:val="-3"/>
        </w:rPr>
        <w:t> </w:t>
      </w:r>
      <w:r>
        <w:rPr/>
        <w:t>trends,</w:t>
      </w:r>
      <w:r>
        <w:rPr>
          <w:spacing w:val="-3"/>
        </w:rPr>
        <w:t> </w:t>
      </w:r>
      <w:r>
        <w:rPr/>
        <w:t>and</w:t>
      </w:r>
      <w:r>
        <w:rPr>
          <w:spacing w:val="-3"/>
        </w:rPr>
        <w:t> </w:t>
      </w:r>
      <w:r>
        <w:rPr/>
        <w:t>geographic</w:t>
      </w:r>
      <w:r>
        <w:rPr>
          <w:spacing w:val="-3"/>
        </w:rPr>
        <w:t> </w:t>
      </w:r>
      <w:r>
        <w:rPr/>
        <w:t>context,</w:t>
      </w:r>
      <w:r>
        <w:rPr>
          <w:spacing w:val="-3"/>
        </w:rPr>
        <w:t> </w:t>
      </w:r>
      <w:r>
        <w:rPr/>
        <w:t>Figure</w:t>
      </w:r>
      <w:r>
        <w:rPr>
          <w:spacing w:val="-3"/>
        </w:rPr>
        <w:t> </w:t>
      </w:r>
      <w:r>
        <w:rPr/>
        <w:t>4</w:t>
      </w:r>
      <w:r>
        <w:rPr>
          <w:spacing w:val="-3"/>
        </w:rPr>
        <w:t> </w:t>
      </w:r>
      <w:r>
        <w:rPr/>
        <w:t>reinforces</w:t>
      </w:r>
      <w:r>
        <w:rPr>
          <w:spacing w:val="-3"/>
        </w:rPr>
        <w:t> </w:t>
      </w:r>
      <w:r>
        <w:rPr/>
        <w:t>the</w:t>
      </w:r>
      <w:r>
        <w:rPr>
          <w:spacing w:val="-3"/>
        </w:rPr>
        <w:t> </w:t>
      </w:r>
      <w:r>
        <w:rPr/>
        <w:t>role</w:t>
      </w:r>
      <w:r>
        <w:rPr>
          <w:spacing w:val="-3"/>
        </w:rPr>
        <w:t> </w:t>
      </w:r>
      <w:r>
        <w:rPr/>
        <w:t>of the dashboard as a comprehensive decision-support tool, capable of supporting both strategic planning and operational decision-making within public health systems.</w:t>
      </w:r>
    </w:p>
    <w:p>
      <w:pPr>
        <w:pStyle w:val="Heading4"/>
        <w:spacing w:before="199"/>
        <w:ind w:left="716"/>
      </w:pPr>
      <w:r>
        <w:rPr/>
        <w:t>Value</w:t>
      </w:r>
      <w:r>
        <w:rPr>
          <w:spacing w:val="-7"/>
        </w:rPr>
        <w:t> </w:t>
      </w:r>
      <w:r>
        <w:rPr/>
        <w:t>and</w:t>
      </w:r>
      <w:r>
        <w:rPr>
          <w:spacing w:val="-5"/>
        </w:rPr>
        <w:t> </w:t>
      </w:r>
      <w:r>
        <w:rPr/>
        <w:t>Significance</w:t>
      </w:r>
      <w:r>
        <w:rPr>
          <w:spacing w:val="-4"/>
        </w:rPr>
        <w:t> </w:t>
      </w:r>
      <w:r>
        <w:rPr/>
        <w:t>of</w:t>
      </w:r>
      <w:r>
        <w:rPr>
          <w:spacing w:val="-5"/>
        </w:rPr>
        <w:t> </w:t>
      </w:r>
      <w:r>
        <w:rPr/>
        <w:t>the</w:t>
      </w:r>
      <w:r>
        <w:rPr>
          <w:spacing w:val="-4"/>
        </w:rPr>
        <w:t> </w:t>
      </w:r>
      <w:r>
        <w:rPr>
          <w:spacing w:val="-2"/>
        </w:rPr>
        <w:t>Dashboard</w:t>
      </w:r>
    </w:p>
    <w:p>
      <w:pPr>
        <w:pStyle w:val="BodyText"/>
        <w:spacing w:line="266" w:lineRule="auto" w:before="200"/>
        <w:ind w:left="731" w:right="1619"/>
      </w:pPr>
      <w:r>
        <w:rPr/>
        <w:t>The</w:t>
      </w:r>
      <w:r>
        <w:rPr>
          <w:spacing w:val="-3"/>
        </w:rPr>
        <w:t> </w:t>
      </w:r>
      <w:r>
        <w:rPr/>
        <w:t>primary</w:t>
      </w:r>
      <w:r>
        <w:rPr>
          <w:spacing w:val="-3"/>
        </w:rPr>
        <w:t> </w:t>
      </w:r>
      <w:r>
        <w:rPr/>
        <w:t>value</w:t>
      </w:r>
      <w:r>
        <w:rPr>
          <w:spacing w:val="-3"/>
        </w:rPr>
        <w:t> </w:t>
      </w:r>
      <w:r>
        <w:rPr/>
        <w:t>of</w:t>
      </w:r>
      <w:r>
        <w:rPr>
          <w:spacing w:val="-3"/>
        </w:rPr>
        <w:t> </w:t>
      </w:r>
      <w:r>
        <w:rPr/>
        <w:t>this</w:t>
      </w:r>
      <w:r>
        <w:rPr>
          <w:spacing w:val="-3"/>
        </w:rPr>
        <w:t> </w:t>
      </w:r>
      <w:r>
        <w:rPr/>
        <w:t>dashboard</w:t>
      </w:r>
      <w:r>
        <w:rPr>
          <w:spacing w:val="-3"/>
        </w:rPr>
        <w:t> </w:t>
      </w:r>
      <w:r>
        <w:rPr/>
        <w:t>lies</w:t>
      </w:r>
      <w:r>
        <w:rPr>
          <w:spacing w:val="-3"/>
        </w:rPr>
        <w:t> </w:t>
      </w:r>
      <w:r>
        <w:rPr/>
        <w:t>in</w:t>
      </w:r>
      <w:r>
        <w:rPr>
          <w:spacing w:val="-3"/>
        </w:rPr>
        <w:t> </w:t>
      </w:r>
      <w:r>
        <w:rPr/>
        <w:t>its</w:t>
      </w:r>
      <w:r>
        <w:rPr>
          <w:spacing w:val="-3"/>
        </w:rPr>
        <w:t> </w:t>
      </w:r>
      <w:r>
        <w:rPr/>
        <w:t>ability</w:t>
      </w:r>
      <w:r>
        <w:rPr>
          <w:spacing w:val="-3"/>
        </w:rPr>
        <w:t> </w:t>
      </w:r>
      <w:r>
        <w:rPr/>
        <w:t>to</w:t>
      </w:r>
      <w:r>
        <w:rPr>
          <w:spacing w:val="-3"/>
        </w:rPr>
        <w:t> </w:t>
      </w:r>
      <w:r>
        <w:rPr/>
        <w:t>transform</w:t>
      </w:r>
      <w:r>
        <w:rPr>
          <w:spacing w:val="-3"/>
        </w:rPr>
        <w:t> </w:t>
      </w:r>
      <w:r>
        <w:rPr/>
        <w:t>complex,</w:t>
      </w:r>
      <w:r>
        <w:rPr>
          <w:spacing w:val="-3"/>
        </w:rPr>
        <w:t> </w:t>
      </w:r>
      <w:r>
        <w:rPr/>
        <w:t>multi-source</w:t>
      </w:r>
      <w:r>
        <w:rPr>
          <w:spacing w:val="-3"/>
        </w:rPr>
        <w:t> </w:t>
      </w:r>
      <w:r>
        <w:rPr/>
        <w:t>data into actionable insights. Rather than simply presenting data, the system enables users to:</w:t>
      </w:r>
    </w:p>
    <w:p>
      <w:pPr>
        <w:pStyle w:val="ListParagraph"/>
        <w:numPr>
          <w:ilvl w:val="0"/>
          <w:numId w:val="1"/>
        </w:numPr>
        <w:tabs>
          <w:tab w:pos="1212" w:val="left" w:leader="none"/>
        </w:tabs>
        <w:spacing w:line="240" w:lineRule="auto" w:before="243" w:after="0"/>
        <w:ind w:left="1212" w:right="0" w:hanging="121"/>
        <w:jc w:val="left"/>
        <w:rPr>
          <w:sz w:val="24"/>
        </w:rPr>
      </w:pPr>
      <w:r>
        <w:rPr>
          <w:sz w:val="24"/>
        </w:rPr>
        <w:t>Compare counties and districts </w:t>
      </w:r>
      <w:r>
        <w:rPr>
          <w:spacing w:val="-2"/>
          <w:sz w:val="24"/>
        </w:rPr>
        <w:t>dynamically</w:t>
      </w:r>
    </w:p>
    <w:p>
      <w:pPr>
        <w:pStyle w:val="BodyText"/>
        <w:spacing w:before="54"/>
      </w:pPr>
    </w:p>
    <w:p>
      <w:pPr>
        <w:pStyle w:val="ListParagraph"/>
        <w:numPr>
          <w:ilvl w:val="0"/>
          <w:numId w:val="1"/>
        </w:numPr>
        <w:tabs>
          <w:tab w:pos="1212" w:val="left" w:leader="none"/>
        </w:tabs>
        <w:spacing w:line="240" w:lineRule="auto" w:before="0" w:after="0"/>
        <w:ind w:left="1212" w:right="0" w:hanging="121"/>
        <w:jc w:val="left"/>
        <w:rPr>
          <w:sz w:val="24"/>
        </w:rPr>
      </w:pPr>
      <w:r>
        <w:rPr>
          <w:sz w:val="24"/>
        </w:rPr>
        <w:t>Identify high-risk populations through ranking and </w:t>
      </w:r>
      <w:r>
        <w:rPr>
          <w:spacing w:val="-2"/>
          <w:sz w:val="24"/>
        </w:rPr>
        <w:t>benchmarking</w:t>
      </w:r>
    </w:p>
    <w:p>
      <w:pPr>
        <w:pStyle w:val="BodyText"/>
        <w:spacing w:before="56"/>
      </w:pPr>
    </w:p>
    <w:p>
      <w:pPr>
        <w:pStyle w:val="ListParagraph"/>
        <w:numPr>
          <w:ilvl w:val="0"/>
          <w:numId w:val="1"/>
        </w:numPr>
        <w:tabs>
          <w:tab w:pos="1212" w:val="left" w:leader="none"/>
        </w:tabs>
        <w:spacing w:line="240" w:lineRule="auto" w:before="1" w:after="0"/>
        <w:ind w:left="1212" w:right="0" w:hanging="121"/>
        <w:jc w:val="left"/>
        <w:rPr>
          <w:sz w:val="24"/>
        </w:rPr>
      </w:pPr>
      <w:r>
        <w:rPr>
          <w:sz w:val="24"/>
        </w:rPr>
        <w:t>Monitor trends over </w:t>
      </w:r>
      <w:r>
        <w:rPr>
          <w:spacing w:val="-4"/>
          <w:sz w:val="24"/>
        </w:rPr>
        <w:t>time</w:t>
      </w:r>
    </w:p>
    <w:p>
      <w:pPr>
        <w:pStyle w:val="BodyText"/>
        <w:spacing w:before="56"/>
      </w:pPr>
    </w:p>
    <w:p>
      <w:pPr>
        <w:pStyle w:val="ListParagraph"/>
        <w:numPr>
          <w:ilvl w:val="0"/>
          <w:numId w:val="1"/>
        </w:numPr>
        <w:tabs>
          <w:tab w:pos="1212" w:val="left" w:leader="none"/>
        </w:tabs>
        <w:spacing w:line="240" w:lineRule="auto" w:before="0" w:after="0"/>
        <w:ind w:left="1212" w:right="0" w:hanging="121"/>
        <w:jc w:val="left"/>
        <w:rPr>
          <w:sz w:val="24"/>
        </w:rPr>
      </w:pPr>
      <w:r>
        <w:rPr>
          <w:sz w:val="24"/>
        </w:rPr>
        <w:t>Support evidence-based decision-</w:t>
      </w:r>
      <w:r>
        <w:rPr>
          <w:spacing w:val="-2"/>
          <w:sz w:val="24"/>
        </w:rPr>
        <w:t>making</w:t>
      </w:r>
    </w:p>
    <w:p>
      <w:pPr>
        <w:pStyle w:val="BodyText"/>
        <w:spacing w:line="266" w:lineRule="auto" w:before="262"/>
        <w:ind w:left="731" w:right="1392"/>
      </w:pPr>
      <w:r>
        <w:rPr/>
        <w:t>By</w:t>
      </w:r>
      <w:r>
        <w:rPr>
          <w:spacing w:val="-5"/>
        </w:rPr>
        <w:t> </w:t>
      </w:r>
      <w:r>
        <w:rPr/>
        <w:t>integrating</w:t>
      </w:r>
      <w:r>
        <w:rPr>
          <w:spacing w:val="-5"/>
        </w:rPr>
        <w:t> </w:t>
      </w:r>
      <w:r>
        <w:rPr/>
        <w:t>county,</w:t>
      </w:r>
      <w:r>
        <w:rPr>
          <w:spacing w:val="-5"/>
        </w:rPr>
        <w:t> </w:t>
      </w:r>
      <w:r>
        <w:rPr/>
        <w:t>district,</w:t>
      </w:r>
      <w:r>
        <w:rPr>
          <w:spacing w:val="-5"/>
        </w:rPr>
        <w:t> </w:t>
      </w:r>
      <w:r>
        <w:rPr/>
        <w:t>and</w:t>
      </w:r>
      <w:r>
        <w:rPr>
          <w:spacing w:val="-5"/>
        </w:rPr>
        <w:t> </w:t>
      </w:r>
      <w:r>
        <w:rPr/>
        <w:t>regional</w:t>
      </w:r>
      <w:r>
        <w:rPr>
          <w:spacing w:val="-5"/>
        </w:rPr>
        <w:t> </w:t>
      </w:r>
      <w:r>
        <w:rPr/>
        <w:t>views</w:t>
      </w:r>
      <w:r>
        <w:rPr>
          <w:spacing w:val="-5"/>
        </w:rPr>
        <w:t> </w:t>
      </w:r>
      <w:r>
        <w:rPr/>
        <w:t>into</w:t>
      </w:r>
      <w:r>
        <w:rPr>
          <w:spacing w:val="-5"/>
        </w:rPr>
        <w:t> </w:t>
      </w:r>
      <w:r>
        <w:rPr/>
        <w:t>a</w:t>
      </w:r>
      <w:r>
        <w:rPr>
          <w:spacing w:val="-5"/>
        </w:rPr>
        <w:t> </w:t>
      </w:r>
      <w:r>
        <w:rPr/>
        <w:t>unified</w:t>
      </w:r>
      <w:r>
        <w:rPr>
          <w:spacing w:val="-5"/>
        </w:rPr>
        <w:t> </w:t>
      </w:r>
      <w:r>
        <w:rPr/>
        <w:t>system,</w:t>
      </w:r>
      <w:r>
        <w:rPr>
          <w:spacing w:val="-5"/>
        </w:rPr>
        <w:t> </w:t>
      </w:r>
      <w:r>
        <w:rPr/>
        <w:t>the</w:t>
      </w:r>
      <w:r>
        <w:rPr>
          <w:spacing w:val="-5"/>
        </w:rPr>
        <w:t> </w:t>
      </w:r>
      <w:r>
        <w:rPr/>
        <w:t>dashboard</w:t>
      </w:r>
      <w:r>
        <w:rPr>
          <w:spacing w:val="-5"/>
        </w:rPr>
        <w:t> </w:t>
      </w:r>
      <w:r>
        <w:rPr/>
        <w:t>functions as a multi-level decision-support platform. This allows users to transition seamlessly between granular and aggregated perspectives, significantly enhancing strategic planning capabilities.</w:t>
      </w:r>
    </w:p>
    <w:p>
      <w:pPr>
        <w:pStyle w:val="Heading4"/>
        <w:spacing w:before="198"/>
        <w:ind w:left="731"/>
      </w:pPr>
      <w:r>
        <w:rPr/>
        <w:t>Generalizability Beyond </w:t>
      </w:r>
      <w:r>
        <w:rPr>
          <w:spacing w:val="-2"/>
        </w:rPr>
        <w:t>Healthcare</w:t>
      </w:r>
    </w:p>
    <w:p>
      <w:pPr>
        <w:pStyle w:val="BodyText"/>
        <w:spacing w:line="266" w:lineRule="auto" w:before="200"/>
        <w:ind w:left="731" w:right="1191" w:hanging="15"/>
      </w:pPr>
      <w:r>
        <w:rPr/>
        <w:t>While this study focuses on healthcare, the underlying framework is highly transferable. The integration</w:t>
      </w:r>
      <w:r>
        <w:rPr>
          <w:spacing w:val="-4"/>
        </w:rPr>
        <w:t> </w:t>
      </w:r>
      <w:r>
        <w:rPr/>
        <w:t>of</w:t>
      </w:r>
      <w:r>
        <w:rPr>
          <w:spacing w:val="-4"/>
        </w:rPr>
        <w:t> </w:t>
      </w:r>
      <w:r>
        <w:rPr/>
        <w:t>geographic,</w:t>
      </w:r>
      <w:r>
        <w:rPr>
          <w:spacing w:val="-4"/>
        </w:rPr>
        <w:t> </w:t>
      </w:r>
      <w:r>
        <w:rPr/>
        <w:t>temporal,</w:t>
      </w:r>
      <w:r>
        <w:rPr>
          <w:spacing w:val="-4"/>
        </w:rPr>
        <w:t> </w:t>
      </w:r>
      <w:r>
        <w:rPr/>
        <w:t>and</w:t>
      </w:r>
      <w:r>
        <w:rPr>
          <w:spacing w:val="-4"/>
        </w:rPr>
        <w:t> </w:t>
      </w:r>
      <w:r>
        <w:rPr/>
        <w:t>hierarchical</w:t>
      </w:r>
      <w:r>
        <w:rPr>
          <w:spacing w:val="-4"/>
        </w:rPr>
        <w:t> </w:t>
      </w:r>
      <w:r>
        <w:rPr/>
        <w:t>data</w:t>
      </w:r>
      <w:r>
        <w:rPr>
          <w:spacing w:val="-4"/>
        </w:rPr>
        <w:t> </w:t>
      </w:r>
      <w:r>
        <w:rPr/>
        <w:t>into</w:t>
      </w:r>
      <w:r>
        <w:rPr>
          <w:spacing w:val="-4"/>
        </w:rPr>
        <w:t> </w:t>
      </w:r>
      <w:r>
        <w:rPr/>
        <w:t>an</w:t>
      </w:r>
      <w:r>
        <w:rPr>
          <w:spacing w:val="-4"/>
        </w:rPr>
        <w:t> </w:t>
      </w:r>
      <w:r>
        <w:rPr/>
        <w:t>interactive</w:t>
      </w:r>
      <w:r>
        <w:rPr>
          <w:spacing w:val="-4"/>
        </w:rPr>
        <w:t> </w:t>
      </w:r>
      <w:r>
        <w:rPr/>
        <w:t>dashboard</w:t>
      </w:r>
      <w:r>
        <w:rPr>
          <w:spacing w:val="-4"/>
        </w:rPr>
        <w:t> </w:t>
      </w:r>
      <w:r>
        <w:rPr/>
        <w:t>can</w:t>
      </w:r>
      <w:r>
        <w:rPr>
          <w:spacing w:val="-4"/>
        </w:rPr>
        <w:t> </w:t>
      </w:r>
      <w:r>
        <w:rPr/>
        <w:t>be applied to multiple domains, including:</w:t>
      </w:r>
    </w:p>
    <w:p>
      <w:pPr>
        <w:pStyle w:val="ListParagraph"/>
        <w:numPr>
          <w:ilvl w:val="0"/>
          <w:numId w:val="1"/>
        </w:numPr>
        <w:tabs>
          <w:tab w:pos="1212" w:val="left" w:leader="none"/>
        </w:tabs>
        <w:spacing w:line="240" w:lineRule="auto" w:before="244" w:after="0"/>
        <w:ind w:left="1212" w:right="0" w:hanging="121"/>
        <w:jc w:val="left"/>
        <w:rPr>
          <w:sz w:val="24"/>
        </w:rPr>
      </w:pPr>
      <w:r>
        <w:rPr>
          <w:sz w:val="24"/>
        </w:rPr>
        <w:t>Supply</w:t>
      </w:r>
      <w:r>
        <w:rPr>
          <w:spacing w:val="15"/>
          <w:sz w:val="24"/>
        </w:rPr>
        <w:t> </w:t>
      </w:r>
      <w:r>
        <w:rPr>
          <w:sz w:val="24"/>
        </w:rPr>
        <w:t>chain</w:t>
      </w:r>
      <w:r>
        <w:rPr>
          <w:spacing w:val="15"/>
          <w:sz w:val="24"/>
        </w:rPr>
        <w:t> </w:t>
      </w:r>
      <w:r>
        <w:rPr>
          <w:sz w:val="24"/>
        </w:rPr>
        <w:t>optimization</w:t>
      </w:r>
      <w:r>
        <w:rPr>
          <w:spacing w:val="16"/>
          <w:sz w:val="24"/>
        </w:rPr>
        <w:t> </w:t>
      </w:r>
      <w:r>
        <w:rPr>
          <w:sz w:val="24"/>
        </w:rPr>
        <w:t>(location</w:t>
      </w:r>
      <w:r>
        <w:rPr>
          <w:spacing w:val="15"/>
          <w:sz w:val="24"/>
        </w:rPr>
        <w:t> </w:t>
      </w:r>
      <w:r>
        <w:rPr>
          <w:sz w:val="24"/>
        </w:rPr>
        <w:t>→</w:t>
      </w:r>
      <w:r>
        <w:rPr>
          <w:spacing w:val="16"/>
          <w:sz w:val="24"/>
        </w:rPr>
        <w:t> </w:t>
      </w:r>
      <w:r>
        <w:rPr>
          <w:sz w:val="24"/>
        </w:rPr>
        <w:t>region</w:t>
      </w:r>
      <w:r>
        <w:rPr>
          <w:spacing w:val="15"/>
          <w:sz w:val="24"/>
        </w:rPr>
        <w:t> </w:t>
      </w:r>
      <w:r>
        <w:rPr>
          <w:sz w:val="24"/>
        </w:rPr>
        <w:t>→</w:t>
      </w:r>
      <w:r>
        <w:rPr>
          <w:spacing w:val="16"/>
          <w:sz w:val="24"/>
        </w:rPr>
        <w:t> </w:t>
      </w:r>
      <w:r>
        <w:rPr>
          <w:spacing w:val="-2"/>
          <w:sz w:val="24"/>
        </w:rPr>
        <w:t>network)</w:t>
      </w:r>
    </w:p>
    <w:p>
      <w:pPr>
        <w:pStyle w:val="BodyText"/>
        <w:spacing w:before="56"/>
      </w:pPr>
    </w:p>
    <w:p>
      <w:pPr>
        <w:pStyle w:val="ListParagraph"/>
        <w:numPr>
          <w:ilvl w:val="0"/>
          <w:numId w:val="1"/>
        </w:numPr>
        <w:tabs>
          <w:tab w:pos="1212" w:val="left" w:leader="none"/>
        </w:tabs>
        <w:spacing w:line="240" w:lineRule="auto" w:before="0" w:after="0"/>
        <w:ind w:left="1212" w:right="0" w:hanging="121"/>
        <w:jc w:val="left"/>
        <w:rPr>
          <w:sz w:val="24"/>
        </w:rPr>
      </w:pPr>
      <w:r>
        <w:rPr>
          <w:sz w:val="24"/>
        </w:rPr>
        <w:t>Public</w:t>
      </w:r>
      <w:r>
        <w:rPr>
          <w:spacing w:val="3"/>
          <w:sz w:val="24"/>
        </w:rPr>
        <w:t> </w:t>
      </w:r>
      <w:r>
        <w:rPr>
          <w:sz w:val="24"/>
        </w:rPr>
        <w:t>policy</w:t>
      </w:r>
      <w:r>
        <w:rPr>
          <w:spacing w:val="4"/>
          <w:sz w:val="24"/>
        </w:rPr>
        <w:t> </w:t>
      </w:r>
      <w:r>
        <w:rPr>
          <w:sz w:val="24"/>
        </w:rPr>
        <w:t>(municipality</w:t>
      </w:r>
      <w:r>
        <w:rPr>
          <w:spacing w:val="4"/>
          <w:sz w:val="24"/>
        </w:rPr>
        <w:t> </w:t>
      </w:r>
      <w:r>
        <w:rPr>
          <w:sz w:val="24"/>
        </w:rPr>
        <w:t>→</w:t>
      </w:r>
      <w:r>
        <w:rPr>
          <w:spacing w:val="4"/>
          <w:sz w:val="24"/>
        </w:rPr>
        <w:t> </w:t>
      </w:r>
      <w:r>
        <w:rPr>
          <w:sz w:val="24"/>
        </w:rPr>
        <w:t>district</w:t>
      </w:r>
      <w:r>
        <w:rPr>
          <w:spacing w:val="4"/>
          <w:sz w:val="24"/>
        </w:rPr>
        <w:t> </w:t>
      </w:r>
      <w:r>
        <w:rPr>
          <w:sz w:val="24"/>
        </w:rPr>
        <w:t>→</w:t>
      </w:r>
      <w:r>
        <w:rPr>
          <w:spacing w:val="4"/>
          <w:sz w:val="24"/>
        </w:rPr>
        <w:t> </w:t>
      </w:r>
      <w:r>
        <w:rPr>
          <w:spacing w:val="-2"/>
          <w:sz w:val="24"/>
        </w:rPr>
        <w:t>state)</w:t>
      </w:r>
    </w:p>
    <w:p>
      <w:pPr>
        <w:pStyle w:val="BodyText"/>
        <w:spacing w:before="56"/>
      </w:pPr>
    </w:p>
    <w:p>
      <w:pPr>
        <w:pStyle w:val="ListParagraph"/>
        <w:numPr>
          <w:ilvl w:val="0"/>
          <w:numId w:val="1"/>
        </w:numPr>
        <w:tabs>
          <w:tab w:pos="1212" w:val="left" w:leader="none"/>
        </w:tabs>
        <w:spacing w:line="240" w:lineRule="auto" w:before="0" w:after="0"/>
        <w:ind w:left="1212" w:right="0" w:hanging="121"/>
        <w:jc w:val="left"/>
        <w:rPr>
          <w:sz w:val="24"/>
        </w:rPr>
      </w:pPr>
      <w:r>
        <w:rPr>
          <w:sz w:val="24"/>
        </w:rPr>
        <w:t>Environmental</w:t>
      </w:r>
      <w:r>
        <w:rPr>
          <w:spacing w:val="31"/>
          <w:sz w:val="24"/>
        </w:rPr>
        <w:t> </w:t>
      </w:r>
      <w:r>
        <w:rPr>
          <w:sz w:val="24"/>
        </w:rPr>
        <w:t>monitoring</w:t>
      </w:r>
      <w:r>
        <w:rPr>
          <w:spacing w:val="31"/>
          <w:sz w:val="24"/>
        </w:rPr>
        <w:t> </w:t>
      </w:r>
      <w:r>
        <w:rPr>
          <w:sz w:val="24"/>
        </w:rPr>
        <w:t>(local</w:t>
      </w:r>
      <w:r>
        <w:rPr>
          <w:spacing w:val="32"/>
          <w:sz w:val="24"/>
        </w:rPr>
        <w:t> </w:t>
      </w:r>
      <w:r>
        <w:rPr>
          <w:sz w:val="24"/>
        </w:rPr>
        <w:t>→</w:t>
      </w:r>
      <w:r>
        <w:rPr>
          <w:spacing w:val="31"/>
          <w:sz w:val="24"/>
        </w:rPr>
        <w:t> </w:t>
      </w:r>
      <w:r>
        <w:rPr>
          <w:sz w:val="24"/>
        </w:rPr>
        <w:t>regional</w:t>
      </w:r>
      <w:r>
        <w:rPr>
          <w:spacing w:val="32"/>
          <w:sz w:val="24"/>
        </w:rPr>
        <w:t> </w:t>
      </w:r>
      <w:r>
        <w:rPr>
          <w:sz w:val="24"/>
        </w:rPr>
        <w:t>risk</w:t>
      </w:r>
      <w:r>
        <w:rPr>
          <w:spacing w:val="31"/>
          <w:sz w:val="24"/>
        </w:rPr>
        <w:t> </w:t>
      </w:r>
      <w:r>
        <w:rPr>
          <w:spacing w:val="-2"/>
          <w:sz w:val="24"/>
        </w:rPr>
        <w:t>analysis)</w:t>
      </w:r>
    </w:p>
    <w:p>
      <w:pPr>
        <w:pStyle w:val="ListParagraph"/>
        <w:spacing w:after="0" w:line="240" w:lineRule="auto"/>
        <w:jc w:val="left"/>
        <w:rPr>
          <w:sz w:val="24"/>
        </w:rPr>
        <w:sectPr>
          <w:pgSz w:w="12240" w:h="15840"/>
          <w:pgMar w:header="0" w:footer="747" w:top="640" w:bottom="940" w:left="720" w:right="0"/>
        </w:sectPr>
      </w:pPr>
    </w:p>
    <w:p>
      <w:pPr>
        <w:pStyle w:val="ListParagraph"/>
        <w:numPr>
          <w:ilvl w:val="0"/>
          <w:numId w:val="1"/>
        </w:numPr>
        <w:tabs>
          <w:tab w:pos="1212" w:val="left" w:leader="none"/>
        </w:tabs>
        <w:spacing w:line="240" w:lineRule="auto" w:before="91" w:after="0"/>
        <w:ind w:left="1212" w:right="0" w:hanging="121"/>
        <w:jc w:val="left"/>
        <w:rPr>
          <w:sz w:val="24"/>
        </w:rPr>
      </w:pPr>
      <w:r>
        <w:rPr>
          <w:sz w:val="24"/>
        </w:rPr>
        <w:t>Corporate</w:t>
      </w:r>
      <w:r>
        <w:rPr>
          <w:spacing w:val="10"/>
          <w:sz w:val="24"/>
        </w:rPr>
        <w:t> </w:t>
      </w:r>
      <w:r>
        <w:rPr>
          <w:sz w:val="24"/>
        </w:rPr>
        <w:t>analytics</w:t>
      </w:r>
      <w:r>
        <w:rPr>
          <w:spacing w:val="10"/>
          <w:sz w:val="24"/>
        </w:rPr>
        <w:t> </w:t>
      </w:r>
      <w:r>
        <w:rPr>
          <w:sz w:val="24"/>
        </w:rPr>
        <w:t>(store</w:t>
      </w:r>
      <w:r>
        <w:rPr>
          <w:spacing w:val="10"/>
          <w:sz w:val="24"/>
        </w:rPr>
        <w:t> </w:t>
      </w:r>
      <w:r>
        <w:rPr>
          <w:sz w:val="24"/>
        </w:rPr>
        <w:t>→</w:t>
      </w:r>
      <w:r>
        <w:rPr>
          <w:spacing w:val="10"/>
          <w:sz w:val="24"/>
        </w:rPr>
        <w:t> </w:t>
      </w:r>
      <w:r>
        <w:rPr>
          <w:sz w:val="24"/>
        </w:rPr>
        <w:t>region</w:t>
      </w:r>
      <w:r>
        <w:rPr>
          <w:spacing w:val="11"/>
          <w:sz w:val="24"/>
        </w:rPr>
        <w:t> </w:t>
      </w:r>
      <w:r>
        <w:rPr>
          <w:sz w:val="24"/>
        </w:rPr>
        <w:t>→</w:t>
      </w:r>
      <w:r>
        <w:rPr>
          <w:spacing w:val="10"/>
          <w:sz w:val="24"/>
        </w:rPr>
        <w:t> </w:t>
      </w:r>
      <w:r>
        <w:rPr>
          <w:sz w:val="24"/>
        </w:rPr>
        <w:t>division</w:t>
      </w:r>
      <w:r>
        <w:rPr>
          <w:spacing w:val="10"/>
          <w:sz w:val="24"/>
        </w:rPr>
        <w:t> </w:t>
      </w:r>
      <w:r>
        <w:rPr>
          <w:spacing w:val="-2"/>
          <w:sz w:val="24"/>
        </w:rPr>
        <w:t>performance)</w:t>
      </w:r>
    </w:p>
    <w:p>
      <w:pPr>
        <w:pStyle w:val="BodyText"/>
        <w:spacing w:before="262"/>
      </w:pPr>
    </w:p>
    <w:p>
      <w:pPr>
        <w:pStyle w:val="BodyText"/>
        <w:spacing w:line="266" w:lineRule="auto"/>
        <w:ind w:left="731" w:right="1619"/>
      </w:pPr>
      <w:r>
        <w:rPr/>
        <w:t>This</w:t>
      </w:r>
      <w:r>
        <w:rPr>
          <w:spacing w:val="-4"/>
        </w:rPr>
        <w:t> </w:t>
      </w:r>
      <w:r>
        <w:rPr/>
        <w:t>demonstrates</w:t>
      </w:r>
      <w:r>
        <w:rPr>
          <w:spacing w:val="-4"/>
        </w:rPr>
        <w:t> </w:t>
      </w:r>
      <w:r>
        <w:rPr/>
        <w:t>that</w:t>
      </w:r>
      <w:r>
        <w:rPr>
          <w:spacing w:val="-4"/>
        </w:rPr>
        <w:t> </w:t>
      </w:r>
      <w:r>
        <w:rPr/>
        <w:t>hierarchical,</w:t>
      </w:r>
      <w:r>
        <w:rPr>
          <w:spacing w:val="-4"/>
        </w:rPr>
        <w:t> </w:t>
      </w:r>
      <w:r>
        <w:rPr/>
        <w:t>region-based</w:t>
      </w:r>
      <w:r>
        <w:rPr>
          <w:spacing w:val="-4"/>
        </w:rPr>
        <w:t> </w:t>
      </w:r>
      <w:r>
        <w:rPr/>
        <w:t>intelligence</w:t>
      </w:r>
      <w:r>
        <w:rPr>
          <w:spacing w:val="-4"/>
        </w:rPr>
        <w:t> </w:t>
      </w:r>
      <w:r>
        <w:rPr/>
        <w:t>systems</w:t>
      </w:r>
      <w:r>
        <w:rPr>
          <w:spacing w:val="-4"/>
        </w:rPr>
        <w:t> </w:t>
      </w:r>
      <w:r>
        <w:rPr/>
        <w:t>represent</w:t>
      </w:r>
      <w:r>
        <w:rPr>
          <w:spacing w:val="-4"/>
        </w:rPr>
        <w:t> </w:t>
      </w:r>
      <w:r>
        <w:rPr/>
        <w:t>a</w:t>
      </w:r>
      <w:r>
        <w:rPr>
          <w:spacing w:val="-4"/>
        </w:rPr>
        <w:t> </w:t>
      </w:r>
      <w:r>
        <w:rPr/>
        <w:t>broader</w:t>
      </w:r>
      <w:r>
        <w:rPr>
          <w:spacing w:val="-4"/>
        </w:rPr>
        <w:t> </w:t>
      </w:r>
      <w:r>
        <w:rPr/>
        <w:t>class of business analytics solutions applicable across industries.</w:t>
      </w:r>
    </w:p>
    <w:p>
      <w:pPr>
        <w:pStyle w:val="Heading4"/>
        <w:spacing w:before="199"/>
        <w:ind w:left="731"/>
      </w:pPr>
      <w:r>
        <w:rPr/>
        <w:t>Conclusions and </w:t>
      </w:r>
      <w:r>
        <w:rPr>
          <w:spacing w:val="-2"/>
        </w:rPr>
        <w:t>Limitations</w:t>
      </w:r>
    </w:p>
    <w:p>
      <w:pPr>
        <w:pStyle w:val="BodyText"/>
        <w:spacing w:line="266" w:lineRule="auto" w:before="200"/>
        <w:ind w:left="731" w:right="1619"/>
      </w:pPr>
      <w:r>
        <w:rPr/>
        <w:t>This</w:t>
      </w:r>
      <w:r>
        <w:rPr>
          <w:spacing w:val="-4"/>
        </w:rPr>
        <w:t> </w:t>
      </w:r>
      <w:r>
        <w:rPr/>
        <w:t>study</w:t>
      </w:r>
      <w:r>
        <w:rPr>
          <w:spacing w:val="-4"/>
        </w:rPr>
        <w:t> </w:t>
      </w:r>
      <w:r>
        <w:rPr/>
        <w:t>demonstrates</w:t>
      </w:r>
      <w:r>
        <w:rPr>
          <w:spacing w:val="-4"/>
        </w:rPr>
        <w:t> </w:t>
      </w:r>
      <w:r>
        <w:rPr/>
        <w:t>how</w:t>
      </w:r>
      <w:r>
        <w:rPr>
          <w:spacing w:val="-4"/>
        </w:rPr>
        <w:t> </w:t>
      </w:r>
      <w:r>
        <w:rPr/>
        <w:t>regional</w:t>
      </w:r>
      <w:r>
        <w:rPr>
          <w:spacing w:val="-4"/>
        </w:rPr>
        <w:t> </w:t>
      </w:r>
      <w:r>
        <w:rPr/>
        <w:t>health</w:t>
      </w:r>
      <w:r>
        <w:rPr>
          <w:spacing w:val="-4"/>
        </w:rPr>
        <w:t> </w:t>
      </w:r>
      <w:r>
        <w:rPr/>
        <w:t>intelligence</w:t>
      </w:r>
      <w:r>
        <w:rPr>
          <w:spacing w:val="-4"/>
        </w:rPr>
        <w:t> </w:t>
      </w:r>
      <w:r>
        <w:rPr/>
        <w:t>can</w:t>
      </w:r>
      <w:r>
        <w:rPr>
          <w:spacing w:val="-4"/>
        </w:rPr>
        <w:t> </w:t>
      </w:r>
      <w:r>
        <w:rPr/>
        <w:t>be</w:t>
      </w:r>
      <w:r>
        <w:rPr>
          <w:spacing w:val="-4"/>
        </w:rPr>
        <w:t> </w:t>
      </w:r>
      <w:r>
        <w:rPr/>
        <w:t>operationalized</w:t>
      </w:r>
      <w:r>
        <w:rPr>
          <w:spacing w:val="-4"/>
        </w:rPr>
        <w:t> </w:t>
      </w:r>
      <w:r>
        <w:rPr/>
        <w:t>using</w:t>
      </w:r>
      <w:r>
        <w:rPr>
          <w:spacing w:val="-4"/>
        </w:rPr>
        <w:t> </w:t>
      </w:r>
      <w:r>
        <w:rPr/>
        <w:t>business intelligence tools and publicly available data. By integrating five years of county-level data across 33 East Tennessee counties, along with district-level aggregation, the project provides a scalable model for data-driven decision support.</w:t>
      </w:r>
    </w:p>
    <w:p>
      <w:pPr>
        <w:pStyle w:val="BodyText"/>
        <w:spacing w:before="171"/>
        <w:ind w:left="731"/>
      </w:pPr>
      <w:r>
        <w:rPr/>
        <w:t>Limitations </w:t>
      </w:r>
      <w:r>
        <w:rPr>
          <w:spacing w:val="-2"/>
        </w:rPr>
        <w:t>include:</w:t>
      </w:r>
    </w:p>
    <w:p>
      <w:pPr>
        <w:pStyle w:val="ListParagraph"/>
        <w:numPr>
          <w:ilvl w:val="0"/>
          <w:numId w:val="1"/>
        </w:numPr>
        <w:tabs>
          <w:tab w:pos="1212" w:val="left" w:leader="none"/>
        </w:tabs>
        <w:spacing w:line="240" w:lineRule="auto" w:before="272" w:after="0"/>
        <w:ind w:left="1212" w:right="0" w:hanging="121"/>
        <w:jc w:val="left"/>
        <w:rPr>
          <w:sz w:val="24"/>
        </w:rPr>
      </w:pPr>
      <w:r>
        <w:rPr>
          <w:sz w:val="24"/>
        </w:rPr>
        <w:t>Reliance</w:t>
      </w:r>
      <w:r>
        <w:rPr>
          <w:spacing w:val="-4"/>
          <w:sz w:val="24"/>
        </w:rPr>
        <w:t> </w:t>
      </w:r>
      <w:r>
        <w:rPr>
          <w:sz w:val="24"/>
        </w:rPr>
        <w:t>on</w:t>
      </w:r>
      <w:r>
        <w:rPr>
          <w:spacing w:val="-4"/>
          <w:sz w:val="24"/>
        </w:rPr>
        <w:t> </w:t>
      </w:r>
      <w:r>
        <w:rPr>
          <w:sz w:val="24"/>
        </w:rPr>
        <w:t>secondary,</w:t>
      </w:r>
      <w:r>
        <w:rPr>
          <w:spacing w:val="-4"/>
          <w:sz w:val="24"/>
        </w:rPr>
        <w:t> </w:t>
      </w:r>
      <w:r>
        <w:rPr>
          <w:sz w:val="24"/>
        </w:rPr>
        <w:t>aggregated</w:t>
      </w:r>
      <w:r>
        <w:rPr>
          <w:spacing w:val="-4"/>
          <w:sz w:val="24"/>
        </w:rPr>
        <w:t> data</w:t>
      </w:r>
    </w:p>
    <w:p>
      <w:pPr>
        <w:pStyle w:val="BodyText"/>
        <w:spacing w:before="56"/>
      </w:pPr>
    </w:p>
    <w:p>
      <w:pPr>
        <w:pStyle w:val="ListParagraph"/>
        <w:numPr>
          <w:ilvl w:val="0"/>
          <w:numId w:val="1"/>
        </w:numPr>
        <w:tabs>
          <w:tab w:pos="1212" w:val="left" w:leader="none"/>
        </w:tabs>
        <w:spacing w:line="240" w:lineRule="auto" w:before="0" w:after="0"/>
        <w:ind w:left="1212" w:right="0" w:hanging="121"/>
        <w:jc w:val="left"/>
        <w:rPr>
          <w:sz w:val="24"/>
        </w:rPr>
      </w:pPr>
      <w:r>
        <w:rPr>
          <w:sz w:val="24"/>
        </w:rPr>
        <w:t>Lack of frequent or hospital-level operational </w:t>
      </w:r>
      <w:r>
        <w:rPr>
          <w:spacing w:val="-2"/>
          <w:sz w:val="24"/>
        </w:rPr>
        <w:t>metrics</w:t>
      </w:r>
    </w:p>
    <w:p>
      <w:pPr>
        <w:pStyle w:val="BodyText"/>
        <w:spacing w:before="56"/>
      </w:pPr>
    </w:p>
    <w:p>
      <w:pPr>
        <w:pStyle w:val="ListParagraph"/>
        <w:numPr>
          <w:ilvl w:val="0"/>
          <w:numId w:val="1"/>
        </w:numPr>
        <w:tabs>
          <w:tab w:pos="1212" w:val="left" w:leader="none"/>
        </w:tabs>
        <w:spacing w:line="240" w:lineRule="auto" w:before="0" w:after="0"/>
        <w:ind w:left="1212" w:right="0" w:hanging="121"/>
        <w:jc w:val="left"/>
        <w:rPr>
          <w:sz w:val="24"/>
        </w:rPr>
      </w:pPr>
      <w:r>
        <w:rPr>
          <w:sz w:val="24"/>
        </w:rPr>
        <w:t>Descriptive rather than predictive </w:t>
      </w:r>
      <w:r>
        <w:rPr>
          <w:spacing w:val="-2"/>
          <w:sz w:val="24"/>
        </w:rPr>
        <w:t>analysis</w:t>
      </w:r>
    </w:p>
    <w:p>
      <w:pPr>
        <w:pStyle w:val="BodyText"/>
        <w:spacing w:line="266" w:lineRule="auto" w:before="262"/>
        <w:ind w:left="731" w:right="1619"/>
      </w:pPr>
      <w:r>
        <w:rPr/>
        <w:t>Despite</w:t>
      </w:r>
      <w:r>
        <w:rPr>
          <w:spacing w:val="-5"/>
        </w:rPr>
        <w:t> </w:t>
      </w:r>
      <w:r>
        <w:rPr/>
        <w:t>these</w:t>
      </w:r>
      <w:r>
        <w:rPr>
          <w:spacing w:val="-5"/>
        </w:rPr>
        <w:t> </w:t>
      </w:r>
      <w:r>
        <w:rPr/>
        <w:t>limitations,</w:t>
      </w:r>
      <w:r>
        <w:rPr>
          <w:spacing w:val="-5"/>
        </w:rPr>
        <w:t> </w:t>
      </w:r>
      <w:r>
        <w:rPr/>
        <w:t>the</w:t>
      </w:r>
      <w:r>
        <w:rPr>
          <w:spacing w:val="-5"/>
        </w:rPr>
        <w:t> </w:t>
      </w:r>
      <w:r>
        <w:rPr/>
        <w:t>framework</w:t>
      </w:r>
      <w:r>
        <w:rPr>
          <w:spacing w:val="-5"/>
        </w:rPr>
        <w:t> </w:t>
      </w:r>
      <w:r>
        <w:rPr/>
        <w:t>effectively</w:t>
      </w:r>
      <w:r>
        <w:rPr>
          <w:spacing w:val="-5"/>
        </w:rPr>
        <w:t> </w:t>
      </w:r>
      <w:r>
        <w:rPr/>
        <w:t>illustrates</w:t>
      </w:r>
      <w:r>
        <w:rPr>
          <w:spacing w:val="-5"/>
        </w:rPr>
        <w:t> </w:t>
      </w:r>
      <w:r>
        <w:rPr/>
        <w:t>how</w:t>
      </w:r>
      <w:r>
        <w:rPr>
          <w:spacing w:val="-5"/>
        </w:rPr>
        <w:t> </w:t>
      </w:r>
      <w:r>
        <w:rPr/>
        <w:t>analytics</w:t>
      </w:r>
      <w:r>
        <w:rPr>
          <w:spacing w:val="-5"/>
        </w:rPr>
        <w:t> </w:t>
      </w:r>
      <w:r>
        <w:rPr/>
        <w:t>can</w:t>
      </w:r>
      <w:r>
        <w:rPr>
          <w:spacing w:val="-5"/>
        </w:rPr>
        <w:t> </w:t>
      </w:r>
      <w:r>
        <w:rPr/>
        <w:t>support strategic planning, resource prioritization, and regional comparison.</w:t>
      </w:r>
    </w:p>
    <w:p>
      <w:pPr>
        <w:pStyle w:val="Heading4"/>
        <w:spacing w:before="199"/>
        <w:ind w:left="731"/>
      </w:pPr>
      <w:r>
        <w:rPr/>
        <w:t>Future</w:t>
      </w:r>
      <w:r>
        <w:rPr>
          <w:spacing w:val="-5"/>
        </w:rPr>
        <w:t> </w:t>
      </w:r>
      <w:r>
        <w:rPr>
          <w:spacing w:val="-2"/>
        </w:rPr>
        <w:t>Research</w:t>
      </w:r>
    </w:p>
    <w:p>
      <w:pPr>
        <w:pStyle w:val="BodyText"/>
        <w:spacing w:before="197"/>
        <w:ind w:left="731"/>
      </w:pPr>
      <w:r>
        <w:rPr/>
        <w:t>Future work may expand this framework by </w:t>
      </w:r>
      <w:r>
        <w:rPr>
          <w:spacing w:val="-2"/>
        </w:rPr>
        <w:t>incorporating:</w:t>
      </w:r>
    </w:p>
    <w:p>
      <w:pPr>
        <w:pStyle w:val="ListParagraph"/>
        <w:numPr>
          <w:ilvl w:val="0"/>
          <w:numId w:val="1"/>
        </w:numPr>
        <w:tabs>
          <w:tab w:pos="1212" w:val="left" w:leader="none"/>
        </w:tabs>
        <w:spacing w:line="240" w:lineRule="auto" w:before="271" w:after="0"/>
        <w:ind w:left="1212" w:right="0" w:hanging="121"/>
        <w:jc w:val="left"/>
        <w:rPr>
          <w:sz w:val="24"/>
        </w:rPr>
      </w:pPr>
      <w:r>
        <w:rPr>
          <w:sz w:val="24"/>
        </w:rPr>
        <w:t>Predictive modeling and </w:t>
      </w:r>
      <w:r>
        <w:rPr>
          <w:spacing w:val="-2"/>
          <w:sz w:val="24"/>
        </w:rPr>
        <w:t>forecasting</w:t>
      </w:r>
    </w:p>
    <w:p>
      <w:pPr>
        <w:pStyle w:val="BodyText"/>
        <w:spacing w:before="56"/>
      </w:pPr>
    </w:p>
    <w:p>
      <w:pPr>
        <w:pStyle w:val="ListParagraph"/>
        <w:numPr>
          <w:ilvl w:val="0"/>
          <w:numId w:val="1"/>
        </w:numPr>
        <w:tabs>
          <w:tab w:pos="1212" w:val="left" w:leader="none"/>
        </w:tabs>
        <w:spacing w:line="240" w:lineRule="auto" w:before="0" w:after="0"/>
        <w:ind w:left="1212" w:right="0" w:hanging="121"/>
        <w:jc w:val="left"/>
        <w:rPr>
          <w:sz w:val="24"/>
        </w:rPr>
      </w:pPr>
      <w:r>
        <w:rPr>
          <w:sz w:val="24"/>
        </w:rPr>
        <w:t>Additional social determinants of </w:t>
      </w:r>
      <w:r>
        <w:rPr>
          <w:spacing w:val="-2"/>
          <w:sz w:val="24"/>
        </w:rPr>
        <w:t>health</w:t>
      </w:r>
    </w:p>
    <w:p>
      <w:pPr>
        <w:pStyle w:val="BodyText"/>
        <w:spacing w:before="57"/>
      </w:pPr>
    </w:p>
    <w:p>
      <w:pPr>
        <w:pStyle w:val="ListParagraph"/>
        <w:numPr>
          <w:ilvl w:val="0"/>
          <w:numId w:val="1"/>
        </w:numPr>
        <w:tabs>
          <w:tab w:pos="1212" w:val="left" w:leader="none"/>
        </w:tabs>
        <w:spacing w:line="240" w:lineRule="auto" w:before="0" w:after="0"/>
        <w:ind w:left="1212" w:right="0" w:hanging="121"/>
        <w:jc w:val="left"/>
        <w:rPr>
          <w:sz w:val="24"/>
        </w:rPr>
      </w:pPr>
      <w:r>
        <w:rPr>
          <w:sz w:val="24"/>
        </w:rPr>
        <w:t>Real-time data </w:t>
      </w:r>
      <w:r>
        <w:rPr>
          <w:spacing w:val="-2"/>
          <w:sz w:val="24"/>
        </w:rPr>
        <w:t>integration</w:t>
      </w:r>
    </w:p>
    <w:p>
      <w:pPr>
        <w:pStyle w:val="BodyText"/>
        <w:spacing w:before="56"/>
      </w:pPr>
    </w:p>
    <w:p>
      <w:pPr>
        <w:pStyle w:val="ListParagraph"/>
        <w:numPr>
          <w:ilvl w:val="0"/>
          <w:numId w:val="1"/>
        </w:numPr>
        <w:tabs>
          <w:tab w:pos="1212" w:val="left" w:leader="none"/>
        </w:tabs>
        <w:spacing w:line="240" w:lineRule="auto" w:before="0" w:after="0"/>
        <w:ind w:left="1212" w:right="0" w:hanging="121"/>
        <w:jc w:val="left"/>
        <w:rPr>
          <w:sz w:val="24"/>
        </w:rPr>
      </w:pPr>
      <w:r>
        <w:rPr>
          <w:sz w:val="24"/>
        </w:rPr>
        <w:t>Web-based</w:t>
      </w:r>
      <w:r>
        <w:rPr>
          <w:spacing w:val="-5"/>
          <w:sz w:val="24"/>
        </w:rPr>
        <w:t> </w:t>
      </w:r>
      <w:r>
        <w:rPr>
          <w:sz w:val="24"/>
        </w:rPr>
        <w:t>deployment</w:t>
      </w:r>
      <w:r>
        <w:rPr>
          <w:spacing w:val="-5"/>
          <w:sz w:val="24"/>
        </w:rPr>
        <w:t> </w:t>
      </w:r>
      <w:r>
        <w:rPr>
          <w:sz w:val="24"/>
        </w:rPr>
        <w:t>for</w:t>
      </w:r>
      <w:r>
        <w:rPr>
          <w:spacing w:val="-5"/>
          <w:sz w:val="24"/>
        </w:rPr>
        <w:t> </w:t>
      </w:r>
      <w:r>
        <w:rPr>
          <w:sz w:val="24"/>
        </w:rPr>
        <w:t>broader</w:t>
      </w:r>
      <w:r>
        <w:rPr>
          <w:spacing w:val="-5"/>
          <w:sz w:val="24"/>
        </w:rPr>
        <w:t> </w:t>
      </w:r>
      <w:r>
        <w:rPr>
          <w:spacing w:val="-2"/>
          <w:sz w:val="24"/>
        </w:rPr>
        <w:t>accessibility</w:t>
      </w:r>
    </w:p>
    <w:p>
      <w:pPr>
        <w:pStyle w:val="BodyText"/>
        <w:spacing w:line="266" w:lineRule="auto" w:before="262"/>
        <w:ind w:left="731" w:right="1381"/>
      </w:pPr>
      <w:r>
        <w:rPr/>
        <w:t>These</w:t>
      </w:r>
      <w:r>
        <w:rPr>
          <w:spacing w:val="-5"/>
        </w:rPr>
        <w:t> </w:t>
      </w:r>
      <w:r>
        <w:rPr/>
        <w:t>enhancements</w:t>
      </w:r>
      <w:r>
        <w:rPr>
          <w:spacing w:val="-5"/>
        </w:rPr>
        <w:t> </w:t>
      </w:r>
      <w:r>
        <w:rPr/>
        <w:t>would</w:t>
      </w:r>
      <w:r>
        <w:rPr>
          <w:spacing w:val="-5"/>
        </w:rPr>
        <w:t> </w:t>
      </w:r>
      <w:r>
        <w:rPr/>
        <w:t>further</w:t>
      </w:r>
      <w:r>
        <w:rPr>
          <w:spacing w:val="-5"/>
        </w:rPr>
        <w:t> </w:t>
      </w:r>
      <w:r>
        <w:rPr/>
        <w:t>strengthen</w:t>
      </w:r>
      <w:r>
        <w:rPr>
          <w:spacing w:val="-5"/>
        </w:rPr>
        <w:t> </w:t>
      </w:r>
      <w:r>
        <w:rPr/>
        <w:t>the</w:t>
      </w:r>
      <w:r>
        <w:rPr>
          <w:spacing w:val="-5"/>
        </w:rPr>
        <w:t> </w:t>
      </w:r>
      <w:r>
        <w:rPr/>
        <w:t>system’s</w:t>
      </w:r>
      <w:r>
        <w:rPr>
          <w:spacing w:val="-5"/>
        </w:rPr>
        <w:t> </w:t>
      </w:r>
      <w:r>
        <w:rPr/>
        <w:t>role</w:t>
      </w:r>
      <w:r>
        <w:rPr>
          <w:spacing w:val="-5"/>
        </w:rPr>
        <w:t> </w:t>
      </w:r>
      <w:r>
        <w:rPr/>
        <w:t>as</w:t>
      </w:r>
      <w:r>
        <w:rPr>
          <w:spacing w:val="-5"/>
        </w:rPr>
        <w:t> </w:t>
      </w:r>
      <w:r>
        <w:rPr/>
        <w:t>a</w:t>
      </w:r>
      <w:r>
        <w:rPr>
          <w:spacing w:val="-5"/>
        </w:rPr>
        <w:t> </w:t>
      </w:r>
      <w:r>
        <w:rPr/>
        <w:t>comprehensive</w:t>
      </w:r>
      <w:r>
        <w:rPr>
          <w:spacing w:val="-5"/>
        </w:rPr>
        <w:t> </w:t>
      </w:r>
      <w:r>
        <w:rPr/>
        <w:t>decision support platform.</w:t>
      </w:r>
    </w:p>
    <w:p>
      <w:pPr>
        <w:pStyle w:val="BodyText"/>
      </w:pPr>
    </w:p>
    <w:p>
      <w:pPr>
        <w:pStyle w:val="BodyText"/>
        <w:spacing w:before="152"/>
      </w:pPr>
    </w:p>
    <w:p>
      <w:pPr>
        <w:pStyle w:val="Heading4"/>
        <w:ind w:left="731"/>
      </w:pPr>
      <w:r>
        <w:rPr>
          <w:spacing w:val="-2"/>
        </w:rPr>
        <w:t>References</w:t>
      </w:r>
    </w:p>
    <w:p>
      <w:pPr>
        <w:spacing w:before="249"/>
        <w:ind w:left="1091" w:right="1619" w:hanging="30"/>
        <w:jc w:val="left"/>
        <w:rPr>
          <w:sz w:val="24"/>
        </w:rPr>
      </w:pPr>
      <w:r>
        <w:rPr>
          <w:sz w:val="24"/>
        </w:rPr>
        <w:t>Centers</w:t>
      </w:r>
      <w:r>
        <w:rPr>
          <w:spacing w:val="40"/>
          <w:sz w:val="24"/>
        </w:rPr>
        <w:t> </w:t>
      </w:r>
      <w:r>
        <w:rPr>
          <w:sz w:val="24"/>
        </w:rPr>
        <w:t>for</w:t>
      </w:r>
      <w:r>
        <w:rPr>
          <w:spacing w:val="40"/>
          <w:sz w:val="24"/>
        </w:rPr>
        <w:t> </w:t>
      </w:r>
      <w:r>
        <w:rPr>
          <w:sz w:val="24"/>
        </w:rPr>
        <w:t>Disease</w:t>
      </w:r>
      <w:r>
        <w:rPr>
          <w:spacing w:val="40"/>
          <w:sz w:val="24"/>
        </w:rPr>
        <w:t> </w:t>
      </w:r>
      <w:r>
        <w:rPr>
          <w:sz w:val="24"/>
        </w:rPr>
        <w:t>Control</w:t>
      </w:r>
      <w:r>
        <w:rPr>
          <w:spacing w:val="40"/>
          <w:sz w:val="24"/>
        </w:rPr>
        <w:t> </w:t>
      </w:r>
      <w:r>
        <w:rPr>
          <w:sz w:val="24"/>
        </w:rPr>
        <w:t>and</w:t>
      </w:r>
      <w:r>
        <w:rPr>
          <w:spacing w:val="40"/>
          <w:sz w:val="24"/>
        </w:rPr>
        <w:t> </w:t>
      </w:r>
      <w:r>
        <w:rPr>
          <w:sz w:val="24"/>
        </w:rPr>
        <w:t>Prevention.</w:t>
      </w:r>
      <w:r>
        <w:rPr>
          <w:spacing w:val="26"/>
          <w:sz w:val="24"/>
        </w:rPr>
        <w:t> </w:t>
      </w:r>
      <w:r>
        <w:rPr>
          <w:sz w:val="24"/>
        </w:rPr>
        <w:t>(2024).</w:t>
      </w:r>
      <w:r>
        <w:rPr>
          <w:spacing w:val="26"/>
          <w:sz w:val="24"/>
        </w:rPr>
        <w:t> </w:t>
      </w:r>
      <w:r>
        <w:rPr>
          <w:i/>
          <w:sz w:val="24"/>
        </w:rPr>
        <w:t>PLACES:</w:t>
      </w:r>
      <w:r>
        <w:rPr>
          <w:i/>
          <w:spacing w:val="26"/>
          <w:sz w:val="24"/>
        </w:rPr>
        <w:t> </w:t>
      </w:r>
      <w:r>
        <w:rPr>
          <w:i/>
          <w:sz w:val="24"/>
        </w:rPr>
        <w:t>Local</w:t>
      </w:r>
      <w:r>
        <w:rPr>
          <w:i/>
          <w:spacing w:val="26"/>
          <w:sz w:val="24"/>
        </w:rPr>
        <w:t> </w:t>
      </w:r>
      <w:r>
        <w:rPr>
          <w:i/>
          <w:sz w:val="24"/>
        </w:rPr>
        <w:t>data</w:t>
      </w:r>
      <w:r>
        <w:rPr>
          <w:i/>
          <w:spacing w:val="26"/>
          <w:sz w:val="24"/>
        </w:rPr>
        <w:t> </w:t>
      </w:r>
      <w:r>
        <w:rPr>
          <w:i/>
          <w:sz w:val="24"/>
        </w:rPr>
        <w:t>for</w:t>
      </w:r>
      <w:r>
        <w:rPr>
          <w:i/>
          <w:spacing w:val="26"/>
          <w:sz w:val="24"/>
        </w:rPr>
        <w:t> </w:t>
      </w:r>
      <w:r>
        <w:rPr>
          <w:i/>
          <w:sz w:val="24"/>
        </w:rPr>
        <w:t>better</w:t>
      </w:r>
      <w:r>
        <w:rPr>
          <w:i/>
          <w:sz w:val="24"/>
        </w:rPr>
        <w:t> health</w:t>
      </w:r>
      <w:r>
        <w:rPr>
          <w:sz w:val="24"/>
        </w:rPr>
        <w:t>. U.S. Department of Health &amp; Human Services. </w:t>
      </w:r>
      <w:hyperlink r:id="rId24">
        <w:r>
          <w:rPr>
            <w:color w:val="457886"/>
            <w:sz w:val="24"/>
            <w:u w:val="thick" w:color="457886"/>
          </w:rPr>
          <w:t>https://www.cdc.gov/places</w:t>
        </w:r>
      </w:hyperlink>
    </w:p>
    <w:p>
      <w:pPr>
        <w:pStyle w:val="BodyText"/>
        <w:spacing w:line="355" w:lineRule="auto" w:before="219"/>
        <w:ind w:left="1091" w:right="1191" w:hanging="30"/>
      </w:pPr>
      <w:r>
        <w:rPr/>
        <w:t>Centers</w:t>
      </w:r>
      <w:r>
        <w:rPr>
          <w:spacing w:val="40"/>
        </w:rPr>
        <w:t> </w:t>
      </w:r>
      <w:r>
        <w:rPr/>
        <w:t>for</w:t>
      </w:r>
      <w:r>
        <w:rPr>
          <w:spacing w:val="40"/>
        </w:rPr>
        <w:t> </w:t>
      </w:r>
      <w:r>
        <w:rPr/>
        <w:t>Disease</w:t>
      </w:r>
      <w:r>
        <w:rPr>
          <w:spacing w:val="40"/>
        </w:rPr>
        <w:t> </w:t>
      </w:r>
      <w:r>
        <w:rPr/>
        <w:t>Control</w:t>
      </w:r>
      <w:r>
        <w:rPr>
          <w:spacing w:val="40"/>
        </w:rPr>
        <w:t> </w:t>
      </w:r>
      <w:r>
        <w:rPr/>
        <w:t>and</w:t>
      </w:r>
      <w:r>
        <w:rPr>
          <w:spacing w:val="40"/>
        </w:rPr>
        <w:t> </w:t>
      </w:r>
      <w:r>
        <w:rPr/>
        <w:t>Prevention. (2023). </w:t>
      </w:r>
      <w:r>
        <w:rPr>
          <w:i/>
        </w:rPr>
        <w:t>Chronic disease overview</w:t>
      </w:r>
      <w:r>
        <w:rPr/>
        <w:t>. </w:t>
      </w:r>
      <w:r>
        <w:rPr/>
        <w:t>U.S. Department of Health &amp; Human Services. </w:t>
      </w:r>
      <w:hyperlink r:id="rId25">
        <w:r>
          <w:rPr>
            <w:color w:val="457886"/>
            <w:u w:val="thick" w:color="457886"/>
          </w:rPr>
          <w:t>https://www.cdc.gov/chronicdisease</w:t>
        </w:r>
      </w:hyperlink>
    </w:p>
    <w:p>
      <w:pPr>
        <w:spacing w:before="170"/>
        <w:ind w:left="1061" w:right="0" w:firstLine="0"/>
        <w:jc w:val="left"/>
        <w:rPr>
          <w:sz w:val="24"/>
        </w:rPr>
      </w:pPr>
      <w:r>
        <w:rPr>
          <w:sz w:val="24"/>
        </w:rPr>
        <w:t>Google.</w:t>
      </w:r>
      <w:r>
        <w:rPr>
          <w:spacing w:val="-2"/>
          <w:sz w:val="24"/>
        </w:rPr>
        <w:t> </w:t>
      </w:r>
      <w:r>
        <w:rPr>
          <w:sz w:val="24"/>
        </w:rPr>
        <w:t>(2024). </w:t>
      </w:r>
      <w:r>
        <w:rPr>
          <w:i/>
          <w:sz w:val="24"/>
        </w:rPr>
        <w:t>Google Data Commons</w:t>
      </w:r>
      <w:r>
        <w:rPr>
          <w:sz w:val="24"/>
        </w:rPr>
        <w:t>. </w:t>
      </w:r>
      <w:hyperlink r:id="rId26">
        <w:r>
          <w:rPr>
            <w:color w:val="457886"/>
            <w:spacing w:val="-2"/>
            <w:sz w:val="24"/>
            <w:u w:val="thick" w:color="457886"/>
          </w:rPr>
          <w:t>https://datacommons.org</w:t>
        </w:r>
      </w:hyperlink>
    </w:p>
    <w:p>
      <w:pPr>
        <w:spacing w:after="0"/>
        <w:jc w:val="left"/>
        <w:rPr>
          <w:sz w:val="24"/>
        </w:rPr>
        <w:sectPr>
          <w:pgSz w:w="12240" w:h="15840"/>
          <w:pgMar w:header="0" w:footer="747" w:top="680" w:bottom="960" w:left="720" w:right="0"/>
        </w:sectPr>
      </w:pPr>
    </w:p>
    <w:p>
      <w:pPr>
        <w:spacing w:before="79"/>
        <w:ind w:left="1061" w:right="1619" w:firstLine="0"/>
        <w:jc w:val="left"/>
        <w:rPr>
          <w:sz w:val="24"/>
        </w:rPr>
      </w:pPr>
      <w:r>
        <w:rPr>
          <w:sz w:val="24"/>
        </w:rPr>
        <w:t>Health</w:t>
      </w:r>
      <w:r>
        <w:rPr>
          <w:spacing w:val="40"/>
          <w:sz w:val="24"/>
        </w:rPr>
        <w:t> </w:t>
      </w:r>
      <w:r>
        <w:rPr>
          <w:sz w:val="24"/>
        </w:rPr>
        <w:t>Resources</w:t>
      </w:r>
      <w:r>
        <w:rPr>
          <w:spacing w:val="40"/>
          <w:sz w:val="24"/>
        </w:rPr>
        <w:t> </w:t>
      </w:r>
      <w:r>
        <w:rPr>
          <w:sz w:val="24"/>
        </w:rPr>
        <w:t>and</w:t>
      </w:r>
      <w:r>
        <w:rPr>
          <w:spacing w:val="40"/>
          <w:sz w:val="24"/>
        </w:rPr>
        <w:t> </w:t>
      </w:r>
      <w:r>
        <w:rPr>
          <w:sz w:val="24"/>
        </w:rPr>
        <w:t>Services</w:t>
      </w:r>
      <w:r>
        <w:rPr>
          <w:spacing w:val="40"/>
          <w:sz w:val="24"/>
        </w:rPr>
        <w:t> </w:t>
      </w:r>
      <w:r>
        <w:rPr>
          <w:sz w:val="24"/>
        </w:rPr>
        <w:t>Administration.</w:t>
      </w:r>
      <w:r>
        <w:rPr>
          <w:spacing w:val="40"/>
          <w:sz w:val="24"/>
        </w:rPr>
        <w:t> </w:t>
      </w:r>
      <w:r>
        <w:rPr>
          <w:sz w:val="24"/>
        </w:rPr>
        <w:t>(2024).</w:t>
      </w:r>
      <w:r>
        <w:rPr>
          <w:spacing w:val="39"/>
          <w:sz w:val="24"/>
        </w:rPr>
        <w:t> </w:t>
      </w:r>
      <w:r>
        <w:rPr>
          <w:i/>
          <w:sz w:val="24"/>
        </w:rPr>
        <w:t>Health</w:t>
      </w:r>
      <w:r>
        <w:rPr>
          <w:i/>
          <w:spacing w:val="39"/>
          <w:sz w:val="24"/>
        </w:rPr>
        <w:t> </w:t>
      </w:r>
      <w:r>
        <w:rPr>
          <w:i/>
          <w:sz w:val="24"/>
        </w:rPr>
        <w:t>professional</w:t>
      </w:r>
      <w:r>
        <w:rPr>
          <w:i/>
          <w:spacing w:val="39"/>
          <w:sz w:val="24"/>
        </w:rPr>
        <w:t> </w:t>
      </w:r>
      <w:r>
        <w:rPr>
          <w:i/>
          <w:sz w:val="24"/>
        </w:rPr>
        <w:t>shortage</w:t>
      </w:r>
      <w:r>
        <w:rPr>
          <w:i/>
          <w:sz w:val="24"/>
        </w:rPr>
        <w:t> areas (HPSAs)</w:t>
      </w:r>
      <w:r>
        <w:rPr>
          <w:sz w:val="24"/>
        </w:rPr>
        <w:t>. U.S. Department of Health &amp; Human Services. </w:t>
      </w:r>
      <w:hyperlink r:id="rId27">
        <w:r>
          <w:rPr>
            <w:color w:val="457886"/>
            <w:sz w:val="24"/>
            <w:u w:val="thick" w:color="457886"/>
          </w:rPr>
          <w:t>https://data.hrsa.gov</w:t>
        </w:r>
      </w:hyperlink>
    </w:p>
    <w:p>
      <w:pPr>
        <w:pStyle w:val="BodyText"/>
        <w:spacing w:before="65"/>
        <w:rPr>
          <w:sz w:val="20"/>
        </w:rPr>
      </w:pPr>
      <w:r>
        <w:rPr>
          <w:sz w:val="20"/>
        </w:rPr>
        <mc:AlternateContent>
          <mc:Choice Requires="wps">
            <w:drawing>
              <wp:anchor distT="0" distB="0" distL="0" distR="0" allowOverlap="1" layoutInCell="1" locked="0" behindDoc="1" simplePos="0" relativeHeight="487590400">
                <wp:simplePos x="0" y="0"/>
                <wp:positionH relativeFrom="page">
                  <wp:posOffset>1130300</wp:posOffset>
                </wp:positionH>
                <wp:positionV relativeFrom="paragraph">
                  <wp:posOffset>202603</wp:posOffset>
                </wp:positionV>
                <wp:extent cx="2540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25400" cy="1270"/>
                        </a:xfrm>
                        <a:custGeom>
                          <a:avLst/>
                          <a:gdLst/>
                          <a:ahLst/>
                          <a:cxnLst/>
                          <a:rect l="l" t="t" r="r" b="b"/>
                          <a:pathLst>
                            <a:path w="25400" h="0">
                              <a:moveTo>
                                <a:pt x="0" y="0"/>
                              </a:moveTo>
                              <a:lnTo>
                                <a:pt x="25400" y="0"/>
                              </a:lnTo>
                            </a:path>
                          </a:pathLst>
                        </a:custGeom>
                        <a:ln w="12700">
                          <a:solidFill>
                            <a:srgbClr val="457886"/>
                          </a:solidFill>
                          <a:prstDash val="solid"/>
                        </a:ln>
                      </wps:spPr>
                      <wps:bodyPr wrap="square" lIns="0" tIns="0" rIns="0" bIns="0" rtlCol="0">
                        <a:prstTxWarp prst="textNoShape">
                          <a:avLst/>
                        </a:prstTxWarp>
                        <a:noAutofit/>
                      </wps:bodyPr>
                    </wps:wsp>
                  </a:graphicData>
                </a:graphic>
              </wp:anchor>
            </w:drawing>
          </mc:Choice>
          <mc:Fallback>
            <w:pict>
              <v:shape style="position:absolute;margin-left:89pt;margin-top:15.953015pt;width:2pt;height:.1pt;mso-position-horizontal-relative:page;mso-position-vertical-relative:paragraph;z-index:-15726080;mso-wrap-distance-left:0;mso-wrap-distance-right:0" id="docshape4" coordorigin="1780,319" coordsize="40,0" path="m1780,319l1820,319e" filled="false" stroked="true" strokeweight="1.0pt" strokecolor="#457886">
                <v:path arrowok="t"/>
                <v:stroke dashstyle="solid"/>
                <w10:wrap type="topAndBottom"/>
              </v:shape>
            </w:pict>
          </mc:Fallback>
        </mc:AlternateContent>
      </w:r>
    </w:p>
    <w:p>
      <w:pPr>
        <w:spacing w:before="72"/>
        <w:ind w:left="1091" w:right="0" w:hanging="30"/>
        <w:jc w:val="left"/>
        <w:rPr>
          <w:sz w:val="24"/>
        </w:rPr>
      </w:pPr>
      <w:r>
        <w:rPr>
          <w:sz w:val="24"/>
        </w:rPr>
        <w:t>Tennessee</w:t>
      </w:r>
      <w:r>
        <w:rPr>
          <w:spacing w:val="36"/>
          <w:sz w:val="24"/>
        </w:rPr>
        <w:t> </w:t>
      </w:r>
      <w:r>
        <w:rPr>
          <w:sz w:val="24"/>
        </w:rPr>
        <w:t>Department</w:t>
      </w:r>
      <w:r>
        <w:rPr>
          <w:spacing w:val="36"/>
          <w:sz w:val="24"/>
        </w:rPr>
        <w:t> </w:t>
      </w:r>
      <w:r>
        <w:rPr>
          <w:sz w:val="24"/>
        </w:rPr>
        <w:t>of</w:t>
      </w:r>
      <w:r>
        <w:rPr>
          <w:spacing w:val="36"/>
          <w:sz w:val="24"/>
        </w:rPr>
        <w:t> </w:t>
      </w:r>
      <w:r>
        <w:rPr>
          <w:sz w:val="24"/>
        </w:rPr>
        <w:t>Health.</w:t>
      </w:r>
      <w:r>
        <w:rPr>
          <w:spacing w:val="36"/>
          <w:sz w:val="24"/>
        </w:rPr>
        <w:t> </w:t>
      </w:r>
      <w:r>
        <w:rPr>
          <w:sz w:val="24"/>
        </w:rPr>
        <w:t>(2024).</w:t>
      </w:r>
      <w:r>
        <w:rPr>
          <w:spacing w:val="36"/>
          <w:sz w:val="24"/>
        </w:rPr>
        <w:t> </w:t>
      </w:r>
      <w:r>
        <w:rPr>
          <w:i/>
          <w:sz w:val="24"/>
        </w:rPr>
        <w:t>Tennessee county health data and </w:t>
      </w:r>
      <w:r>
        <w:rPr>
          <w:i/>
          <w:sz w:val="24"/>
        </w:rPr>
        <w:t>statistics</w:t>
      </w:r>
      <w:r>
        <w:rPr>
          <w:sz w:val="24"/>
        </w:rPr>
        <w:t>. </w:t>
      </w:r>
      <w:hyperlink r:id="rId28">
        <w:r>
          <w:rPr>
            <w:color w:val="457886"/>
            <w:spacing w:val="-2"/>
            <w:sz w:val="24"/>
            <w:u w:val="thick" w:color="457886"/>
          </w:rPr>
          <w:t>https://www.tn.gov/health</w:t>
        </w:r>
      </w:hyperlink>
    </w:p>
    <w:p>
      <w:pPr>
        <w:pStyle w:val="BodyText"/>
        <w:spacing w:before="129"/>
      </w:pPr>
    </w:p>
    <w:p>
      <w:pPr>
        <w:pStyle w:val="BodyText"/>
        <w:ind w:left="1061"/>
      </w:pPr>
      <w:r>
        <w:rPr/>
        <w:t>Tennessee</w:t>
      </w:r>
      <w:r>
        <w:rPr>
          <w:spacing w:val="-12"/>
        </w:rPr>
        <w:t> </w:t>
      </w:r>
      <w:r>
        <w:rPr/>
        <w:t>Emergency</w:t>
      </w:r>
      <w:r>
        <w:rPr>
          <w:spacing w:val="-9"/>
        </w:rPr>
        <w:t> </w:t>
      </w:r>
      <w:r>
        <w:rPr/>
        <w:t>Management</w:t>
      </w:r>
      <w:r>
        <w:rPr>
          <w:spacing w:val="-10"/>
        </w:rPr>
        <w:t> </w:t>
      </w:r>
      <w:r>
        <w:rPr/>
        <w:t>Agency.</w:t>
      </w:r>
      <w:r>
        <w:rPr>
          <w:spacing w:val="-9"/>
        </w:rPr>
        <w:t> </w:t>
      </w:r>
      <w:r>
        <w:rPr>
          <w:spacing w:val="-2"/>
        </w:rPr>
        <w:t>(2024).</w:t>
      </w:r>
    </w:p>
    <w:p>
      <w:pPr>
        <w:spacing w:before="67"/>
        <w:ind w:left="1061" w:right="0" w:firstLine="0"/>
        <w:jc w:val="left"/>
        <w:rPr>
          <w:sz w:val="24"/>
        </w:rPr>
      </w:pPr>
      <w:r>
        <w:rPr>
          <w:i/>
          <w:sz w:val="24"/>
        </w:rPr>
        <w:t>Regional planning and county classifications</w:t>
      </w:r>
      <w:r>
        <w:rPr>
          <w:sz w:val="24"/>
        </w:rPr>
        <w:t>. </w:t>
      </w:r>
      <w:hyperlink r:id="rId29">
        <w:r>
          <w:rPr>
            <w:color w:val="457886"/>
            <w:spacing w:val="-2"/>
            <w:sz w:val="24"/>
            <w:u w:val="thick" w:color="457886"/>
          </w:rPr>
          <w:t>https://www.tn.gov/tema</w:t>
        </w:r>
      </w:hyperlink>
    </w:p>
    <w:p>
      <w:pPr>
        <w:pStyle w:val="BodyText"/>
        <w:spacing w:before="140"/>
      </w:pPr>
    </w:p>
    <w:p>
      <w:pPr>
        <w:spacing w:line="304" w:lineRule="auto" w:before="0"/>
        <w:ind w:left="1121" w:right="2135" w:hanging="60"/>
        <w:jc w:val="left"/>
        <w:rPr>
          <w:sz w:val="24"/>
        </w:rPr>
      </w:pPr>
      <w:r>
        <w:rPr>
          <w:sz w:val="24"/>
        </w:rPr>
        <w:t>U.S.</w:t>
      </w:r>
      <w:r>
        <w:rPr>
          <w:spacing w:val="-4"/>
          <w:sz w:val="24"/>
        </w:rPr>
        <w:t> </w:t>
      </w:r>
      <w:r>
        <w:rPr>
          <w:sz w:val="24"/>
        </w:rPr>
        <w:t>Census</w:t>
      </w:r>
      <w:r>
        <w:rPr>
          <w:spacing w:val="-4"/>
          <w:sz w:val="24"/>
        </w:rPr>
        <w:t> </w:t>
      </w:r>
      <w:r>
        <w:rPr>
          <w:sz w:val="24"/>
        </w:rPr>
        <w:t>Bureau.</w:t>
      </w:r>
      <w:r>
        <w:rPr>
          <w:spacing w:val="-4"/>
          <w:sz w:val="24"/>
        </w:rPr>
        <w:t> </w:t>
      </w:r>
      <w:r>
        <w:rPr>
          <w:sz w:val="24"/>
        </w:rPr>
        <w:t>(2024).</w:t>
      </w:r>
      <w:r>
        <w:rPr>
          <w:spacing w:val="-4"/>
          <w:sz w:val="24"/>
        </w:rPr>
        <w:t> </w:t>
      </w:r>
      <w:r>
        <w:rPr>
          <w:i/>
          <w:sz w:val="24"/>
        </w:rPr>
        <w:t>County</w:t>
      </w:r>
      <w:r>
        <w:rPr>
          <w:i/>
          <w:spacing w:val="-4"/>
          <w:sz w:val="24"/>
        </w:rPr>
        <w:t> </w:t>
      </w:r>
      <w:r>
        <w:rPr>
          <w:i/>
          <w:sz w:val="24"/>
        </w:rPr>
        <w:t>population</w:t>
      </w:r>
      <w:r>
        <w:rPr>
          <w:i/>
          <w:spacing w:val="-4"/>
          <w:sz w:val="24"/>
        </w:rPr>
        <w:t> </w:t>
      </w:r>
      <w:r>
        <w:rPr>
          <w:i/>
          <w:sz w:val="24"/>
        </w:rPr>
        <w:t>totals</w:t>
      </w:r>
      <w:r>
        <w:rPr>
          <w:i/>
          <w:spacing w:val="-4"/>
          <w:sz w:val="24"/>
        </w:rPr>
        <w:t> </w:t>
      </w:r>
      <w:r>
        <w:rPr>
          <w:i/>
          <w:sz w:val="24"/>
        </w:rPr>
        <w:t>and</w:t>
      </w:r>
      <w:r>
        <w:rPr>
          <w:i/>
          <w:spacing w:val="-4"/>
          <w:sz w:val="24"/>
        </w:rPr>
        <w:t> </w:t>
      </w:r>
      <w:r>
        <w:rPr>
          <w:i/>
          <w:sz w:val="24"/>
        </w:rPr>
        <w:t>components</w:t>
      </w:r>
      <w:r>
        <w:rPr>
          <w:i/>
          <w:spacing w:val="-4"/>
          <w:sz w:val="24"/>
        </w:rPr>
        <w:t> </w:t>
      </w:r>
      <w:r>
        <w:rPr>
          <w:i/>
          <w:sz w:val="24"/>
        </w:rPr>
        <w:t>of</w:t>
      </w:r>
      <w:r>
        <w:rPr>
          <w:i/>
          <w:spacing w:val="-4"/>
          <w:sz w:val="24"/>
        </w:rPr>
        <w:t> </w:t>
      </w:r>
      <w:r>
        <w:rPr>
          <w:i/>
          <w:sz w:val="24"/>
        </w:rPr>
        <w:t>change:</w:t>
      </w:r>
      <w:r>
        <w:rPr>
          <w:i/>
          <w:sz w:val="24"/>
        </w:rPr>
        <w:t> 2020– 2024</w:t>
      </w:r>
      <w:r>
        <w:rPr>
          <w:sz w:val="24"/>
        </w:rPr>
        <w:t>. </w:t>
      </w:r>
      <w:hyperlink r:id="rId30">
        <w:r>
          <w:rPr>
            <w:color w:val="457886"/>
            <w:sz w:val="24"/>
            <w:u w:val="thick" w:color="457886"/>
          </w:rPr>
          <w:t>https://www.census.gov</w:t>
        </w:r>
      </w:hyperlink>
    </w:p>
    <w:p>
      <w:pPr>
        <w:pStyle w:val="BodyText"/>
        <w:spacing w:before="72"/>
      </w:pPr>
    </w:p>
    <w:p>
      <w:pPr>
        <w:spacing w:before="0"/>
        <w:ind w:left="1061" w:right="1619" w:firstLine="0"/>
        <w:jc w:val="left"/>
        <w:rPr>
          <w:sz w:val="24"/>
        </w:rPr>
      </w:pPr>
      <w:r>
        <w:rPr>
          <w:sz w:val="24"/>
        </w:rPr>
        <w:t>World</w:t>
      </w:r>
      <w:r>
        <w:rPr>
          <w:spacing w:val="80"/>
          <w:sz w:val="24"/>
        </w:rPr>
        <w:t> </w:t>
      </w:r>
      <w:r>
        <w:rPr>
          <w:sz w:val="24"/>
        </w:rPr>
        <w:t>Health</w:t>
      </w:r>
      <w:r>
        <w:rPr>
          <w:spacing w:val="80"/>
          <w:sz w:val="24"/>
        </w:rPr>
        <w:t> </w:t>
      </w:r>
      <w:r>
        <w:rPr>
          <w:sz w:val="24"/>
        </w:rPr>
        <w:t>Organization.</w:t>
      </w:r>
      <w:r>
        <w:rPr>
          <w:spacing w:val="80"/>
          <w:sz w:val="24"/>
        </w:rPr>
        <w:t> </w:t>
      </w:r>
      <w:r>
        <w:rPr>
          <w:sz w:val="24"/>
        </w:rPr>
        <w:t>(2023).</w:t>
      </w:r>
      <w:r>
        <w:rPr>
          <w:spacing w:val="80"/>
          <w:sz w:val="24"/>
        </w:rPr>
        <w:t> </w:t>
      </w:r>
      <w:r>
        <w:rPr>
          <w:i/>
          <w:sz w:val="24"/>
        </w:rPr>
        <w:t>Noncommunicable</w:t>
      </w:r>
      <w:r>
        <w:rPr>
          <w:i/>
          <w:spacing w:val="80"/>
          <w:sz w:val="24"/>
        </w:rPr>
        <w:t> </w:t>
      </w:r>
      <w:r>
        <w:rPr>
          <w:i/>
          <w:sz w:val="24"/>
        </w:rPr>
        <w:t>diseases</w:t>
      </w:r>
      <w:r>
        <w:rPr>
          <w:i/>
          <w:spacing w:val="80"/>
          <w:sz w:val="24"/>
        </w:rPr>
        <w:t> </w:t>
      </w:r>
      <w:r>
        <w:rPr>
          <w:i/>
          <w:sz w:val="24"/>
        </w:rPr>
        <w:t>(NCDs)</w:t>
      </w:r>
      <w:r>
        <w:rPr>
          <w:i/>
          <w:spacing w:val="80"/>
          <w:sz w:val="24"/>
        </w:rPr>
        <w:t> </w:t>
      </w:r>
      <w:r>
        <w:rPr>
          <w:i/>
          <w:sz w:val="24"/>
        </w:rPr>
        <w:t>fact</w:t>
      </w:r>
      <w:r>
        <w:rPr>
          <w:i/>
          <w:spacing w:val="80"/>
          <w:sz w:val="24"/>
        </w:rPr>
        <w:t> </w:t>
      </w:r>
      <w:r>
        <w:rPr>
          <w:i/>
          <w:sz w:val="24"/>
        </w:rPr>
        <w:t>sheet</w:t>
      </w:r>
      <w:r>
        <w:rPr>
          <w:sz w:val="24"/>
        </w:rPr>
        <w:t>. </w:t>
      </w:r>
      <w:hyperlink r:id="rId31">
        <w:r>
          <w:rPr>
            <w:color w:val="1154CC"/>
            <w:spacing w:val="-2"/>
            <w:sz w:val="24"/>
            <w:u w:val="thick" w:color="1154CC"/>
          </w:rPr>
          <w:t>https://www.who.int/news-room/fact-sheets/detail/noncommunicable-diseases</w:t>
        </w:r>
      </w:hyperlink>
    </w:p>
    <w:p>
      <w:pPr>
        <w:pStyle w:val="BodyText"/>
        <w:spacing w:before="146"/>
      </w:pPr>
    </w:p>
    <w:p>
      <w:pPr>
        <w:spacing w:before="0"/>
        <w:ind w:left="1091" w:right="1191" w:hanging="30"/>
        <w:jc w:val="left"/>
        <w:rPr>
          <w:sz w:val="24"/>
        </w:rPr>
      </w:pPr>
      <w:r>
        <w:rPr>
          <w:sz w:val="24"/>
        </w:rPr>
        <w:t>Khanna,</w:t>
      </w:r>
      <w:r>
        <w:rPr>
          <w:spacing w:val="27"/>
          <w:sz w:val="24"/>
        </w:rPr>
        <w:t> </w:t>
      </w:r>
      <w:r>
        <w:rPr>
          <w:sz w:val="24"/>
        </w:rPr>
        <w:t>R.,</w:t>
      </w:r>
      <w:r>
        <w:rPr>
          <w:spacing w:val="27"/>
          <w:sz w:val="24"/>
        </w:rPr>
        <w:t> </w:t>
      </w:r>
      <w:r>
        <w:rPr>
          <w:sz w:val="24"/>
        </w:rPr>
        <w:t>et</w:t>
      </w:r>
      <w:r>
        <w:rPr>
          <w:spacing w:val="27"/>
          <w:sz w:val="24"/>
        </w:rPr>
        <w:t> </w:t>
      </w:r>
      <w:r>
        <w:rPr>
          <w:sz w:val="24"/>
        </w:rPr>
        <w:t>al.</w:t>
      </w:r>
      <w:r>
        <w:rPr>
          <w:spacing w:val="27"/>
          <w:sz w:val="24"/>
        </w:rPr>
        <w:t> </w:t>
      </w:r>
      <w:r>
        <w:rPr>
          <w:sz w:val="24"/>
        </w:rPr>
        <w:t>(2022).</w:t>
      </w:r>
      <w:r>
        <w:rPr>
          <w:spacing w:val="27"/>
          <w:sz w:val="24"/>
        </w:rPr>
        <w:t> </w:t>
      </w:r>
      <w:r>
        <w:rPr>
          <w:sz w:val="24"/>
        </w:rPr>
        <w:t>The</w:t>
      </w:r>
      <w:r>
        <w:rPr>
          <w:spacing w:val="27"/>
          <w:sz w:val="24"/>
        </w:rPr>
        <w:t> </w:t>
      </w:r>
      <w:r>
        <w:rPr>
          <w:sz w:val="24"/>
        </w:rPr>
        <w:t>impact</w:t>
      </w:r>
      <w:r>
        <w:rPr>
          <w:spacing w:val="27"/>
          <w:sz w:val="24"/>
        </w:rPr>
        <w:t> </w:t>
      </w:r>
      <w:r>
        <w:rPr>
          <w:sz w:val="24"/>
        </w:rPr>
        <w:t>of</w:t>
      </w:r>
      <w:r>
        <w:rPr>
          <w:spacing w:val="27"/>
          <w:sz w:val="24"/>
        </w:rPr>
        <w:t> </w:t>
      </w:r>
      <w:r>
        <w:rPr>
          <w:sz w:val="24"/>
        </w:rPr>
        <w:t>delayed</w:t>
      </w:r>
      <w:r>
        <w:rPr>
          <w:spacing w:val="27"/>
          <w:sz w:val="24"/>
        </w:rPr>
        <w:t> </w:t>
      </w:r>
      <w:r>
        <w:rPr>
          <w:sz w:val="24"/>
        </w:rPr>
        <w:t>preventive</w:t>
      </w:r>
      <w:r>
        <w:rPr>
          <w:spacing w:val="27"/>
          <w:sz w:val="24"/>
        </w:rPr>
        <w:t> </w:t>
      </w:r>
      <w:r>
        <w:rPr>
          <w:sz w:val="24"/>
        </w:rPr>
        <w:t>care on healthcare costs </w:t>
      </w:r>
      <w:r>
        <w:rPr>
          <w:sz w:val="24"/>
        </w:rPr>
        <w:t>and outcomes. </w:t>
      </w:r>
      <w:r>
        <w:rPr>
          <w:i/>
          <w:sz w:val="24"/>
        </w:rPr>
        <w:t>Journal of Healthcare Management, 67</w:t>
      </w:r>
      <w:r>
        <w:rPr>
          <w:sz w:val="24"/>
        </w:rPr>
        <w:t>(3), 210–220.</w:t>
      </w:r>
    </w:p>
    <w:p>
      <w:pPr>
        <w:pStyle w:val="BodyText"/>
        <w:spacing w:before="141"/>
      </w:pPr>
    </w:p>
    <w:p>
      <w:pPr>
        <w:spacing w:before="1"/>
        <w:ind w:left="1061" w:right="0" w:firstLine="0"/>
        <w:jc w:val="left"/>
        <w:rPr>
          <w:sz w:val="24"/>
        </w:rPr>
      </w:pPr>
      <w:r>
        <w:rPr>
          <w:sz w:val="24"/>
        </w:rPr>
        <w:t>Microsoft</w:t>
      </w:r>
      <w:r>
        <w:rPr>
          <w:spacing w:val="-1"/>
          <w:sz w:val="24"/>
        </w:rPr>
        <w:t> </w:t>
      </w:r>
      <w:r>
        <w:rPr>
          <w:sz w:val="24"/>
        </w:rPr>
        <w:t>Power</w:t>
      </w:r>
      <w:r>
        <w:rPr>
          <w:spacing w:val="-1"/>
          <w:sz w:val="24"/>
        </w:rPr>
        <w:t> </w:t>
      </w:r>
      <w:r>
        <w:rPr>
          <w:sz w:val="24"/>
        </w:rPr>
        <w:t>BI.</w:t>
      </w:r>
      <w:r>
        <w:rPr>
          <w:spacing w:val="-1"/>
          <w:sz w:val="24"/>
        </w:rPr>
        <w:t> </w:t>
      </w:r>
      <w:r>
        <w:rPr>
          <w:sz w:val="24"/>
        </w:rPr>
        <w:t>(2024). </w:t>
      </w:r>
      <w:r>
        <w:rPr>
          <w:i/>
          <w:sz w:val="24"/>
        </w:rPr>
        <w:t>Power</w:t>
      </w:r>
      <w:r>
        <w:rPr>
          <w:i/>
          <w:spacing w:val="-1"/>
          <w:sz w:val="24"/>
        </w:rPr>
        <w:t> </w:t>
      </w:r>
      <w:r>
        <w:rPr>
          <w:i/>
          <w:sz w:val="24"/>
        </w:rPr>
        <w:t>BI</w:t>
      </w:r>
      <w:r>
        <w:rPr>
          <w:i/>
          <w:spacing w:val="-1"/>
          <w:sz w:val="24"/>
        </w:rPr>
        <w:t> </w:t>
      </w:r>
      <w:r>
        <w:rPr>
          <w:i/>
          <w:sz w:val="24"/>
        </w:rPr>
        <w:t>documentation</w:t>
      </w:r>
      <w:r>
        <w:rPr>
          <w:sz w:val="24"/>
        </w:rPr>
        <w:t>. </w:t>
      </w:r>
      <w:hyperlink r:id="rId32">
        <w:r>
          <w:rPr>
            <w:color w:val="457886"/>
            <w:sz w:val="24"/>
            <w:u w:val="thick" w:color="457886"/>
          </w:rPr>
          <w:t>https://learn.microsoft.com/power-</w:t>
        </w:r>
        <w:r>
          <w:rPr>
            <w:color w:val="457886"/>
            <w:spacing w:val="-5"/>
            <w:sz w:val="24"/>
            <w:u w:val="thick" w:color="457886"/>
          </w:rPr>
          <w:t>bi</w:t>
        </w:r>
      </w:hyperlink>
    </w:p>
    <w:p>
      <w:pPr>
        <w:spacing w:before="269"/>
        <w:ind w:left="1061" w:right="954" w:firstLine="0"/>
        <w:jc w:val="left"/>
        <w:rPr>
          <w:sz w:val="24"/>
        </w:rPr>
      </w:pPr>
      <w:r>
        <w:rPr>
          <w:sz w:val="24"/>
        </w:rPr>
        <w:t>Nguyen,</w:t>
      </w:r>
      <w:r>
        <w:rPr>
          <w:spacing w:val="40"/>
          <w:sz w:val="24"/>
        </w:rPr>
        <w:t> </w:t>
      </w:r>
      <w:r>
        <w:rPr>
          <w:sz w:val="24"/>
        </w:rPr>
        <w:t>A.</w:t>
      </w:r>
      <w:r>
        <w:rPr>
          <w:spacing w:val="40"/>
          <w:sz w:val="24"/>
        </w:rPr>
        <w:t> </w:t>
      </w:r>
      <w:r>
        <w:rPr>
          <w:sz w:val="24"/>
        </w:rPr>
        <w:t>(2022).</w:t>
      </w:r>
      <w:r>
        <w:rPr>
          <w:spacing w:val="40"/>
          <w:sz w:val="24"/>
        </w:rPr>
        <w:t> </w:t>
      </w:r>
      <w:r>
        <w:rPr>
          <w:i/>
          <w:sz w:val="24"/>
        </w:rPr>
        <w:t>Hands-on</w:t>
      </w:r>
      <w:r>
        <w:rPr>
          <w:i/>
          <w:spacing w:val="40"/>
          <w:sz w:val="24"/>
        </w:rPr>
        <w:t> </w:t>
      </w:r>
      <w:r>
        <w:rPr>
          <w:i/>
          <w:sz w:val="24"/>
        </w:rPr>
        <w:t>Healthcare</w:t>
      </w:r>
      <w:r>
        <w:rPr>
          <w:i/>
          <w:spacing w:val="40"/>
          <w:sz w:val="24"/>
        </w:rPr>
        <w:t> </w:t>
      </w:r>
      <w:r>
        <w:rPr>
          <w:i/>
          <w:sz w:val="24"/>
        </w:rPr>
        <w:t>Data:</w:t>
      </w:r>
      <w:r>
        <w:rPr>
          <w:i/>
          <w:spacing w:val="40"/>
          <w:sz w:val="24"/>
        </w:rPr>
        <w:t> </w:t>
      </w:r>
      <w:r>
        <w:rPr>
          <w:i/>
          <w:sz w:val="24"/>
        </w:rPr>
        <w:t>Taming</w:t>
      </w:r>
      <w:r>
        <w:rPr>
          <w:i/>
          <w:spacing w:val="37"/>
          <w:sz w:val="24"/>
        </w:rPr>
        <w:t> </w:t>
      </w:r>
      <w:r>
        <w:rPr>
          <w:i/>
          <w:sz w:val="24"/>
        </w:rPr>
        <w:t>the</w:t>
      </w:r>
      <w:r>
        <w:rPr>
          <w:i/>
          <w:spacing w:val="37"/>
          <w:sz w:val="24"/>
        </w:rPr>
        <w:t> </w:t>
      </w:r>
      <w:r>
        <w:rPr>
          <w:i/>
          <w:sz w:val="24"/>
        </w:rPr>
        <w:t>Complexity</w:t>
      </w:r>
      <w:r>
        <w:rPr>
          <w:i/>
          <w:spacing w:val="37"/>
          <w:sz w:val="24"/>
        </w:rPr>
        <w:t> </w:t>
      </w:r>
      <w:r>
        <w:rPr>
          <w:i/>
          <w:sz w:val="24"/>
        </w:rPr>
        <w:t>of</w:t>
      </w:r>
      <w:r>
        <w:rPr>
          <w:i/>
          <w:spacing w:val="37"/>
          <w:sz w:val="24"/>
        </w:rPr>
        <w:t> </w:t>
      </w:r>
      <w:r>
        <w:rPr>
          <w:i/>
          <w:sz w:val="24"/>
        </w:rPr>
        <w:t>Real-World</w:t>
      </w:r>
      <w:r>
        <w:rPr>
          <w:i/>
          <w:spacing w:val="37"/>
          <w:sz w:val="24"/>
        </w:rPr>
        <w:t> </w:t>
      </w:r>
      <w:r>
        <w:rPr>
          <w:i/>
          <w:sz w:val="24"/>
        </w:rPr>
        <w:t>Data</w:t>
      </w:r>
      <w:r>
        <w:rPr>
          <w:sz w:val="24"/>
        </w:rPr>
        <w:t>. O’Reilly Media.</w:t>
      </w:r>
    </w:p>
    <w:p>
      <w:pPr>
        <w:spacing w:after="0"/>
        <w:jc w:val="left"/>
        <w:rPr>
          <w:sz w:val="24"/>
        </w:rPr>
        <w:sectPr>
          <w:pgSz w:w="12240" w:h="15840"/>
          <w:pgMar w:header="0" w:footer="747" w:top="960" w:bottom="960" w:left="720" w:right="0"/>
        </w:sectPr>
      </w:pPr>
    </w:p>
    <w:p>
      <w:pPr>
        <w:pStyle w:val="Heading3"/>
        <w:spacing w:line="249" w:lineRule="auto" w:before="61"/>
        <w:ind w:left="1605" w:hanging="563"/>
        <w:jc w:val="left"/>
      </w:pPr>
      <w:bookmarkStart w:name=" " w:id="18"/>
      <w:bookmarkEnd w:id="18"/>
      <w:r>
        <w:rPr>
          <w:b w:val="0"/>
        </w:rPr>
      </w:r>
      <w:bookmarkStart w:name="AI-Driven Crisis Communication for Vulne" w:id="19"/>
      <w:bookmarkEnd w:id="19"/>
      <w:r>
        <w:rPr>
          <w:b w:val="0"/>
        </w:rPr>
      </w:r>
      <w:r>
        <w:rPr/>
        <w:t>AI-Driven</w:t>
      </w:r>
      <w:r>
        <w:rPr>
          <w:spacing w:val="-12"/>
        </w:rPr>
        <w:t> </w:t>
      </w:r>
      <w:r>
        <w:rPr/>
        <w:t>Crisis</w:t>
      </w:r>
      <w:r>
        <w:rPr>
          <w:spacing w:val="-12"/>
        </w:rPr>
        <w:t> </w:t>
      </w:r>
      <w:r>
        <w:rPr/>
        <w:t>Communication</w:t>
      </w:r>
      <w:r>
        <w:rPr>
          <w:spacing w:val="-12"/>
        </w:rPr>
        <w:t> </w:t>
      </w:r>
      <w:r>
        <w:rPr/>
        <w:t>for</w:t>
      </w:r>
      <w:r>
        <w:rPr>
          <w:spacing w:val="-12"/>
        </w:rPr>
        <w:t> </w:t>
      </w:r>
      <w:r>
        <w:rPr/>
        <w:t>Vulnerable</w:t>
      </w:r>
      <w:r>
        <w:rPr>
          <w:spacing w:val="-12"/>
        </w:rPr>
        <w:t> </w:t>
      </w:r>
      <w:r>
        <w:rPr/>
        <w:t>Populations:</w:t>
      </w:r>
      <w:r>
        <w:rPr>
          <w:spacing w:val="-12"/>
        </w:rPr>
        <w:t> </w:t>
      </w:r>
      <w:r>
        <w:rPr/>
        <w:t>Automated </w:t>
      </w:r>
      <w:bookmarkStart w:name="h.bm33dnckh91d" w:id="20"/>
      <w:bookmarkEnd w:id="20"/>
      <w:r>
        <w:rPr/>
        <w:t>C</w:t>
      </w:r>
      <w:r>
        <w:rPr/>
        <w:t>lassification and Simplification of Weather Disaster Advisories</w:t>
      </w:r>
    </w:p>
    <w:p>
      <w:pPr>
        <w:pStyle w:val="BodyText"/>
        <w:spacing w:line="274" w:lineRule="exact"/>
        <w:ind w:left="3581"/>
      </w:pPr>
      <w:r>
        <w:rPr/>
        <w:t>Ameerat Bello and Ahmad Al </w:t>
      </w:r>
      <w:r>
        <w:rPr>
          <w:spacing w:val="-2"/>
        </w:rPr>
        <w:t>Doulat</w:t>
      </w:r>
    </w:p>
    <w:p>
      <w:pPr>
        <w:pStyle w:val="BodyText"/>
        <w:spacing w:before="275"/>
        <w:ind w:left="701" w:right="1277"/>
        <w:jc w:val="both"/>
      </w:pPr>
      <w:r>
        <w:rPr/>
        <w:t>Key</w:t>
      </w:r>
      <w:r>
        <w:rPr>
          <w:spacing w:val="-7"/>
        </w:rPr>
        <w:t> </w:t>
      </w:r>
      <w:r>
        <w:rPr/>
        <w:t>words:</w:t>
      </w:r>
      <w:r>
        <w:rPr>
          <w:spacing w:val="-7"/>
        </w:rPr>
        <w:t> </w:t>
      </w:r>
      <w:r>
        <w:rPr/>
        <w:t>Crisis</w:t>
      </w:r>
      <w:r>
        <w:rPr>
          <w:spacing w:val="-7"/>
        </w:rPr>
        <w:t> </w:t>
      </w:r>
      <w:r>
        <w:rPr/>
        <w:t>Communication,</w:t>
      </w:r>
      <w:r>
        <w:rPr>
          <w:spacing w:val="-7"/>
        </w:rPr>
        <w:t> </w:t>
      </w:r>
      <w:r>
        <w:rPr/>
        <w:t>Natural</w:t>
      </w:r>
      <w:r>
        <w:rPr>
          <w:spacing w:val="-7"/>
        </w:rPr>
        <w:t> </w:t>
      </w:r>
      <w:r>
        <w:rPr/>
        <w:t>Language</w:t>
      </w:r>
      <w:r>
        <w:rPr>
          <w:spacing w:val="-7"/>
        </w:rPr>
        <w:t> </w:t>
      </w:r>
      <w:r>
        <w:rPr/>
        <w:t>Processing,</w:t>
      </w:r>
      <w:r>
        <w:rPr>
          <w:spacing w:val="-7"/>
        </w:rPr>
        <w:t> </w:t>
      </w:r>
      <w:r>
        <w:rPr/>
        <w:t>Business</w:t>
      </w:r>
      <w:r>
        <w:rPr>
          <w:spacing w:val="-7"/>
        </w:rPr>
        <w:t> </w:t>
      </w:r>
      <w:r>
        <w:rPr/>
        <w:t>Continuity,</w:t>
      </w:r>
      <w:r>
        <w:rPr>
          <w:spacing w:val="-7"/>
        </w:rPr>
        <w:t> </w:t>
      </w:r>
      <w:r>
        <w:rPr/>
        <w:t>Emergency Management, Automated Alert Systems</w:t>
      </w:r>
    </w:p>
    <w:p>
      <w:pPr>
        <w:pStyle w:val="BodyText"/>
        <w:spacing w:line="230" w:lineRule="auto" w:before="265"/>
        <w:ind w:left="716" w:right="1374"/>
        <w:jc w:val="both"/>
      </w:pPr>
      <w:r>
        <w:rPr/>
        <w:t>Natural disasters threaten lives and disrupt communities, especially in rural areas where </w:t>
      </w:r>
      <w:r>
        <w:rPr/>
        <w:t>people rely on SMS or radio and have limited internet connectivity. This research tackles a major communication problem in natural disaster management: how do we reach vulnerable</w:t>
      </w:r>
      <w:r>
        <w:rPr>
          <w:spacing w:val="80"/>
        </w:rPr>
        <w:t> </w:t>
      </w:r>
      <w:r>
        <w:rPr/>
        <w:t>populations with urgent weather alerts? To address this, we built a machine learning system to automatically classify weather advisories into urgent versus routine categories and condense urgent warnings into short text messages suitable for SMS delivery.</w:t>
      </w:r>
    </w:p>
    <w:p>
      <w:pPr>
        <w:pStyle w:val="BodyText"/>
        <w:spacing w:line="230" w:lineRule="auto" w:before="164"/>
        <w:ind w:left="716" w:right="1376"/>
        <w:jc w:val="both"/>
      </w:pPr>
      <w:r>
        <w:rPr/>
        <w:t>We collected 200 weather advisories from the National</w:t>
      </w:r>
      <w:r>
        <w:rPr>
          <w:spacing w:val="-5"/>
        </w:rPr>
        <w:t> </w:t>
      </w:r>
      <w:r>
        <w:rPr/>
        <w:t>Weather</w:t>
      </w:r>
      <w:r>
        <w:rPr>
          <w:spacing w:val="-5"/>
        </w:rPr>
        <w:t> </w:t>
      </w:r>
      <w:r>
        <w:rPr/>
        <w:t>Service</w:t>
      </w:r>
      <w:r>
        <w:rPr>
          <w:spacing w:val="-5"/>
        </w:rPr>
        <w:t> </w:t>
      </w:r>
      <w:r>
        <w:rPr/>
        <w:t>API</w:t>
      </w:r>
      <w:r>
        <w:rPr>
          <w:spacing w:val="-5"/>
        </w:rPr>
        <w:t> </w:t>
      </w:r>
      <w:r>
        <w:rPr/>
        <w:t>and</w:t>
      </w:r>
      <w:r>
        <w:rPr>
          <w:spacing w:val="-5"/>
        </w:rPr>
        <w:t> </w:t>
      </w:r>
      <w:r>
        <w:rPr/>
        <w:t>compared</w:t>
      </w:r>
      <w:r>
        <w:rPr>
          <w:spacing w:val="-5"/>
        </w:rPr>
        <w:t> </w:t>
      </w:r>
      <w:r>
        <w:rPr/>
        <w:t>three machine learning methods: a simple baseline using TF-IDF and Logistic Regression, an </w:t>
      </w:r>
      <w:r>
        <w:rPr/>
        <w:t>LSTM neural network designed to understand word sequences, and a</w:t>
      </w:r>
      <w:r>
        <w:rPr>
          <w:spacing w:val="-3"/>
        </w:rPr>
        <w:t> </w:t>
      </w:r>
      <w:r>
        <w:rPr/>
        <w:t>more</w:t>
      </w:r>
      <w:r>
        <w:rPr>
          <w:spacing w:val="-3"/>
        </w:rPr>
        <w:t> </w:t>
      </w:r>
      <w:r>
        <w:rPr/>
        <w:t>advanced</w:t>
      </w:r>
      <w:r>
        <w:rPr>
          <w:spacing w:val="-3"/>
        </w:rPr>
        <w:t> </w:t>
      </w:r>
      <w:r>
        <w:rPr/>
        <w:t>transformer</w:t>
      </w:r>
      <w:r>
        <w:rPr>
          <w:spacing w:val="-3"/>
        </w:rPr>
        <w:t> </w:t>
      </w:r>
      <w:r>
        <w:rPr/>
        <w:t>model (MiniLM)</w:t>
      </w:r>
      <w:r>
        <w:rPr>
          <w:spacing w:val="40"/>
        </w:rPr>
        <w:t> </w:t>
      </w:r>
      <w:r>
        <w:rPr/>
        <w:t>combined with Logistic Regression. Only 19 out of 200 advisories (9.5%) were</w:t>
      </w:r>
      <w:r>
        <w:rPr>
          <w:spacing w:val="40"/>
        </w:rPr>
        <w:t> </w:t>
      </w:r>
      <w:r>
        <w:rPr/>
        <w:t>urgent, which reflects reality: most weather alerts are routine rather than life-threatening.</w:t>
      </w:r>
    </w:p>
    <w:p>
      <w:pPr>
        <w:pStyle w:val="BodyText"/>
        <w:spacing w:line="230" w:lineRule="auto" w:before="161"/>
        <w:ind w:left="716" w:right="1381" w:firstLine="15"/>
        <w:jc w:val="both"/>
      </w:pPr>
      <w:r>
        <w:rPr/>
        <w:t>The baseline Logistic Regression model achieved 100% recall on urgent advisories, </w:t>
      </w:r>
      <w:r>
        <w:rPr/>
        <w:t>correctly identifying all urgent warnings while maintaining 97.5% overall accuracy. The MiniLM model achieved 75% recall with 95% overall accuracy. The LSTM</w:t>
      </w:r>
      <w:r>
        <w:rPr>
          <w:spacing w:val="-4"/>
        </w:rPr>
        <w:t> </w:t>
      </w:r>
      <w:r>
        <w:rPr/>
        <w:t>model,</w:t>
      </w:r>
      <w:r>
        <w:rPr>
          <w:spacing w:val="-4"/>
        </w:rPr>
        <w:t> </w:t>
      </w:r>
      <w:r>
        <w:rPr/>
        <w:t>however,</w:t>
      </w:r>
      <w:r>
        <w:rPr>
          <w:spacing w:val="-4"/>
        </w:rPr>
        <w:t> </w:t>
      </w:r>
      <w:r>
        <w:rPr/>
        <w:t>failed</w:t>
      </w:r>
      <w:r>
        <w:rPr>
          <w:spacing w:val="-4"/>
        </w:rPr>
        <w:t> </w:t>
      </w:r>
      <w:r>
        <w:rPr/>
        <w:t>to</w:t>
      </w:r>
      <w:r>
        <w:rPr>
          <w:spacing w:val="-4"/>
        </w:rPr>
        <w:t> </w:t>
      </w:r>
      <w:r>
        <w:rPr/>
        <w:t>detect</w:t>
      </w:r>
      <w:r>
        <w:rPr>
          <w:spacing w:val="-4"/>
        </w:rPr>
        <w:t> </w:t>
      </w:r>
      <w:r>
        <w:rPr/>
        <w:t>any urgent advisories (0% recall). This revealed an important lesson: when data is limited, simpler models often outperform complex deep learning architectures. This matters because emergency data is inherently scarce: actual life-threatening events are rare, so</w:t>
      </w:r>
      <w:r>
        <w:rPr>
          <w:spacing w:val="-3"/>
        </w:rPr>
        <w:t> </w:t>
      </w:r>
      <w:r>
        <w:rPr/>
        <w:t>organizations</w:t>
      </w:r>
      <w:r>
        <w:rPr>
          <w:spacing w:val="-3"/>
        </w:rPr>
        <w:t> </w:t>
      </w:r>
      <w:r>
        <w:rPr/>
        <w:t>building</w:t>
      </w:r>
      <w:r>
        <w:rPr>
          <w:spacing w:val="-3"/>
        </w:rPr>
        <w:t> </w:t>
      </w:r>
      <w:r>
        <w:rPr/>
        <w:t>similar systems will likely face the same constraint.</w:t>
      </w:r>
    </w:p>
    <w:p>
      <w:pPr>
        <w:pStyle w:val="BodyText"/>
        <w:spacing w:line="230" w:lineRule="auto" w:before="163"/>
        <w:ind w:left="716" w:right="1375" w:firstLine="15"/>
        <w:jc w:val="both"/>
      </w:pPr>
      <w:r>
        <w:rPr/>
        <w:t>To address accessibility in low-bandwidth environments, we implemented</w:t>
      </w:r>
      <w:r>
        <w:rPr>
          <w:spacing w:val="40"/>
        </w:rPr>
        <w:t> </w:t>
      </w:r>
      <w:r>
        <w:rPr/>
        <w:t>abstractive summarization using</w:t>
      </w:r>
      <w:r>
        <w:rPr>
          <w:spacing w:val="-5"/>
        </w:rPr>
        <w:t> </w:t>
      </w:r>
      <w:r>
        <w:rPr/>
        <w:t>DistilBART</w:t>
      </w:r>
      <w:r>
        <w:rPr>
          <w:spacing w:val="-5"/>
        </w:rPr>
        <w:t> </w:t>
      </w:r>
      <w:r>
        <w:rPr/>
        <w:t>to</w:t>
      </w:r>
      <w:r>
        <w:rPr>
          <w:spacing w:val="-5"/>
        </w:rPr>
        <w:t> </w:t>
      </w:r>
      <w:r>
        <w:rPr/>
        <w:t>condense</w:t>
      </w:r>
      <w:r>
        <w:rPr>
          <w:spacing w:val="-5"/>
        </w:rPr>
        <w:t> </w:t>
      </w:r>
      <w:r>
        <w:rPr/>
        <w:t>lengthy</w:t>
      </w:r>
      <w:r>
        <w:rPr>
          <w:spacing w:val="-5"/>
        </w:rPr>
        <w:t> </w:t>
      </w:r>
      <w:r>
        <w:rPr/>
        <w:t>advisories</w:t>
      </w:r>
      <w:r>
        <w:rPr>
          <w:spacing w:val="-5"/>
        </w:rPr>
        <w:t> </w:t>
      </w:r>
      <w:r>
        <w:rPr/>
        <w:t>into</w:t>
      </w:r>
      <w:r>
        <w:rPr>
          <w:spacing w:val="-5"/>
        </w:rPr>
        <w:t> </w:t>
      </w:r>
      <w:r>
        <w:rPr/>
        <w:t>SMS-length</w:t>
      </w:r>
      <w:r>
        <w:rPr>
          <w:spacing w:val="40"/>
        </w:rPr>
        <w:t> </w:t>
      </w:r>
      <w:r>
        <w:rPr/>
        <w:t>messages.</w:t>
      </w:r>
      <w:r>
        <w:rPr>
          <w:spacing w:val="-5"/>
        </w:rPr>
        <w:t> </w:t>
      </w:r>
      <w:r>
        <w:rPr/>
        <w:t>The system extracts the most critical warning details (what the threat is, when it will</w:t>
      </w:r>
      <w:r>
        <w:rPr>
          <w:spacing w:val="80"/>
        </w:rPr>
        <w:t> </w:t>
      </w:r>
      <w:r>
        <w:rPr/>
        <w:t>happen, and what actions to take) while removing confusing technical jargon.</w:t>
      </w:r>
    </w:p>
    <w:p>
      <w:pPr>
        <w:pStyle w:val="BodyText"/>
        <w:spacing w:line="230" w:lineRule="auto" w:before="163"/>
        <w:ind w:left="716" w:right="1378" w:firstLine="15"/>
        <w:jc w:val="both"/>
      </w:pPr>
      <w:r>
        <w:rPr/>
        <w:t>Our work shows that automated disaster alert systems are feasible even with limited data. </w:t>
      </w:r>
      <w:r>
        <w:rPr/>
        <w:t>We prioritized detecting all urgent advisories (100% recall) over perfect overall accuracy because missing a life-threatening warning is far more dangerous than triggering an occasional false</w:t>
      </w:r>
      <w:r>
        <w:rPr>
          <w:spacing w:val="40"/>
        </w:rPr>
        <w:t> </w:t>
      </w:r>
      <w:r>
        <w:rPr/>
        <w:t>alarm.</w:t>
      </w:r>
      <w:r>
        <w:rPr>
          <w:spacing w:val="40"/>
        </w:rPr>
        <w:t> </w:t>
      </w:r>
      <w:r>
        <w:rPr/>
        <w:t>The system has immediate applications in corporate emergency management, supply</w:t>
      </w:r>
      <w:r>
        <w:rPr>
          <w:spacing w:val="40"/>
        </w:rPr>
        <w:t> </w:t>
      </w:r>
      <w:r>
        <w:rPr/>
        <w:t>chain risk monitoring, employee safety protocols, and business continuity planning for organizations serving rural populations.</w:t>
      </w:r>
    </w:p>
    <w:p>
      <w:pPr>
        <w:pStyle w:val="BodyText"/>
        <w:spacing w:line="230" w:lineRule="auto" w:before="163"/>
        <w:ind w:left="731" w:right="1377"/>
        <w:jc w:val="both"/>
      </w:pPr>
      <w:r>
        <w:rPr/>
        <w:t>This work suggests several promising directions for extending automated </w:t>
      </w:r>
      <w:r>
        <w:rPr/>
        <w:t>disaster</w:t>
      </w:r>
      <w:r>
        <w:rPr>
          <w:spacing w:val="80"/>
        </w:rPr>
        <w:t> </w:t>
      </w:r>
      <w:r>
        <w:rPr/>
        <w:t>communication systems, including larger-scale data collection, evaluation with target user</w:t>
      </w:r>
      <w:r>
        <w:rPr>
          <w:spacing w:val="40"/>
        </w:rPr>
        <w:t> </w:t>
      </w:r>
      <w:r>
        <w:rPr/>
        <w:t>groups, and integration studies with existing emergency notification platforms.</w:t>
      </w:r>
    </w:p>
    <w:p>
      <w:pPr>
        <w:pStyle w:val="BodyText"/>
        <w:spacing w:after="0" w:line="230" w:lineRule="auto"/>
        <w:jc w:val="both"/>
        <w:sectPr>
          <w:pgSz w:w="12240" w:h="15840"/>
          <w:pgMar w:header="0" w:footer="747" w:top="640" w:bottom="960" w:left="720" w:right="0"/>
        </w:sectPr>
      </w:pPr>
    </w:p>
    <w:p>
      <w:pPr>
        <w:pStyle w:val="Heading1"/>
        <w:tabs>
          <w:tab w:pos="5908" w:val="left" w:leader="none"/>
        </w:tabs>
        <w:spacing w:line="199" w:lineRule="auto" w:before="121"/>
        <w:ind w:left="817" w:right="2550" w:firstLine="775"/>
      </w:pPr>
      <w:bookmarkStart w:name="Cognitive Presence and Perception of Cre" w:id="21"/>
      <w:bookmarkEnd w:id="21"/>
      <w:r>
        <w:rPr>
          <w:b w:val="0"/>
        </w:rPr>
      </w:r>
      <w:bookmarkStart w:name="h.95tud9s3dsek" w:id="22"/>
      <w:bookmarkEnd w:id="22"/>
      <w:r>
        <w:rPr>
          <w:b w:val="0"/>
        </w:rPr>
      </w:r>
      <w:r>
        <w:rPr/>
        <w:t>Cognitive</w:t>
      </w:r>
      <w:r>
        <w:rPr>
          <w:spacing w:val="-10"/>
        </w:rPr>
        <w:t> </w:t>
      </w:r>
      <w:r>
        <w:rPr/>
        <w:t>Presence</w:t>
      </w:r>
      <w:r>
        <w:rPr>
          <w:spacing w:val="-10"/>
        </w:rPr>
        <w:t> </w:t>
      </w:r>
      <w:r>
        <w:rPr/>
        <w:t>and</w:t>
      </w:r>
      <w:r>
        <w:rPr>
          <w:spacing w:val="-10"/>
        </w:rPr>
        <w:t> </w:t>
      </w:r>
      <w:r>
        <w:rPr/>
        <w:t>Perception</w:t>
      </w:r>
      <w:r>
        <w:rPr>
          <w:spacing w:val="-10"/>
        </w:rPr>
        <w:t> </w:t>
      </w:r>
      <w:r>
        <w:rPr/>
        <w:t>of</w:t>
      </w:r>
      <w:r>
        <w:rPr>
          <w:spacing w:val="-10"/>
        </w:rPr>
        <w:t> </w:t>
      </w:r>
      <w:r>
        <w:rPr/>
        <w:t>Creativity:</w:t>
      </w:r>
      <w:r>
        <w:rPr>
          <w:spacing w:val="-10"/>
        </w:rPr>
        <w:t> </w:t>
      </w:r>
      <w:r>
        <w:rPr/>
        <w:t>How Mindfulness</w:t>
      </w:r>
      <w:r>
        <w:rPr>
          <w:spacing w:val="-11"/>
        </w:rPr>
        <w:t> </w:t>
      </w:r>
      <w:r>
        <w:rPr/>
        <w:t>Facilitates</w:t>
      </w:r>
      <w:r>
        <w:rPr>
          <w:spacing w:val="-11"/>
        </w:rPr>
        <w:t> </w:t>
      </w:r>
      <w:r>
        <w:rPr>
          <w:spacing w:val="-2"/>
        </w:rPr>
        <w:t>Advertising</w:t>
      </w:r>
      <w:r>
        <w:rPr/>
        <w:tab/>
        <w:t>Creativity</w:t>
      </w:r>
      <w:r>
        <w:rPr>
          <w:spacing w:val="-15"/>
        </w:rPr>
        <w:t> </w:t>
      </w:r>
      <w:r>
        <w:rPr>
          <w:spacing w:val="-2"/>
        </w:rPr>
        <w:t>Assessment</w:t>
      </w:r>
    </w:p>
    <w:p>
      <w:pPr>
        <w:pStyle w:val="BodyText"/>
        <w:spacing w:before="293"/>
        <w:ind w:right="719"/>
        <w:jc w:val="center"/>
      </w:pPr>
      <w:r>
        <w:rPr/>
        <w:t>Ilgım Dara </w:t>
      </w:r>
      <w:r>
        <w:rPr>
          <w:spacing w:val="-2"/>
        </w:rPr>
        <w:t>Benoit</w:t>
      </w:r>
    </w:p>
    <w:p>
      <w:pPr>
        <w:pStyle w:val="BodyText"/>
        <w:spacing w:line="360" w:lineRule="auto" w:before="138"/>
        <w:ind w:left="2627" w:right="3345"/>
        <w:jc w:val="center"/>
      </w:pPr>
      <w:r>
        <w:rPr/>
        <w:t>Department</w:t>
      </w:r>
      <w:r>
        <w:rPr>
          <w:spacing w:val="-7"/>
        </w:rPr>
        <w:t> </w:t>
      </w:r>
      <w:r>
        <w:rPr/>
        <w:t>of</w:t>
      </w:r>
      <w:r>
        <w:rPr>
          <w:spacing w:val="-7"/>
        </w:rPr>
        <w:t> </w:t>
      </w:r>
      <w:r>
        <w:rPr/>
        <w:t>Marketing</w:t>
      </w:r>
      <w:r>
        <w:rPr>
          <w:spacing w:val="-7"/>
        </w:rPr>
        <w:t> </w:t>
      </w:r>
      <w:r>
        <w:rPr/>
        <w:t>and</w:t>
      </w:r>
      <w:r>
        <w:rPr>
          <w:spacing w:val="-7"/>
        </w:rPr>
        <w:t> </w:t>
      </w:r>
      <w:r>
        <w:rPr/>
        <w:t>Supply</w:t>
      </w:r>
      <w:r>
        <w:rPr>
          <w:spacing w:val="-7"/>
        </w:rPr>
        <w:t> </w:t>
      </w:r>
      <w:r>
        <w:rPr/>
        <w:t>Chain</w:t>
      </w:r>
      <w:r>
        <w:rPr>
          <w:spacing w:val="-7"/>
        </w:rPr>
        <w:t> </w:t>
      </w:r>
      <w:r>
        <w:rPr/>
        <w:t>Management Walker College of Business</w:t>
      </w:r>
    </w:p>
    <w:p>
      <w:pPr>
        <w:pStyle w:val="BodyText"/>
        <w:spacing w:line="360" w:lineRule="auto"/>
        <w:ind w:left="3987" w:right="4705"/>
        <w:jc w:val="center"/>
      </w:pPr>
      <w:r>
        <w:rPr/>
        <w:t>Appalachian</w:t>
      </w:r>
      <w:r>
        <w:rPr>
          <w:spacing w:val="-15"/>
        </w:rPr>
        <w:t> </w:t>
      </w:r>
      <w:r>
        <w:rPr/>
        <w:t>State</w:t>
      </w:r>
      <w:r>
        <w:rPr>
          <w:spacing w:val="-15"/>
        </w:rPr>
        <w:t> </w:t>
      </w:r>
      <w:r>
        <w:rPr/>
        <w:t>University 416 Howard Street</w:t>
      </w:r>
    </w:p>
    <w:p>
      <w:pPr>
        <w:pStyle w:val="BodyText"/>
        <w:spacing w:line="360" w:lineRule="auto"/>
        <w:ind w:left="3886" w:right="4604"/>
        <w:jc w:val="center"/>
      </w:pPr>
      <w:r>
        <w:rPr/>
        <w:t>Boone, NC 28608 </w:t>
      </w:r>
      <w:hyperlink r:id="rId34">
        <w:r>
          <w:rPr>
            <w:spacing w:val="-2"/>
          </w:rPr>
          <w:t>benoitid@appstate.edu</w:t>
        </w:r>
      </w:hyperlink>
      <w:r>
        <w:rPr>
          <w:spacing w:val="-2"/>
        </w:rPr>
        <w:t> </w:t>
      </w:r>
      <w:r>
        <w:rPr/>
        <w:t>828.262.6193</w:t>
      </w:r>
      <w:r>
        <w:rPr>
          <w:spacing w:val="-15"/>
        </w:rPr>
        <w:t> </w:t>
      </w:r>
      <w:r>
        <w:rPr/>
        <w:t>(Contact</w:t>
      </w:r>
      <w:r>
        <w:rPr>
          <w:spacing w:val="-15"/>
        </w:rPr>
        <w:t> </w:t>
      </w:r>
      <w:r>
        <w:rPr/>
        <w:t>Author)</w:t>
      </w:r>
    </w:p>
    <w:p>
      <w:pPr>
        <w:pStyle w:val="BodyText"/>
        <w:spacing w:line="360" w:lineRule="auto" w:before="272"/>
        <w:ind w:left="4173" w:right="4891"/>
        <w:jc w:val="center"/>
      </w:pPr>
      <w:r>
        <w:rPr/>
        <w:t>Elika Kordrostami Department</w:t>
      </w:r>
      <w:r>
        <w:rPr>
          <w:spacing w:val="-15"/>
        </w:rPr>
        <w:t> </w:t>
      </w:r>
      <w:r>
        <w:rPr/>
        <w:t>of</w:t>
      </w:r>
      <w:r>
        <w:rPr>
          <w:spacing w:val="-15"/>
        </w:rPr>
        <w:t> </w:t>
      </w:r>
      <w:r>
        <w:rPr/>
        <w:t>Marketing</w:t>
      </w:r>
    </w:p>
    <w:p>
      <w:pPr>
        <w:pStyle w:val="BodyText"/>
        <w:spacing w:line="360" w:lineRule="auto"/>
        <w:ind w:left="3511" w:right="4229"/>
        <w:jc w:val="center"/>
      </w:pPr>
      <w:r>
        <w:rPr/>
        <w:t>William</w:t>
      </w:r>
      <w:r>
        <w:rPr>
          <w:spacing w:val="-10"/>
        </w:rPr>
        <w:t> </w:t>
      </w:r>
      <w:r>
        <w:rPr/>
        <w:t>G.</w:t>
      </w:r>
      <w:r>
        <w:rPr>
          <w:spacing w:val="-10"/>
        </w:rPr>
        <w:t> </w:t>
      </w:r>
      <w:r>
        <w:rPr/>
        <w:t>Rohrer</w:t>
      </w:r>
      <w:r>
        <w:rPr>
          <w:spacing w:val="-10"/>
        </w:rPr>
        <w:t> </w:t>
      </w:r>
      <w:r>
        <w:rPr/>
        <w:t>College</w:t>
      </w:r>
      <w:r>
        <w:rPr>
          <w:spacing w:val="-10"/>
        </w:rPr>
        <w:t> </w:t>
      </w:r>
      <w:r>
        <w:rPr/>
        <w:t>of</w:t>
      </w:r>
      <w:r>
        <w:rPr>
          <w:spacing w:val="-10"/>
        </w:rPr>
        <w:t> </w:t>
      </w:r>
      <w:r>
        <w:rPr/>
        <w:t>Business Rowan University</w:t>
      </w:r>
    </w:p>
    <w:p>
      <w:pPr>
        <w:pStyle w:val="BodyText"/>
        <w:spacing w:line="360" w:lineRule="auto"/>
        <w:ind w:left="3966" w:right="4684"/>
        <w:jc w:val="center"/>
      </w:pPr>
      <w:r>
        <w:rPr/>
        <w:t>Business Hall, Room 328</w:t>
      </w:r>
      <w:r>
        <w:rPr>
          <w:spacing w:val="40"/>
        </w:rPr>
        <w:t> </w:t>
      </w:r>
      <w:r>
        <w:rPr/>
        <w:t>201 Mullica Hill Road Glassboro,</w:t>
      </w:r>
      <w:r>
        <w:rPr>
          <w:spacing w:val="-13"/>
        </w:rPr>
        <w:t> </w:t>
      </w:r>
      <w:r>
        <w:rPr/>
        <w:t>New</w:t>
      </w:r>
      <w:r>
        <w:rPr>
          <w:spacing w:val="-13"/>
        </w:rPr>
        <w:t> </w:t>
      </w:r>
      <w:r>
        <w:rPr/>
        <w:t>Jersey</w:t>
      </w:r>
      <w:r>
        <w:rPr>
          <w:spacing w:val="-13"/>
        </w:rPr>
        <w:t> </w:t>
      </w:r>
      <w:r>
        <w:rPr/>
        <w:t>08028 </w:t>
      </w:r>
      <w:hyperlink r:id="rId35">
        <w:r>
          <w:rPr>
            <w:spacing w:val="-2"/>
          </w:rPr>
          <w:t>kordrostami@rowan.edu</w:t>
        </w:r>
      </w:hyperlink>
      <w:r>
        <w:rPr>
          <w:spacing w:val="-2"/>
        </w:rPr>
        <w:t> 856.256.5566</w:t>
      </w:r>
    </w:p>
    <w:p>
      <w:pPr>
        <w:pStyle w:val="BodyText"/>
        <w:spacing w:line="360" w:lineRule="auto" w:before="271"/>
        <w:ind w:left="3863" w:right="4581"/>
        <w:jc w:val="center"/>
      </w:pPr>
      <w:r>
        <w:rPr/>
        <w:t>Ceren Ekebas-Turedi Department of Marketing Purdue</w:t>
      </w:r>
      <w:r>
        <w:rPr>
          <w:spacing w:val="-13"/>
        </w:rPr>
        <w:t> </w:t>
      </w:r>
      <w:r>
        <w:rPr/>
        <w:t>University</w:t>
      </w:r>
      <w:r>
        <w:rPr>
          <w:spacing w:val="-13"/>
        </w:rPr>
        <w:t> </w:t>
      </w:r>
      <w:r>
        <w:rPr/>
        <w:t>of</w:t>
      </w:r>
      <w:r>
        <w:rPr>
          <w:spacing w:val="-13"/>
        </w:rPr>
        <w:t> </w:t>
      </w:r>
      <w:r>
        <w:rPr/>
        <w:t>Northwest Anderson Building 374</w:t>
      </w:r>
    </w:p>
    <w:p>
      <w:pPr>
        <w:pStyle w:val="BodyText"/>
        <w:ind w:right="719"/>
        <w:jc w:val="center"/>
      </w:pPr>
      <w:r>
        <w:rPr/>
        <w:t>2200 169th </w:t>
      </w:r>
      <w:r>
        <w:rPr>
          <w:spacing w:val="-2"/>
        </w:rPr>
        <w:t>Street</w:t>
      </w:r>
    </w:p>
    <w:p>
      <w:pPr>
        <w:pStyle w:val="BodyText"/>
        <w:spacing w:line="360" w:lineRule="auto" w:before="138"/>
        <w:ind w:left="4126" w:right="4844"/>
        <w:jc w:val="center"/>
      </w:pPr>
      <w:r>
        <w:rPr/>
        <w:t>Hammond,</w:t>
      </w:r>
      <w:r>
        <w:rPr>
          <w:spacing w:val="-15"/>
        </w:rPr>
        <w:t> </w:t>
      </w:r>
      <w:r>
        <w:rPr/>
        <w:t>IN</w:t>
      </w:r>
      <w:r>
        <w:rPr>
          <w:spacing w:val="-15"/>
        </w:rPr>
        <w:t> </w:t>
      </w:r>
      <w:r>
        <w:rPr/>
        <w:t>46323 </w:t>
      </w:r>
      <w:hyperlink r:id="rId36">
        <w:r>
          <w:rPr>
            <w:spacing w:val="-2"/>
          </w:rPr>
          <w:t>cturedi@pnw.edu</w:t>
        </w:r>
      </w:hyperlink>
      <w:r>
        <w:rPr>
          <w:spacing w:val="-2"/>
        </w:rPr>
        <w:t> 219.785.5496</w:t>
      </w:r>
    </w:p>
    <w:p>
      <w:pPr>
        <w:pStyle w:val="BodyText"/>
      </w:pPr>
    </w:p>
    <w:p>
      <w:pPr>
        <w:pStyle w:val="BodyText"/>
      </w:pPr>
    </w:p>
    <w:p>
      <w:pPr>
        <w:pStyle w:val="BodyText"/>
      </w:pPr>
    </w:p>
    <w:p>
      <w:pPr>
        <w:pStyle w:val="BodyText"/>
        <w:spacing w:before="138"/>
      </w:pPr>
    </w:p>
    <w:p>
      <w:pPr>
        <w:pStyle w:val="BodyText"/>
        <w:ind w:left="720" w:right="1191"/>
      </w:pPr>
      <w:r>
        <w:rPr/>
        <w:t>Key</w:t>
      </w:r>
      <w:r>
        <w:rPr>
          <w:spacing w:val="-7"/>
        </w:rPr>
        <w:t> </w:t>
      </w:r>
      <w:r>
        <w:rPr/>
        <w:t>words:</w:t>
      </w:r>
      <w:r>
        <w:rPr>
          <w:spacing w:val="-7"/>
        </w:rPr>
        <w:t> </w:t>
      </w:r>
      <w:r>
        <w:rPr/>
        <w:t>Mindfulness,</w:t>
      </w:r>
      <w:r>
        <w:rPr>
          <w:spacing w:val="-7"/>
        </w:rPr>
        <w:t> </w:t>
      </w:r>
      <w:r>
        <w:rPr/>
        <w:t>Advertising</w:t>
      </w:r>
      <w:r>
        <w:rPr>
          <w:spacing w:val="-7"/>
        </w:rPr>
        <w:t> </w:t>
      </w:r>
      <w:r>
        <w:rPr/>
        <w:t>Creativity,</w:t>
      </w:r>
      <w:r>
        <w:rPr>
          <w:spacing w:val="-7"/>
        </w:rPr>
        <w:t> </w:t>
      </w:r>
      <w:r>
        <w:rPr/>
        <w:t>Consumer</w:t>
      </w:r>
      <w:r>
        <w:rPr>
          <w:spacing w:val="-7"/>
        </w:rPr>
        <w:t> </w:t>
      </w:r>
      <w:r>
        <w:rPr/>
        <w:t>Perception,</w:t>
      </w:r>
      <w:r>
        <w:rPr>
          <w:spacing w:val="-7"/>
        </w:rPr>
        <w:t> </w:t>
      </w:r>
      <w:r>
        <w:rPr/>
        <w:t>Attention,</w:t>
      </w:r>
      <w:r>
        <w:rPr>
          <w:spacing w:val="-7"/>
        </w:rPr>
        <w:t> </w:t>
      </w:r>
      <w:r>
        <w:rPr/>
        <w:t>Purchase </w:t>
      </w:r>
      <w:r>
        <w:rPr>
          <w:spacing w:val="-2"/>
        </w:rPr>
        <w:t>Intention</w:t>
      </w:r>
    </w:p>
    <w:p>
      <w:pPr>
        <w:pStyle w:val="BodyText"/>
        <w:spacing w:after="0"/>
        <w:sectPr>
          <w:footerReference w:type="default" r:id="rId33"/>
          <w:pgSz w:w="12240" w:h="15840"/>
          <w:pgMar w:header="0" w:footer="776" w:top="580" w:bottom="960" w:left="720" w:right="0"/>
        </w:sectPr>
      </w:pPr>
    </w:p>
    <w:p>
      <w:pPr>
        <w:pStyle w:val="Heading4"/>
        <w:spacing w:before="61"/>
        <w:ind w:left="716"/>
      </w:pPr>
      <w:bookmarkStart w:name=" " w:id="23"/>
      <w:bookmarkEnd w:id="23"/>
      <w:r>
        <w:rPr>
          <w:b w:val="0"/>
        </w:rPr>
      </w:r>
      <w:bookmarkStart w:name=" " w:id="24"/>
      <w:bookmarkEnd w:id="24"/>
      <w:r>
        <w:rPr>
          <w:b w:val="0"/>
        </w:rPr>
      </w:r>
      <w:bookmarkStart w:name=" " w:id="25"/>
      <w:bookmarkEnd w:id="25"/>
      <w:r>
        <w:rPr>
          <w:b w:val="0"/>
        </w:rPr>
      </w:r>
      <w:bookmarkStart w:name=" " w:id="26"/>
      <w:bookmarkEnd w:id="26"/>
      <w:r>
        <w:rPr>
          <w:b w:val="0"/>
        </w:rPr>
      </w:r>
      <w:bookmarkStart w:name=" " w:id="27"/>
      <w:bookmarkEnd w:id="27"/>
      <w:r>
        <w:rPr>
          <w:b w:val="0"/>
        </w:rPr>
      </w:r>
      <w:bookmarkStart w:name=" " w:id="28"/>
      <w:bookmarkEnd w:id="28"/>
      <w:r>
        <w:rPr>
          <w:b w:val="0"/>
        </w:rPr>
      </w:r>
      <w:bookmarkStart w:name=" " w:id="29"/>
      <w:bookmarkEnd w:id="29"/>
      <w:r>
        <w:rPr>
          <w:b w:val="0"/>
        </w:rPr>
      </w:r>
      <w:bookmarkStart w:name=" " w:id="30"/>
      <w:bookmarkEnd w:id="30"/>
      <w:r>
        <w:rPr>
          <w:b w:val="0"/>
        </w:rPr>
      </w:r>
      <w:bookmarkStart w:name=" " w:id="31"/>
      <w:bookmarkEnd w:id="31"/>
      <w:r>
        <w:rPr>
          <w:b w:val="0"/>
        </w:rPr>
      </w:r>
      <w:r>
        <w:rPr>
          <w:spacing w:val="-2"/>
        </w:rPr>
        <w:t>Abstract</w:t>
      </w:r>
    </w:p>
    <w:p>
      <w:pPr>
        <w:pStyle w:val="BodyText"/>
        <w:spacing w:before="275"/>
        <w:ind w:left="716" w:right="1375"/>
        <w:jc w:val="both"/>
      </w:pPr>
      <w:r>
        <w:rPr/>
        <w:t>While advertising creativity is a fundamental driver of campaign effectiveness, the high cost </w:t>
      </w:r>
      <w:r>
        <w:rPr/>
        <w:t>of production is often complicated by the inherently subjective nature of creativity assessments. Consequently, identifying the external factors that govern these evaluations is of paramount importance for marketing theory and practice. Across three experimental studies, this research demonstrates that mindfulness significantly enhances the perception of creativity in advertisements. This effect remains robust across various operationalizations of mindfulness (dispositional vs. situational), diverse product categories (beverages vs. home furnishings), and distinct</w:t>
      </w:r>
      <w:r>
        <w:rPr>
          <w:spacing w:val="40"/>
        </w:rPr>
        <w:t> </w:t>
      </w:r>
      <w:r>
        <w:rPr/>
        <w:t>consumer</w:t>
      </w:r>
      <w:r>
        <w:rPr>
          <w:spacing w:val="40"/>
        </w:rPr>
        <w:t> </w:t>
      </w:r>
      <w:r>
        <w:rPr/>
        <w:t>samples</w:t>
      </w:r>
      <w:r>
        <w:rPr>
          <w:spacing w:val="40"/>
        </w:rPr>
        <w:t> </w:t>
      </w:r>
      <w:r>
        <w:rPr/>
        <w:t>(students vs. online panels). Furthermore, Studies 2 and 3 establish that</w:t>
      </w:r>
      <w:r>
        <w:rPr>
          <w:spacing w:val="40"/>
        </w:rPr>
        <w:t> </w:t>
      </w:r>
      <w:r>
        <w:rPr/>
        <w:t>this heightened perception of creativity generates positive spillover effects on managerially critical</w:t>
      </w:r>
      <w:r>
        <w:rPr>
          <w:spacing w:val="40"/>
        </w:rPr>
        <w:t> </w:t>
      </w:r>
      <w:r>
        <w:rPr/>
        <w:t>outcomes, specifically attitude toward the advertisement and purchase intention.</w:t>
      </w:r>
    </w:p>
    <w:p>
      <w:pPr>
        <w:pStyle w:val="BodyText"/>
        <w:spacing w:line="266" w:lineRule="auto" w:before="174"/>
        <w:ind w:left="716" w:right="1376" w:firstLine="15"/>
        <w:jc w:val="both"/>
      </w:pPr>
      <w:r>
        <w:rPr/>
        <w:t>This research posits</w:t>
      </w:r>
      <w:r>
        <w:rPr>
          <w:spacing w:val="-4"/>
        </w:rPr>
        <w:t> </w:t>
      </w:r>
      <w:r>
        <w:rPr/>
        <w:t>that</w:t>
      </w:r>
      <w:r>
        <w:rPr>
          <w:spacing w:val="-4"/>
        </w:rPr>
        <w:t> </w:t>
      </w:r>
      <w:r>
        <w:rPr/>
        <w:t>mindfulness</w:t>
      </w:r>
      <w:r>
        <w:rPr>
          <w:spacing w:val="-4"/>
        </w:rPr>
        <w:t> </w:t>
      </w:r>
      <w:r>
        <w:rPr/>
        <w:t>facilitates</w:t>
      </w:r>
      <w:r>
        <w:rPr>
          <w:spacing w:val="-4"/>
        </w:rPr>
        <w:t> </w:t>
      </w:r>
      <w:r>
        <w:rPr/>
        <w:t>higher</w:t>
      </w:r>
      <w:r>
        <w:rPr>
          <w:spacing w:val="-4"/>
        </w:rPr>
        <w:t> </w:t>
      </w:r>
      <w:r>
        <w:rPr/>
        <w:t>creativity</w:t>
      </w:r>
      <w:r>
        <w:rPr>
          <w:spacing w:val="-4"/>
        </w:rPr>
        <w:t> </w:t>
      </w:r>
      <w:r>
        <w:rPr/>
        <w:t>assessments</w:t>
      </w:r>
      <w:r>
        <w:rPr>
          <w:spacing w:val="-4"/>
        </w:rPr>
        <w:t> </w:t>
      </w:r>
      <w:r>
        <w:rPr/>
        <w:t>by</w:t>
      </w:r>
      <w:r>
        <w:rPr>
          <w:spacing w:val="-4"/>
        </w:rPr>
        <w:t> </w:t>
      </w:r>
      <w:r>
        <w:rPr/>
        <w:t>fostering</w:t>
      </w:r>
      <w:r>
        <w:rPr>
          <w:spacing w:val="-4"/>
        </w:rPr>
        <w:t> </w:t>
      </w:r>
      <w:r>
        <w:rPr/>
        <w:t>present moment awareness, focused attention, and experiential curiosity. By</w:t>
      </w:r>
      <w:r>
        <w:rPr>
          <w:spacing w:val="-4"/>
        </w:rPr>
        <w:t> </w:t>
      </w:r>
      <w:r>
        <w:rPr/>
        <w:t>identifying</w:t>
      </w:r>
      <w:r>
        <w:rPr>
          <w:spacing w:val="-4"/>
        </w:rPr>
        <w:t> </w:t>
      </w:r>
      <w:r>
        <w:rPr/>
        <w:t>mindfulness</w:t>
      </w:r>
      <w:r>
        <w:rPr>
          <w:spacing w:val="-4"/>
        </w:rPr>
        <w:t> </w:t>
      </w:r>
      <w:r>
        <w:rPr/>
        <w:t>as</w:t>
      </w:r>
      <w:r>
        <w:rPr>
          <w:spacing w:val="-4"/>
        </w:rPr>
        <w:t> </w:t>
      </w:r>
      <w:r>
        <w:rPr/>
        <w:t>a primary individual difference that shapes the malleability of creativity judgments, this work contributes to both the creativity and mindfulness literatures. The findings offer actionable insights</w:t>
      </w:r>
      <w:r>
        <w:rPr>
          <w:spacing w:val="40"/>
        </w:rPr>
        <w:t> </w:t>
      </w:r>
      <w:r>
        <w:rPr/>
        <w:t>for practitioners, suggesting that marketers can employ mindfulness as</w:t>
      </w:r>
      <w:r>
        <w:rPr>
          <w:spacing w:val="-3"/>
        </w:rPr>
        <w:t> </w:t>
      </w:r>
      <w:r>
        <w:rPr/>
        <w:t>a</w:t>
      </w:r>
      <w:r>
        <w:rPr>
          <w:spacing w:val="-3"/>
        </w:rPr>
        <w:t> </w:t>
      </w:r>
      <w:r>
        <w:rPr/>
        <w:t>psychographic segmentation variable to target mindful consumers. Additionally, these results</w:t>
      </w:r>
      <w:r>
        <w:rPr>
          <w:spacing w:val="-5"/>
        </w:rPr>
        <w:t> </w:t>
      </w:r>
      <w:r>
        <w:rPr/>
        <w:t>suggest</w:t>
      </w:r>
      <w:r>
        <w:rPr>
          <w:spacing w:val="-5"/>
        </w:rPr>
        <w:t> </w:t>
      </w:r>
      <w:r>
        <w:rPr/>
        <w:t>a</w:t>
      </w:r>
      <w:r>
        <w:rPr>
          <w:spacing w:val="-5"/>
        </w:rPr>
        <w:t> </w:t>
      </w:r>
      <w:r>
        <w:rPr/>
        <w:t>strategic advantage in placing creative campaigns within</w:t>
      </w:r>
      <w:r>
        <w:rPr>
          <w:spacing w:val="-3"/>
        </w:rPr>
        <w:t> </w:t>
      </w:r>
      <w:r>
        <w:rPr/>
        <w:t>environments</w:t>
      </w:r>
      <w:r>
        <w:rPr>
          <w:spacing w:val="-3"/>
        </w:rPr>
        <w:t> </w:t>
      </w:r>
      <w:r>
        <w:rPr/>
        <w:t>that</w:t>
      </w:r>
      <w:r>
        <w:rPr>
          <w:spacing w:val="-3"/>
        </w:rPr>
        <w:t> </w:t>
      </w:r>
      <w:r>
        <w:rPr/>
        <w:t>naturally</w:t>
      </w:r>
      <w:r>
        <w:rPr>
          <w:spacing w:val="-3"/>
        </w:rPr>
        <w:t> </w:t>
      </w:r>
      <w:r>
        <w:rPr/>
        <w:t>foster</w:t>
      </w:r>
      <w:r>
        <w:rPr>
          <w:spacing w:val="-3"/>
        </w:rPr>
        <w:t> </w:t>
      </w:r>
      <w:r>
        <w:rPr/>
        <w:t>or</w:t>
      </w:r>
      <w:r>
        <w:rPr>
          <w:spacing w:val="-3"/>
        </w:rPr>
        <w:t> </w:t>
      </w:r>
      <w:r>
        <w:rPr/>
        <w:t>encourage</w:t>
      </w:r>
      <w:r>
        <w:rPr>
          <w:spacing w:val="-3"/>
        </w:rPr>
        <w:t> </w:t>
      </w:r>
      <w:r>
        <w:rPr/>
        <w:t>a mindful state, such as wellness centers, meditation spaces, or leisure resorts.</w:t>
      </w:r>
    </w:p>
    <w:p>
      <w:pPr>
        <w:pStyle w:val="BodyText"/>
        <w:spacing w:after="0" w:line="266" w:lineRule="auto"/>
        <w:jc w:val="both"/>
        <w:sectPr>
          <w:footerReference w:type="default" r:id="rId37"/>
          <w:pgSz w:w="12240" w:h="15840"/>
          <w:pgMar w:header="0" w:footer="721" w:top="640" w:bottom="920" w:left="720" w:right="0"/>
          <w:pgNumType w:start="24"/>
        </w:sectPr>
      </w:pPr>
    </w:p>
    <w:p>
      <w:pPr>
        <w:pStyle w:val="Heading3"/>
        <w:spacing w:before="61"/>
        <w:ind w:left="1691" w:right="0"/>
        <w:jc w:val="left"/>
      </w:pPr>
      <w:bookmarkStart w:name="AI Literacy for Faculty: Course Developm" w:id="32"/>
      <w:bookmarkEnd w:id="32"/>
      <w:r>
        <w:rPr>
          <w:b w:val="0"/>
        </w:rPr>
      </w:r>
      <w:bookmarkStart w:name="h.cgvaxqitzp1s" w:id="33"/>
      <w:bookmarkEnd w:id="33"/>
      <w:r>
        <w:rPr>
          <w:b w:val="0"/>
        </w:rPr>
      </w:r>
      <w:r>
        <w:rPr/>
        <w:t>AI</w:t>
      </w:r>
      <w:r>
        <w:rPr>
          <w:spacing w:val="-8"/>
        </w:rPr>
        <w:t> </w:t>
      </w:r>
      <w:r>
        <w:rPr/>
        <w:t>Literacy</w:t>
      </w:r>
      <w:r>
        <w:rPr>
          <w:spacing w:val="-6"/>
        </w:rPr>
        <w:t> </w:t>
      </w:r>
      <w:r>
        <w:rPr/>
        <w:t>for</w:t>
      </w:r>
      <w:r>
        <w:rPr>
          <w:spacing w:val="-6"/>
        </w:rPr>
        <w:t> </w:t>
      </w:r>
      <w:r>
        <w:rPr/>
        <w:t>Faculty:</w:t>
      </w:r>
      <w:r>
        <w:rPr>
          <w:spacing w:val="-6"/>
        </w:rPr>
        <w:t> </w:t>
      </w:r>
      <w:r>
        <w:rPr/>
        <w:t>Course</w:t>
      </w:r>
      <w:r>
        <w:rPr>
          <w:spacing w:val="-6"/>
        </w:rPr>
        <w:t> </w:t>
      </w:r>
      <w:r>
        <w:rPr/>
        <w:t>Development</w:t>
      </w:r>
      <w:r>
        <w:rPr>
          <w:spacing w:val="-6"/>
        </w:rPr>
        <w:t> </w:t>
      </w:r>
      <w:r>
        <w:rPr/>
        <w:t>and</w:t>
      </w:r>
      <w:r>
        <w:rPr>
          <w:spacing w:val="-5"/>
        </w:rPr>
        <w:t> </w:t>
      </w:r>
      <w:r>
        <w:rPr>
          <w:spacing w:val="-2"/>
        </w:rPr>
        <w:t>Delivery</w:t>
      </w:r>
    </w:p>
    <w:p>
      <w:pPr>
        <w:pStyle w:val="BodyText"/>
        <w:spacing w:before="311"/>
        <w:ind w:left="4301"/>
      </w:pPr>
      <w:r>
        <w:rPr/>
        <w:t>Bradbury,</w:t>
      </w:r>
      <w:r>
        <w:rPr>
          <w:spacing w:val="-8"/>
        </w:rPr>
        <w:t> </w:t>
      </w:r>
      <w:r>
        <w:rPr/>
        <w:t>Dan</w:t>
      </w:r>
      <w:r>
        <w:rPr>
          <w:spacing w:val="-8"/>
        </w:rPr>
        <w:t> </w:t>
      </w:r>
      <w:r>
        <w:rPr>
          <w:spacing w:val="-5"/>
        </w:rPr>
        <w:t>R.</w:t>
      </w:r>
    </w:p>
    <w:p>
      <w:pPr>
        <w:pStyle w:val="BodyText"/>
        <w:ind w:left="3566" w:right="2550" w:hanging="1425"/>
      </w:pPr>
      <w:r>
        <w:rPr/>
        <w:t>School</w:t>
      </w:r>
      <w:r>
        <w:rPr>
          <w:spacing w:val="-7"/>
        </w:rPr>
        <w:t> </w:t>
      </w:r>
      <w:r>
        <w:rPr/>
        <w:t>of</w:t>
      </w:r>
      <w:r>
        <w:rPr>
          <w:spacing w:val="-7"/>
        </w:rPr>
        <w:t> </w:t>
      </w:r>
      <w:r>
        <w:rPr/>
        <w:t>Marketing,</w:t>
      </w:r>
      <w:r>
        <w:rPr>
          <w:spacing w:val="-7"/>
        </w:rPr>
        <w:t> </w:t>
      </w:r>
      <w:r>
        <w:rPr/>
        <w:t>Entrepreneurship,</w:t>
      </w:r>
      <w:r>
        <w:rPr>
          <w:spacing w:val="-7"/>
        </w:rPr>
        <w:t> </w:t>
      </w:r>
      <w:r>
        <w:rPr/>
        <w:t>Sport</w:t>
      </w:r>
      <w:r>
        <w:rPr>
          <w:spacing w:val="-7"/>
        </w:rPr>
        <w:t> </w:t>
      </w:r>
      <w:r>
        <w:rPr/>
        <w:t>Management,</w:t>
      </w:r>
      <w:r>
        <w:rPr>
          <w:spacing w:val="-7"/>
        </w:rPr>
        <w:t> </w:t>
      </w:r>
      <w:r>
        <w:rPr/>
        <w:t>and Hospitality and Tourism Management</w:t>
      </w:r>
    </w:p>
    <w:p>
      <w:pPr>
        <w:pStyle w:val="BodyText"/>
        <w:ind w:left="3997" w:right="4742"/>
        <w:jc w:val="center"/>
      </w:pPr>
      <w:r>
        <w:rPr/>
        <w:t>Western</w:t>
      </w:r>
      <w:r>
        <w:rPr>
          <w:spacing w:val="-15"/>
        </w:rPr>
        <w:t> </w:t>
      </w:r>
      <w:r>
        <w:rPr/>
        <w:t>Carolina</w:t>
      </w:r>
      <w:r>
        <w:rPr>
          <w:spacing w:val="-15"/>
        </w:rPr>
        <w:t> </w:t>
      </w:r>
      <w:r>
        <w:rPr/>
        <w:t>University 7 Killian Building Lane Cullowhee, NC 28723 </w:t>
      </w:r>
      <w:hyperlink r:id="rId38">
        <w:r>
          <w:rPr>
            <w:spacing w:val="-2"/>
          </w:rPr>
          <w:t>dbradbury@wcu.edu</w:t>
        </w:r>
      </w:hyperlink>
    </w:p>
    <w:p>
      <w:pPr>
        <w:pStyle w:val="BodyText"/>
        <w:ind w:right="638"/>
        <w:jc w:val="center"/>
      </w:pPr>
      <w:r>
        <w:rPr/>
        <w:t>828.227.3713 (Contact </w:t>
      </w:r>
      <w:r>
        <w:rPr>
          <w:spacing w:val="-2"/>
        </w:rPr>
        <w:t>Author)</w:t>
      </w:r>
    </w:p>
    <w:p>
      <w:pPr>
        <w:pStyle w:val="BodyText"/>
        <w:spacing w:before="272"/>
        <w:ind w:right="785"/>
        <w:jc w:val="center"/>
      </w:pPr>
      <w:r>
        <w:rPr/>
        <w:t>White, Barbara </w:t>
      </w:r>
      <w:r>
        <w:rPr>
          <w:spacing w:val="-5"/>
        </w:rPr>
        <w:t>J.</w:t>
      </w:r>
    </w:p>
    <w:p>
      <w:pPr>
        <w:pStyle w:val="BodyText"/>
        <w:ind w:left="1901" w:right="2637"/>
        <w:jc w:val="center"/>
      </w:pPr>
      <w:r>
        <w:rPr/>
        <w:t>School</w:t>
      </w:r>
      <w:r>
        <w:rPr>
          <w:spacing w:val="-5"/>
        </w:rPr>
        <w:t> </w:t>
      </w:r>
      <w:r>
        <w:rPr/>
        <w:t>of</w:t>
      </w:r>
      <w:r>
        <w:rPr>
          <w:spacing w:val="-5"/>
        </w:rPr>
        <w:t> </w:t>
      </w:r>
      <w:r>
        <w:rPr/>
        <w:t>Accounting,</w:t>
      </w:r>
      <w:r>
        <w:rPr>
          <w:spacing w:val="-5"/>
        </w:rPr>
        <w:t> </w:t>
      </w:r>
      <w:r>
        <w:rPr/>
        <w:t>Finance,</w:t>
      </w:r>
      <w:r>
        <w:rPr>
          <w:spacing w:val="-5"/>
        </w:rPr>
        <w:t> </w:t>
      </w:r>
      <w:r>
        <w:rPr/>
        <w:t>Information</w:t>
      </w:r>
      <w:r>
        <w:rPr>
          <w:spacing w:val="-5"/>
        </w:rPr>
        <w:t> </w:t>
      </w:r>
      <w:r>
        <w:rPr/>
        <w:t>Systems,</w:t>
      </w:r>
      <w:r>
        <w:rPr>
          <w:spacing w:val="-5"/>
        </w:rPr>
        <w:t> </w:t>
      </w:r>
      <w:r>
        <w:rPr/>
        <w:t>and</w:t>
      </w:r>
      <w:r>
        <w:rPr>
          <w:spacing w:val="-5"/>
        </w:rPr>
        <w:t> </w:t>
      </w:r>
      <w:r>
        <w:rPr/>
        <w:t>Business</w:t>
      </w:r>
      <w:r>
        <w:rPr>
          <w:spacing w:val="-5"/>
        </w:rPr>
        <w:t> </w:t>
      </w:r>
      <w:r>
        <w:rPr/>
        <w:t>Law College of Business</w:t>
      </w:r>
    </w:p>
    <w:p>
      <w:pPr>
        <w:pStyle w:val="BodyText"/>
        <w:ind w:left="4001" w:right="4776"/>
        <w:jc w:val="center"/>
      </w:pPr>
      <w:r>
        <w:rPr/>
        <w:t>Western</w:t>
      </w:r>
      <w:r>
        <w:rPr>
          <w:spacing w:val="-15"/>
        </w:rPr>
        <w:t> </w:t>
      </w:r>
      <w:r>
        <w:rPr/>
        <w:t>Carolina</w:t>
      </w:r>
      <w:r>
        <w:rPr>
          <w:spacing w:val="-15"/>
        </w:rPr>
        <w:t> </w:t>
      </w:r>
      <w:r>
        <w:rPr/>
        <w:t>University 7 Killian Building Lane Cullowhee, NC 28723 </w:t>
      </w:r>
      <w:hyperlink r:id="rId39">
        <w:r>
          <w:rPr>
            <w:spacing w:val="-2"/>
          </w:rPr>
          <w:t>whiteb@wcu.edu</w:t>
        </w:r>
      </w:hyperlink>
    </w:p>
    <w:p>
      <w:pPr>
        <w:pStyle w:val="BodyText"/>
        <w:ind w:right="634"/>
        <w:jc w:val="center"/>
      </w:pPr>
      <w:r>
        <w:rPr>
          <w:spacing w:val="-2"/>
        </w:rPr>
        <w:t>828.227.7193</w:t>
      </w:r>
    </w:p>
    <w:p>
      <w:pPr>
        <w:pStyle w:val="BodyText"/>
        <w:spacing w:before="272"/>
        <w:ind w:left="4506" w:right="5255"/>
        <w:jc w:val="center"/>
      </w:pPr>
      <w:r>
        <w:rPr/>
        <w:t>Grube,</w:t>
      </w:r>
      <w:r>
        <w:rPr>
          <w:spacing w:val="-15"/>
        </w:rPr>
        <w:t> </w:t>
      </w:r>
      <w:r>
        <w:rPr/>
        <w:t>Angela</w:t>
      </w:r>
      <w:r>
        <w:rPr>
          <w:spacing w:val="-15"/>
        </w:rPr>
        <w:t> </w:t>
      </w:r>
      <w:r>
        <w:rPr/>
        <w:t>J. </w:t>
      </w:r>
      <w:r>
        <w:rPr>
          <w:spacing w:val="-4"/>
        </w:rPr>
        <w:t>Dean</w:t>
      </w:r>
    </w:p>
    <w:p>
      <w:pPr>
        <w:pStyle w:val="BodyText"/>
        <w:ind w:left="4001" w:right="4776" w:firstLine="19"/>
        <w:jc w:val="center"/>
      </w:pPr>
      <w:r>
        <w:rPr/>
        <w:t>College of Business Western</w:t>
      </w:r>
      <w:r>
        <w:rPr>
          <w:spacing w:val="-15"/>
        </w:rPr>
        <w:t> </w:t>
      </w:r>
      <w:r>
        <w:rPr/>
        <w:t>Carolina</w:t>
      </w:r>
      <w:r>
        <w:rPr>
          <w:spacing w:val="-15"/>
        </w:rPr>
        <w:t> </w:t>
      </w:r>
      <w:r>
        <w:rPr/>
        <w:t>University 7 Killian Building Lane Cullowhee, NC 28723 </w:t>
      </w:r>
      <w:hyperlink r:id="rId40">
        <w:r>
          <w:rPr>
            <w:spacing w:val="-2"/>
          </w:rPr>
          <w:t>agrube@wcu.edu</w:t>
        </w:r>
      </w:hyperlink>
    </w:p>
    <w:p>
      <w:pPr>
        <w:pStyle w:val="BodyText"/>
        <w:ind w:right="634"/>
        <w:jc w:val="center"/>
      </w:pPr>
      <w:r>
        <w:rPr>
          <w:spacing w:val="-2"/>
        </w:rPr>
        <w:t>828.227.7401</w:t>
      </w:r>
    </w:p>
    <w:p>
      <w:pPr>
        <w:pStyle w:val="BodyText"/>
      </w:pPr>
    </w:p>
    <w:p>
      <w:pPr>
        <w:pStyle w:val="BodyText"/>
        <w:ind w:left="701"/>
      </w:pPr>
      <w:r>
        <w:rPr/>
        <w:t>Key</w:t>
      </w:r>
      <w:r>
        <w:rPr>
          <w:spacing w:val="-3"/>
        </w:rPr>
        <w:t> </w:t>
      </w:r>
      <w:r>
        <w:rPr/>
        <w:t>words</w:t>
      </w:r>
      <w:r>
        <w:rPr>
          <w:spacing w:val="-3"/>
        </w:rPr>
        <w:t> </w:t>
      </w:r>
      <w:r>
        <w:rPr/>
        <w:t>(3-5):</w:t>
      </w:r>
      <w:r>
        <w:rPr>
          <w:spacing w:val="-3"/>
        </w:rPr>
        <w:t> </w:t>
      </w:r>
      <w:r>
        <w:rPr/>
        <w:t>AI</w:t>
      </w:r>
      <w:r>
        <w:rPr>
          <w:spacing w:val="-3"/>
        </w:rPr>
        <w:t> </w:t>
      </w:r>
      <w:r>
        <w:rPr/>
        <w:t>literacy,</w:t>
      </w:r>
      <w:r>
        <w:rPr>
          <w:spacing w:val="-3"/>
        </w:rPr>
        <w:t> </w:t>
      </w:r>
      <w:r>
        <w:rPr/>
        <w:t>faculty</w:t>
      </w:r>
      <w:r>
        <w:rPr>
          <w:spacing w:val="-3"/>
        </w:rPr>
        <w:t> </w:t>
      </w:r>
      <w:r>
        <w:rPr/>
        <w:t>development,</w:t>
      </w:r>
      <w:r>
        <w:rPr>
          <w:spacing w:val="-3"/>
        </w:rPr>
        <w:t> </w:t>
      </w:r>
      <w:r>
        <w:rPr/>
        <w:t>AI</w:t>
      </w:r>
      <w:r>
        <w:rPr>
          <w:spacing w:val="-3"/>
        </w:rPr>
        <w:t> </w:t>
      </w:r>
      <w:r>
        <w:rPr/>
        <w:t>pedagogy,</w:t>
      </w:r>
      <w:r>
        <w:rPr>
          <w:spacing w:val="-3"/>
        </w:rPr>
        <w:t> </w:t>
      </w:r>
      <w:r>
        <w:rPr/>
        <w:t>AI</w:t>
      </w:r>
      <w:r>
        <w:rPr>
          <w:spacing w:val="-3"/>
        </w:rPr>
        <w:t> </w:t>
      </w:r>
      <w:r>
        <w:rPr/>
        <w:t>course</w:t>
      </w:r>
      <w:r>
        <w:rPr>
          <w:spacing w:val="-2"/>
        </w:rPr>
        <w:t> design</w:t>
      </w:r>
    </w:p>
    <w:p>
      <w:pPr>
        <w:pStyle w:val="BodyText"/>
        <w:spacing w:before="91"/>
      </w:pPr>
    </w:p>
    <w:p>
      <w:pPr>
        <w:pStyle w:val="BodyText"/>
        <w:spacing w:line="247" w:lineRule="auto"/>
        <w:ind w:left="716" w:right="1448"/>
      </w:pPr>
      <w:r>
        <w:rPr/>
        <w:t>AI literacy is the top skill that employers seek (Picchi, 2026). Universities and, in particular, business colleges must rise to this challenge and provide students with the AI literacy skills they will need in the workforce. Specifically, graduating students with real-world skillsets that are valuable to the workforce is a key function of a higher education. Demonstrating this is all the more necessary, given that the necessity and value of higher education is becoming more of a societal question - a recent poll (Kamisar, 2025) found that two-thirds of Americans question the value of a university education. One challenge to this objective of equipping students with valuable</w:t>
      </w:r>
      <w:r>
        <w:rPr>
          <w:spacing w:val="-1"/>
        </w:rPr>
        <w:t> </w:t>
      </w:r>
      <w:r>
        <w:rPr/>
        <w:t>skillsets,</w:t>
      </w:r>
      <w:r>
        <w:rPr>
          <w:spacing w:val="-1"/>
        </w:rPr>
        <w:t> </w:t>
      </w:r>
      <w:r>
        <w:rPr/>
        <w:t>however,</w:t>
      </w:r>
      <w:r>
        <w:rPr>
          <w:spacing w:val="-1"/>
        </w:rPr>
        <w:t> </w:t>
      </w:r>
      <w:r>
        <w:rPr/>
        <w:t>is</w:t>
      </w:r>
      <w:r>
        <w:rPr>
          <w:spacing w:val="-1"/>
        </w:rPr>
        <w:t> </w:t>
      </w:r>
      <w:r>
        <w:rPr/>
        <w:t>keeping</w:t>
      </w:r>
      <w:r>
        <w:rPr>
          <w:spacing w:val="-1"/>
        </w:rPr>
        <w:t> </w:t>
      </w:r>
      <w:r>
        <w:rPr/>
        <w:t>university</w:t>
      </w:r>
      <w:r>
        <w:rPr>
          <w:spacing w:val="-1"/>
        </w:rPr>
        <w:t> </w:t>
      </w:r>
      <w:r>
        <w:rPr/>
        <w:t>faculty</w:t>
      </w:r>
      <w:r>
        <w:rPr>
          <w:spacing w:val="-1"/>
        </w:rPr>
        <w:t> </w:t>
      </w:r>
      <w:r>
        <w:rPr/>
        <w:t>up</w:t>
      </w:r>
      <w:r>
        <w:rPr>
          <w:spacing w:val="-1"/>
        </w:rPr>
        <w:t> </w:t>
      </w:r>
      <w:r>
        <w:rPr/>
        <w:t>to</w:t>
      </w:r>
      <w:r>
        <w:rPr>
          <w:spacing w:val="-1"/>
        </w:rPr>
        <w:t> </w:t>
      </w:r>
      <w:r>
        <w:rPr/>
        <w:t>date</w:t>
      </w:r>
      <w:r>
        <w:rPr>
          <w:spacing w:val="-1"/>
        </w:rPr>
        <w:t> </w:t>
      </w:r>
      <w:r>
        <w:rPr/>
        <w:t>with</w:t>
      </w:r>
      <w:r>
        <w:rPr>
          <w:spacing w:val="-1"/>
        </w:rPr>
        <w:t> </w:t>
      </w:r>
      <w:r>
        <w:rPr/>
        <w:t>emerging</w:t>
      </w:r>
      <w:r>
        <w:rPr>
          <w:spacing w:val="-1"/>
        </w:rPr>
        <w:t> </w:t>
      </w:r>
      <w:r>
        <w:rPr/>
        <w:t>technology.</w:t>
      </w:r>
      <w:r>
        <w:rPr>
          <w:spacing w:val="-1"/>
        </w:rPr>
        <w:t> </w:t>
      </w:r>
      <w:r>
        <w:rPr/>
        <w:t>A recent</w:t>
      </w:r>
      <w:r>
        <w:rPr>
          <w:spacing w:val="-1"/>
        </w:rPr>
        <w:t> </w:t>
      </w:r>
      <w:r>
        <w:rPr/>
        <w:t>survey</w:t>
      </w:r>
      <w:r>
        <w:rPr>
          <w:spacing w:val="-1"/>
        </w:rPr>
        <w:t> </w:t>
      </w:r>
      <w:r>
        <w:rPr/>
        <w:t>of</w:t>
      </w:r>
      <w:r>
        <w:rPr>
          <w:spacing w:val="-1"/>
        </w:rPr>
        <w:t> </w:t>
      </w:r>
      <w:r>
        <w:rPr/>
        <w:t>faculty</w:t>
      </w:r>
      <w:r>
        <w:rPr>
          <w:spacing w:val="-1"/>
        </w:rPr>
        <w:t> </w:t>
      </w:r>
      <w:r>
        <w:rPr/>
        <w:t>in</w:t>
      </w:r>
      <w:r>
        <w:rPr>
          <w:spacing w:val="-1"/>
        </w:rPr>
        <w:t> </w:t>
      </w:r>
      <w:r>
        <w:rPr/>
        <w:t>higher</w:t>
      </w:r>
      <w:r>
        <w:rPr>
          <w:spacing w:val="-1"/>
        </w:rPr>
        <w:t> </w:t>
      </w:r>
      <w:r>
        <w:rPr/>
        <w:t>education</w:t>
      </w:r>
      <w:r>
        <w:rPr>
          <w:spacing w:val="-1"/>
        </w:rPr>
        <w:t> </w:t>
      </w:r>
      <w:r>
        <w:rPr/>
        <w:t>highlighted</w:t>
      </w:r>
      <w:r>
        <w:rPr>
          <w:spacing w:val="-1"/>
        </w:rPr>
        <w:t> </w:t>
      </w:r>
      <w:r>
        <w:rPr/>
        <w:t>that</w:t>
      </w:r>
      <w:r>
        <w:rPr>
          <w:spacing w:val="-1"/>
        </w:rPr>
        <w:t> </w:t>
      </w:r>
      <w:r>
        <w:rPr/>
        <w:t>just</w:t>
      </w:r>
      <w:r>
        <w:rPr>
          <w:spacing w:val="-1"/>
        </w:rPr>
        <w:t> </w:t>
      </w:r>
      <w:r>
        <w:rPr/>
        <w:t>over</w:t>
      </w:r>
      <w:r>
        <w:rPr>
          <w:spacing w:val="-1"/>
        </w:rPr>
        <w:t> </w:t>
      </w:r>
      <w:r>
        <w:rPr/>
        <w:t>two-thirds</w:t>
      </w:r>
      <w:r>
        <w:rPr>
          <w:spacing w:val="-1"/>
        </w:rPr>
        <w:t> </w:t>
      </w:r>
      <w:r>
        <w:rPr/>
        <w:t>of</w:t>
      </w:r>
      <w:r>
        <w:rPr>
          <w:spacing w:val="-1"/>
        </w:rPr>
        <w:t> </w:t>
      </w:r>
      <w:r>
        <w:rPr/>
        <w:t>faculty</w:t>
      </w:r>
      <w:r>
        <w:rPr>
          <w:spacing w:val="-1"/>
        </w:rPr>
        <w:t> </w:t>
      </w:r>
      <w:r>
        <w:rPr/>
        <w:t>report that they are not prepared to use AI in working with students or for their own research and scholarship (Coffey, 2025). This lag in the technological skills of faculty contributes to universities’ lack of nimbleness and, thus, to the lack of public confidence in institutions of higher</w:t>
      </w:r>
      <w:r>
        <w:rPr>
          <w:spacing w:val="-4"/>
        </w:rPr>
        <w:t> </w:t>
      </w:r>
      <w:r>
        <w:rPr/>
        <w:t>education.</w:t>
      </w:r>
      <w:r>
        <w:rPr>
          <w:spacing w:val="-4"/>
        </w:rPr>
        <w:t> </w:t>
      </w:r>
      <w:r>
        <w:rPr/>
        <w:t>Given</w:t>
      </w:r>
      <w:r>
        <w:rPr>
          <w:spacing w:val="-4"/>
        </w:rPr>
        <w:t> </w:t>
      </w:r>
      <w:r>
        <w:rPr/>
        <w:t>the</w:t>
      </w:r>
      <w:r>
        <w:rPr>
          <w:spacing w:val="-4"/>
        </w:rPr>
        <w:t> </w:t>
      </w:r>
      <w:r>
        <w:rPr/>
        <w:t>rapid</w:t>
      </w:r>
      <w:r>
        <w:rPr>
          <w:spacing w:val="-4"/>
        </w:rPr>
        <w:t> </w:t>
      </w:r>
      <w:r>
        <w:rPr/>
        <w:t>emergence</w:t>
      </w:r>
      <w:r>
        <w:rPr>
          <w:spacing w:val="-4"/>
        </w:rPr>
        <w:t> </w:t>
      </w:r>
      <w:r>
        <w:rPr/>
        <w:t>of</w:t>
      </w:r>
      <w:r>
        <w:rPr>
          <w:spacing w:val="-4"/>
        </w:rPr>
        <w:t> </w:t>
      </w:r>
      <w:r>
        <w:rPr/>
        <w:t>AI,</w:t>
      </w:r>
      <w:r>
        <w:rPr>
          <w:spacing w:val="-4"/>
        </w:rPr>
        <w:t> </w:t>
      </w:r>
      <w:r>
        <w:rPr/>
        <w:t>some</w:t>
      </w:r>
      <w:r>
        <w:rPr>
          <w:spacing w:val="-4"/>
        </w:rPr>
        <w:t> </w:t>
      </w:r>
      <w:r>
        <w:rPr/>
        <w:t>universities</w:t>
      </w:r>
      <w:r>
        <w:rPr>
          <w:spacing w:val="-4"/>
        </w:rPr>
        <w:t> </w:t>
      </w:r>
      <w:r>
        <w:rPr/>
        <w:t>are</w:t>
      </w:r>
      <w:r>
        <w:rPr>
          <w:spacing w:val="-4"/>
        </w:rPr>
        <w:t> </w:t>
      </w:r>
      <w:r>
        <w:rPr/>
        <w:t>currently</w:t>
      </w:r>
      <w:r>
        <w:rPr>
          <w:spacing w:val="-4"/>
        </w:rPr>
        <w:t> </w:t>
      </w:r>
      <w:r>
        <w:rPr/>
        <w:t>implementing AI training for faculty and staff. For example, in the Spring of 2026, one university advertises its faculty training with sessions that include AI literacy for academic integrity, digital privacy, and utilizing AI for pedagogy (Abramson, 2025). But this more classroom-centric focus is not the only option. Another approach is to treat AI and other transformational technologies as </w:t>
      </w:r>
      <w:r>
        <w:rPr>
          <w:i/>
        </w:rPr>
        <w:t>continuing education, </w:t>
      </w:r>
      <w:r>
        <w:rPr/>
        <w:t>such that faculty are not just ‘educational consumers,’ but instead possess enough of an understanding to be competent instructors and researchers. Such an approach is</w:t>
      </w:r>
    </w:p>
    <w:p>
      <w:pPr>
        <w:pStyle w:val="BodyText"/>
        <w:spacing w:after="0" w:line="247" w:lineRule="auto"/>
        <w:sectPr>
          <w:pgSz w:w="12240" w:h="15840"/>
          <w:pgMar w:header="0" w:footer="721" w:top="640" w:bottom="920" w:left="720" w:right="0"/>
        </w:sectPr>
      </w:pPr>
    </w:p>
    <w:p>
      <w:pPr>
        <w:pStyle w:val="BodyText"/>
        <w:spacing w:line="247" w:lineRule="auto" w:before="61"/>
        <w:ind w:left="716" w:right="1442"/>
      </w:pPr>
      <w:bookmarkStart w:name=" " w:id="34"/>
      <w:bookmarkEnd w:id="34"/>
      <w:r>
        <w:rPr/>
      </w:r>
      <w:r>
        <w:rPr/>
        <w:t>distinguished beyond ‘use-case’ demonstrations of AI and instead prioritizes bringing faculty up to speed on how AI works, how to go beyond using consumer products to use deep research applications, and even how to develop AI applications. Given the increased depth and required commitments,</w:t>
      </w:r>
      <w:r>
        <w:rPr>
          <w:spacing w:val="-4"/>
        </w:rPr>
        <w:t> </w:t>
      </w:r>
      <w:r>
        <w:rPr/>
        <w:t>there</w:t>
      </w:r>
      <w:r>
        <w:rPr>
          <w:spacing w:val="-4"/>
        </w:rPr>
        <w:t> </w:t>
      </w:r>
      <w:r>
        <w:rPr/>
        <w:t>are</w:t>
      </w:r>
      <w:r>
        <w:rPr>
          <w:spacing w:val="-4"/>
        </w:rPr>
        <w:t> </w:t>
      </w:r>
      <w:r>
        <w:rPr/>
        <w:t>various</w:t>
      </w:r>
      <w:r>
        <w:rPr>
          <w:spacing w:val="-4"/>
        </w:rPr>
        <w:t> </w:t>
      </w:r>
      <w:r>
        <w:rPr/>
        <w:t>administrative</w:t>
      </w:r>
      <w:r>
        <w:rPr>
          <w:spacing w:val="-4"/>
        </w:rPr>
        <w:t> </w:t>
      </w:r>
      <w:r>
        <w:rPr/>
        <w:t>and</w:t>
      </w:r>
      <w:r>
        <w:rPr>
          <w:spacing w:val="-4"/>
        </w:rPr>
        <w:t> </w:t>
      </w:r>
      <w:r>
        <w:rPr/>
        <w:t>financial</w:t>
      </w:r>
      <w:r>
        <w:rPr>
          <w:spacing w:val="-4"/>
        </w:rPr>
        <w:t> </w:t>
      </w:r>
      <w:r>
        <w:rPr/>
        <w:t>hurdles</w:t>
      </w:r>
      <w:r>
        <w:rPr>
          <w:spacing w:val="-4"/>
        </w:rPr>
        <w:t> </w:t>
      </w:r>
      <w:r>
        <w:rPr/>
        <w:t>to</w:t>
      </w:r>
      <w:r>
        <w:rPr>
          <w:spacing w:val="-4"/>
        </w:rPr>
        <w:t> </w:t>
      </w:r>
      <w:r>
        <w:rPr/>
        <w:t>overcome,</w:t>
      </w:r>
      <w:r>
        <w:rPr>
          <w:spacing w:val="-4"/>
        </w:rPr>
        <w:t> </w:t>
      </w:r>
      <w:r>
        <w:rPr/>
        <w:t>such</w:t>
      </w:r>
      <w:r>
        <w:rPr>
          <w:spacing w:val="-4"/>
        </w:rPr>
        <w:t> </w:t>
      </w:r>
      <w:r>
        <w:rPr/>
        <w:t>as</w:t>
      </w:r>
      <w:r>
        <w:rPr>
          <w:spacing w:val="-4"/>
        </w:rPr>
        <w:t> </w:t>
      </w:r>
      <w:r>
        <w:rPr/>
        <w:t>finding a time for faculty to meet on a regular basis, institutional IT approval for the use of emerging technologies, compensation for a dedicated workshop leader, and securing funding and licenses for various AI tools used in the course. The present work describes how Western Carolina University’s College of Business recently addressed such hurdles and how the faculty-focused course</w:t>
      </w:r>
      <w:r>
        <w:rPr>
          <w:spacing w:val="-3"/>
        </w:rPr>
        <w:t> </w:t>
      </w:r>
      <w:r>
        <w:rPr/>
        <w:t>content</w:t>
      </w:r>
      <w:r>
        <w:rPr>
          <w:spacing w:val="-3"/>
        </w:rPr>
        <w:t> </w:t>
      </w:r>
      <w:r>
        <w:rPr/>
        <w:t>included</w:t>
      </w:r>
      <w:r>
        <w:rPr>
          <w:spacing w:val="-3"/>
        </w:rPr>
        <w:t> </w:t>
      </w:r>
      <w:r>
        <w:rPr/>
        <w:t>sessions</w:t>
      </w:r>
      <w:r>
        <w:rPr>
          <w:spacing w:val="-3"/>
        </w:rPr>
        <w:t> </w:t>
      </w:r>
      <w:r>
        <w:rPr/>
        <w:t>beyond</w:t>
      </w:r>
      <w:r>
        <w:rPr>
          <w:spacing w:val="-3"/>
        </w:rPr>
        <w:t> </w:t>
      </w:r>
      <w:r>
        <w:rPr/>
        <w:t>prompting</w:t>
      </w:r>
      <w:r>
        <w:rPr>
          <w:spacing w:val="-3"/>
        </w:rPr>
        <w:t> </w:t>
      </w:r>
      <w:r>
        <w:rPr/>
        <w:t>to</w:t>
      </w:r>
      <w:r>
        <w:rPr>
          <w:spacing w:val="-3"/>
        </w:rPr>
        <w:t> </w:t>
      </w:r>
      <w:r>
        <w:rPr/>
        <w:t>include</w:t>
      </w:r>
      <w:r>
        <w:rPr>
          <w:spacing w:val="-3"/>
        </w:rPr>
        <w:t> </w:t>
      </w:r>
      <w:r>
        <w:rPr/>
        <w:t>everything</w:t>
      </w:r>
      <w:r>
        <w:rPr>
          <w:spacing w:val="-3"/>
        </w:rPr>
        <w:t> </w:t>
      </w:r>
      <w:r>
        <w:rPr/>
        <w:t>from</w:t>
      </w:r>
      <w:r>
        <w:rPr>
          <w:spacing w:val="-3"/>
        </w:rPr>
        <w:t> </w:t>
      </w:r>
      <w:r>
        <w:rPr/>
        <w:t>using</w:t>
      </w:r>
      <w:r>
        <w:rPr>
          <w:spacing w:val="-3"/>
        </w:rPr>
        <w:t> </w:t>
      </w:r>
      <w:r>
        <w:rPr/>
        <w:t>commercial tools such as Google Gemini to build AI agents to developing custom, Python-based AI agents that help prepare faculty to both effectively use and educate students on AI.</w:t>
      </w:r>
    </w:p>
    <w:p>
      <w:pPr>
        <w:pStyle w:val="BodyText"/>
        <w:spacing w:before="10"/>
      </w:pPr>
    </w:p>
    <w:p>
      <w:pPr>
        <w:pStyle w:val="BodyText"/>
        <w:ind w:left="731"/>
      </w:pPr>
      <w:r>
        <w:rPr>
          <w:spacing w:val="-2"/>
        </w:rPr>
        <w:t>References</w:t>
      </w:r>
    </w:p>
    <w:p>
      <w:pPr>
        <w:spacing w:line="247" w:lineRule="auto" w:before="179"/>
        <w:ind w:left="731" w:right="1561" w:hanging="15"/>
        <w:jc w:val="both"/>
        <w:rPr>
          <w:sz w:val="24"/>
        </w:rPr>
      </w:pPr>
      <w:r>
        <w:rPr>
          <w:sz w:val="24"/>
        </w:rPr>
        <w:t>Abramson, R. (2025, December 11). </w:t>
      </w:r>
      <w:r>
        <w:rPr>
          <w:i/>
          <w:sz w:val="24"/>
        </w:rPr>
        <w:t>Campus experts</w:t>
      </w:r>
      <w:r>
        <w:rPr>
          <w:i/>
          <w:spacing w:val="-3"/>
          <w:sz w:val="24"/>
        </w:rPr>
        <w:t> </w:t>
      </w:r>
      <w:r>
        <w:rPr>
          <w:i/>
          <w:sz w:val="24"/>
        </w:rPr>
        <w:t>to</w:t>
      </w:r>
      <w:r>
        <w:rPr>
          <w:i/>
          <w:spacing w:val="-3"/>
          <w:sz w:val="24"/>
        </w:rPr>
        <w:t> </w:t>
      </w:r>
      <w:r>
        <w:rPr>
          <w:i/>
          <w:sz w:val="24"/>
        </w:rPr>
        <w:t>lead</w:t>
      </w:r>
      <w:r>
        <w:rPr>
          <w:i/>
          <w:spacing w:val="-3"/>
          <w:sz w:val="24"/>
        </w:rPr>
        <w:t> </w:t>
      </w:r>
      <w:r>
        <w:rPr>
          <w:i/>
          <w:sz w:val="24"/>
        </w:rPr>
        <w:t>2026</w:t>
      </w:r>
      <w:r>
        <w:rPr>
          <w:i/>
          <w:spacing w:val="-3"/>
          <w:sz w:val="24"/>
        </w:rPr>
        <w:t> </w:t>
      </w:r>
      <w:r>
        <w:rPr>
          <w:i/>
          <w:sz w:val="24"/>
        </w:rPr>
        <w:t>AI</w:t>
      </w:r>
      <w:r>
        <w:rPr>
          <w:i/>
          <w:spacing w:val="-3"/>
          <w:sz w:val="24"/>
        </w:rPr>
        <w:t> </w:t>
      </w:r>
      <w:r>
        <w:rPr>
          <w:i/>
          <w:sz w:val="24"/>
        </w:rPr>
        <w:t>training</w:t>
      </w:r>
      <w:r>
        <w:rPr>
          <w:i/>
          <w:spacing w:val="-3"/>
          <w:sz w:val="24"/>
        </w:rPr>
        <w:t> </w:t>
      </w:r>
      <w:r>
        <w:rPr>
          <w:i/>
          <w:sz w:val="24"/>
        </w:rPr>
        <w:t>series</w:t>
      </w:r>
      <w:r>
        <w:rPr>
          <w:i/>
          <w:spacing w:val="-3"/>
          <w:sz w:val="24"/>
        </w:rPr>
        <w:t> </w:t>
      </w:r>
      <w:r>
        <w:rPr>
          <w:i/>
          <w:sz w:val="24"/>
        </w:rPr>
        <w:t>for</w:t>
      </w:r>
      <w:r>
        <w:rPr>
          <w:i/>
          <w:spacing w:val="-3"/>
          <w:sz w:val="24"/>
        </w:rPr>
        <w:t> </w:t>
      </w:r>
      <w:r>
        <w:rPr>
          <w:i/>
          <w:sz w:val="24"/>
        </w:rPr>
        <w:t>faculty</w:t>
      </w:r>
      <w:r>
        <w:rPr>
          <w:i/>
          <w:sz w:val="24"/>
        </w:rPr>
        <w:t> and staff</w:t>
      </w:r>
      <w:r>
        <w:rPr>
          <w:sz w:val="24"/>
        </w:rPr>
        <w:t>. Penn State University. </w:t>
      </w:r>
      <w:hyperlink r:id="rId41">
        <w:r>
          <w:rPr>
            <w:sz w:val="24"/>
          </w:rPr>
          <w:t>https://www.psu.edu/news/lehigh-valley/story/campus-experts</w:t>
        </w:r>
      </w:hyperlink>
      <w:r>
        <w:rPr>
          <w:sz w:val="24"/>
        </w:rPr>
        <w:t> </w:t>
      </w:r>
      <w:r>
        <w:rPr>
          <w:spacing w:val="-2"/>
          <w:sz w:val="24"/>
        </w:rPr>
        <w:t>lead-2026-ai-training-series-faculty-and-staff</w:t>
      </w:r>
    </w:p>
    <w:p>
      <w:pPr>
        <w:spacing w:line="247" w:lineRule="auto" w:before="202"/>
        <w:ind w:left="731" w:right="1661" w:firstLine="0"/>
        <w:jc w:val="left"/>
        <w:rPr>
          <w:sz w:val="24"/>
        </w:rPr>
      </w:pPr>
      <w:r>
        <w:rPr>
          <w:sz w:val="24"/>
        </w:rPr>
        <w:t>Coffey,</w:t>
      </w:r>
      <w:r>
        <w:rPr>
          <w:spacing w:val="-4"/>
          <w:sz w:val="24"/>
        </w:rPr>
        <w:t> </w:t>
      </w:r>
      <w:r>
        <w:rPr>
          <w:sz w:val="24"/>
        </w:rPr>
        <w:t>L.</w:t>
      </w:r>
      <w:r>
        <w:rPr>
          <w:spacing w:val="-4"/>
          <w:sz w:val="24"/>
        </w:rPr>
        <w:t> </w:t>
      </w:r>
      <w:r>
        <w:rPr>
          <w:sz w:val="24"/>
        </w:rPr>
        <w:t>(2026,</w:t>
      </w:r>
      <w:r>
        <w:rPr>
          <w:spacing w:val="-4"/>
          <w:sz w:val="24"/>
        </w:rPr>
        <w:t> </w:t>
      </w:r>
      <w:r>
        <w:rPr>
          <w:sz w:val="24"/>
        </w:rPr>
        <w:t>January</w:t>
      </w:r>
      <w:r>
        <w:rPr>
          <w:spacing w:val="-4"/>
          <w:sz w:val="24"/>
        </w:rPr>
        <w:t> </w:t>
      </w:r>
      <w:r>
        <w:rPr>
          <w:sz w:val="24"/>
        </w:rPr>
        <w:t>21).</w:t>
      </w:r>
      <w:r>
        <w:rPr>
          <w:spacing w:val="-4"/>
          <w:sz w:val="24"/>
        </w:rPr>
        <w:t> </w:t>
      </w:r>
      <w:r>
        <w:rPr>
          <w:i/>
          <w:sz w:val="24"/>
        </w:rPr>
        <w:t>Survey:</w:t>
      </w:r>
      <w:r>
        <w:rPr>
          <w:i/>
          <w:spacing w:val="-4"/>
          <w:sz w:val="24"/>
        </w:rPr>
        <w:t> </w:t>
      </w:r>
      <w:r>
        <w:rPr>
          <w:i/>
          <w:sz w:val="24"/>
        </w:rPr>
        <w:t>Faculty</w:t>
      </w:r>
      <w:r>
        <w:rPr>
          <w:i/>
          <w:spacing w:val="-4"/>
          <w:sz w:val="24"/>
        </w:rPr>
        <w:t> </w:t>
      </w:r>
      <w:r>
        <w:rPr>
          <w:i/>
          <w:sz w:val="24"/>
        </w:rPr>
        <w:t>say</w:t>
      </w:r>
      <w:r>
        <w:rPr>
          <w:i/>
          <w:spacing w:val="-4"/>
          <w:sz w:val="24"/>
        </w:rPr>
        <w:t> </w:t>
      </w:r>
      <w:r>
        <w:rPr>
          <w:i/>
          <w:sz w:val="24"/>
        </w:rPr>
        <w:t>AI</w:t>
      </w:r>
      <w:r>
        <w:rPr>
          <w:i/>
          <w:spacing w:val="-4"/>
          <w:sz w:val="24"/>
        </w:rPr>
        <w:t> </w:t>
      </w:r>
      <w:r>
        <w:rPr>
          <w:i/>
          <w:sz w:val="24"/>
        </w:rPr>
        <w:t>impactful—but</w:t>
      </w:r>
      <w:r>
        <w:rPr>
          <w:i/>
          <w:spacing w:val="-4"/>
          <w:sz w:val="24"/>
        </w:rPr>
        <w:t> </w:t>
      </w:r>
      <w:r>
        <w:rPr>
          <w:i/>
          <w:sz w:val="24"/>
        </w:rPr>
        <w:t>not</w:t>
      </w:r>
      <w:r>
        <w:rPr>
          <w:i/>
          <w:spacing w:val="-4"/>
          <w:sz w:val="24"/>
        </w:rPr>
        <w:t> </w:t>
      </w:r>
      <w:r>
        <w:rPr>
          <w:i/>
          <w:sz w:val="24"/>
        </w:rPr>
        <w:t>in</w:t>
      </w:r>
      <w:r>
        <w:rPr>
          <w:i/>
          <w:spacing w:val="-4"/>
          <w:sz w:val="24"/>
        </w:rPr>
        <w:t> </w:t>
      </w:r>
      <w:r>
        <w:rPr>
          <w:i/>
          <w:sz w:val="24"/>
        </w:rPr>
        <w:t>a</w:t>
      </w:r>
      <w:r>
        <w:rPr>
          <w:i/>
          <w:spacing w:val="-4"/>
          <w:sz w:val="24"/>
        </w:rPr>
        <w:t> </w:t>
      </w:r>
      <w:r>
        <w:rPr>
          <w:i/>
          <w:sz w:val="24"/>
        </w:rPr>
        <w:t>good</w:t>
      </w:r>
      <w:r>
        <w:rPr>
          <w:i/>
          <w:spacing w:val="-4"/>
          <w:sz w:val="24"/>
        </w:rPr>
        <w:t> </w:t>
      </w:r>
      <w:r>
        <w:rPr>
          <w:i/>
          <w:sz w:val="24"/>
        </w:rPr>
        <w:t>way</w:t>
      </w:r>
      <w:r>
        <w:rPr>
          <w:sz w:val="24"/>
        </w:rPr>
        <w:t>.</w:t>
      </w:r>
      <w:r>
        <w:rPr>
          <w:spacing w:val="-4"/>
          <w:sz w:val="24"/>
        </w:rPr>
        <w:t> </w:t>
      </w:r>
      <w:r>
        <w:rPr>
          <w:sz w:val="24"/>
        </w:rPr>
        <w:t>Inside Higher Ed. </w:t>
      </w:r>
      <w:hyperlink r:id="rId42">
        <w:r>
          <w:rPr>
            <w:sz w:val="24"/>
          </w:rPr>
          <w:t>https://www.insidehighered.com/news/faculty-issues/teaching/2026/01/21/survey</w:t>
        </w:r>
      </w:hyperlink>
      <w:r>
        <w:rPr>
          <w:sz w:val="24"/>
        </w:rPr>
        <w:t> </w:t>
      </w:r>
      <w:r>
        <w:rPr>
          <w:spacing w:val="-2"/>
          <w:sz w:val="24"/>
        </w:rPr>
        <w:t>faculty-say-ai-impactful-not-good-way</w:t>
      </w:r>
    </w:p>
    <w:p>
      <w:pPr>
        <w:spacing w:line="247" w:lineRule="auto" w:before="173"/>
        <w:ind w:left="716" w:right="1608" w:firstLine="15"/>
        <w:jc w:val="left"/>
        <w:rPr>
          <w:sz w:val="24"/>
        </w:rPr>
      </w:pPr>
      <w:r>
        <w:rPr>
          <w:sz w:val="24"/>
        </w:rPr>
        <w:t>Kamisar,</w:t>
      </w:r>
      <w:r>
        <w:rPr>
          <w:spacing w:val="-4"/>
          <w:sz w:val="24"/>
        </w:rPr>
        <w:t> </w:t>
      </w:r>
      <w:r>
        <w:rPr>
          <w:sz w:val="24"/>
        </w:rPr>
        <w:t>B.</w:t>
      </w:r>
      <w:r>
        <w:rPr>
          <w:spacing w:val="-4"/>
          <w:sz w:val="24"/>
        </w:rPr>
        <w:t> </w:t>
      </w:r>
      <w:r>
        <w:rPr>
          <w:sz w:val="24"/>
        </w:rPr>
        <w:t>(2025,</w:t>
      </w:r>
      <w:r>
        <w:rPr>
          <w:spacing w:val="-4"/>
          <w:sz w:val="24"/>
        </w:rPr>
        <w:t> </w:t>
      </w:r>
      <w:r>
        <w:rPr>
          <w:sz w:val="24"/>
        </w:rPr>
        <w:t>November</w:t>
      </w:r>
      <w:r>
        <w:rPr>
          <w:spacing w:val="-4"/>
          <w:sz w:val="24"/>
        </w:rPr>
        <w:t> </w:t>
      </w:r>
      <w:r>
        <w:rPr>
          <w:sz w:val="24"/>
        </w:rPr>
        <w:t>28).</w:t>
      </w:r>
      <w:r>
        <w:rPr>
          <w:spacing w:val="-4"/>
          <w:sz w:val="24"/>
        </w:rPr>
        <w:t> </w:t>
      </w:r>
      <w:r>
        <w:rPr>
          <w:i/>
          <w:sz w:val="24"/>
        </w:rPr>
        <w:t>Poll:</w:t>
      </w:r>
      <w:r>
        <w:rPr>
          <w:i/>
          <w:spacing w:val="-4"/>
          <w:sz w:val="24"/>
        </w:rPr>
        <w:t> </w:t>
      </w:r>
      <w:r>
        <w:rPr>
          <w:i/>
          <w:sz w:val="24"/>
        </w:rPr>
        <w:t>In</w:t>
      </w:r>
      <w:r>
        <w:rPr>
          <w:i/>
          <w:spacing w:val="-4"/>
          <w:sz w:val="24"/>
        </w:rPr>
        <w:t> </w:t>
      </w:r>
      <w:r>
        <w:rPr>
          <w:i/>
          <w:sz w:val="24"/>
        </w:rPr>
        <w:t>a</w:t>
      </w:r>
      <w:r>
        <w:rPr>
          <w:i/>
          <w:spacing w:val="-4"/>
          <w:sz w:val="24"/>
        </w:rPr>
        <w:t> </w:t>
      </w:r>
      <w:r>
        <w:rPr>
          <w:i/>
          <w:sz w:val="24"/>
        </w:rPr>
        <w:t>dramatic</w:t>
      </w:r>
      <w:r>
        <w:rPr>
          <w:i/>
          <w:spacing w:val="-4"/>
          <w:sz w:val="24"/>
        </w:rPr>
        <w:t> </w:t>
      </w:r>
      <w:r>
        <w:rPr>
          <w:i/>
          <w:sz w:val="24"/>
        </w:rPr>
        <w:t>shift,</w:t>
      </w:r>
      <w:r>
        <w:rPr>
          <w:i/>
          <w:spacing w:val="-4"/>
          <w:sz w:val="24"/>
        </w:rPr>
        <w:t> </w:t>
      </w:r>
      <w:r>
        <w:rPr>
          <w:i/>
          <w:sz w:val="24"/>
        </w:rPr>
        <w:t>Americans</w:t>
      </w:r>
      <w:r>
        <w:rPr>
          <w:i/>
          <w:spacing w:val="-4"/>
          <w:sz w:val="24"/>
        </w:rPr>
        <w:t> </w:t>
      </w:r>
      <w:r>
        <w:rPr>
          <w:i/>
          <w:sz w:val="24"/>
        </w:rPr>
        <w:t>no</w:t>
      </w:r>
      <w:r>
        <w:rPr>
          <w:i/>
          <w:spacing w:val="-4"/>
          <w:sz w:val="24"/>
        </w:rPr>
        <w:t> </w:t>
      </w:r>
      <w:r>
        <w:rPr>
          <w:i/>
          <w:sz w:val="24"/>
        </w:rPr>
        <w:t>longer</w:t>
      </w:r>
      <w:r>
        <w:rPr>
          <w:i/>
          <w:spacing w:val="-4"/>
          <w:sz w:val="24"/>
        </w:rPr>
        <w:t> </w:t>
      </w:r>
      <w:r>
        <w:rPr>
          <w:i/>
          <w:sz w:val="24"/>
        </w:rPr>
        <w:t>see</w:t>
      </w:r>
      <w:r>
        <w:rPr>
          <w:i/>
          <w:spacing w:val="-4"/>
          <w:sz w:val="24"/>
        </w:rPr>
        <w:t> </w:t>
      </w:r>
      <w:r>
        <w:rPr>
          <w:i/>
          <w:sz w:val="24"/>
        </w:rPr>
        <w:t>four-</w:t>
      </w:r>
      <w:r>
        <w:rPr>
          <w:i/>
          <w:sz w:val="24"/>
        </w:rPr>
        <w:t>year</w:t>
      </w:r>
      <w:r>
        <w:rPr>
          <w:i/>
          <w:sz w:val="24"/>
        </w:rPr>
        <w:t> college degrees as worth the cost</w:t>
      </w:r>
      <w:r>
        <w:rPr>
          <w:sz w:val="24"/>
        </w:rPr>
        <w:t>. NBC News. </w:t>
      </w:r>
      <w:hyperlink r:id="rId43">
        <w:r>
          <w:rPr>
            <w:sz w:val="24"/>
          </w:rPr>
          <w:t>https://www.nbcnews.com/politics/politics</w:t>
        </w:r>
      </w:hyperlink>
      <w:r>
        <w:rPr>
          <w:sz w:val="24"/>
        </w:rPr>
        <w:t> </w:t>
      </w:r>
      <w:r>
        <w:rPr>
          <w:spacing w:val="-2"/>
          <w:sz w:val="24"/>
        </w:rPr>
        <w:t>news/poll-dramatic-shift-americans-no-longer-see-four-year-college-degrees-rcna243672</w:t>
      </w:r>
    </w:p>
    <w:p>
      <w:pPr>
        <w:spacing w:line="247" w:lineRule="auto" w:before="173"/>
        <w:ind w:left="716" w:right="1619" w:firstLine="15"/>
        <w:jc w:val="left"/>
        <w:rPr>
          <w:sz w:val="24"/>
        </w:rPr>
      </w:pPr>
      <w:r>
        <w:rPr>
          <w:sz w:val="24"/>
        </w:rPr>
        <w:t>Picchi, A. (2026, January 29). </w:t>
      </w:r>
      <w:r>
        <w:rPr>
          <w:i/>
          <w:sz w:val="24"/>
        </w:rPr>
        <w:t>The no. 1 skill employers are looking for right now from a</w:t>
      </w:r>
      <w:r>
        <w:rPr>
          <w:i/>
          <w:sz w:val="24"/>
        </w:rPr>
        <w:t> LinkedIn</w:t>
      </w:r>
      <w:r>
        <w:rPr>
          <w:i/>
          <w:spacing w:val="-13"/>
          <w:sz w:val="24"/>
        </w:rPr>
        <w:t> </w:t>
      </w:r>
      <w:r>
        <w:rPr>
          <w:i/>
          <w:sz w:val="24"/>
        </w:rPr>
        <w:t>career</w:t>
      </w:r>
      <w:r>
        <w:rPr>
          <w:i/>
          <w:spacing w:val="-13"/>
          <w:sz w:val="24"/>
        </w:rPr>
        <w:t> </w:t>
      </w:r>
      <w:r>
        <w:rPr>
          <w:i/>
          <w:sz w:val="24"/>
        </w:rPr>
        <w:t>expert</w:t>
      </w:r>
      <w:r>
        <w:rPr>
          <w:sz w:val="24"/>
        </w:rPr>
        <w:t>.</w:t>
      </w:r>
      <w:r>
        <w:rPr>
          <w:spacing w:val="-13"/>
          <w:sz w:val="24"/>
        </w:rPr>
        <w:t> </w:t>
      </w:r>
      <w:r>
        <w:rPr>
          <w:sz w:val="24"/>
        </w:rPr>
        <w:t>CBS</w:t>
      </w:r>
      <w:r>
        <w:rPr>
          <w:spacing w:val="-13"/>
          <w:sz w:val="24"/>
        </w:rPr>
        <w:t> </w:t>
      </w:r>
      <w:r>
        <w:rPr>
          <w:sz w:val="24"/>
        </w:rPr>
        <w:t>News.</w:t>
      </w:r>
      <w:r>
        <w:rPr>
          <w:spacing w:val="-13"/>
          <w:sz w:val="24"/>
        </w:rPr>
        <w:t> </w:t>
      </w:r>
      <w:hyperlink r:id="rId44">
        <w:r>
          <w:rPr>
            <w:color w:val="1154CC"/>
            <w:sz w:val="24"/>
            <w:u w:val="thick" w:color="1154CC"/>
          </w:rPr>
          <w:t>https://www.cbsnews.com/news/linked-in-ai-and-</w:t>
        </w:r>
        <w:r>
          <w:rPr>
            <w:color w:val="1154CC"/>
            <w:sz w:val="24"/>
            <w:u w:val="thick" w:color="1154CC"/>
          </w:rPr>
          <w:t>jobs/</w:t>
        </w:r>
      </w:hyperlink>
    </w:p>
    <w:p>
      <w:pPr>
        <w:spacing w:after="0" w:line="247" w:lineRule="auto"/>
        <w:jc w:val="left"/>
        <w:rPr>
          <w:sz w:val="24"/>
        </w:rPr>
        <w:sectPr>
          <w:pgSz w:w="12240" w:h="15840"/>
          <w:pgMar w:header="0" w:footer="721" w:top="640" w:bottom="960" w:left="720" w:right="0"/>
        </w:sectPr>
      </w:pPr>
    </w:p>
    <w:p>
      <w:pPr>
        <w:pStyle w:val="Heading1"/>
        <w:spacing w:line="247" w:lineRule="auto"/>
        <w:ind w:left="939" w:right="2286"/>
        <w:jc w:val="center"/>
      </w:pPr>
      <w:bookmarkStart w:name="Integrating AI Agents and Automation in " w:id="35"/>
      <w:bookmarkEnd w:id="35"/>
      <w:r>
        <w:rPr>
          <w:b w:val="0"/>
        </w:rPr>
      </w:r>
      <w:r>
        <w:rPr/>
        <w:t>Integrating</w:t>
      </w:r>
      <w:r>
        <w:rPr>
          <w:spacing w:val="-6"/>
        </w:rPr>
        <w:t> </w:t>
      </w:r>
      <w:r>
        <w:rPr/>
        <w:t>AI</w:t>
      </w:r>
      <w:r>
        <w:rPr>
          <w:spacing w:val="-6"/>
        </w:rPr>
        <w:t> </w:t>
      </w:r>
      <w:r>
        <w:rPr/>
        <w:t>Agents</w:t>
      </w:r>
      <w:r>
        <w:rPr>
          <w:spacing w:val="-6"/>
        </w:rPr>
        <w:t> </w:t>
      </w:r>
      <w:r>
        <w:rPr/>
        <w:t>and</w:t>
      </w:r>
      <w:r>
        <w:rPr>
          <w:spacing w:val="-6"/>
        </w:rPr>
        <w:t> </w:t>
      </w:r>
      <w:r>
        <w:rPr/>
        <w:t>Automation</w:t>
      </w:r>
      <w:r>
        <w:rPr>
          <w:spacing w:val="-6"/>
        </w:rPr>
        <w:t> </w:t>
      </w:r>
      <w:r>
        <w:rPr/>
        <w:t>in</w:t>
      </w:r>
      <w:r>
        <w:rPr>
          <w:spacing w:val="-6"/>
        </w:rPr>
        <w:t> </w:t>
      </w:r>
      <w:r>
        <w:rPr/>
        <w:t>Rural</w:t>
      </w:r>
      <w:r>
        <w:rPr>
          <w:spacing w:val="-6"/>
        </w:rPr>
        <w:t> </w:t>
      </w:r>
      <w:r>
        <w:rPr/>
        <w:t>Appalachia: </w:t>
      </w:r>
      <w:bookmarkStart w:name="h.f9jg54rujmif" w:id="36"/>
      <w:bookmarkEnd w:id="36"/>
      <w:r>
        <w:rPr/>
        <w:t>A</w:t>
      </w:r>
      <w:r>
        <w:rPr/>
        <w:t>doption, Challenges, and Strategies</w:t>
      </w:r>
    </w:p>
    <w:p>
      <w:pPr>
        <w:pStyle w:val="BodyText"/>
        <w:spacing w:before="293"/>
        <w:ind w:right="1417"/>
        <w:jc w:val="center"/>
      </w:pPr>
      <w:r>
        <w:rPr/>
        <w:t>Faye </w:t>
      </w:r>
      <w:r>
        <w:rPr>
          <w:spacing w:val="-2"/>
        </w:rPr>
        <w:t>Briggs</w:t>
      </w:r>
    </w:p>
    <w:p>
      <w:pPr>
        <w:pStyle w:val="BodyText"/>
        <w:ind w:left="3551" w:right="4973"/>
        <w:jc w:val="center"/>
      </w:pPr>
      <w:r>
        <w:rPr/>
        <w:t>General</w:t>
      </w:r>
      <w:r>
        <w:rPr>
          <w:spacing w:val="-15"/>
        </w:rPr>
        <w:t> </w:t>
      </w:r>
      <w:r>
        <w:rPr/>
        <w:t>Business/Management College of Business</w:t>
      </w:r>
    </w:p>
    <w:p>
      <w:pPr>
        <w:pStyle w:val="BodyText"/>
        <w:ind w:left="3512" w:right="4931"/>
        <w:jc w:val="center"/>
      </w:pPr>
      <w:r>
        <w:rPr/>
        <w:t>Eastern</w:t>
      </w:r>
      <w:r>
        <w:rPr>
          <w:spacing w:val="-15"/>
        </w:rPr>
        <w:t> </w:t>
      </w:r>
      <w:r>
        <w:rPr/>
        <w:t>Kentucky</w:t>
      </w:r>
      <w:r>
        <w:rPr>
          <w:spacing w:val="-15"/>
        </w:rPr>
        <w:t> </w:t>
      </w:r>
      <w:r>
        <w:rPr/>
        <w:t>University 521 Lancaster Avenue</w:t>
      </w:r>
    </w:p>
    <w:p>
      <w:pPr>
        <w:pStyle w:val="BodyText"/>
        <w:ind w:left="3521" w:right="4930" w:hanging="10"/>
        <w:jc w:val="center"/>
      </w:pPr>
      <w:r>
        <w:rPr/>
        <w:t>Richmond KY 40475 </w:t>
      </w:r>
      <w:hyperlink r:id="rId45">
        <w:r>
          <w:rPr>
            <w:color w:val="0000FF"/>
            <w:spacing w:val="-2"/>
            <w:u w:val="thick" w:color="0000FF"/>
          </w:rPr>
          <w:t>Faye_briggs@mymail.eku.edu</w:t>
        </w:r>
      </w:hyperlink>
      <w:r>
        <w:rPr>
          <w:color w:val="0000FF"/>
          <w:spacing w:val="-2"/>
          <w:u w:val="none"/>
        </w:rPr>
        <w:t> </w:t>
      </w:r>
      <w:r>
        <w:rPr>
          <w:u w:val="none"/>
        </w:rPr>
        <w:t>502-759-9601 (Contact </w:t>
      </w:r>
      <w:r>
        <w:rPr>
          <w:spacing w:val="-2"/>
          <w:u w:val="none"/>
        </w:rPr>
        <w:t>Author)</w:t>
      </w:r>
    </w:p>
    <w:p>
      <w:pPr>
        <w:pStyle w:val="BodyText"/>
        <w:spacing w:before="272"/>
        <w:ind w:right="1401"/>
        <w:jc w:val="center"/>
      </w:pPr>
      <w:r>
        <w:rPr/>
        <w:t>Stephen </w:t>
      </w:r>
      <w:r>
        <w:rPr>
          <w:spacing w:val="-2"/>
        </w:rPr>
        <w:t>Shackelford</w:t>
      </w:r>
    </w:p>
    <w:p>
      <w:pPr>
        <w:pStyle w:val="BodyText"/>
        <w:ind w:left="2666" w:right="4116"/>
        <w:jc w:val="center"/>
      </w:pPr>
      <w:r>
        <w:rPr/>
        <w:t>Visiting</w:t>
      </w:r>
      <w:r>
        <w:rPr>
          <w:spacing w:val="-15"/>
        </w:rPr>
        <w:t> </w:t>
      </w:r>
      <w:r>
        <w:rPr/>
        <w:t>Lecturer,</w:t>
      </w:r>
      <w:r>
        <w:rPr>
          <w:spacing w:val="-15"/>
        </w:rPr>
        <w:t> </w:t>
      </w:r>
      <w:r>
        <w:rPr/>
        <w:t>General</w:t>
      </w:r>
      <w:r>
        <w:rPr>
          <w:spacing w:val="-15"/>
        </w:rPr>
        <w:t> </w:t>
      </w:r>
      <w:r>
        <w:rPr/>
        <w:t>Business/Management College of Business</w:t>
      </w:r>
    </w:p>
    <w:p>
      <w:pPr>
        <w:pStyle w:val="BodyText"/>
        <w:ind w:left="3512" w:right="4931"/>
        <w:jc w:val="center"/>
      </w:pPr>
      <w:r>
        <w:rPr/>
        <w:t>Eastern</w:t>
      </w:r>
      <w:r>
        <w:rPr>
          <w:spacing w:val="-15"/>
        </w:rPr>
        <w:t> </w:t>
      </w:r>
      <w:r>
        <w:rPr/>
        <w:t>Kentucky</w:t>
      </w:r>
      <w:r>
        <w:rPr>
          <w:spacing w:val="-15"/>
        </w:rPr>
        <w:t> </w:t>
      </w:r>
      <w:r>
        <w:rPr/>
        <w:t>University 521 Lancaster Avenue</w:t>
      </w:r>
    </w:p>
    <w:p>
      <w:pPr>
        <w:pStyle w:val="BodyText"/>
        <w:ind w:left="3566" w:right="4984" w:hanging="1"/>
        <w:jc w:val="center"/>
      </w:pPr>
      <w:r>
        <w:rPr/>
        <w:t>Richmond KY 40475 </w:t>
      </w:r>
      <w:hyperlink r:id="rId46">
        <w:r>
          <w:rPr>
            <w:color w:val="0000FF"/>
            <w:spacing w:val="-2"/>
            <w:u w:val="thick" w:color="0000FF"/>
          </w:rPr>
          <w:t>Stephen.Shackelford@eku.edu</w:t>
        </w:r>
      </w:hyperlink>
      <w:r>
        <w:rPr>
          <w:color w:val="0000FF"/>
          <w:spacing w:val="-2"/>
          <w:u w:val="none"/>
        </w:rPr>
        <w:t> </w:t>
      </w:r>
      <w:r>
        <w:rPr>
          <w:spacing w:val="-2"/>
          <w:u w:val="none"/>
        </w:rPr>
        <w:t>859-622-4984</w:t>
      </w:r>
    </w:p>
    <w:p>
      <w:pPr>
        <w:pStyle w:val="BodyText"/>
      </w:pPr>
    </w:p>
    <w:p>
      <w:pPr>
        <w:pStyle w:val="BodyText"/>
        <w:ind w:left="731" w:right="1191"/>
      </w:pPr>
      <w:r>
        <w:rPr/>
        <w:t>Key</w:t>
      </w:r>
      <w:r>
        <w:rPr>
          <w:spacing w:val="-4"/>
        </w:rPr>
        <w:t> </w:t>
      </w:r>
      <w:r>
        <w:rPr/>
        <w:t>words:</w:t>
      </w:r>
      <w:r>
        <w:rPr>
          <w:spacing w:val="-4"/>
        </w:rPr>
        <w:t> </w:t>
      </w:r>
      <w:r>
        <w:rPr/>
        <w:t>AI</w:t>
      </w:r>
      <w:r>
        <w:rPr>
          <w:spacing w:val="-4"/>
        </w:rPr>
        <w:t> </w:t>
      </w:r>
      <w:r>
        <w:rPr/>
        <w:t>adoption;</w:t>
      </w:r>
      <w:r>
        <w:rPr>
          <w:spacing w:val="-4"/>
        </w:rPr>
        <w:t> </w:t>
      </w:r>
      <w:r>
        <w:rPr/>
        <w:t>rural</w:t>
      </w:r>
      <w:r>
        <w:rPr>
          <w:spacing w:val="-4"/>
        </w:rPr>
        <w:t> </w:t>
      </w:r>
      <w:r>
        <w:rPr/>
        <w:t>innovation;</w:t>
      </w:r>
      <w:r>
        <w:rPr>
          <w:spacing w:val="-4"/>
        </w:rPr>
        <w:t> </w:t>
      </w:r>
      <w:r>
        <w:rPr/>
        <w:t>digital</w:t>
      </w:r>
      <w:r>
        <w:rPr>
          <w:spacing w:val="-4"/>
        </w:rPr>
        <w:t> </w:t>
      </w:r>
      <w:r>
        <w:rPr/>
        <w:t>transformation;</w:t>
      </w:r>
      <w:r>
        <w:rPr>
          <w:spacing w:val="-4"/>
        </w:rPr>
        <w:t> </w:t>
      </w:r>
      <w:r>
        <w:rPr/>
        <w:t>small</w:t>
      </w:r>
      <w:r>
        <w:rPr>
          <w:spacing w:val="-4"/>
        </w:rPr>
        <w:t> </w:t>
      </w:r>
      <w:r>
        <w:rPr/>
        <w:t>business</w:t>
      </w:r>
      <w:r>
        <w:rPr>
          <w:spacing w:val="-4"/>
        </w:rPr>
        <w:t> </w:t>
      </w:r>
      <w:r>
        <w:rPr/>
        <w:t>development; educational technology</w:t>
      </w:r>
    </w:p>
    <w:p>
      <w:pPr>
        <w:pStyle w:val="BodyText"/>
      </w:pPr>
    </w:p>
    <w:p>
      <w:pPr>
        <w:pStyle w:val="BodyText"/>
        <w:spacing w:before="165"/>
      </w:pPr>
    </w:p>
    <w:p>
      <w:pPr>
        <w:pStyle w:val="Heading4"/>
        <w:spacing w:before="1"/>
        <w:ind w:left="701"/>
      </w:pPr>
      <w:r>
        <w:rPr>
          <w:spacing w:val="-2"/>
        </w:rPr>
        <w:t>Introduction</w:t>
      </w:r>
    </w:p>
    <w:p>
      <w:pPr>
        <w:pStyle w:val="BodyText"/>
        <w:spacing w:line="264" w:lineRule="auto" w:before="236"/>
        <w:ind w:left="701" w:right="1812"/>
        <w:jc w:val="both"/>
      </w:pPr>
      <w:r>
        <w:rPr/>
        <w:t>Artificial Intelligence (AI) continues to reshape business and education across the </w:t>
      </w:r>
      <w:r>
        <w:rPr/>
        <w:t>United States, with transformative potential even in historically underserved regions such as Appalachia. Small businesses and educational institutions in Kentucky and neighboring</w:t>
      </w:r>
      <w:r>
        <w:rPr>
          <w:spacing w:val="80"/>
        </w:rPr>
        <w:t> </w:t>
      </w:r>
      <w:r>
        <w:rPr/>
        <w:t>states have only begun to explore the</w:t>
      </w:r>
      <w:r>
        <w:rPr>
          <w:spacing w:val="-2"/>
        </w:rPr>
        <w:t> </w:t>
      </w:r>
      <w:r>
        <w:rPr/>
        <w:t>promise</w:t>
      </w:r>
      <w:r>
        <w:rPr>
          <w:spacing w:val="-2"/>
        </w:rPr>
        <w:t> </w:t>
      </w:r>
      <w:r>
        <w:rPr/>
        <w:t>of</w:t>
      </w:r>
      <w:r>
        <w:rPr>
          <w:spacing w:val="-2"/>
        </w:rPr>
        <w:t> </w:t>
      </w:r>
      <w:r>
        <w:rPr/>
        <w:t>AI</w:t>
      </w:r>
      <w:r>
        <w:rPr>
          <w:spacing w:val="-2"/>
        </w:rPr>
        <w:t> </w:t>
      </w:r>
      <w:r>
        <w:rPr/>
        <w:t>agents,</w:t>
      </w:r>
      <w:r>
        <w:rPr>
          <w:spacing w:val="-2"/>
        </w:rPr>
        <w:t> </w:t>
      </w:r>
      <w:r>
        <w:rPr/>
        <w:t>automation,</w:t>
      </w:r>
      <w:r>
        <w:rPr>
          <w:spacing w:val="-2"/>
        </w:rPr>
        <w:t> </w:t>
      </w:r>
      <w:r>
        <w:rPr/>
        <w:t>and</w:t>
      </w:r>
      <w:r>
        <w:rPr>
          <w:spacing w:val="-2"/>
        </w:rPr>
        <w:t> </w:t>
      </w:r>
      <w:r>
        <w:rPr/>
        <w:t>digital</w:t>
      </w:r>
      <w:r>
        <w:rPr>
          <w:spacing w:val="-2"/>
        </w:rPr>
        <w:t> </w:t>
      </w:r>
      <w:r>
        <w:rPr/>
        <w:t>tools</w:t>
      </w:r>
      <w:r>
        <w:rPr>
          <w:spacing w:val="40"/>
        </w:rPr>
        <w:t> </w:t>
      </w:r>
      <w:r>
        <w:rPr/>
        <w:t>for streamlining operations, reducing costs, and expanding access to knowledge. This</w:t>
      </w:r>
      <w:r>
        <w:rPr>
          <w:spacing w:val="40"/>
        </w:rPr>
        <w:t> </w:t>
      </w:r>
      <w:r>
        <w:rPr/>
        <w:t>paper investigates how rural organizations can benefit from AI, compares costs versus</w:t>
      </w:r>
      <w:r>
        <w:rPr>
          <w:spacing w:val="40"/>
        </w:rPr>
        <w:t> </w:t>
      </w:r>
      <w:r>
        <w:rPr/>
        <w:t>human labor, and introduces a framework for community-based training in building</w:t>
      </w:r>
      <w:r>
        <w:rPr>
          <w:spacing w:val="40"/>
        </w:rPr>
        <w:t> </w:t>
      </w:r>
      <w:r>
        <w:rPr/>
        <w:t>custom AI </w:t>
      </w:r>
      <w:r>
        <w:rPr>
          <w:spacing w:val="-2"/>
        </w:rPr>
        <w:t>agents.</w:t>
      </w:r>
    </w:p>
    <w:p>
      <w:pPr>
        <w:pStyle w:val="Heading4"/>
        <w:spacing w:before="216"/>
        <w:ind w:left="701"/>
      </w:pPr>
      <w:r>
        <w:rPr/>
        <w:t>Literature</w:t>
      </w:r>
      <w:r>
        <w:rPr>
          <w:spacing w:val="-5"/>
        </w:rPr>
        <w:t> </w:t>
      </w:r>
      <w:r>
        <w:rPr>
          <w:spacing w:val="-2"/>
        </w:rPr>
        <w:t>Review</w:t>
      </w:r>
    </w:p>
    <w:p>
      <w:pPr>
        <w:pStyle w:val="BodyText"/>
        <w:spacing w:line="264" w:lineRule="auto" w:before="238"/>
        <w:ind w:left="701" w:right="1811"/>
        <w:jc w:val="both"/>
      </w:pPr>
      <w:r>
        <w:rPr/>
        <w:t>AI integration among small and medium-sized businesses (SMBs) is associated </w:t>
      </w:r>
      <w:r>
        <w:rPr/>
        <w:t>with increased productivity, marketing precision, and customer engagement (Brynjolfsson, Li,</w:t>
      </w:r>
      <w:r>
        <w:rPr>
          <w:spacing w:val="40"/>
        </w:rPr>
        <w:t> </w:t>
      </w:r>
      <w:r>
        <w:rPr/>
        <w:t>&amp; Raymond, 2025). Hartmann et al. (2024) argues that low digital literacy and perceived complexity</w:t>
      </w:r>
      <w:r>
        <w:rPr>
          <w:spacing w:val="-3"/>
        </w:rPr>
        <w:t> </w:t>
      </w:r>
      <w:r>
        <w:rPr/>
        <w:t>hinder</w:t>
      </w:r>
      <w:r>
        <w:rPr>
          <w:spacing w:val="-3"/>
        </w:rPr>
        <w:t> </w:t>
      </w:r>
      <w:r>
        <w:rPr/>
        <w:t>AI</w:t>
      </w:r>
      <w:r>
        <w:rPr>
          <w:spacing w:val="-3"/>
        </w:rPr>
        <w:t> </w:t>
      </w:r>
      <w:r>
        <w:rPr/>
        <w:t>adoption</w:t>
      </w:r>
      <w:r>
        <w:rPr>
          <w:spacing w:val="-3"/>
        </w:rPr>
        <w:t> </w:t>
      </w:r>
      <w:r>
        <w:rPr/>
        <w:t>among</w:t>
      </w:r>
      <w:r>
        <w:rPr>
          <w:spacing w:val="-3"/>
        </w:rPr>
        <w:t> </w:t>
      </w:r>
      <w:r>
        <w:rPr/>
        <w:t>rural</w:t>
      </w:r>
      <w:r>
        <w:rPr>
          <w:spacing w:val="-3"/>
        </w:rPr>
        <w:t> </w:t>
      </w:r>
      <w:r>
        <w:rPr/>
        <w:t>firms.</w:t>
      </w:r>
      <w:r>
        <w:rPr>
          <w:spacing w:val="-3"/>
        </w:rPr>
        <w:t> </w:t>
      </w:r>
      <w:r>
        <w:rPr/>
        <w:t>Studies</w:t>
      </w:r>
      <w:r>
        <w:rPr>
          <w:spacing w:val="-3"/>
        </w:rPr>
        <w:t> </w:t>
      </w:r>
      <w:r>
        <w:rPr/>
        <w:t>show</w:t>
      </w:r>
      <w:r>
        <w:rPr>
          <w:spacing w:val="-3"/>
        </w:rPr>
        <w:t> </w:t>
      </w:r>
      <w:r>
        <w:rPr/>
        <w:t>SMEs</w:t>
      </w:r>
      <w:r>
        <w:rPr>
          <w:spacing w:val="-3"/>
        </w:rPr>
        <w:t> </w:t>
      </w:r>
      <w:r>
        <w:rPr/>
        <w:t>in</w:t>
      </w:r>
      <w:r>
        <w:rPr>
          <w:spacing w:val="-3"/>
        </w:rPr>
        <w:t> </w:t>
      </w:r>
      <w:r>
        <w:rPr/>
        <w:t>tech-forward</w:t>
      </w:r>
      <w:r>
        <w:rPr>
          <w:spacing w:val="40"/>
        </w:rPr>
        <w:t> </w:t>
      </w:r>
      <w:r>
        <w:rPr/>
        <w:t>states like Texas report significant ROI from AI-driven automation, ranging from</w:t>
      </w:r>
      <w:r>
        <w:rPr>
          <w:spacing w:val="40"/>
        </w:rPr>
        <w:t> </w:t>
      </w:r>
      <w:r>
        <w:rPr/>
        <w:t>logistics to advertising (Dowell, Morris, &amp; Bowen, 2024). Meanwhile, Kentucky and</w:t>
      </w:r>
      <w:r>
        <w:rPr>
          <w:spacing w:val="40"/>
        </w:rPr>
        <w:t> </w:t>
      </w:r>
      <w:r>
        <w:rPr/>
        <w:t>similar Appalachian states lag in</w:t>
      </w:r>
      <w:r>
        <w:rPr>
          <w:spacing w:val="-3"/>
        </w:rPr>
        <w:t> </w:t>
      </w:r>
      <w:r>
        <w:rPr/>
        <w:t>digital</w:t>
      </w:r>
      <w:r>
        <w:rPr>
          <w:spacing w:val="-3"/>
        </w:rPr>
        <w:t> </w:t>
      </w:r>
      <w:r>
        <w:rPr/>
        <w:t>readiness,</w:t>
      </w:r>
      <w:r>
        <w:rPr>
          <w:spacing w:val="-3"/>
        </w:rPr>
        <w:t> </w:t>
      </w:r>
      <w:r>
        <w:rPr/>
        <w:t>despite</w:t>
      </w:r>
      <w:r>
        <w:rPr>
          <w:spacing w:val="-3"/>
        </w:rPr>
        <w:t> </w:t>
      </w:r>
      <w:r>
        <w:rPr/>
        <w:t>having</w:t>
      </w:r>
      <w:r>
        <w:rPr>
          <w:spacing w:val="-3"/>
        </w:rPr>
        <w:t> </w:t>
      </w:r>
      <w:r>
        <w:rPr/>
        <w:t>thousands</w:t>
      </w:r>
      <w:r>
        <w:rPr>
          <w:spacing w:val="-3"/>
        </w:rPr>
        <w:t> </w:t>
      </w:r>
      <w:r>
        <w:rPr/>
        <w:t>of</w:t>
      </w:r>
      <w:r>
        <w:rPr>
          <w:spacing w:val="-3"/>
        </w:rPr>
        <w:t> </w:t>
      </w:r>
      <w:r>
        <w:rPr/>
        <w:t>small</w:t>
      </w:r>
      <w:r>
        <w:rPr>
          <w:spacing w:val="40"/>
        </w:rPr>
        <w:t> </w:t>
      </w:r>
      <w:r>
        <w:rPr/>
        <w:t>businesses</w:t>
      </w:r>
      <w:r>
        <w:rPr>
          <w:spacing w:val="-3"/>
        </w:rPr>
        <w:t> </w:t>
      </w:r>
      <w:r>
        <w:rPr/>
        <w:t>that stand to benefit from AI adoption (Kentucky Chamber of Commerce,</w:t>
      </w:r>
      <w:r>
        <w:rPr>
          <w:spacing w:val="40"/>
        </w:rPr>
        <w:t> </w:t>
      </w:r>
      <w:r>
        <w:rPr/>
        <w:t>2025).</w:t>
      </w:r>
    </w:p>
    <w:p>
      <w:pPr>
        <w:pStyle w:val="BodyText"/>
        <w:spacing w:after="0" w:line="264" w:lineRule="auto"/>
        <w:jc w:val="both"/>
        <w:sectPr>
          <w:pgSz w:w="12240" w:h="15840"/>
          <w:pgMar w:header="0" w:footer="721" w:top="640" w:bottom="960" w:left="720" w:right="0"/>
        </w:sectPr>
      </w:pPr>
    </w:p>
    <w:p>
      <w:pPr>
        <w:pStyle w:val="Heading4"/>
        <w:spacing w:before="61"/>
        <w:ind w:left="701"/>
      </w:pPr>
      <w:r>
        <w:rPr>
          <w:spacing w:val="-2"/>
        </w:rPr>
        <w:t>Methodology</w:t>
      </w:r>
    </w:p>
    <w:p>
      <w:pPr>
        <w:pStyle w:val="BodyText"/>
        <w:spacing w:line="264" w:lineRule="auto" w:before="235"/>
        <w:ind w:left="701" w:right="1809"/>
        <w:jc w:val="both"/>
      </w:pPr>
      <w:r>
        <w:rPr/>
        <w:t>This study used a survey to assess AI adoption among Kentucky small and medium businesses (SMBs). A structured online questionnaire was developed and administered</w:t>
      </w:r>
      <w:r>
        <w:rPr>
          <w:spacing w:val="40"/>
        </w:rPr>
        <w:t> </w:t>
      </w:r>
      <w:r>
        <w:rPr/>
        <w:t>via Qualtrics. Business owners and managers across Kentucky were invited to participate</w:t>
      </w:r>
      <w:r>
        <w:rPr>
          <w:spacing w:val="40"/>
        </w:rPr>
        <w:t> </w:t>
      </w:r>
      <w:r>
        <w:rPr/>
        <w:t>through email and outreach by regional Chambers of Commerce. In total, the final</w:t>
      </w:r>
      <w:r>
        <w:rPr>
          <w:spacing w:val="40"/>
        </w:rPr>
        <w:t> </w:t>
      </w:r>
      <w:r>
        <w:rPr/>
        <w:t>sample comprised</w:t>
      </w:r>
      <w:r>
        <w:rPr>
          <w:spacing w:val="-3"/>
        </w:rPr>
        <w:t> </w:t>
      </w:r>
      <w:r>
        <w:rPr/>
        <w:t>17</w:t>
      </w:r>
      <w:r>
        <w:rPr>
          <w:spacing w:val="-3"/>
        </w:rPr>
        <w:t> </w:t>
      </w:r>
      <w:r>
        <w:rPr/>
        <w:t>Kentucky</w:t>
      </w:r>
      <w:r>
        <w:rPr>
          <w:spacing w:val="-3"/>
        </w:rPr>
        <w:t> </w:t>
      </w:r>
      <w:r>
        <w:rPr/>
        <w:t>SMBs</w:t>
      </w:r>
      <w:r>
        <w:rPr>
          <w:spacing w:val="-3"/>
        </w:rPr>
        <w:t> </w:t>
      </w:r>
      <w:r>
        <w:rPr/>
        <w:t>from</w:t>
      </w:r>
      <w:r>
        <w:rPr>
          <w:spacing w:val="-3"/>
        </w:rPr>
        <w:t> </w:t>
      </w:r>
      <w:r>
        <w:rPr/>
        <w:t>diverse</w:t>
      </w:r>
      <w:r>
        <w:rPr>
          <w:spacing w:val="-3"/>
        </w:rPr>
        <w:t> </w:t>
      </w:r>
      <w:r>
        <w:rPr/>
        <w:t>industries.</w:t>
      </w:r>
      <w:r>
        <w:rPr>
          <w:spacing w:val="-3"/>
        </w:rPr>
        <w:t> </w:t>
      </w:r>
      <w:r>
        <w:rPr/>
        <w:t>The</w:t>
      </w:r>
      <w:r>
        <w:rPr>
          <w:spacing w:val="-3"/>
        </w:rPr>
        <w:t> </w:t>
      </w:r>
      <w:r>
        <w:rPr/>
        <w:t>survey</w:t>
      </w:r>
      <w:r>
        <w:rPr>
          <w:spacing w:val="-3"/>
        </w:rPr>
        <w:t> </w:t>
      </w:r>
      <w:r>
        <w:rPr/>
        <w:t>instrument</w:t>
      </w:r>
      <w:r>
        <w:rPr>
          <w:spacing w:val="40"/>
        </w:rPr>
        <w:t> </w:t>
      </w:r>
      <w:r>
        <w:rPr/>
        <w:t>was</w:t>
      </w:r>
      <w:r>
        <w:rPr>
          <w:spacing w:val="-3"/>
        </w:rPr>
        <w:t> </w:t>
      </w:r>
      <w:r>
        <w:rPr/>
        <w:t>organized into</w:t>
      </w:r>
      <w:r>
        <w:rPr>
          <w:spacing w:val="29"/>
        </w:rPr>
        <w:t> </w:t>
      </w:r>
      <w:r>
        <w:rPr/>
        <w:t>five</w:t>
      </w:r>
      <w:r>
        <w:rPr>
          <w:spacing w:val="29"/>
        </w:rPr>
        <w:t> </w:t>
      </w:r>
      <w:r>
        <w:rPr/>
        <w:t>sections:</w:t>
      </w:r>
      <w:r>
        <w:rPr>
          <w:spacing w:val="14"/>
        </w:rPr>
        <w:t> </w:t>
      </w:r>
      <w:r>
        <w:rPr/>
        <w:t>(1)</w:t>
      </w:r>
      <w:r>
        <w:rPr>
          <w:spacing w:val="14"/>
        </w:rPr>
        <w:t> </w:t>
      </w:r>
      <w:r>
        <w:rPr/>
        <w:t>Business</w:t>
      </w:r>
      <w:r>
        <w:rPr>
          <w:spacing w:val="14"/>
        </w:rPr>
        <w:t> </w:t>
      </w:r>
      <w:r>
        <w:rPr/>
        <w:t>Background</w:t>
      </w:r>
      <w:r>
        <w:rPr>
          <w:spacing w:val="15"/>
        </w:rPr>
        <w:t> </w:t>
      </w:r>
      <w:r>
        <w:rPr/>
        <w:t>(e.g.</w:t>
      </w:r>
      <w:r>
        <w:rPr>
          <w:spacing w:val="14"/>
        </w:rPr>
        <w:t> </w:t>
      </w:r>
      <w:r>
        <w:rPr/>
        <w:t>company</w:t>
      </w:r>
      <w:r>
        <w:rPr>
          <w:spacing w:val="14"/>
        </w:rPr>
        <w:t> </w:t>
      </w:r>
      <w:r>
        <w:rPr/>
        <w:t>size,</w:t>
      </w:r>
      <w:r>
        <w:rPr>
          <w:spacing w:val="14"/>
        </w:rPr>
        <w:t> </w:t>
      </w:r>
      <w:r>
        <w:rPr/>
        <w:t>sector,</w:t>
      </w:r>
      <w:r>
        <w:rPr>
          <w:spacing w:val="59"/>
          <w:w w:val="150"/>
        </w:rPr>
        <w:t> </w:t>
      </w:r>
      <w:r>
        <w:rPr/>
        <w:t>years</w:t>
      </w:r>
      <w:r>
        <w:rPr>
          <w:spacing w:val="14"/>
        </w:rPr>
        <w:t> </w:t>
      </w:r>
      <w:r>
        <w:rPr/>
        <w:t>in</w:t>
      </w:r>
      <w:r>
        <w:rPr>
          <w:spacing w:val="15"/>
        </w:rPr>
        <w:t> </w:t>
      </w:r>
      <w:r>
        <w:rPr>
          <w:spacing w:val="-2"/>
        </w:rPr>
        <w:t>operation);</w:t>
      </w:r>
    </w:p>
    <w:p>
      <w:pPr>
        <w:pStyle w:val="BodyText"/>
        <w:spacing w:line="264" w:lineRule="auto" w:before="3"/>
        <w:ind w:left="701" w:right="1810"/>
        <w:jc w:val="both"/>
      </w:pPr>
      <w:r>
        <w:rPr/>
        <w:t>(2) AI Adoption and Implementation (current use cases and tools);</w:t>
      </w:r>
      <w:r>
        <w:rPr>
          <w:spacing w:val="40"/>
        </w:rPr>
        <w:t> </w:t>
      </w:r>
      <w:r>
        <w:rPr/>
        <w:t>(3) Benefits </w:t>
      </w:r>
      <w:r>
        <w:rPr/>
        <w:t>and Challenges of AI (perceived outcomes and barriers); (4) Future Plans and Attitudes Toward AI (intentions, readiness, ethical concerns); and (5) Open-Ended Feedback (qualitative</w:t>
      </w:r>
      <w:r>
        <w:rPr>
          <w:spacing w:val="40"/>
        </w:rPr>
        <w:t> </w:t>
      </w:r>
      <w:r>
        <w:rPr/>
        <w:t>input). Key question factors included which</w:t>
      </w:r>
      <w:r>
        <w:rPr>
          <w:spacing w:val="-3"/>
        </w:rPr>
        <w:t> </w:t>
      </w:r>
      <w:r>
        <w:rPr/>
        <w:t>AI</w:t>
      </w:r>
      <w:r>
        <w:rPr>
          <w:spacing w:val="-3"/>
        </w:rPr>
        <w:t> </w:t>
      </w:r>
      <w:r>
        <w:rPr/>
        <w:t>tools</w:t>
      </w:r>
      <w:r>
        <w:rPr>
          <w:spacing w:val="-3"/>
        </w:rPr>
        <w:t> </w:t>
      </w:r>
      <w:r>
        <w:rPr/>
        <w:t>(such</w:t>
      </w:r>
      <w:r>
        <w:rPr>
          <w:spacing w:val="-3"/>
        </w:rPr>
        <w:t> </w:t>
      </w:r>
      <w:r>
        <w:rPr/>
        <w:t>as</w:t>
      </w:r>
      <w:r>
        <w:rPr>
          <w:spacing w:val="-3"/>
        </w:rPr>
        <w:t> </w:t>
      </w:r>
      <w:r>
        <w:rPr/>
        <w:t>chatbots,</w:t>
      </w:r>
      <w:r>
        <w:rPr>
          <w:spacing w:val="-3"/>
        </w:rPr>
        <w:t> </w:t>
      </w:r>
      <w:r>
        <w:rPr/>
        <w:t>analytics,</w:t>
      </w:r>
      <w:r>
        <w:rPr>
          <w:spacing w:val="-3"/>
        </w:rPr>
        <w:t> </w:t>
      </w:r>
      <w:r>
        <w:rPr/>
        <w:t>automation software) businesses</w:t>
      </w:r>
      <w:r>
        <w:rPr>
          <w:spacing w:val="-3"/>
        </w:rPr>
        <w:t> </w:t>
      </w:r>
      <w:r>
        <w:rPr/>
        <w:t>are</w:t>
      </w:r>
      <w:r>
        <w:rPr>
          <w:spacing w:val="-3"/>
        </w:rPr>
        <w:t> </w:t>
      </w:r>
      <w:r>
        <w:rPr/>
        <w:t>using</w:t>
      </w:r>
      <w:r>
        <w:rPr>
          <w:spacing w:val="-3"/>
        </w:rPr>
        <w:t> </w:t>
      </w:r>
      <w:r>
        <w:rPr/>
        <w:t>or</w:t>
      </w:r>
      <w:r>
        <w:rPr>
          <w:spacing w:val="-3"/>
        </w:rPr>
        <w:t> </w:t>
      </w:r>
      <w:r>
        <w:rPr/>
        <w:t>considering,</w:t>
      </w:r>
      <w:r>
        <w:rPr>
          <w:spacing w:val="-3"/>
        </w:rPr>
        <w:t> </w:t>
      </w:r>
      <w:r>
        <w:rPr/>
        <w:t>how</w:t>
      </w:r>
      <w:r>
        <w:rPr>
          <w:spacing w:val="-3"/>
        </w:rPr>
        <w:t> </w:t>
      </w:r>
      <w:r>
        <w:rPr/>
        <w:t>they</w:t>
      </w:r>
      <w:r>
        <w:rPr>
          <w:spacing w:val="-3"/>
        </w:rPr>
        <w:t> </w:t>
      </w:r>
      <w:r>
        <w:rPr/>
        <w:t>perceive</w:t>
      </w:r>
      <w:r>
        <w:rPr>
          <w:spacing w:val="-3"/>
        </w:rPr>
        <w:t> </w:t>
      </w:r>
      <w:r>
        <w:rPr/>
        <w:t>costs</w:t>
      </w:r>
      <w:r>
        <w:rPr>
          <w:spacing w:val="-3"/>
        </w:rPr>
        <w:t> </w:t>
      </w:r>
      <w:r>
        <w:rPr/>
        <w:t>and</w:t>
      </w:r>
      <w:r>
        <w:rPr>
          <w:spacing w:val="-3"/>
        </w:rPr>
        <w:t> </w:t>
      </w:r>
      <w:r>
        <w:rPr/>
        <w:t>benefits,</w:t>
      </w:r>
      <w:r>
        <w:rPr>
          <w:spacing w:val="-3"/>
        </w:rPr>
        <w:t> </w:t>
      </w:r>
      <w:r>
        <w:rPr/>
        <w:t>and</w:t>
      </w:r>
      <w:r>
        <w:rPr>
          <w:spacing w:val="-3"/>
        </w:rPr>
        <w:t> </w:t>
      </w:r>
      <w:r>
        <w:rPr/>
        <w:t>what types of support (training, funding) they desire. Respondent anonymity was preserved, and quantitative data were analyzed with</w:t>
      </w:r>
      <w:r>
        <w:rPr>
          <w:spacing w:val="-3"/>
        </w:rPr>
        <w:t> </w:t>
      </w:r>
      <w:r>
        <w:rPr/>
        <w:t>descriptive</w:t>
      </w:r>
      <w:r>
        <w:rPr>
          <w:spacing w:val="-3"/>
        </w:rPr>
        <w:t> </w:t>
      </w:r>
      <w:r>
        <w:rPr/>
        <w:t>statistics</w:t>
      </w:r>
      <w:r>
        <w:rPr>
          <w:spacing w:val="-3"/>
        </w:rPr>
        <w:t> </w:t>
      </w:r>
      <w:r>
        <w:rPr/>
        <w:t>to</w:t>
      </w:r>
      <w:r>
        <w:rPr>
          <w:spacing w:val="-3"/>
        </w:rPr>
        <w:t> </w:t>
      </w:r>
      <w:r>
        <w:rPr/>
        <w:t>identify</w:t>
      </w:r>
      <w:r>
        <w:rPr>
          <w:spacing w:val="-3"/>
        </w:rPr>
        <w:t> </w:t>
      </w:r>
      <w:r>
        <w:rPr/>
        <w:t>adoption</w:t>
      </w:r>
      <w:r>
        <w:rPr>
          <w:spacing w:val="-3"/>
        </w:rPr>
        <w:t> </w:t>
      </w:r>
      <w:r>
        <w:rPr/>
        <w:t>patterns,</w:t>
      </w:r>
      <w:r>
        <w:rPr>
          <w:spacing w:val="-3"/>
        </w:rPr>
        <w:t> </w:t>
      </w:r>
      <w:r>
        <w:rPr/>
        <w:t>while open-ended responses were</w:t>
      </w:r>
      <w:r>
        <w:rPr>
          <w:spacing w:val="40"/>
        </w:rPr>
        <w:t> </w:t>
      </w:r>
      <w:r>
        <w:rPr/>
        <w:t>coded thematically for insight.</w:t>
      </w:r>
    </w:p>
    <w:p>
      <w:pPr>
        <w:pStyle w:val="Heading4"/>
        <w:spacing w:before="219"/>
        <w:ind w:left="701"/>
      </w:pPr>
      <w:r>
        <w:rPr/>
        <w:t>Results and </w:t>
      </w:r>
      <w:r>
        <w:rPr>
          <w:spacing w:val="-2"/>
        </w:rPr>
        <w:t>Implications</w:t>
      </w:r>
    </w:p>
    <w:p>
      <w:pPr>
        <w:pStyle w:val="BodyText"/>
        <w:spacing w:line="264" w:lineRule="auto" w:before="236"/>
        <w:ind w:left="701" w:right="1900"/>
        <w:jc w:val="both"/>
      </w:pPr>
      <w:r>
        <w:rPr/>
        <w:t>Survey results indicated that less than 10% of respondents currently use AI tools, but</w:t>
      </w:r>
      <w:r>
        <w:rPr>
          <w:spacing w:val="40"/>
        </w:rPr>
        <w:t> </w:t>
      </w:r>
      <w:r>
        <w:rPr/>
        <w:t>over 60% expressed interest in training programs. Common applications include</w:t>
      </w:r>
      <w:r>
        <w:rPr>
          <w:spacing w:val="40"/>
        </w:rPr>
        <w:t> </w:t>
      </w:r>
      <w:r>
        <w:rPr/>
        <w:t>customer support chatbots, AI-driven marketing content generation (e.g. social media</w:t>
      </w:r>
      <w:r>
        <w:rPr>
          <w:spacing w:val="40"/>
        </w:rPr>
        <w:t> </w:t>
      </w:r>
      <w:r>
        <w:rPr/>
        <w:t>ads), and operational automation (inventory management, scheduling, basic accounting</w:t>
      </w:r>
      <w:r>
        <w:rPr>
          <w:spacing w:val="40"/>
        </w:rPr>
        <w:t> </w:t>
      </w:r>
      <w:r>
        <w:rPr/>
        <w:t>tasks). Respondents who had adopted AI reported improvements in efficiency (e.g.</w:t>
      </w:r>
      <w:r>
        <w:rPr>
          <w:spacing w:val="40"/>
        </w:rPr>
        <w:t> </w:t>
      </w:r>
      <w:r>
        <w:rPr/>
        <w:t>reduced response time to customer inquiries) and workload (automated data entry freed</w:t>
      </w:r>
      <w:r>
        <w:rPr>
          <w:spacing w:val="80"/>
        </w:rPr>
        <w:t> </w:t>
      </w:r>
      <w:r>
        <w:rPr/>
        <w:t>staff to focus on higher-level tasks). Over 80% of adopters anticipated at least moderate</w:t>
      </w:r>
      <w:r>
        <w:rPr>
          <w:spacing w:val="40"/>
        </w:rPr>
        <w:t> </w:t>
      </w:r>
      <w:r>
        <w:rPr/>
        <w:t>productivity gains from their AI tools.</w:t>
      </w:r>
    </w:p>
    <w:p>
      <w:pPr>
        <w:pStyle w:val="BodyText"/>
        <w:spacing w:line="264" w:lineRule="auto" w:before="218"/>
        <w:ind w:left="701" w:right="1794"/>
        <w:jc w:val="both"/>
      </w:pPr>
      <w:r>
        <w:rPr/>
        <w:t>Key barriers included cost uncertainty, lack of technical expertise, and skepticism about replacing human judgment. Several</w:t>
      </w:r>
      <w:r>
        <w:rPr>
          <w:spacing w:val="-3"/>
        </w:rPr>
        <w:t> </w:t>
      </w:r>
      <w:r>
        <w:rPr/>
        <w:t>mentioned</w:t>
      </w:r>
      <w:r>
        <w:rPr>
          <w:spacing w:val="-3"/>
        </w:rPr>
        <w:t> </w:t>
      </w:r>
      <w:r>
        <w:rPr/>
        <w:t>infrastructure</w:t>
      </w:r>
      <w:r>
        <w:rPr>
          <w:spacing w:val="-3"/>
        </w:rPr>
        <w:t> </w:t>
      </w:r>
      <w:r>
        <w:rPr/>
        <w:t>limits,</w:t>
      </w:r>
      <w:r>
        <w:rPr>
          <w:spacing w:val="-3"/>
        </w:rPr>
        <w:t> </w:t>
      </w:r>
      <w:r>
        <w:rPr/>
        <w:t>noting</w:t>
      </w:r>
      <w:r>
        <w:rPr>
          <w:spacing w:val="-3"/>
        </w:rPr>
        <w:t> </w:t>
      </w:r>
      <w:r>
        <w:rPr/>
        <w:t>that</w:t>
      </w:r>
      <w:r>
        <w:rPr>
          <w:spacing w:val="-3"/>
        </w:rPr>
        <w:t> </w:t>
      </w:r>
      <w:r>
        <w:rPr/>
        <w:t>slow</w:t>
      </w:r>
      <w:r>
        <w:rPr>
          <w:spacing w:val="40"/>
        </w:rPr>
        <w:t> </w:t>
      </w:r>
      <w:r>
        <w:rPr/>
        <w:t>internet can make cloud-based AI impractical. Others expressed concerns about data privacy and</w:t>
      </w:r>
      <w:r>
        <w:rPr>
          <w:spacing w:val="-3"/>
        </w:rPr>
        <w:t> </w:t>
      </w:r>
      <w:r>
        <w:rPr/>
        <w:t>the ethical use of</w:t>
      </w:r>
      <w:r>
        <w:rPr>
          <w:spacing w:val="-2"/>
        </w:rPr>
        <w:t> </w:t>
      </w:r>
      <w:r>
        <w:rPr/>
        <w:t>AI</w:t>
      </w:r>
      <w:r>
        <w:rPr>
          <w:spacing w:val="-2"/>
        </w:rPr>
        <w:t> </w:t>
      </w:r>
      <w:r>
        <w:rPr/>
        <w:t>(e.g.</w:t>
      </w:r>
      <w:r>
        <w:rPr>
          <w:spacing w:val="-2"/>
        </w:rPr>
        <w:t> </w:t>
      </w:r>
      <w:r>
        <w:rPr/>
        <w:t>ensuring</w:t>
      </w:r>
      <w:r>
        <w:rPr>
          <w:spacing w:val="-2"/>
        </w:rPr>
        <w:t> </w:t>
      </w:r>
      <w:r>
        <w:rPr/>
        <w:t>customer</w:t>
      </w:r>
      <w:r>
        <w:rPr>
          <w:spacing w:val="-2"/>
        </w:rPr>
        <w:t> </w:t>
      </w:r>
      <w:r>
        <w:rPr/>
        <w:t>information</w:t>
      </w:r>
      <w:r>
        <w:rPr>
          <w:spacing w:val="-2"/>
        </w:rPr>
        <w:t> </w:t>
      </w:r>
      <w:r>
        <w:rPr/>
        <w:t>is</w:t>
      </w:r>
      <w:r>
        <w:rPr>
          <w:spacing w:val="-2"/>
        </w:rPr>
        <w:t> </w:t>
      </w:r>
      <w:r>
        <w:rPr/>
        <w:t>protected).</w:t>
      </w:r>
      <w:r>
        <w:rPr>
          <w:spacing w:val="-2"/>
        </w:rPr>
        <w:t> </w:t>
      </w:r>
      <w:r>
        <w:rPr/>
        <w:t>These</w:t>
      </w:r>
      <w:r>
        <w:rPr>
          <w:spacing w:val="40"/>
        </w:rPr>
        <w:t> </w:t>
      </w:r>
      <w:r>
        <w:rPr/>
        <w:t>findings</w:t>
      </w:r>
      <w:r>
        <w:rPr>
          <w:spacing w:val="-2"/>
        </w:rPr>
        <w:t> </w:t>
      </w:r>
      <w:r>
        <w:rPr/>
        <w:t>mirror</w:t>
      </w:r>
      <w:r>
        <w:rPr>
          <w:spacing w:val="-2"/>
        </w:rPr>
        <w:t> </w:t>
      </w:r>
      <w:r>
        <w:rPr/>
        <w:t>the literature: Sánchez et al. (2025) emphasize that small firms often lack</w:t>
      </w:r>
      <w:r>
        <w:rPr>
          <w:spacing w:val="40"/>
        </w:rPr>
        <w:t> </w:t>
      </w:r>
      <w:r>
        <w:rPr/>
        <w:t>technical talent and face high initial implementation costs (</w:t>
      </w:r>
      <w:r>
        <w:rPr>
          <w:u w:val="thick"/>
        </w:rPr>
        <w:t>mdpi.com</w:t>
      </w:r>
      <w:r>
        <w:rPr>
          <w:u w:val="none"/>
        </w:rPr>
        <w:t>). Likewise, the</w:t>
      </w:r>
      <w:r>
        <w:rPr>
          <w:spacing w:val="40"/>
          <w:u w:val="none"/>
        </w:rPr>
        <w:t> </w:t>
      </w:r>
      <w:r>
        <w:rPr>
          <w:u w:val="none"/>
        </w:rPr>
        <w:t>SBA notes that many</w:t>
      </w:r>
      <w:r>
        <w:rPr>
          <w:spacing w:val="40"/>
          <w:u w:val="none"/>
        </w:rPr>
        <w:t> </w:t>
      </w:r>
      <w:r>
        <w:rPr>
          <w:u w:val="none"/>
        </w:rPr>
        <w:t>micro-firms still view AI as nonessential (U.S. SBA, 2025).</w:t>
      </w:r>
    </w:p>
    <w:p>
      <w:pPr>
        <w:pStyle w:val="BodyText"/>
        <w:spacing w:line="264" w:lineRule="auto" w:before="216"/>
        <w:ind w:left="701" w:right="1619"/>
      </w:pPr>
      <w:r>
        <w:rPr/>
        <w:t>The</w:t>
      </w:r>
      <w:r>
        <w:rPr>
          <w:spacing w:val="40"/>
        </w:rPr>
        <w:t> </w:t>
      </w:r>
      <w:r>
        <w:rPr/>
        <w:t>implications</w:t>
      </w:r>
      <w:r>
        <w:rPr>
          <w:spacing w:val="40"/>
        </w:rPr>
        <w:t> </w:t>
      </w:r>
      <w:r>
        <w:rPr/>
        <w:t>of</w:t>
      </w:r>
      <w:r>
        <w:rPr>
          <w:spacing w:val="40"/>
        </w:rPr>
        <w:t> </w:t>
      </w:r>
      <w:r>
        <w:rPr/>
        <w:t>these</w:t>
      </w:r>
      <w:r>
        <w:rPr>
          <w:spacing w:val="40"/>
        </w:rPr>
        <w:t> </w:t>
      </w:r>
      <w:r>
        <w:rPr/>
        <w:t>results</w:t>
      </w:r>
      <w:r>
        <w:rPr>
          <w:spacing w:val="40"/>
        </w:rPr>
        <w:t> </w:t>
      </w:r>
      <w:r>
        <w:rPr/>
        <w:t>point</w:t>
      </w:r>
      <w:r>
        <w:rPr>
          <w:spacing w:val="40"/>
        </w:rPr>
        <w:t> </w:t>
      </w:r>
      <w:r>
        <w:rPr/>
        <w:t>to</w:t>
      </w:r>
      <w:r>
        <w:rPr>
          <w:spacing w:val="40"/>
        </w:rPr>
        <w:t> </w:t>
      </w:r>
      <w:r>
        <w:rPr/>
        <w:t>actionable</w:t>
      </w:r>
      <w:r>
        <w:rPr>
          <w:spacing w:val="40"/>
        </w:rPr>
        <w:t> </w:t>
      </w:r>
      <w:r>
        <w:rPr/>
        <w:t>strategies:</w:t>
      </w:r>
      <w:r>
        <w:rPr>
          <w:spacing w:val="40"/>
        </w:rPr>
        <w:t> </w:t>
      </w:r>
      <w:r>
        <w:rPr/>
        <w:t>rural</w:t>
      </w:r>
      <w:r>
        <w:rPr>
          <w:spacing w:val="40"/>
        </w:rPr>
        <w:t> </w:t>
      </w:r>
      <w:r>
        <w:rPr/>
        <w:t>Appalachia</w:t>
      </w:r>
      <w:r>
        <w:rPr>
          <w:spacing w:val="27"/>
        </w:rPr>
        <w:t> </w:t>
      </w:r>
      <w:r>
        <w:rPr/>
        <w:t>can capitalize on AI by expanding support and resources. Key recommendations include:</w:t>
      </w:r>
    </w:p>
    <w:p>
      <w:pPr>
        <w:pStyle w:val="BodyText"/>
        <w:spacing w:before="7"/>
      </w:pPr>
    </w:p>
    <w:p>
      <w:pPr>
        <w:pStyle w:val="ListParagraph"/>
        <w:numPr>
          <w:ilvl w:val="0"/>
          <w:numId w:val="2"/>
        </w:numPr>
        <w:tabs>
          <w:tab w:pos="1602" w:val="left" w:leader="none"/>
        </w:tabs>
        <w:spacing w:line="331" w:lineRule="auto" w:before="0" w:after="0"/>
        <w:ind w:left="1451" w:right="2671" w:firstLine="0"/>
        <w:jc w:val="left"/>
        <w:rPr>
          <w:sz w:val="24"/>
        </w:rPr>
      </w:pPr>
      <w:r>
        <w:rPr>
          <w:sz w:val="24"/>
        </w:rPr>
        <w:t>Expand Infrastructure: Improve rural broadband through state and </w:t>
      </w:r>
      <w:r>
        <w:rPr>
          <w:sz w:val="24"/>
        </w:rPr>
        <w:t>federal initiatives, as robust internet access is essential for most AI tools.</w:t>
      </w:r>
    </w:p>
    <w:p>
      <w:pPr>
        <w:pStyle w:val="ListParagraph"/>
        <w:numPr>
          <w:ilvl w:val="0"/>
          <w:numId w:val="2"/>
        </w:numPr>
        <w:tabs>
          <w:tab w:pos="1587" w:val="left" w:leader="none"/>
        </w:tabs>
        <w:spacing w:line="240" w:lineRule="auto" w:before="207" w:after="0"/>
        <w:ind w:left="1587" w:right="0" w:hanging="136"/>
        <w:jc w:val="left"/>
        <w:rPr>
          <w:sz w:val="24"/>
        </w:rPr>
      </w:pPr>
      <w:r>
        <w:rPr>
          <w:sz w:val="24"/>
        </w:rPr>
        <w:t>Provide</w:t>
      </w:r>
      <w:r>
        <w:rPr>
          <w:spacing w:val="13"/>
          <w:sz w:val="24"/>
        </w:rPr>
        <w:t> </w:t>
      </w:r>
      <w:r>
        <w:rPr>
          <w:sz w:val="24"/>
        </w:rPr>
        <w:t>Training:</w:t>
      </w:r>
      <w:r>
        <w:rPr>
          <w:spacing w:val="13"/>
          <w:sz w:val="24"/>
        </w:rPr>
        <w:t> </w:t>
      </w:r>
      <w:r>
        <w:rPr>
          <w:sz w:val="24"/>
        </w:rPr>
        <w:t>Offer</w:t>
      </w:r>
      <w:r>
        <w:rPr>
          <w:spacing w:val="13"/>
          <w:sz w:val="24"/>
        </w:rPr>
        <w:t> </w:t>
      </w:r>
      <w:r>
        <w:rPr>
          <w:sz w:val="24"/>
        </w:rPr>
        <w:t>targeted</w:t>
      </w:r>
      <w:r>
        <w:rPr>
          <w:spacing w:val="13"/>
          <w:sz w:val="24"/>
        </w:rPr>
        <w:t> </w:t>
      </w:r>
      <w:r>
        <w:rPr>
          <w:sz w:val="24"/>
        </w:rPr>
        <w:t>AI</w:t>
      </w:r>
      <w:r>
        <w:rPr>
          <w:spacing w:val="13"/>
          <w:sz w:val="24"/>
        </w:rPr>
        <w:t> </w:t>
      </w:r>
      <w:r>
        <w:rPr>
          <w:sz w:val="24"/>
        </w:rPr>
        <w:t>workshops</w:t>
      </w:r>
      <w:r>
        <w:rPr>
          <w:spacing w:val="13"/>
          <w:sz w:val="24"/>
        </w:rPr>
        <w:t> </w:t>
      </w:r>
      <w:r>
        <w:rPr>
          <w:sz w:val="24"/>
        </w:rPr>
        <w:t>and</w:t>
      </w:r>
      <w:r>
        <w:rPr>
          <w:spacing w:val="13"/>
          <w:sz w:val="24"/>
        </w:rPr>
        <w:t> </w:t>
      </w:r>
      <w:r>
        <w:rPr>
          <w:sz w:val="24"/>
        </w:rPr>
        <w:t>mentoring</w:t>
      </w:r>
      <w:r>
        <w:rPr>
          <w:spacing w:val="13"/>
          <w:sz w:val="24"/>
        </w:rPr>
        <w:t> </w:t>
      </w:r>
      <w:r>
        <w:rPr>
          <w:sz w:val="24"/>
        </w:rPr>
        <w:t>for</w:t>
      </w:r>
      <w:r>
        <w:rPr>
          <w:spacing w:val="13"/>
          <w:sz w:val="24"/>
        </w:rPr>
        <w:t> </w:t>
      </w:r>
      <w:r>
        <w:rPr>
          <w:sz w:val="24"/>
        </w:rPr>
        <w:t>business</w:t>
      </w:r>
      <w:r>
        <w:rPr>
          <w:spacing w:val="-1"/>
          <w:sz w:val="24"/>
        </w:rPr>
        <w:t> </w:t>
      </w:r>
      <w:r>
        <w:rPr>
          <w:spacing w:val="-2"/>
          <w:sz w:val="24"/>
        </w:rPr>
        <w:t>owners</w:t>
      </w:r>
    </w:p>
    <w:p>
      <w:pPr>
        <w:pStyle w:val="BodyText"/>
        <w:spacing w:line="264" w:lineRule="auto" w:before="103"/>
        <w:ind w:left="1451" w:right="1619"/>
      </w:pPr>
      <w:r>
        <w:rPr/>
        <w:t>and</w:t>
      </w:r>
      <w:r>
        <w:rPr>
          <w:spacing w:val="40"/>
        </w:rPr>
        <w:t> </w:t>
      </w:r>
      <w:r>
        <w:rPr/>
        <w:t>educators.</w:t>
      </w:r>
      <w:r>
        <w:rPr>
          <w:spacing w:val="40"/>
        </w:rPr>
        <w:t> </w:t>
      </w:r>
      <w:r>
        <w:rPr/>
        <w:t>Research</w:t>
      </w:r>
      <w:r>
        <w:rPr>
          <w:spacing w:val="40"/>
        </w:rPr>
        <w:t> </w:t>
      </w:r>
      <w:r>
        <w:rPr/>
        <w:t>shows</w:t>
      </w:r>
      <w:r>
        <w:rPr>
          <w:spacing w:val="40"/>
        </w:rPr>
        <w:t> </w:t>
      </w:r>
      <w:r>
        <w:rPr/>
        <w:t>that</w:t>
      </w:r>
      <w:r>
        <w:rPr>
          <w:spacing w:val="40"/>
        </w:rPr>
        <w:t> </w:t>
      </w:r>
      <w:r>
        <w:rPr/>
        <w:t>hands-on</w:t>
      </w:r>
      <w:r>
        <w:rPr>
          <w:spacing w:val="40"/>
        </w:rPr>
        <w:t> </w:t>
      </w:r>
      <w:r>
        <w:rPr/>
        <w:t>training</w:t>
      </w:r>
      <w:r>
        <w:rPr>
          <w:spacing w:val="40"/>
        </w:rPr>
        <w:t> </w:t>
      </w:r>
      <w:r>
        <w:rPr/>
        <w:t>can</w:t>
      </w:r>
      <w:r>
        <w:rPr>
          <w:spacing w:val="40"/>
        </w:rPr>
        <w:t> </w:t>
      </w:r>
      <w:r>
        <w:rPr/>
        <w:t>significantly</w:t>
      </w:r>
      <w:r>
        <w:rPr>
          <w:spacing w:val="40"/>
        </w:rPr>
        <w:t> </w:t>
      </w:r>
      <w:r>
        <w:rPr/>
        <w:t>increase users’ confidence and willingness to experiment with AI (Kim &amp; Wargo, 2025).</w:t>
      </w:r>
    </w:p>
    <w:p>
      <w:pPr>
        <w:pStyle w:val="BodyText"/>
        <w:spacing w:before="10"/>
      </w:pPr>
    </w:p>
    <w:p>
      <w:pPr>
        <w:pStyle w:val="ListParagraph"/>
        <w:numPr>
          <w:ilvl w:val="0"/>
          <w:numId w:val="2"/>
        </w:numPr>
        <w:tabs>
          <w:tab w:pos="1691" w:val="left" w:leader="none"/>
        </w:tabs>
        <w:spacing w:line="240" w:lineRule="auto" w:before="0" w:after="0"/>
        <w:ind w:left="1691" w:right="0" w:hanging="240"/>
        <w:jc w:val="left"/>
        <w:rPr>
          <w:sz w:val="24"/>
        </w:rPr>
      </w:pPr>
      <w:r>
        <w:rPr>
          <w:sz w:val="24"/>
        </w:rPr>
        <w:t>Use</w:t>
      </w:r>
      <w:r>
        <w:rPr>
          <w:spacing w:val="25"/>
          <w:sz w:val="24"/>
        </w:rPr>
        <w:t>  </w:t>
      </w:r>
      <w:r>
        <w:rPr>
          <w:sz w:val="24"/>
        </w:rPr>
        <w:t>Accessible</w:t>
      </w:r>
      <w:r>
        <w:rPr>
          <w:spacing w:val="27"/>
          <w:sz w:val="24"/>
        </w:rPr>
        <w:t>  </w:t>
      </w:r>
      <w:r>
        <w:rPr>
          <w:sz w:val="24"/>
        </w:rPr>
        <w:t>Tools:</w:t>
      </w:r>
      <w:r>
        <w:rPr>
          <w:spacing w:val="28"/>
          <w:sz w:val="24"/>
        </w:rPr>
        <w:t>  </w:t>
      </w:r>
      <w:r>
        <w:rPr>
          <w:sz w:val="24"/>
        </w:rPr>
        <w:t>Encourage</w:t>
      </w:r>
      <w:r>
        <w:rPr>
          <w:spacing w:val="71"/>
          <w:w w:val="150"/>
          <w:sz w:val="24"/>
        </w:rPr>
        <w:t> </w:t>
      </w:r>
      <w:r>
        <w:rPr>
          <w:sz w:val="24"/>
        </w:rPr>
        <w:t>adoption</w:t>
      </w:r>
      <w:r>
        <w:rPr>
          <w:spacing w:val="70"/>
          <w:w w:val="150"/>
          <w:sz w:val="24"/>
        </w:rPr>
        <w:t> </w:t>
      </w:r>
      <w:r>
        <w:rPr>
          <w:sz w:val="24"/>
        </w:rPr>
        <w:t>of</w:t>
      </w:r>
      <w:r>
        <w:rPr>
          <w:spacing w:val="71"/>
          <w:w w:val="150"/>
          <w:sz w:val="24"/>
        </w:rPr>
        <w:t> </w:t>
      </w:r>
      <w:r>
        <w:rPr>
          <w:sz w:val="24"/>
        </w:rPr>
        <w:t>user-friendly,</w:t>
      </w:r>
      <w:r>
        <w:rPr>
          <w:spacing w:val="70"/>
          <w:w w:val="150"/>
          <w:sz w:val="24"/>
        </w:rPr>
        <w:t> </w:t>
      </w:r>
      <w:r>
        <w:rPr>
          <w:sz w:val="24"/>
        </w:rPr>
        <w:t>low-code</w:t>
      </w:r>
      <w:r>
        <w:rPr>
          <w:spacing w:val="71"/>
          <w:w w:val="150"/>
          <w:sz w:val="24"/>
        </w:rPr>
        <w:t> </w:t>
      </w:r>
      <w:r>
        <w:rPr>
          <w:spacing w:val="-5"/>
          <w:sz w:val="24"/>
        </w:rPr>
        <w:t>AI</w:t>
      </w:r>
    </w:p>
    <w:p>
      <w:pPr>
        <w:pStyle w:val="ListParagraph"/>
        <w:spacing w:after="0" w:line="240" w:lineRule="auto"/>
        <w:jc w:val="left"/>
        <w:rPr>
          <w:sz w:val="24"/>
        </w:rPr>
        <w:sectPr>
          <w:pgSz w:w="12240" w:h="15840"/>
          <w:pgMar w:header="0" w:footer="721" w:top="640" w:bottom="960" w:left="720" w:right="0"/>
        </w:sectPr>
      </w:pPr>
    </w:p>
    <w:p>
      <w:pPr>
        <w:pStyle w:val="BodyText"/>
        <w:spacing w:line="264" w:lineRule="auto" w:before="61"/>
        <w:ind w:left="1451" w:right="1947"/>
        <w:jc w:val="both"/>
      </w:pPr>
      <w:r>
        <w:rPr/>
        <w:t>platforms. Sánchez et al. advise businesses to "adopt user-friendly, cloud-</w:t>
      </w:r>
      <w:r>
        <w:rPr/>
        <w:t>based platforms offering pre-configured AI models" (</w:t>
      </w:r>
      <w:r>
        <w:rPr>
          <w:u w:val="thick"/>
        </w:rPr>
        <w:t>mdpi.com</w:t>
      </w:r>
      <w:r>
        <w:rPr>
          <w:u w:val="none"/>
        </w:rPr>
        <w:t>) to gain AI capabilities without needing advanced programming skills.</w:t>
      </w:r>
    </w:p>
    <w:p>
      <w:pPr>
        <w:pStyle w:val="BodyText"/>
        <w:spacing w:before="9"/>
      </w:pPr>
    </w:p>
    <w:p>
      <w:pPr>
        <w:pStyle w:val="ListParagraph"/>
        <w:numPr>
          <w:ilvl w:val="0"/>
          <w:numId w:val="2"/>
        </w:numPr>
        <w:tabs>
          <w:tab w:pos="1602" w:val="left" w:leader="none"/>
        </w:tabs>
        <w:spacing w:line="240" w:lineRule="auto" w:before="0" w:after="0"/>
        <w:ind w:left="1602" w:right="0" w:hanging="151"/>
        <w:jc w:val="both"/>
        <w:rPr>
          <w:sz w:val="24"/>
        </w:rPr>
      </w:pPr>
      <w:r>
        <w:rPr>
          <w:sz w:val="24"/>
        </w:rPr>
        <w:t>Leverage</w:t>
      </w:r>
      <w:r>
        <w:rPr>
          <w:spacing w:val="30"/>
          <w:sz w:val="24"/>
        </w:rPr>
        <w:t> </w:t>
      </w:r>
      <w:r>
        <w:rPr>
          <w:sz w:val="24"/>
        </w:rPr>
        <w:t>Networks:</w:t>
      </w:r>
      <w:r>
        <w:rPr>
          <w:spacing w:val="30"/>
          <w:sz w:val="24"/>
        </w:rPr>
        <w:t> </w:t>
      </w:r>
      <w:r>
        <w:rPr>
          <w:sz w:val="24"/>
        </w:rPr>
        <w:t>Partner</w:t>
      </w:r>
      <w:r>
        <w:rPr>
          <w:spacing w:val="30"/>
          <w:sz w:val="24"/>
        </w:rPr>
        <w:t> </w:t>
      </w:r>
      <w:r>
        <w:rPr>
          <w:sz w:val="24"/>
        </w:rPr>
        <w:t>with</w:t>
      </w:r>
      <w:r>
        <w:rPr>
          <w:spacing w:val="30"/>
          <w:sz w:val="24"/>
        </w:rPr>
        <w:t> </w:t>
      </w:r>
      <w:r>
        <w:rPr>
          <w:sz w:val="24"/>
        </w:rPr>
        <w:t>local</w:t>
      </w:r>
      <w:r>
        <w:rPr>
          <w:spacing w:val="15"/>
          <w:sz w:val="24"/>
        </w:rPr>
        <w:t> </w:t>
      </w:r>
      <w:r>
        <w:rPr>
          <w:sz w:val="24"/>
        </w:rPr>
        <w:t>universities,</w:t>
      </w:r>
      <w:r>
        <w:rPr>
          <w:spacing w:val="15"/>
          <w:sz w:val="24"/>
        </w:rPr>
        <w:t> </w:t>
      </w:r>
      <w:r>
        <w:rPr>
          <w:sz w:val="24"/>
        </w:rPr>
        <w:t>tech</w:t>
      </w:r>
      <w:r>
        <w:rPr>
          <w:spacing w:val="15"/>
          <w:sz w:val="24"/>
        </w:rPr>
        <w:t> </w:t>
      </w:r>
      <w:r>
        <w:rPr>
          <w:sz w:val="24"/>
        </w:rPr>
        <w:t>hubs,</w:t>
      </w:r>
      <w:r>
        <w:rPr>
          <w:spacing w:val="15"/>
          <w:sz w:val="24"/>
        </w:rPr>
        <w:t> </w:t>
      </w:r>
      <w:r>
        <w:rPr>
          <w:sz w:val="24"/>
        </w:rPr>
        <w:t>and</w:t>
      </w:r>
      <w:r>
        <w:rPr>
          <w:spacing w:val="15"/>
          <w:sz w:val="24"/>
        </w:rPr>
        <w:t> </w:t>
      </w:r>
      <w:r>
        <w:rPr>
          <w:spacing w:val="-2"/>
          <w:sz w:val="24"/>
        </w:rPr>
        <w:t>industry</w:t>
      </w:r>
    </w:p>
    <w:p>
      <w:pPr>
        <w:pStyle w:val="BodyText"/>
        <w:spacing w:line="264" w:lineRule="auto" w:before="103"/>
        <w:ind w:left="1451" w:right="2488"/>
        <w:jc w:val="both"/>
      </w:pPr>
      <w:r>
        <w:rPr/>
        <w:t>groups. Bowen et al. (2024) highlight that network ties greatly aid rural </w:t>
      </w:r>
      <w:r>
        <w:rPr/>
        <w:t>AI adoption (</w:t>
      </w:r>
      <w:r>
        <w:rPr>
          <w:u w:val="thick"/>
        </w:rPr>
        <w:t>enterpriseresearch.ac.uk</w:t>
      </w:r>
      <w:r>
        <w:rPr>
          <w:u w:val="none"/>
        </w:rPr>
        <w:t>). Creating regional AI user groups or cooperatives could spread best practices.</w:t>
      </w:r>
    </w:p>
    <w:p>
      <w:pPr>
        <w:pStyle w:val="BodyText"/>
        <w:spacing w:before="11"/>
      </w:pPr>
    </w:p>
    <w:p>
      <w:pPr>
        <w:pStyle w:val="ListParagraph"/>
        <w:numPr>
          <w:ilvl w:val="0"/>
          <w:numId w:val="2"/>
        </w:numPr>
        <w:tabs>
          <w:tab w:pos="1587" w:val="left" w:leader="none"/>
        </w:tabs>
        <w:spacing w:line="240" w:lineRule="auto" w:before="0" w:after="0"/>
        <w:ind w:left="1587" w:right="0" w:hanging="136"/>
        <w:jc w:val="both"/>
        <w:rPr>
          <w:sz w:val="24"/>
        </w:rPr>
      </w:pPr>
      <w:r>
        <w:rPr>
          <w:sz w:val="24"/>
        </w:rPr>
        <w:t>Pilot</w:t>
      </w:r>
      <w:r>
        <w:rPr>
          <w:spacing w:val="15"/>
          <w:sz w:val="24"/>
        </w:rPr>
        <w:t> </w:t>
      </w:r>
      <w:r>
        <w:rPr>
          <w:sz w:val="24"/>
        </w:rPr>
        <w:t>Projects:</w:t>
      </w:r>
      <w:r>
        <w:rPr>
          <w:spacing w:val="15"/>
          <w:sz w:val="24"/>
        </w:rPr>
        <w:t> </w:t>
      </w:r>
      <w:r>
        <w:rPr>
          <w:sz w:val="24"/>
        </w:rPr>
        <w:t>Start</w:t>
      </w:r>
      <w:r>
        <w:rPr>
          <w:spacing w:val="15"/>
          <w:sz w:val="24"/>
        </w:rPr>
        <w:t> </w:t>
      </w:r>
      <w:r>
        <w:rPr>
          <w:sz w:val="24"/>
        </w:rPr>
        <w:t>with small-scale AI pilots (e.g. trial a chatbot on a </w:t>
      </w:r>
      <w:r>
        <w:rPr>
          <w:spacing w:val="-2"/>
          <w:sz w:val="24"/>
        </w:rPr>
        <w:t>subset</w:t>
      </w:r>
    </w:p>
    <w:p>
      <w:pPr>
        <w:pStyle w:val="BodyText"/>
        <w:spacing w:line="264" w:lineRule="auto" w:before="104"/>
        <w:ind w:left="1451" w:right="2493"/>
        <w:jc w:val="both"/>
      </w:pPr>
      <w:r>
        <w:rPr/>
        <w:t>of customers) to demonstrate value before broader roll-out. This reduces </w:t>
      </w:r>
      <w:r>
        <w:rPr/>
        <w:t>risk and shows tangible benefits.</w:t>
      </w:r>
    </w:p>
    <w:p>
      <w:pPr>
        <w:pStyle w:val="BodyText"/>
        <w:spacing w:before="10"/>
      </w:pPr>
    </w:p>
    <w:p>
      <w:pPr>
        <w:pStyle w:val="ListParagraph"/>
        <w:numPr>
          <w:ilvl w:val="0"/>
          <w:numId w:val="2"/>
        </w:numPr>
        <w:tabs>
          <w:tab w:pos="1587" w:val="left" w:leader="none"/>
        </w:tabs>
        <w:spacing w:line="240" w:lineRule="auto" w:before="0" w:after="0"/>
        <w:ind w:left="1587" w:right="0" w:hanging="136"/>
        <w:jc w:val="both"/>
        <w:rPr>
          <w:sz w:val="24"/>
        </w:rPr>
      </w:pPr>
      <w:r>
        <w:rPr>
          <w:sz w:val="24"/>
        </w:rPr>
        <w:t>Promote</w:t>
      </w:r>
      <w:r>
        <w:rPr>
          <w:spacing w:val="12"/>
          <w:sz w:val="24"/>
        </w:rPr>
        <w:t> </w:t>
      </w:r>
      <w:r>
        <w:rPr>
          <w:sz w:val="24"/>
        </w:rPr>
        <w:t>Awareness:</w:t>
      </w:r>
      <w:r>
        <w:rPr>
          <w:spacing w:val="13"/>
          <w:sz w:val="24"/>
        </w:rPr>
        <w:t> </w:t>
      </w:r>
      <w:r>
        <w:rPr>
          <w:sz w:val="24"/>
        </w:rPr>
        <w:t>Share</w:t>
      </w:r>
      <w:r>
        <w:rPr>
          <w:spacing w:val="13"/>
          <w:sz w:val="24"/>
        </w:rPr>
        <w:t> </w:t>
      </w:r>
      <w:r>
        <w:rPr>
          <w:sz w:val="24"/>
        </w:rPr>
        <w:t>success</w:t>
      </w:r>
      <w:r>
        <w:rPr>
          <w:spacing w:val="12"/>
          <w:sz w:val="24"/>
        </w:rPr>
        <w:t> </w:t>
      </w:r>
      <w:r>
        <w:rPr>
          <w:sz w:val="24"/>
        </w:rPr>
        <w:t>stories</w:t>
      </w:r>
      <w:r>
        <w:rPr>
          <w:spacing w:val="13"/>
          <w:sz w:val="24"/>
        </w:rPr>
        <w:t> </w:t>
      </w:r>
      <w:r>
        <w:rPr>
          <w:sz w:val="24"/>
        </w:rPr>
        <w:t>from</w:t>
      </w:r>
      <w:r>
        <w:rPr>
          <w:spacing w:val="13"/>
          <w:sz w:val="24"/>
        </w:rPr>
        <w:t> </w:t>
      </w:r>
      <w:r>
        <w:rPr>
          <w:sz w:val="24"/>
        </w:rPr>
        <w:t>similar</w:t>
      </w:r>
      <w:r>
        <w:rPr>
          <w:spacing w:val="12"/>
          <w:sz w:val="24"/>
        </w:rPr>
        <w:t> </w:t>
      </w:r>
      <w:r>
        <w:rPr>
          <w:sz w:val="24"/>
        </w:rPr>
        <w:t>rural</w:t>
      </w:r>
      <w:r>
        <w:rPr>
          <w:spacing w:val="13"/>
          <w:sz w:val="24"/>
        </w:rPr>
        <w:t> </w:t>
      </w:r>
      <w:r>
        <w:rPr>
          <w:sz w:val="24"/>
        </w:rPr>
        <w:t>businesses</w:t>
      </w:r>
      <w:r>
        <w:rPr>
          <w:spacing w:val="13"/>
          <w:sz w:val="24"/>
        </w:rPr>
        <w:t> </w:t>
      </w:r>
      <w:r>
        <w:rPr>
          <w:sz w:val="24"/>
        </w:rPr>
        <w:t>or</w:t>
      </w:r>
      <w:r>
        <w:rPr>
          <w:spacing w:val="13"/>
          <w:sz w:val="24"/>
        </w:rPr>
        <w:t> </w:t>
      </w:r>
      <w:r>
        <w:rPr>
          <w:spacing w:val="-2"/>
          <w:sz w:val="24"/>
        </w:rPr>
        <w:t>schools</w:t>
      </w:r>
    </w:p>
    <w:p>
      <w:pPr>
        <w:pStyle w:val="BodyText"/>
        <w:spacing w:line="264" w:lineRule="auto" w:before="103"/>
        <w:ind w:left="1451" w:right="1855"/>
        <w:jc w:val="both"/>
      </w:pPr>
      <w:r>
        <w:rPr/>
        <w:t>to illustrate AI’s practical benefits. Sánchez et al. (2025) stress the role </w:t>
      </w:r>
      <w:r>
        <w:rPr/>
        <w:t>of “collaboration with research institutions” and shared examples in enhancing SMEs’ AI uptake.</w:t>
      </w:r>
    </w:p>
    <w:p>
      <w:pPr>
        <w:pStyle w:val="BodyText"/>
        <w:spacing w:before="8"/>
      </w:pPr>
    </w:p>
    <w:p>
      <w:pPr>
        <w:pStyle w:val="ListParagraph"/>
        <w:numPr>
          <w:ilvl w:val="0"/>
          <w:numId w:val="2"/>
        </w:numPr>
        <w:tabs>
          <w:tab w:pos="1602" w:val="left" w:leader="none"/>
        </w:tabs>
        <w:spacing w:line="240" w:lineRule="auto" w:before="1" w:after="0"/>
        <w:ind w:left="1602" w:right="0" w:hanging="151"/>
        <w:jc w:val="both"/>
        <w:rPr>
          <w:sz w:val="24"/>
        </w:rPr>
      </w:pPr>
      <w:r>
        <w:rPr>
          <w:sz w:val="24"/>
        </w:rPr>
        <w:t>Ensure</w:t>
      </w:r>
      <w:r>
        <w:rPr>
          <w:spacing w:val="30"/>
          <w:sz w:val="24"/>
        </w:rPr>
        <w:t> </w:t>
      </w:r>
      <w:r>
        <w:rPr>
          <w:sz w:val="24"/>
        </w:rPr>
        <w:t>Ethical</w:t>
      </w:r>
      <w:r>
        <w:rPr>
          <w:spacing w:val="15"/>
          <w:sz w:val="24"/>
        </w:rPr>
        <w:t> </w:t>
      </w:r>
      <w:r>
        <w:rPr>
          <w:sz w:val="24"/>
        </w:rPr>
        <w:t>Use:</w:t>
      </w:r>
      <w:r>
        <w:rPr>
          <w:spacing w:val="15"/>
          <w:sz w:val="24"/>
        </w:rPr>
        <w:t> </w:t>
      </w:r>
      <w:r>
        <w:rPr>
          <w:sz w:val="24"/>
        </w:rPr>
        <w:t>Develop</w:t>
      </w:r>
      <w:r>
        <w:rPr>
          <w:spacing w:val="15"/>
          <w:sz w:val="24"/>
        </w:rPr>
        <w:t> </w:t>
      </w:r>
      <w:r>
        <w:rPr>
          <w:sz w:val="24"/>
        </w:rPr>
        <w:t>clear</w:t>
      </w:r>
      <w:r>
        <w:rPr>
          <w:spacing w:val="15"/>
          <w:sz w:val="24"/>
        </w:rPr>
        <w:t> </w:t>
      </w:r>
      <w:r>
        <w:rPr>
          <w:sz w:val="24"/>
        </w:rPr>
        <w:t>policies</w:t>
      </w:r>
      <w:r>
        <w:rPr>
          <w:spacing w:val="15"/>
          <w:sz w:val="24"/>
        </w:rPr>
        <w:t> </w:t>
      </w:r>
      <w:r>
        <w:rPr>
          <w:sz w:val="24"/>
        </w:rPr>
        <w:t>for</w:t>
      </w:r>
      <w:r>
        <w:rPr>
          <w:spacing w:val="15"/>
          <w:sz w:val="24"/>
        </w:rPr>
        <w:t> </w:t>
      </w:r>
      <w:r>
        <w:rPr>
          <w:sz w:val="24"/>
        </w:rPr>
        <w:t>data</w:t>
      </w:r>
      <w:r>
        <w:rPr>
          <w:spacing w:val="15"/>
          <w:sz w:val="24"/>
        </w:rPr>
        <w:t> </w:t>
      </w:r>
      <w:r>
        <w:rPr>
          <w:sz w:val="24"/>
        </w:rPr>
        <w:t>privacy</w:t>
      </w:r>
      <w:r>
        <w:rPr>
          <w:spacing w:val="15"/>
          <w:sz w:val="24"/>
        </w:rPr>
        <w:t> </w:t>
      </w:r>
      <w:r>
        <w:rPr>
          <w:sz w:val="24"/>
        </w:rPr>
        <w:t>and</w:t>
      </w:r>
      <w:r>
        <w:rPr>
          <w:spacing w:val="15"/>
          <w:sz w:val="24"/>
        </w:rPr>
        <w:t> </w:t>
      </w:r>
      <w:r>
        <w:rPr>
          <w:sz w:val="24"/>
        </w:rPr>
        <w:t>human</w:t>
      </w:r>
      <w:r>
        <w:rPr>
          <w:spacing w:val="15"/>
          <w:sz w:val="24"/>
        </w:rPr>
        <w:t> </w:t>
      </w:r>
      <w:r>
        <w:rPr>
          <w:spacing w:val="-2"/>
          <w:sz w:val="24"/>
        </w:rPr>
        <w:t>oversight.</w:t>
      </w:r>
    </w:p>
    <w:p>
      <w:pPr>
        <w:pStyle w:val="BodyText"/>
        <w:spacing w:line="264" w:lineRule="auto" w:before="104"/>
        <w:ind w:left="1451" w:right="1907"/>
        <w:jc w:val="both"/>
      </w:pPr>
      <w:r>
        <w:rPr/>
        <w:t>Establishing trust in AI, by showing it augments</w:t>
      </w:r>
      <w:r>
        <w:rPr>
          <w:spacing w:val="-3"/>
        </w:rPr>
        <w:t> </w:t>
      </w:r>
      <w:r>
        <w:rPr/>
        <w:t>rather</w:t>
      </w:r>
      <w:r>
        <w:rPr>
          <w:spacing w:val="-3"/>
        </w:rPr>
        <w:t> </w:t>
      </w:r>
      <w:r>
        <w:rPr/>
        <w:t>than</w:t>
      </w:r>
      <w:r>
        <w:rPr>
          <w:spacing w:val="-3"/>
        </w:rPr>
        <w:t> </w:t>
      </w:r>
      <w:r>
        <w:rPr/>
        <w:t>replaces</w:t>
      </w:r>
      <w:r>
        <w:rPr>
          <w:spacing w:val="-3"/>
        </w:rPr>
        <w:t> </w:t>
      </w:r>
      <w:r>
        <w:rPr/>
        <w:t>staff,</w:t>
      </w:r>
      <w:r>
        <w:rPr>
          <w:spacing w:val="-3"/>
        </w:rPr>
        <w:t> </w:t>
      </w:r>
      <w:r>
        <w:rPr/>
        <w:t>is</w:t>
      </w:r>
      <w:r>
        <w:rPr>
          <w:spacing w:val="-3"/>
        </w:rPr>
        <w:t> </w:t>
      </w:r>
      <w:r>
        <w:rPr/>
        <w:t>crucial for community acceptance.</w:t>
      </w:r>
    </w:p>
    <w:p>
      <w:pPr>
        <w:pStyle w:val="BodyText"/>
        <w:spacing w:before="16"/>
      </w:pPr>
    </w:p>
    <w:p>
      <w:pPr>
        <w:pStyle w:val="BodyText"/>
        <w:spacing w:line="230" w:lineRule="auto"/>
        <w:ind w:left="701" w:right="1765"/>
        <w:jc w:val="both"/>
      </w:pPr>
      <w:r>
        <w:rPr/>
        <w:t>Together, these strategies address both the technological and human factors identified </w:t>
      </w:r>
      <w:r>
        <w:rPr/>
        <w:t>in research. For instance, combining infrastructure upgrades with</w:t>
      </w:r>
      <w:r>
        <w:rPr>
          <w:spacing w:val="-3"/>
        </w:rPr>
        <w:t> </w:t>
      </w:r>
      <w:r>
        <w:rPr/>
        <w:t>accessible</w:t>
      </w:r>
      <w:r>
        <w:rPr>
          <w:spacing w:val="-3"/>
        </w:rPr>
        <w:t> </w:t>
      </w:r>
      <w:r>
        <w:rPr/>
        <w:t>AI</w:t>
      </w:r>
      <w:r>
        <w:rPr>
          <w:spacing w:val="-3"/>
        </w:rPr>
        <w:t> </w:t>
      </w:r>
      <w:r>
        <w:rPr/>
        <w:t>training</w:t>
      </w:r>
      <w:r>
        <w:rPr>
          <w:spacing w:val="40"/>
        </w:rPr>
        <w:t> </w:t>
      </w:r>
      <w:r>
        <w:rPr/>
        <w:t>tackles both “perceived usefulness” and “organizational readiness” from the</w:t>
      </w:r>
      <w:r>
        <w:rPr>
          <w:spacing w:val="-3"/>
        </w:rPr>
        <w:t> </w:t>
      </w:r>
      <w:r>
        <w:rPr/>
        <w:t>TOE</w:t>
      </w:r>
      <w:r>
        <w:rPr>
          <w:spacing w:val="40"/>
        </w:rPr>
        <w:t> </w:t>
      </w:r>
      <w:r>
        <w:rPr/>
        <w:t>framework.</w:t>
      </w:r>
      <w:r>
        <w:rPr>
          <w:spacing w:val="-3"/>
        </w:rPr>
        <w:t> </w:t>
      </w:r>
      <w:r>
        <w:rPr/>
        <w:t>In</w:t>
      </w:r>
      <w:r>
        <w:rPr>
          <w:spacing w:val="-3"/>
        </w:rPr>
        <w:t> </w:t>
      </w:r>
      <w:r>
        <w:rPr/>
        <w:t>the context of Appalachian communities, these elements are critical.</w:t>
      </w:r>
      <w:r>
        <w:rPr>
          <w:spacing w:val="-3"/>
        </w:rPr>
        <w:t> </w:t>
      </w:r>
      <w:r>
        <w:rPr/>
        <w:t>Many</w:t>
      </w:r>
      <w:r>
        <w:rPr>
          <w:spacing w:val="40"/>
        </w:rPr>
        <w:t> </w:t>
      </w:r>
      <w:r>
        <w:rPr/>
        <w:t>small</w:t>
      </w:r>
      <w:r>
        <w:rPr>
          <w:spacing w:val="-3"/>
        </w:rPr>
        <w:t> </w:t>
      </w:r>
      <w:r>
        <w:rPr/>
        <w:t>businesses</w:t>
      </w:r>
      <w:r>
        <w:rPr>
          <w:spacing w:val="-3"/>
        </w:rPr>
        <w:t> </w:t>
      </w:r>
      <w:r>
        <w:rPr/>
        <w:t>and educational institutions in Appalachia face limited digital</w:t>
      </w:r>
      <w:r>
        <w:rPr>
          <w:spacing w:val="40"/>
        </w:rPr>
        <w:t> </w:t>
      </w:r>
      <w:r>
        <w:rPr/>
        <w:t>infrastructure and staffing challenges, which can hinder technological adoption. By</w:t>
      </w:r>
      <w:r>
        <w:rPr>
          <w:spacing w:val="40"/>
        </w:rPr>
        <w:t> </w:t>
      </w:r>
      <w:r>
        <w:rPr/>
        <w:t>investing in broadband expansion (technology), offering local AI literacy workshops</w:t>
      </w:r>
      <w:r>
        <w:rPr>
          <w:spacing w:val="40"/>
        </w:rPr>
        <w:t> </w:t>
      </w:r>
      <w:r>
        <w:rPr/>
        <w:t>(organization), and</w:t>
      </w:r>
      <w:r>
        <w:rPr>
          <w:spacing w:val="-4"/>
        </w:rPr>
        <w:t> </w:t>
      </w:r>
      <w:r>
        <w:rPr/>
        <w:t>building</w:t>
      </w:r>
      <w:r>
        <w:rPr>
          <w:spacing w:val="-4"/>
        </w:rPr>
        <w:t> </w:t>
      </w:r>
      <w:r>
        <w:rPr/>
        <w:t>trust</w:t>
      </w:r>
      <w:r>
        <w:rPr>
          <w:spacing w:val="-4"/>
        </w:rPr>
        <w:t> </w:t>
      </w:r>
      <w:r>
        <w:rPr/>
        <w:t>through community partnerships (environment),</w:t>
      </w:r>
      <w:r>
        <w:rPr>
          <w:spacing w:val="40"/>
        </w:rPr>
        <w:t> </w:t>
      </w:r>
      <w:r>
        <w:rPr/>
        <w:t>stakeholders</w:t>
      </w:r>
      <w:r>
        <w:rPr>
          <w:spacing w:val="-2"/>
        </w:rPr>
        <w:t> </w:t>
      </w:r>
      <w:r>
        <w:rPr/>
        <w:t>can</w:t>
      </w:r>
      <w:r>
        <w:rPr>
          <w:spacing w:val="-2"/>
        </w:rPr>
        <w:t> </w:t>
      </w:r>
      <w:r>
        <w:rPr/>
        <w:t>reduce</w:t>
      </w:r>
      <w:r>
        <w:rPr>
          <w:spacing w:val="-2"/>
        </w:rPr>
        <w:t> </w:t>
      </w:r>
      <w:r>
        <w:rPr/>
        <w:t>resistance</w:t>
      </w:r>
      <w:r>
        <w:rPr>
          <w:spacing w:val="-2"/>
        </w:rPr>
        <w:t> </w:t>
      </w:r>
      <w:r>
        <w:rPr/>
        <w:t>to</w:t>
      </w:r>
      <w:r>
        <w:rPr>
          <w:spacing w:val="-2"/>
        </w:rPr>
        <w:t> </w:t>
      </w:r>
      <w:r>
        <w:rPr/>
        <w:t>AI</w:t>
      </w:r>
      <w:r>
        <w:rPr>
          <w:spacing w:val="-2"/>
        </w:rPr>
        <w:t> </w:t>
      </w:r>
      <w:r>
        <w:rPr/>
        <w:t>and</w:t>
      </w:r>
      <w:r>
        <w:rPr>
          <w:spacing w:val="-2"/>
        </w:rPr>
        <w:t> </w:t>
      </w:r>
      <w:r>
        <w:rPr/>
        <w:t>foster</w:t>
      </w:r>
      <w:r>
        <w:rPr>
          <w:spacing w:val="-2"/>
        </w:rPr>
        <w:t> </w:t>
      </w:r>
      <w:r>
        <w:rPr/>
        <w:t>a culture of innovation. If</w:t>
      </w:r>
      <w:r>
        <w:rPr>
          <w:spacing w:val="40"/>
        </w:rPr>
        <w:t> </w:t>
      </w:r>
      <w:r>
        <w:rPr/>
        <w:t>implemented thoughtfully, these measures could help rural Appalachian businesses and</w:t>
      </w:r>
      <w:r>
        <w:rPr>
          <w:spacing w:val="40"/>
        </w:rPr>
        <w:t> </w:t>
      </w:r>
      <w:r>
        <w:rPr/>
        <w:t>schools successfully integrate AI tools, supporting not just economic development but</w:t>
      </w:r>
      <w:r>
        <w:rPr>
          <w:spacing w:val="40"/>
        </w:rPr>
        <w:t> </w:t>
      </w:r>
      <w:r>
        <w:rPr/>
        <w:t>also long-term regional resilience.</w:t>
      </w:r>
    </w:p>
    <w:p>
      <w:pPr>
        <w:pStyle w:val="BodyText"/>
        <w:spacing w:before="5"/>
      </w:pPr>
    </w:p>
    <w:p>
      <w:pPr>
        <w:pStyle w:val="Heading4"/>
        <w:ind w:left="701"/>
      </w:pPr>
      <w:r>
        <w:rPr>
          <w:spacing w:val="-2"/>
        </w:rPr>
        <w:t>Conclusion</w:t>
      </w:r>
    </w:p>
    <w:p>
      <w:pPr>
        <w:pStyle w:val="BodyText"/>
        <w:spacing w:line="264" w:lineRule="auto" w:before="239"/>
        <w:ind w:left="701" w:right="1782"/>
        <w:jc w:val="both"/>
      </w:pPr>
      <w:r>
        <w:rPr/>
        <w:t>AI and automation offer</w:t>
      </w:r>
      <w:r>
        <w:rPr>
          <w:spacing w:val="-3"/>
        </w:rPr>
        <w:t> </w:t>
      </w:r>
      <w:r>
        <w:rPr/>
        <w:t>significant</w:t>
      </w:r>
      <w:r>
        <w:rPr>
          <w:spacing w:val="-3"/>
        </w:rPr>
        <w:t> </w:t>
      </w:r>
      <w:r>
        <w:rPr/>
        <w:t>promise</w:t>
      </w:r>
      <w:r>
        <w:rPr>
          <w:spacing w:val="-3"/>
        </w:rPr>
        <w:t> </w:t>
      </w:r>
      <w:r>
        <w:rPr/>
        <w:t>for</w:t>
      </w:r>
      <w:r>
        <w:rPr>
          <w:spacing w:val="-3"/>
        </w:rPr>
        <w:t> </w:t>
      </w:r>
      <w:r>
        <w:rPr/>
        <w:t>rural</w:t>
      </w:r>
      <w:r>
        <w:rPr>
          <w:spacing w:val="-3"/>
        </w:rPr>
        <w:t> </w:t>
      </w:r>
      <w:r>
        <w:rPr/>
        <w:t>Appalachian</w:t>
      </w:r>
      <w:r>
        <w:rPr>
          <w:spacing w:val="-3"/>
        </w:rPr>
        <w:t> </w:t>
      </w:r>
      <w:r>
        <w:rPr/>
        <w:t>communities</w:t>
      </w:r>
      <w:r>
        <w:rPr>
          <w:spacing w:val="-3"/>
        </w:rPr>
        <w:t> </w:t>
      </w:r>
      <w:r>
        <w:rPr/>
        <w:t>but</w:t>
      </w:r>
      <w:r>
        <w:rPr>
          <w:spacing w:val="40"/>
        </w:rPr>
        <w:t> </w:t>
      </w:r>
      <w:r>
        <w:rPr/>
        <w:t>realizing that promise requires careful support. Our literature review and survey findings</w:t>
      </w:r>
      <w:r>
        <w:rPr>
          <w:spacing w:val="40"/>
        </w:rPr>
        <w:t> </w:t>
      </w:r>
      <w:r>
        <w:rPr/>
        <w:t>suggest</w:t>
      </w:r>
      <w:r>
        <w:rPr>
          <w:spacing w:val="-2"/>
        </w:rPr>
        <w:t> </w:t>
      </w:r>
      <w:r>
        <w:rPr/>
        <w:t>that small Appalachian businesses can indeed use AI to raise productivity, reduce</w:t>
      </w:r>
      <w:r>
        <w:rPr>
          <w:spacing w:val="40"/>
        </w:rPr>
        <w:t> </w:t>
      </w:r>
      <w:r>
        <w:rPr/>
        <w:t>errors, and improve</w:t>
      </w:r>
      <w:r>
        <w:rPr>
          <w:spacing w:val="-3"/>
        </w:rPr>
        <w:t> </w:t>
      </w:r>
      <w:r>
        <w:rPr/>
        <w:t>customer</w:t>
      </w:r>
      <w:r>
        <w:rPr>
          <w:spacing w:val="-3"/>
        </w:rPr>
        <w:t> </w:t>
      </w:r>
      <w:r>
        <w:rPr/>
        <w:t>service,</w:t>
      </w:r>
      <w:r>
        <w:rPr>
          <w:spacing w:val="-3"/>
        </w:rPr>
        <w:t> </w:t>
      </w:r>
      <w:r>
        <w:rPr/>
        <w:t>and</w:t>
      </w:r>
      <w:r>
        <w:rPr>
          <w:spacing w:val="-3"/>
        </w:rPr>
        <w:t> </w:t>
      </w:r>
      <w:r>
        <w:rPr/>
        <w:t>that</w:t>
      </w:r>
      <w:r>
        <w:rPr>
          <w:spacing w:val="-3"/>
        </w:rPr>
        <w:t> </w:t>
      </w:r>
      <w:r>
        <w:rPr/>
        <w:t>rural</w:t>
      </w:r>
      <w:r>
        <w:rPr>
          <w:spacing w:val="-3"/>
        </w:rPr>
        <w:t> </w:t>
      </w:r>
      <w:r>
        <w:rPr/>
        <w:t>educators</w:t>
      </w:r>
      <w:r>
        <w:rPr>
          <w:spacing w:val="-3"/>
        </w:rPr>
        <w:t> </w:t>
      </w:r>
      <w:r>
        <w:rPr/>
        <w:t>see</w:t>
      </w:r>
      <w:r>
        <w:rPr>
          <w:spacing w:val="-3"/>
        </w:rPr>
        <w:t> </w:t>
      </w:r>
      <w:r>
        <w:rPr/>
        <w:t>potential</w:t>
      </w:r>
      <w:r>
        <w:rPr>
          <w:spacing w:val="-3"/>
        </w:rPr>
        <w:t> </w:t>
      </w:r>
      <w:r>
        <w:rPr/>
        <w:t>for</w:t>
      </w:r>
      <w:r>
        <w:rPr>
          <w:spacing w:val="40"/>
        </w:rPr>
        <w:t> </w:t>
      </w:r>
      <w:r>
        <w:rPr/>
        <w:t>personalized</w:t>
      </w:r>
      <w:r>
        <w:rPr>
          <w:spacing w:val="-3"/>
        </w:rPr>
        <w:t> </w:t>
      </w:r>
      <w:r>
        <w:rPr/>
        <w:t>learning.</w:t>
      </w:r>
      <w:r>
        <w:rPr>
          <w:spacing w:val="-3"/>
        </w:rPr>
        <w:t> </w:t>
      </w:r>
      <w:r>
        <w:rPr/>
        <w:t>As Wynne and Derr (2025) predict, broader AI adoption could</w:t>
      </w:r>
      <w:r>
        <w:rPr>
          <w:spacing w:val="40"/>
        </w:rPr>
        <w:t> </w:t>
      </w:r>
      <w:r>
        <w:rPr/>
        <w:t>materially boost long-term productivity. Crucially, this technology is not about replacing</w:t>
      </w:r>
      <w:r>
        <w:rPr>
          <w:spacing w:val="40"/>
        </w:rPr>
        <w:t> </w:t>
      </w:r>
      <w:r>
        <w:rPr/>
        <w:t>people; rather, it “augments” their work (Hasan, Kasedullah, Ripon,</w:t>
      </w:r>
      <w:r>
        <w:rPr>
          <w:spacing w:val="-2"/>
        </w:rPr>
        <w:t> </w:t>
      </w:r>
      <w:r>
        <w:rPr/>
        <w:t>&amp;</w:t>
      </w:r>
      <w:r>
        <w:rPr>
          <w:spacing w:val="-2"/>
        </w:rPr>
        <w:t> </w:t>
      </w:r>
      <w:r>
        <w:rPr/>
        <w:t>Khan,</w:t>
      </w:r>
      <w:r>
        <w:rPr>
          <w:spacing w:val="-2"/>
        </w:rPr>
        <w:t> </w:t>
      </w:r>
      <w:r>
        <w:rPr/>
        <w:t>2025).</w:t>
      </w:r>
      <w:r>
        <w:rPr>
          <w:spacing w:val="-2"/>
        </w:rPr>
        <w:t> </w:t>
      </w:r>
      <w:r>
        <w:rPr/>
        <w:t>For</w:t>
      </w:r>
      <w:r>
        <w:rPr>
          <w:spacing w:val="40"/>
        </w:rPr>
        <w:t> </w:t>
      </w:r>
      <w:r>
        <w:rPr/>
        <w:t>example,</w:t>
      </w:r>
      <w:r>
        <w:rPr>
          <w:spacing w:val="-2"/>
        </w:rPr>
        <w:t> </w:t>
      </w:r>
      <w:r>
        <w:rPr/>
        <w:t>an</w:t>
      </w:r>
      <w:r>
        <w:rPr>
          <w:spacing w:val="-2"/>
        </w:rPr>
        <w:t> </w:t>
      </w:r>
      <w:r>
        <w:rPr/>
        <w:t>AI</w:t>
      </w:r>
      <w:r>
        <w:rPr>
          <w:spacing w:val="-2"/>
        </w:rPr>
        <w:t> </w:t>
      </w:r>
      <w:r>
        <w:rPr/>
        <w:t>system</w:t>
      </w:r>
      <w:r>
        <w:rPr>
          <w:spacing w:val="-2"/>
        </w:rPr>
        <w:t> </w:t>
      </w:r>
      <w:r>
        <w:rPr/>
        <w:t>that</w:t>
      </w:r>
      <w:r>
        <w:rPr>
          <w:spacing w:val="-2"/>
        </w:rPr>
        <w:t> </w:t>
      </w:r>
      <w:r>
        <w:rPr/>
        <w:t>helps detect product defects or automates routine inquiries</w:t>
      </w:r>
      <w:r>
        <w:rPr>
          <w:spacing w:val="40"/>
        </w:rPr>
        <w:t> </w:t>
      </w:r>
      <w:r>
        <w:rPr/>
        <w:t>can free local workers to focus on quality control, innovation, and human-centered tasks.</w:t>
      </w:r>
    </w:p>
    <w:p>
      <w:pPr>
        <w:pStyle w:val="BodyText"/>
        <w:spacing w:line="264" w:lineRule="auto" w:before="216"/>
        <w:ind w:left="701" w:right="1736"/>
        <w:jc w:val="both"/>
      </w:pPr>
      <w:r>
        <w:rPr/>
        <w:t>However, these</w:t>
      </w:r>
      <w:r>
        <w:rPr>
          <w:spacing w:val="-3"/>
        </w:rPr>
        <w:t> </w:t>
      </w:r>
      <w:r>
        <w:rPr/>
        <w:t>benefits</w:t>
      </w:r>
      <w:r>
        <w:rPr>
          <w:spacing w:val="-3"/>
        </w:rPr>
        <w:t> </w:t>
      </w:r>
      <w:r>
        <w:rPr/>
        <w:t>will</w:t>
      </w:r>
      <w:r>
        <w:rPr>
          <w:spacing w:val="-3"/>
        </w:rPr>
        <w:t> </w:t>
      </w:r>
      <w:r>
        <w:rPr/>
        <w:t>only</w:t>
      </w:r>
      <w:r>
        <w:rPr>
          <w:spacing w:val="-3"/>
        </w:rPr>
        <w:t> </w:t>
      </w:r>
      <w:r>
        <w:rPr/>
        <w:t>materialize</w:t>
      </w:r>
      <w:r>
        <w:rPr>
          <w:spacing w:val="-3"/>
        </w:rPr>
        <w:t> </w:t>
      </w:r>
      <w:r>
        <w:rPr/>
        <w:t>if</w:t>
      </w:r>
      <w:r>
        <w:rPr>
          <w:spacing w:val="-3"/>
        </w:rPr>
        <w:t> </w:t>
      </w:r>
      <w:r>
        <w:rPr/>
        <w:t>rural</w:t>
      </w:r>
      <w:r>
        <w:rPr>
          <w:spacing w:val="-3"/>
        </w:rPr>
        <w:t> </w:t>
      </w:r>
      <w:r>
        <w:rPr/>
        <w:t>areas</w:t>
      </w:r>
      <w:r>
        <w:rPr>
          <w:spacing w:val="-3"/>
        </w:rPr>
        <w:t> </w:t>
      </w:r>
      <w:r>
        <w:rPr/>
        <w:t>bridge</w:t>
      </w:r>
      <w:r>
        <w:rPr>
          <w:spacing w:val="-3"/>
        </w:rPr>
        <w:t> </w:t>
      </w:r>
      <w:r>
        <w:rPr/>
        <w:t>their</w:t>
      </w:r>
      <w:r>
        <w:rPr>
          <w:spacing w:val="-3"/>
        </w:rPr>
        <w:t> </w:t>
      </w:r>
      <w:r>
        <w:rPr/>
        <w:t>digital</w:t>
      </w:r>
      <w:r>
        <w:rPr>
          <w:spacing w:val="-3"/>
        </w:rPr>
        <w:t> </w:t>
      </w:r>
      <w:r>
        <w:rPr/>
        <w:t>and</w:t>
      </w:r>
      <w:r>
        <w:rPr>
          <w:spacing w:val="-3"/>
        </w:rPr>
        <w:t> </w:t>
      </w:r>
      <w:r>
        <w:rPr/>
        <w:t>skills</w:t>
      </w:r>
      <w:r>
        <w:rPr>
          <w:spacing w:val="40"/>
        </w:rPr>
        <w:t> </w:t>
      </w:r>
      <w:r>
        <w:rPr/>
        <w:t>gaps. Investment</w:t>
      </w:r>
      <w:r>
        <w:rPr>
          <w:spacing w:val="59"/>
        </w:rPr>
        <w:t> </w:t>
      </w:r>
      <w:r>
        <w:rPr/>
        <w:t>in</w:t>
      </w:r>
      <w:r>
        <w:rPr>
          <w:spacing w:val="60"/>
        </w:rPr>
        <w:t> </w:t>
      </w:r>
      <w:r>
        <w:rPr/>
        <w:t>broadband,</w:t>
      </w:r>
      <w:r>
        <w:rPr>
          <w:spacing w:val="59"/>
        </w:rPr>
        <w:t> </w:t>
      </w:r>
      <w:r>
        <w:rPr/>
        <w:t>training,</w:t>
      </w:r>
      <w:r>
        <w:rPr>
          <w:spacing w:val="45"/>
        </w:rPr>
        <w:t> </w:t>
      </w:r>
      <w:r>
        <w:rPr/>
        <w:t>and</w:t>
      </w:r>
      <w:r>
        <w:rPr>
          <w:spacing w:val="44"/>
        </w:rPr>
        <w:t> </w:t>
      </w:r>
      <w:r>
        <w:rPr/>
        <w:t>user-friendly</w:t>
      </w:r>
      <w:r>
        <w:rPr>
          <w:spacing w:val="45"/>
        </w:rPr>
        <w:t> </w:t>
      </w:r>
      <w:r>
        <w:rPr/>
        <w:t>tools</w:t>
      </w:r>
      <w:r>
        <w:rPr>
          <w:spacing w:val="44"/>
        </w:rPr>
        <w:t> </w:t>
      </w:r>
      <w:r>
        <w:rPr/>
        <w:t>is</w:t>
      </w:r>
      <w:r>
        <w:rPr>
          <w:spacing w:val="45"/>
        </w:rPr>
        <w:t> </w:t>
      </w:r>
      <w:r>
        <w:rPr/>
        <w:t>essential.</w:t>
      </w:r>
      <w:r>
        <w:rPr>
          <w:spacing w:val="44"/>
        </w:rPr>
        <w:t> </w:t>
      </w:r>
      <w:r>
        <w:rPr/>
        <w:t>Policymakers</w:t>
      </w:r>
      <w:r>
        <w:rPr>
          <w:spacing w:val="45"/>
        </w:rPr>
        <w:t>  </w:t>
      </w:r>
      <w:r>
        <w:rPr>
          <w:spacing w:val="-5"/>
        </w:rPr>
        <w:t>and</w:t>
      </w:r>
    </w:p>
    <w:p>
      <w:pPr>
        <w:pStyle w:val="BodyText"/>
        <w:spacing w:after="0" w:line="264" w:lineRule="auto"/>
        <w:jc w:val="both"/>
        <w:sectPr>
          <w:pgSz w:w="12240" w:h="15840"/>
          <w:pgMar w:header="0" w:footer="721" w:top="640" w:bottom="920" w:left="720" w:right="0"/>
        </w:sectPr>
      </w:pPr>
    </w:p>
    <w:p>
      <w:pPr>
        <w:pStyle w:val="BodyText"/>
        <w:spacing w:line="264" w:lineRule="auto" w:before="61"/>
        <w:ind w:left="701" w:right="1734"/>
        <w:jc w:val="both"/>
      </w:pPr>
      <w:r>
        <w:rPr/>
        <w:t>community leaders should partner with universities and business groups to build AI</w:t>
      </w:r>
      <w:r>
        <w:rPr>
          <w:spacing w:val="40"/>
        </w:rPr>
        <w:t> </w:t>
      </w:r>
      <w:r>
        <w:rPr/>
        <w:t>literacy and practical experience. In doing so, they can help ensure AI grows</w:t>
      </w:r>
      <w:r>
        <w:rPr>
          <w:spacing w:val="40"/>
        </w:rPr>
        <w:t> </w:t>
      </w:r>
      <w:r>
        <w:rPr/>
        <w:t>Appalachia’s</w:t>
      </w:r>
      <w:r>
        <w:rPr>
          <w:spacing w:val="-3"/>
        </w:rPr>
        <w:t> </w:t>
      </w:r>
      <w:r>
        <w:rPr/>
        <w:t>economy and education system without leaving anyone behind.</w:t>
      </w:r>
    </w:p>
    <w:p>
      <w:pPr>
        <w:pStyle w:val="BodyText"/>
        <w:spacing w:before="29"/>
      </w:pPr>
    </w:p>
    <w:p>
      <w:pPr>
        <w:pStyle w:val="BodyText"/>
        <w:spacing w:line="264" w:lineRule="auto"/>
        <w:ind w:left="701" w:right="1870"/>
        <w:jc w:val="both"/>
      </w:pPr>
      <w:r>
        <w:rPr/>
        <w:t>This study has limitations that point to future research needs. The survey</w:t>
      </w:r>
      <w:r>
        <w:rPr>
          <w:spacing w:val="-2"/>
        </w:rPr>
        <w:t> </w:t>
      </w:r>
      <w:r>
        <w:rPr/>
        <w:t>was</w:t>
      </w:r>
      <w:r>
        <w:rPr>
          <w:spacing w:val="-2"/>
        </w:rPr>
        <w:t> </w:t>
      </w:r>
      <w:r>
        <w:rPr/>
        <w:t>small</w:t>
      </w:r>
      <w:r>
        <w:rPr>
          <w:spacing w:val="40"/>
        </w:rPr>
        <w:t> </w:t>
      </w:r>
      <w:r>
        <w:rPr/>
        <w:t>(n=17) and</w:t>
      </w:r>
      <w:r>
        <w:rPr>
          <w:spacing w:val="-6"/>
        </w:rPr>
        <w:t> </w:t>
      </w:r>
      <w:r>
        <w:rPr/>
        <w:t>non-random,</w:t>
      </w:r>
      <w:r>
        <w:rPr>
          <w:spacing w:val="-6"/>
        </w:rPr>
        <w:t> </w:t>
      </w:r>
      <w:r>
        <w:rPr/>
        <w:t>so</w:t>
      </w:r>
      <w:r>
        <w:rPr>
          <w:spacing w:val="-6"/>
        </w:rPr>
        <w:t> </w:t>
      </w:r>
      <w:r>
        <w:rPr/>
        <w:t>results</w:t>
      </w:r>
      <w:r>
        <w:rPr>
          <w:spacing w:val="-6"/>
        </w:rPr>
        <w:t> </w:t>
      </w:r>
      <w:r>
        <w:rPr/>
        <w:t>cannot</w:t>
      </w:r>
      <w:r>
        <w:rPr>
          <w:spacing w:val="-6"/>
        </w:rPr>
        <w:t> </w:t>
      </w:r>
      <w:r>
        <w:rPr/>
        <w:t>be</w:t>
      </w:r>
      <w:r>
        <w:rPr>
          <w:spacing w:val="-6"/>
        </w:rPr>
        <w:t> </w:t>
      </w:r>
      <w:r>
        <w:rPr/>
        <w:t>generalized</w:t>
      </w:r>
      <w:r>
        <w:rPr>
          <w:spacing w:val="-6"/>
        </w:rPr>
        <w:t> </w:t>
      </w:r>
      <w:r>
        <w:rPr/>
        <w:t>statistically.</w:t>
      </w:r>
      <w:r>
        <w:rPr>
          <w:spacing w:val="-6"/>
        </w:rPr>
        <w:t> </w:t>
      </w:r>
      <w:r>
        <w:rPr/>
        <w:t>We</w:t>
      </w:r>
      <w:r>
        <w:rPr>
          <w:spacing w:val="-6"/>
        </w:rPr>
        <w:t> </w:t>
      </w:r>
      <w:r>
        <w:rPr/>
        <w:t>focused</w:t>
      </w:r>
      <w:r>
        <w:rPr>
          <w:spacing w:val="-6"/>
        </w:rPr>
        <w:t> </w:t>
      </w:r>
      <w:r>
        <w:rPr/>
        <w:t>on</w:t>
      </w:r>
      <w:r>
        <w:rPr>
          <w:spacing w:val="40"/>
        </w:rPr>
        <w:t> </w:t>
      </w:r>
      <w:r>
        <w:rPr/>
        <w:t>Kentucky,</w:t>
      </w:r>
      <w:r>
        <w:rPr>
          <w:spacing w:val="-6"/>
        </w:rPr>
        <w:t> </w:t>
      </w:r>
      <w:r>
        <w:rPr/>
        <w:t>and other Appalachian states may differ. Future work should use larger,</w:t>
      </w:r>
      <w:r>
        <w:rPr>
          <w:spacing w:val="40"/>
        </w:rPr>
        <w:t> </w:t>
      </w:r>
      <w:r>
        <w:rPr/>
        <w:t>representative samples across multiple states or counties. Longitudinal studies would</w:t>
      </w:r>
      <w:r>
        <w:rPr>
          <w:spacing w:val="80"/>
        </w:rPr>
        <w:t> </w:t>
      </w:r>
      <w:r>
        <w:rPr/>
        <w:t>track how AI </w:t>
      </w:r>
      <w:r>
        <w:rPr/>
        <w:t>adoption evolves over time in these communities. Case studies could</w:t>
      </w:r>
      <w:r>
        <w:rPr>
          <w:spacing w:val="40"/>
        </w:rPr>
        <w:t> </w:t>
      </w:r>
      <w:r>
        <w:rPr/>
        <w:t>explore specific sectors (e.g. agriculture, healthcare) to identify tailored AI solutions.</w:t>
      </w:r>
      <w:r>
        <w:rPr>
          <w:spacing w:val="40"/>
        </w:rPr>
        <w:t> </w:t>
      </w:r>
      <w:r>
        <w:rPr/>
        <w:t>Finally, empirical evaluation of interventions (such as subsidized training programs)</w:t>
      </w:r>
      <w:r>
        <w:rPr>
          <w:spacing w:val="40"/>
        </w:rPr>
        <w:t> </w:t>
      </w:r>
      <w:r>
        <w:rPr/>
        <w:t>would be valuable. Despite these limitations, our combined review and survey shed light</w:t>
      </w:r>
      <w:r>
        <w:rPr>
          <w:spacing w:val="40"/>
        </w:rPr>
        <w:t> </w:t>
      </w:r>
      <w:r>
        <w:rPr/>
        <w:t>on the current state of AI in rural Appalachia and suggest a roadmap for helping these</w:t>
      </w:r>
      <w:r>
        <w:rPr>
          <w:spacing w:val="40"/>
        </w:rPr>
        <w:t> </w:t>
      </w:r>
      <w:r>
        <w:rPr/>
        <w:t>communities navigate the AI transformation responsibly and effectively.</w:t>
      </w:r>
    </w:p>
    <w:p>
      <w:pPr>
        <w:pStyle w:val="BodyText"/>
        <w:spacing w:before="31"/>
      </w:pPr>
    </w:p>
    <w:p>
      <w:pPr>
        <w:pStyle w:val="Heading4"/>
        <w:spacing w:before="1"/>
        <w:ind w:left="701"/>
      </w:pPr>
      <w:r>
        <w:rPr>
          <w:spacing w:val="-2"/>
        </w:rPr>
        <w:t>References</w:t>
      </w:r>
    </w:p>
    <w:p>
      <w:pPr>
        <w:pStyle w:val="BodyText"/>
        <w:spacing w:before="41"/>
        <w:rPr>
          <w:b/>
        </w:rPr>
      </w:pPr>
    </w:p>
    <w:p>
      <w:pPr>
        <w:spacing w:line="230" w:lineRule="auto" w:before="0"/>
        <w:ind w:left="701" w:right="1825" w:firstLine="0"/>
        <w:jc w:val="both"/>
        <w:rPr>
          <w:sz w:val="24"/>
        </w:rPr>
      </w:pPr>
      <w:r>
        <w:rPr>
          <w:sz w:val="24"/>
        </w:rPr>
        <w:t>Abrokwah-Larbi, E., &amp; Awuku-Larbi, H. (2024). AI in marketing and SME</w:t>
      </w:r>
      <w:r>
        <w:rPr>
          <w:spacing w:val="-4"/>
          <w:sz w:val="24"/>
        </w:rPr>
        <w:t> </w:t>
      </w:r>
      <w:r>
        <w:rPr>
          <w:sz w:val="24"/>
        </w:rPr>
        <w:t>performance</w:t>
      </w:r>
      <w:r>
        <w:rPr>
          <w:spacing w:val="40"/>
          <w:sz w:val="24"/>
        </w:rPr>
        <w:t> </w:t>
      </w:r>
      <w:r>
        <w:rPr>
          <w:sz w:val="24"/>
        </w:rPr>
        <w:t>in emerging economies: Evidence from Ghana SMEs. </w:t>
      </w:r>
      <w:r>
        <w:rPr>
          <w:i/>
          <w:sz w:val="24"/>
        </w:rPr>
        <w:t>Journal of Entrepreneurship and</w:t>
      </w:r>
      <w:r>
        <w:rPr>
          <w:i/>
          <w:sz w:val="24"/>
        </w:rPr>
        <w:t> Emerging Economies, 16</w:t>
      </w:r>
      <w:r>
        <w:rPr>
          <w:sz w:val="24"/>
        </w:rPr>
        <w:t>(5), 1090–1117.</w:t>
      </w:r>
    </w:p>
    <w:p>
      <w:pPr>
        <w:spacing w:line="230" w:lineRule="auto" w:before="275"/>
        <w:ind w:left="701" w:right="1979" w:firstLine="0"/>
        <w:jc w:val="both"/>
        <w:rPr>
          <w:sz w:val="24"/>
        </w:rPr>
      </w:pPr>
      <w:r>
        <w:rPr>
          <w:sz w:val="24"/>
        </w:rPr>
        <w:t>Bowen, R., Morris, W., &amp; Dowell, D. (2024). </w:t>
      </w:r>
      <w:r>
        <w:rPr>
          <w:i/>
          <w:sz w:val="24"/>
        </w:rPr>
        <w:t>Understanding artificial intelligence</w:t>
      </w:r>
      <w:r>
        <w:rPr>
          <w:i/>
          <w:spacing w:val="40"/>
          <w:sz w:val="24"/>
        </w:rPr>
        <w:t> </w:t>
      </w:r>
      <w:r>
        <w:rPr>
          <w:i/>
          <w:sz w:val="24"/>
        </w:rPr>
        <w:t>adoption and use in</w:t>
      </w:r>
      <w:r>
        <w:rPr>
          <w:i/>
          <w:spacing w:val="-3"/>
          <w:sz w:val="24"/>
        </w:rPr>
        <w:t> </w:t>
      </w:r>
      <w:r>
        <w:rPr>
          <w:i/>
          <w:sz w:val="24"/>
        </w:rPr>
        <w:t>rural</w:t>
      </w:r>
      <w:r>
        <w:rPr>
          <w:i/>
          <w:spacing w:val="-3"/>
          <w:sz w:val="24"/>
        </w:rPr>
        <w:t> </w:t>
      </w:r>
      <w:r>
        <w:rPr>
          <w:i/>
          <w:sz w:val="24"/>
        </w:rPr>
        <w:t>small</w:t>
      </w:r>
      <w:r>
        <w:rPr>
          <w:i/>
          <w:spacing w:val="-3"/>
          <w:sz w:val="24"/>
        </w:rPr>
        <w:t> </w:t>
      </w:r>
      <w:r>
        <w:rPr>
          <w:i/>
          <w:sz w:val="24"/>
        </w:rPr>
        <w:t>medium</w:t>
      </w:r>
      <w:r>
        <w:rPr>
          <w:i/>
          <w:spacing w:val="-3"/>
          <w:sz w:val="24"/>
        </w:rPr>
        <w:t> </w:t>
      </w:r>
      <w:r>
        <w:rPr>
          <w:i/>
          <w:sz w:val="24"/>
        </w:rPr>
        <w:t>enterprises:</w:t>
      </w:r>
      <w:r>
        <w:rPr>
          <w:i/>
          <w:spacing w:val="-3"/>
          <w:sz w:val="24"/>
        </w:rPr>
        <w:t> </w:t>
      </w:r>
      <w:r>
        <w:rPr>
          <w:i/>
          <w:sz w:val="24"/>
        </w:rPr>
        <w:t>An</w:t>
      </w:r>
      <w:r>
        <w:rPr>
          <w:i/>
          <w:spacing w:val="-3"/>
          <w:sz w:val="24"/>
        </w:rPr>
        <w:t> </w:t>
      </w:r>
      <w:r>
        <w:rPr>
          <w:i/>
          <w:sz w:val="24"/>
        </w:rPr>
        <w:t>opportunity</w:t>
      </w:r>
      <w:r>
        <w:rPr>
          <w:i/>
          <w:spacing w:val="-3"/>
          <w:sz w:val="24"/>
        </w:rPr>
        <w:t> </w:t>
      </w:r>
      <w:r>
        <w:rPr>
          <w:i/>
          <w:sz w:val="24"/>
        </w:rPr>
        <w:t>to</w:t>
      </w:r>
      <w:r>
        <w:rPr>
          <w:i/>
          <w:spacing w:val="-3"/>
          <w:sz w:val="24"/>
        </w:rPr>
        <w:t> </w:t>
      </w:r>
      <w:r>
        <w:rPr>
          <w:i/>
          <w:sz w:val="24"/>
        </w:rPr>
        <w:t>level</w:t>
      </w:r>
      <w:r>
        <w:rPr>
          <w:i/>
          <w:spacing w:val="-3"/>
          <w:sz w:val="24"/>
        </w:rPr>
        <w:t> </w:t>
      </w:r>
      <w:r>
        <w:rPr>
          <w:i/>
          <w:sz w:val="24"/>
        </w:rPr>
        <w:t>up?</w:t>
      </w:r>
      <w:r>
        <w:rPr>
          <w:i/>
          <w:spacing w:val="-3"/>
          <w:sz w:val="24"/>
        </w:rPr>
        <w:t> </w:t>
      </w:r>
      <w:r>
        <w:rPr>
          <w:sz w:val="24"/>
        </w:rPr>
        <w:t>Enterprise Research Centre Research Paper No. 113.</w:t>
      </w:r>
    </w:p>
    <w:p>
      <w:pPr>
        <w:pStyle w:val="BodyText"/>
        <w:spacing w:before="7"/>
      </w:pPr>
    </w:p>
    <w:p>
      <w:pPr>
        <w:pStyle w:val="BodyText"/>
        <w:spacing w:line="230" w:lineRule="auto"/>
        <w:ind w:left="701" w:right="2126"/>
        <w:jc w:val="both"/>
      </w:pPr>
      <w:r>
        <w:rPr/>
        <w:t>Hasan, M. M., Kasedullah, M., Ripon, M. B. B., &amp; Khan, M. M. H. (2025). AI-</w:t>
      </w:r>
      <w:r>
        <w:rPr/>
        <w:t>driven quality control in manufacturing and construction: Enhancing precision and</w:t>
      </w:r>
      <w:r>
        <w:rPr>
          <w:spacing w:val="40"/>
        </w:rPr>
        <w:t> </w:t>
      </w:r>
      <w:r>
        <w:rPr/>
        <w:t>reducing human error. </w:t>
      </w:r>
      <w:r>
        <w:rPr>
          <w:i/>
        </w:rPr>
        <w:t>Applied IT &amp; Engineering, 3</w:t>
      </w:r>
      <w:r>
        <w:rPr/>
        <w:t>(1), 1–10.</w:t>
      </w:r>
    </w:p>
    <w:p>
      <w:pPr>
        <w:pStyle w:val="BodyText"/>
        <w:spacing w:before="9"/>
      </w:pPr>
    </w:p>
    <w:p>
      <w:pPr>
        <w:pStyle w:val="BodyText"/>
        <w:spacing w:line="230" w:lineRule="auto"/>
        <w:ind w:left="701" w:right="1835"/>
        <w:jc w:val="both"/>
      </w:pPr>
      <w:r>
        <w:rPr/>
        <w:t>Kim, J., &amp; Wargo, E. (2025). Empowering educational leaders for AI integration in </w:t>
      </w:r>
      <w:r>
        <w:rPr/>
        <w:t>rural STEM education: Challenges and strategies. </w:t>
      </w:r>
      <w:r>
        <w:rPr>
          <w:i/>
        </w:rPr>
        <w:t>Frontiers in Education, 10</w:t>
      </w:r>
      <w:r>
        <w:rPr/>
        <w:t>, 1567698.</w:t>
      </w:r>
    </w:p>
    <w:p>
      <w:pPr>
        <w:pStyle w:val="BodyText"/>
        <w:spacing w:before="7"/>
      </w:pPr>
    </w:p>
    <w:p>
      <w:pPr>
        <w:pStyle w:val="BodyText"/>
        <w:spacing w:line="230" w:lineRule="auto" w:before="1"/>
        <w:ind w:left="701" w:right="1779"/>
        <w:jc w:val="both"/>
      </w:pPr>
      <w:r>
        <w:rPr/>
        <w:t>López Costa, M. (2025). Artificial intelligence and data literacy in rural schools’ </w:t>
      </w:r>
      <w:r>
        <w:rPr/>
        <w:t>teaching practices: Knowledge, use, and challenges. </w:t>
      </w:r>
      <w:r>
        <w:rPr>
          <w:i/>
        </w:rPr>
        <w:t>Education Sciences, 15</w:t>
      </w:r>
      <w:r>
        <w:rPr/>
        <w:t>(3), 352.</w:t>
      </w:r>
    </w:p>
    <w:p>
      <w:pPr>
        <w:pStyle w:val="BodyText"/>
        <w:spacing w:before="9"/>
      </w:pPr>
    </w:p>
    <w:p>
      <w:pPr>
        <w:pStyle w:val="BodyText"/>
        <w:spacing w:line="230" w:lineRule="auto"/>
        <w:ind w:left="701" w:right="1767"/>
        <w:jc w:val="both"/>
      </w:pPr>
      <w:r>
        <w:rPr/>
        <w:t>Sánchez, E., Calderón, R., &amp; Herrera, F. (2025). Artificial intelligence adoption in </w:t>
      </w:r>
      <w:r>
        <w:rPr/>
        <w:t>SMEs: Survey based on TOE–DOI framework, primary methodology and challenges.</w:t>
      </w:r>
      <w:r>
        <w:rPr>
          <w:spacing w:val="40"/>
        </w:rPr>
        <w:t> </w:t>
      </w:r>
      <w:r>
        <w:rPr>
          <w:i/>
        </w:rPr>
        <w:t>Applied</w:t>
      </w:r>
      <w:r>
        <w:rPr>
          <w:i/>
        </w:rPr>
        <w:t> Sciences, 15</w:t>
      </w:r>
      <w:r>
        <w:rPr/>
        <w:t>(12), 6465.</w:t>
      </w:r>
    </w:p>
    <w:p>
      <w:pPr>
        <w:pStyle w:val="BodyText"/>
        <w:spacing w:before="10"/>
      </w:pPr>
    </w:p>
    <w:p>
      <w:pPr>
        <w:spacing w:line="230" w:lineRule="auto" w:before="0"/>
        <w:ind w:left="701" w:right="1381" w:firstLine="0"/>
        <w:jc w:val="left"/>
        <w:rPr>
          <w:i/>
          <w:sz w:val="24"/>
        </w:rPr>
      </w:pPr>
      <w:r>
        <w:rPr>
          <w:sz w:val="24"/>
        </w:rPr>
        <w:t>U.S. Small Business Administration, Office of Advocacy. (2025). </w:t>
      </w:r>
      <w:r>
        <w:rPr>
          <w:i/>
          <w:sz w:val="24"/>
        </w:rPr>
        <w:t>Research spotlight: AI</w:t>
      </w:r>
      <w:r>
        <w:rPr>
          <w:i/>
          <w:spacing w:val="40"/>
          <w:sz w:val="24"/>
        </w:rPr>
        <w:t> </w:t>
      </w:r>
      <w:r>
        <w:rPr>
          <w:i/>
          <w:sz w:val="24"/>
        </w:rPr>
        <w:t>in</w:t>
      </w:r>
      <w:r>
        <w:rPr>
          <w:i/>
          <w:sz w:val="24"/>
        </w:rPr>
        <w:t> business – Small firms closing in.</w:t>
      </w:r>
    </w:p>
    <w:p>
      <w:pPr>
        <w:pStyle w:val="BodyText"/>
        <w:spacing w:before="7"/>
        <w:rPr>
          <w:i/>
        </w:rPr>
      </w:pPr>
    </w:p>
    <w:p>
      <w:pPr>
        <w:spacing w:line="230" w:lineRule="auto" w:before="0"/>
        <w:ind w:left="701" w:right="1750" w:firstLine="0"/>
        <w:jc w:val="both"/>
        <w:rPr>
          <w:i/>
          <w:sz w:val="24"/>
        </w:rPr>
      </w:pPr>
      <w:r>
        <w:rPr>
          <w:sz w:val="24"/>
        </w:rPr>
        <w:t>Wynne, M. A., &amp; Derr, L. (2025, June 24). Advances in AI will boost productivity, </w:t>
      </w:r>
      <w:r>
        <w:rPr>
          <w:sz w:val="24"/>
        </w:rPr>
        <w:t>living standards over time. </w:t>
      </w:r>
      <w:r>
        <w:rPr>
          <w:i/>
          <w:sz w:val="24"/>
        </w:rPr>
        <w:t>Dallas Federal Reserve Economic Insights.</w:t>
      </w:r>
    </w:p>
    <w:p>
      <w:pPr>
        <w:spacing w:after="0" w:line="230" w:lineRule="auto"/>
        <w:jc w:val="both"/>
        <w:rPr>
          <w:i/>
          <w:sz w:val="24"/>
        </w:rPr>
        <w:sectPr>
          <w:pgSz w:w="12240" w:h="15840"/>
          <w:pgMar w:header="0" w:footer="721" w:top="640" w:bottom="960" w:left="720" w:right="0"/>
        </w:sectPr>
      </w:pPr>
    </w:p>
    <w:p>
      <w:pPr>
        <w:pStyle w:val="Heading1"/>
        <w:spacing w:line="199" w:lineRule="auto" w:before="121"/>
        <w:ind w:left="3870" w:right="1948" w:hanging="2222"/>
      </w:pPr>
      <w:bookmarkStart w:name="Mind the (Gender) Gap: How YouTube Creat" w:id="37"/>
      <w:bookmarkEnd w:id="37"/>
      <w:r>
        <w:rPr>
          <w:b w:val="0"/>
        </w:rPr>
      </w:r>
      <w:bookmarkStart w:name="h.p8l1uzhh0xlq" w:id="38"/>
      <w:bookmarkEnd w:id="38"/>
      <w:r>
        <w:rPr>
          <w:b w:val="0"/>
        </w:rPr>
      </w:r>
      <w:r>
        <w:rPr/>
        <w:t>Mind</w:t>
      </w:r>
      <w:r>
        <w:rPr>
          <w:spacing w:val="-16"/>
        </w:rPr>
        <w:t> </w:t>
      </w:r>
      <w:r>
        <w:rPr/>
        <w:t>the</w:t>
      </w:r>
      <w:r>
        <w:rPr>
          <w:spacing w:val="-16"/>
        </w:rPr>
        <w:t> </w:t>
      </w:r>
      <w:r>
        <w:rPr/>
        <w:t>(Gender)</w:t>
      </w:r>
      <w:r>
        <w:rPr>
          <w:spacing w:val="-16"/>
        </w:rPr>
        <w:t> </w:t>
      </w:r>
      <w:r>
        <w:rPr/>
        <w:t>Gap:</w:t>
      </w:r>
      <w:r>
        <w:rPr>
          <w:spacing w:val="-16"/>
        </w:rPr>
        <w:t> </w:t>
      </w:r>
      <w:r>
        <w:rPr/>
        <w:t>How</w:t>
      </w:r>
      <w:r>
        <w:rPr>
          <w:spacing w:val="-16"/>
        </w:rPr>
        <w:t> </w:t>
      </w:r>
      <w:r>
        <w:rPr/>
        <w:t>YouTube</w:t>
      </w:r>
      <w:r>
        <w:rPr>
          <w:spacing w:val="-16"/>
        </w:rPr>
        <w:t> </w:t>
      </w:r>
      <w:r>
        <w:rPr/>
        <w:t>Creators</w:t>
      </w:r>
      <w:r>
        <w:rPr>
          <w:spacing w:val="-16"/>
        </w:rPr>
        <w:t> </w:t>
      </w:r>
      <w:r>
        <w:rPr/>
        <w:t>Shape Community Responses</w:t>
      </w:r>
    </w:p>
    <w:p>
      <w:pPr>
        <w:spacing w:before="2"/>
        <w:ind w:left="0" w:right="252" w:firstLine="0"/>
        <w:jc w:val="center"/>
        <w:rPr>
          <w:i/>
          <w:sz w:val="24"/>
        </w:rPr>
      </w:pPr>
      <w:r>
        <w:rPr>
          <w:i/>
          <w:sz w:val="24"/>
        </w:rPr>
        <w:t>Emily</w:t>
      </w:r>
      <w:r>
        <w:rPr>
          <w:i/>
          <w:spacing w:val="-5"/>
          <w:sz w:val="24"/>
        </w:rPr>
        <w:t> </w:t>
      </w:r>
      <w:r>
        <w:rPr>
          <w:i/>
          <w:sz w:val="24"/>
        </w:rPr>
        <w:t>Charlip</w:t>
      </w:r>
      <w:r>
        <w:rPr>
          <w:i/>
          <w:spacing w:val="-2"/>
          <w:sz w:val="24"/>
        </w:rPr>
        <w:t> </w:t>
      </w:r>
      <w:r>
        <w:rPr>
          <w:i/>
          <w:sz w:val="24"/>
        </w:rPr>
        <w:t>and</w:t>
      </w:r>
      <w:r>
        <w:rPr>
          <w:i/>
          <w:spacing w:val="-2"/>
          <w:sz w:val="24"/>
        </w:rPr>
        <w:t> </w:t>
      </w:r>
      <w:r>
        <w:rPr>
          <w:i/>
          <w:sz w:val="24"/>
        </w:rPr>
        <w:t>Jeffrey</w:t>
      </w:r>
      <w:r>
        <w:rPr>
          <w:i/>
          <w:spacing w:val="-2"/>
          <w:sz w:val="24"/>
        </w:rPr>
        <w:t> Kaleta</w:t>
      </w:r>
    </w:p>
    <w:p>
      <w:pPr>
        <w:pStyle w:val="BodyText"/>
        <w:rPr>
          <w:i/>
        </w:rPr>
      </w:pPr>
    </w:p>
    <w:p>
      <w:pPr>
        <w:pStyle w:val="BodyText"/>
        <w:spacing w:before="82"/>
        <w:rPr>
          <w:i/>
        </w:rPr>
      </w:pPr>
    </w:p>
    <w:p>
      <w:pPr>
        <w:pStyle w:val="Heading4"/>
        <w:spacing w:before="1"/>
        <w:ind w:left="701"/>
      </w:pPr>
      <w:r>
        <w:rPr>
          <w:spacing w:val="-2"/>
        </w:rPr>
        <w:t>Abstract</w:t>
      </w:r>
    </w:p>
    <w:p>
      <w:pPr>
        <w:pStyle w:val="BodyText"/>
        <w:spacing w:line="276" w:lineRule="auto" w:before="180"/>
        <w:ind w:left="716" w:right="1996"/>
      </w:pPr>
      <w:r>
        <w:rPr/>
        <w:t>As creator-driven platforms continue to shape how individuals share knowledge and</w:t>
      </w:r>
      <w:r>
        <w:rPr>
          <w:spacing w:val="40"/>
        </w:rPr>
        <w:t> </w:t>
      </w:r>
      <w:r>
        <w:rPr/>
        <w:t>build communities, understanding the factors that influence audience engagement has</w:t>
      </w:r>
      <w:r>
        <w:rPr>
          <w:spacing w:val="40"/>
        </w:rPr>
        <w:t> </w:t>
      </w:r>
      <w:r>
        <w:rPr/>
        <w:t>become increasingly</w:t>
      </w:r>
      <w:r>
        <w:rPr>
          <w:spacing w:val="-6"/>
        </w:rPr>
        <w:t> </w:t>
      </w:r>
      <w:r>
        <w:rPr/>
        <w:t>important.</w:t>
      </w:r>
      <w:r>
        <w:rPr>
          <w:spacing w:val="-6"/>
        </w:rPr>
        <w:t> </w:t>
      </w:r>
      <w:r>
        <w:rPr/>
        <w:t>Despite</w:t>
      </w:r>
      <w:r>
        <w:rPr>
          <w:spacing w:val="-6"/>
        </w:rPr>
        <w:t> </w:t>
      </w:r>
      <w:r>
        <w:rPr/>
        <w:t>the</w:t>
      </w:r>
      <w:r>
        <w:rPr>
          <w:spacing w:val="-6"/>
        </w:rPr>
        <w:t> </w:t>
      </w:r>
      <w:r>
        <w:rPr/>
        <w:t>rapid</w:t>
      </w:r>
      <w:r>
        <w:rPr>
          <w:spacing w:val="-6"/>
        </w:rPr>
        <w:t> </w:t>
      </w:r>
      <w:r>
        <w:rPr/>
        <w:t>growth</w:t>
      </w:r>
      <w:r>
        <w:rPr>
          <w:spacing w:val="-6"/>
        </w:rPr>
        <w:t> </w:t>
      </w:r>
      <w:r>
        <w:rPr/>
        <w:t>of</w:t>
      </w:r>
      <w:r>
        <w:rPr>
          <w:spacing w:val="-6"/>
        </w:rPr>
        <w:t> </w:t>
      </w:r>
      <w:r>
        <w:rPr/>
        <w:t>YouTube</w:t>
      </w:r>
      <w:r>
        <w:rPr>
          <w:spacing w:val="-6"/>
        </w:rPr>
        <w:t> </w:t>
      </w:r>
      <w:r>
        <w:rPr/>
        <w:t>as</w:t>
      </w:r>
      <w:r>
        <w:rPr>
          <w:spacing w:val="-6"/>
        </w:rPr>
        <w:t> </w:t>
      </w:r>
      <w:r>
        <w:rPr/>
        <w:t>a</w:t>
      </w:r>
      <w:r>
        <w:rPr>
          <w:spacing w:val="-6"/>
        </w:rPr>
        <w:t> </w:t>
      </w:r>
      <w:r>
        <w:rPr/>
        <w:t>learning</w:t>
      </w:r>
      <w:r>
        <w:rPr>
          <w:spacing w:val="40"/>
        </w:rPr>
        <w:t> </w:t>
      </w:r>
      <w:r>
        <w:rPr/>
        <w:t>environment</w:t>
      </w:r>
      <w:r>
        <w:rPr>
          <w:spacing w:val="-6"/>
        </w:rPr>
        <w:t> </w:t>
      </w:r>
      <w:r>
        <w:rPr/>
        <w:t>for skill-based content, limited research has examined how creator</w:t>
      </w:r>
      <w:r>
        <w:rPr>
          <w:spacing w:val="40"/>
        </w:rPr>
        <w:t> </w:t>
      </w:r>
      <w:r>
        <w:rPr/>
        <w:t>characteristics, particularly gender, influence participation patterns within digital maker</w:t>
      </w:r>
      <w:r>
        <w:rPr>
          <w:spacing w:val="40"/>
        </w:rPr>
        <w:t> </w:t>
      </w:r>
      <w:r>
        <w:rPr/>
        <w:t>communities. This study investigates whether creator gender is associated with</w:t>
      </w:r>
      <w:r>
        <w:rPr>
          <w:spacing w:val="40"/>
        </w:rPr>
        <w:t> </w:t>
      </w:r>
      <w:r>
        <w:rPr/>
        <w:t>differences in audience sentiment, discussion patterns, linguistic communication style, and</w:t>
      </w:r>
      <w:r>
        <w:rPr>
          <w:spacing w:val="40"/>
        </w:rPr>
        <w:t> </w:t>
      </w:r>
      <w:r>
        <w:rPr/>
        <w:t>observable engagement behaviors within the DIY YouTube ecosystem.</w:t>
      </w:r>
    </w:p>
    <w:p>
      <w:pPr>
        <w:pStyle w:val="BodyText"/>
        <w:spacing w:before="42"/>
      </w:pPr>
    </w:p>
    <w:p>
      <w:pPr>
        <w:pStyle w:val="BodyText"/>
        <w:spacing w:line="276" w:lineRule="auto"/>
        <w:ind w:left="701" w:right="1375"/>
        <w:jc w:val="both"/>
      </w:pPr>
      <w:r>
        <w:rPr/>
        <w:t>Using the YouTube Data API, a dataset of</w:t>
      </w:r>
      <w:r>
        <w:rPr>
          <w:spacing w:val="-4"/>
        </w:rPr>
        <w:t> </w:t>
      </w:r>
      <w:r>
        <w:rPr/>
        <w:t>332</w:t>
      </w:r>
      <w:r>
        <w:rPr>
          <w:spacing w:val="-4"/>
        </w:rPr>
        <w:t> </w:t>
      </w:r>
      <w:r>
        <w:rPr/>
        <w:t>videos</w:t>
      </w:r>
      <w:r>
        <w:rPr>
          <w:spacing w:val="-4"/>
        </w:rPr>
        <w:t> </w:t>
      </w:r>
      <w:r>
        <w:rPr/>
        <w:t>from</w:t>
      </w:r>
      <w:r>
        <w:rPr>
          <w:spacing w:val="-4"/>
        </w:rPr>
        <w:t> </w:t>
      </w:r>
      <w:r>
        <w:rPr/>
        <w:t>39</w:t>
      </w:r>
      <w:r>
        <w:rPr>
          <w:spacing w:val="-4"/>
        </w:rPr>
        <w:t> </w:t>
      </w:r>
      <w:r>
        <w:rPr/>
        <w:t>popular</w:t>
      </w:r>
      <w:r>
        <w:rPr>
          <w:spacing w:val="-4"/>
        </w:rPr>
        <w:t> </w:t>
      </w:r>
      <w:r>
        <w:rPr/>
        <w:t>DIY</w:t>
      </w:r>
      <w:r>
        <w:rPr>
          <w:spacing w:val="-4"/>
        </w:rPr>
        <w:t> </w:t>
      </w:r>
      <w:r>
        <w:rPr/>
        <w:t>creators</w:t>
      </w:r>
      <w:r>
        <w:rPr>
          <w:spacing w:val="-4"/>
        </w:rPr>
        <w:t> </w:t>
      </w:r>
      <w:r>
        <w:rPr/>
        <w:t>(21</w:t>
      </w:r>
      <w:r>
        <w:rPr>
          <w:spacing w:val="-4"/>
        </w:rPr>
        <w:t> </w:t>
      </w:r>
      <w:r>
        <w:rPr/>
        <w:t>male</w:t>
      </w:r>
      <w:r>
        <w:rPr>
          <w:spacing w:val="-4"/>
        </w:rPr>
        <w:t> </w:t>
      </w:r>
      <w:r>
        <w:rPr/>
        <w:t>led channels and 18 female-led channels) was compiled, including complete comment threads</w:t>
      </w:r>
      <w:r>
        <w:rPr>
          <w:spacing w:val="40"/>
        </w:rPr>
        <w:t> </w:t>
      </w:r>
      <w:r>
        <w:rPr/>
        <w:t>and video transcripts when available. Audience sentiment was quantified using VADER</w:t>
      </w:r>
      <w:r>
        <w:rPr>
          <w:spacing w:val="40"/>
        </w:rPr>
        <w:t> </w:t>
      </w:r>
      <w:r>
        <w:rPr/>
        <w:t>sentiment analysis, thematic content was identified using Latent Dirichlet Allocation</w:t>
      </w:r>
      <w:r>
        <w:rPr>
          <w:spacing w:val="80"/>
        </w:rPr>
        <w:t> </w:t>
      </w:r>
      <w:r>
        <w:rPr/>
        <w:t>(LDA) topic modeling, and creator communication style was measured</w:t>
      </w:r>
      <w:r>
        <w:rPr>
          <w:spacing w:val="-3"/>
        </w:rPr>
        <w:t> </w:t>
      </w:r>
      <w:r>
        <w:rPr/>
        <w:t>through</w:t>
      </w:r>
      <w:r>
        <w:rPr>
          <w:spacing w:val="-3"/>
        </w:rPr>
        <w:t> </w:t>
      </w:r>
      <w:r>
        <w:rPr/>
        <w:t>LIWC-22</w:t>
      </w:r>
      <w:r>
        <w:rPr>
          <w:spacing w:val="40"/>
        </w:rPr>
        <w:t> </w:t>
      </w:r>
      <w:r>
        <w:rPr/>
        <w:t>linguistic</w:t>
      </w:r>
      <w:r>
        <w:rPr>
          <w:spacing w:val="-3"/>
        </w:rPr>
        <w:t> </w:t>
      </w:r>
      <w:r>
        <w:rPr/>
        <w:t>summary metrics, including analytical thinking, clout, authenticity, and emotional</w:t>
      </w:r>
      <w:r>
        <w:rPr>
          <w:spacing w:val="40"/>
        </w:rPr>
        <w:t> </w:t>
      </w:r>
      <w:r>
        <w:rPr/>
        <w:t>tone. Engagement was measured as an interaction rate calculated from</w:t>
      </w:r>
      <w:r>
        <w:rPr>
          <w:spacing w:val="-2"/>
        </w:rPr>
        <w:t> </w:t>
      </w:r>
      <w:r>
        <w:rPr/>
        <w:t>likes</w:t>
      </w:r>
      <w:r>
        <w:rPr>
          <w:spacing w:val="-2"/>
        </w:rPr>
        <w:t> </w:t>
      </w:r>
      <w:r>
        <w:rPr/>
        <w:t>and</w:t>
      </w:r>
      <w:r>
        <w:rPr>
          <w:spacing w:val="-2"/>
        </w:rPr>
        <w:t> </w:t>
      </w:r>
      <w:r>
        <w:rPr/>
        <w:t>comments</w:t>
      </w:r>
      <w:r>
        <w:rPr>
          <w:spacing w:val="40"/>
        </w:rPr>
        <w:t> </w:t>
      </w:r>
      <w:r>
        <w:rPr/>
        <w:t>relative</w:t>
      </w:r>
      <w:r>
        <w:rPr>
          <w:spacing w:val="-2"/>
        </w:rPr>
        <w:t> </w:t>
      </w:r>
      <w:r>
        <w:rPr/>
        <w:t>to</w:t>
      </w:r>
      <w:r>
        <w:rPr>
          <w:spacing w:val="-2"/>
        </w:rPr>
        <w:t> </w:t>
      </w:r>
      <w:r>
        <w:rPr/>
        <w:t>total</w:t>
      </w:r>
      <w:r>
        <w:rPr>
          <w:spacing w:val="-2"/>
        </w:rPr>
        <w:t> </w:t>
      </w:r>
      <w:r>
        <w:rPr/>
        <w:t>video</w:t>
      </w:r>
      <w:r>
        <w:rPr>
          <w:spacing w:val="-2"/>
        </w:rPr>
        <w:t> </w:t>
      </w:r>
      <w:r>
        <w:rPr/>
        <w:t>views, allowing comparison across channels with varying audience sizes.</w:t>
      </w:r>
      <w:r>
        <w:rPr>
          <w:spacing w:val="40"/>
        </w:rPr>
        <w:t> </w:t>
      </w:r>
      <w:r>
        <w:rPr/>
        <w:t>Statistical analyses included independent samples t-tests,</w:t>
      </w:r>
      <w:r>
        <w:rPr>
          <w:spacing w:val="-3"/>
        </w:rPr>
        <w:t> </w:t>
      </w:r>
      <w:r>
        <w:rPr/>
        <w:t>multiple</w:t>
      </w:r>
      <w:r>
        <w:rPr>
          <w:spacing w:val="-3"/>
        </w:rPr>
        <w:t> </w:t>
      </w:r>
      <w:r>
        <w:rPr/>
        <w:t>regression</w:t>
      </w:r>
      <w:r>
        <w:rPr>
          <w:spacing w:val="-3"/>
        </w:rPr>
        <w:t> </w:t>
      </w:r>
      <w:r>
        <w:rPr/>
        <w:t>models,</w:t>
      </w:r>
      <w:r>
        <w:rPr>
          <w:spacing w:val="-3"/>
        </w:rPr>
        <w:t> </w:t>
      </w:r>
      <w:r>
        <w:rPr/>
        <w:t>and</w:t>
      </w:r>
      <w:r>
        <w:rPr>
          <w:spacing w:val="40"/>
        </w:rPr>
        <w:t> </w:t>
      </w:r>
      <w:r>
        <w:rPr/>
        <w:t>mixed-effects</w:t>
      </w:r>
      <w:r>
        <w:rPr>
          <w:spacing w:val="-3"/>
        </w:rPr>
        <w:t> </w:t>
      </w:r>
      <w:r>
        <w:rPr/>
        <w:t>models</w:t>
      </w:r>
      <w:r>
        <w:rPr>
          <w:spacing w:val="-3"/>
        </w:rPr>
        <w:t> </w:t>
      </w:r>
      <w:r>
        <w:rPr/>
        <w:t>to</w:t>
      </w:r>
      <w:r>
        <w:rPr>
          <w:spacing w:val="-3"/>
        </w:rPr>
        <w:t> </w:t>
      </w:r>
      <w:r>
        <w:rPr/>
        <w:t>account</w:t>
      </w:r>
      <w:r>
        <w:rPr>
          <w:spacing w:val="-3"/>
        </w:rPr>
        <w:t> </w:t>
      </w:r>
      <w:r>
        <w:rPr/>
        <w:t>for clustering of videos within channels.</w:t>
      </w:r>
    </w:p>
    <w:p>
      <w:pPr>
        <w:pStyle w:val="BodyText"/>
        <w:spacing w:before="167"/>
      </w:pPr>
    </w:p>
    <w:p>
      <w:pPr>
        <w:pStyle w:val="BodyText"/>
        <w:tabs>
          <w:tab w:pos="1353" w:val="left" w:leader="none"/>
          <w:tab w:pos="1781" w:val="left" w:leader="none"/>
          <w:tab w:pos="2322" w:val="left" w:leader="none"/>
          <w:tab w:pos="2766" w:val="left" w:leader="none"/>
          <w:tab w:pos="3951" w:val="left" w:leader="none"/>
          <w:tab w:pos="5542" w:val="left" w:leader="none"/>
          <w:tab w:pos="6813" w:val="left" w:leader="none"/>
          <w:tab w:pos="7623" w:val="left" w:leader="none"/>
          <w:tab w:pos="8633" w:val="left" w:leader="none"/>
          <w:tab w:pos="9936" w:val="left" w:leader="none"/>
        </w:tabs>
        <w:spacing w:line="276" w:lineRule="auto"/>
        <w:ind w:left="716" w:right="1361"/>
      </w:pPr>
      <w:r>
        <w:rPr>
          <w:spacing w:val="-2"/>
        </w:rPr>
        <w:t>Findings</w:t>
      </w:r>
      <w:r>
        <w:rPr/>
        <w:tab/>
      </w:r>
      <w:r>
        <w:rPr>
          <w:spacing w:val="-2"/>
        </w:rPr>
        <w:t>indicate</w:t>
      </w:r>
      <w:r>
        <w:rPr/>
        <w:tab/>
      </w:r>
      <w:r>
        <w:rPr>
          <w:spacing w:val="-2"/>
        </w:rPr>
        <w:t>consistent</w:t>
      </w:r>
      <w:r>
        <w:rPr/>
        <w:tab/>
      </w:r>
      <w:r>
        <w:rPr>
          <w:spacing w:val="-2"/>
        </w:rPr>
        <w:t>gender-related</w:t>
      </w:r>
      <w:r>
        <w:rPr/>
        <w:tab/>
      </w:r>
      <w:r>
        <w:rPr>
          <w:spacing w:val="-2"/>
        </w:rPr>
        <w:t>differences</w:t>
      </w:r>
      <w:r>
        <w:rPr/>
        <w:tab/>
      </w:r>
      <w:r>
        <w:rPr>
          <w:spacing w:val="-2"/>
        </w:rPr>
        <w:t>across</w:t>
      </w:r>
      <w:r>
        <w:rPr/>
        <w:tab/>
      </w:r>
      <w:r>
        <w:rPr>
          <w:spacing w:val="-2"/>
        </w:rPr>
        <w:t>multiple</w:t>
      </w:r>
      <w:r>
        <w:rPr/>
        <w:tab/>
      </w:r>
      <w:r>
        <w:rPr>
          <w:spacing w:val="-2"/>
        </w:rPr>
        <w:t>dimensions</w:t>
      </w:r>
      <w:r>
        <w:rPr/>
        <w:tab/>
      </w:r>
      <w:r>
        <w:rPr>
          <w:spacing w:val="-6"/>
        </w:rPr>
        <w:t>of </w:t>
      </w:r>
      <w:r>
        <w:rPr/>
        <w:t>engagement.</w:t>
      </w:r>
      <w:r>
        <w:rPr>
          <w:spacing w:val="40"/>
        </w:rPr>
        <w:t> </w:t>
      </w:r>
      <w:r>
        <w:rPr/>
        <w:t>Videos</w:t>
      </w:r>
      <w:r>
        <w:rPr>
          <w:spacing w:val="40"/>
        </w:rPr>
        <w:t> </w:t>
      </w:r>
      <w:r>
        <w:rPr/>
        <w:t>produced</w:t>
      </w:r>
      <w:r>
        <w:rPr>
          <w:spacing w:val="40"/>
        </w:rPr>
        <w:t> </w:t>
      </w:r>
      <w:r>
        <w:rPr/>
        <w:t>by</w:t>
      </w:r>
      <w:r>
        <w:rPr>
          <w:spacing w:val="40"/>
        </w:rPr>
        <w:t> </w:t>
      </w:r>
      <w:r>
        <w:rPr/>
        <w:t>female</w:t>
      </w:r>
      <w:r>
        <w:rPr>
          <w:spacing w:val="40"/>
        </w:rPr>
        <w:t> </w:t>
      </w:r>
      <w:r>
        <w:rPr/>
        <w:t>creators</w:t>
      </w:r>
      <w:r>
        <w:rPr>
          <w:spacing w:val="40"/>
        </w:rPr>
        <w:t> </w:t>
      </w:r>
      <w:r>
        <w:rPr/>
        <w:t>generated</w:t>
      </w:r>
      <w:r>
        <w:rPr>
          <w:spacing w:val="40"/>
        </w:rPr>
        <w:t> </w:t>
      </w:r>
      <w:r>
        <w:rPr/>
        <w:t>more</w:t>
      </w:r>
      <w:r>
        <w:rPr>
          <w:spacing w:val="40"/>
        </w:rPr>
        <w:t> </w:t>
      </w:r>
      <w:r>
        <w:rPr/>
        <w:t>positive</w:t>
      </w:r>
      <w:r>
        <w:rPr>
          <w:spacing w:val="27"/>
        </w:rPr>
        <w:t> </w:t>
      </w:r>
      <w:r>
        <w:rPr/>
        <w:t>audience</w:t>
      </w:r>
      <w:r>
        <w:rPr>
          <w:spacing w:val="27"/>
        </w:rPr>
        <w:t> </w:t>
      </w:r>
      <w:r>
        <w:rPr/>
        <w:t>sentiment and</w:t>
      </w:r>
      <w:r>
        <w:rPr>
          <w:spacing w:val="40"/>
        </w:rPr>
        <w:t> </w:t>
      </w:r>
      <w:r>
        <w:rPr/>
        <w:t>higher</w:t>
      </w:r>
      <w:r>
        <w:rPr>
          <w:spacing w:val="40"/>
        </w:rPr>
        <w:t> </w:t>
      </w:r>
      <w:r>
        <w:rPr/>
        <w:t>interaction</w:t>
      </w:r>
      <w:r>
        <w:rPr>
          <w:spacing w:val="40"/>
        </w:rPr>
        <w:t> </w:t>
      </w:r>
      <w:r>
        <w:rPr/>
        <w:t>rates,</w:t>
      </w:r>
      <w:r>
        <w:rPr>
          <w:spacing w:val="40"/>
        </w:rPr>
        <w:t> </w:t>
      </w:r>
      <w:r>
        <w:rPr/>
        <w:t>while</w:t>
      </w:r>
      <w:r>
        <w:rPr>
          <w:spacing w:val="40"/>
        </w:rPr>
        <w:t> </w:t>
      </w:r>
      <w:r>
        <w:rPr/>
        <w:t>male</w:t>
      </w:r>
      <w:r>
        <w:rPr>
          <w:spacing w:val="40"/>
        </w:rPr>
        <w:t> </w:t>
      </w:r>
      <w:r>
        <w:rPr/>
        <w:t>creators’</w:t>
      </w:r>
      <w:r>
        <w:rPr>
          <w:spacing w:val="40"/>
        </w:rPr>
        <w:t> </w:t>
      </w:r>
      <w:r>
        <w:rPr/>
        <w:t>content</w:t>
      </w:r>
      <w:r>
        <w:rPr>
          <w:spacing w:val="40"/>
        </w:rPr>
        <w:t> </w:t>
      </w:r>
      <w:r>
        <w:rPr/>
        <w:t>more</w:t>
      </w:r>
      <w:r>
        <w:rPr>
          <w:spacing w:val="40"/>
        </w:rPr>
        <w:t> </w:t>
      </w:r>
      <w:r>
        <w:rPr/>
        <w:t>frequently</w:t>
      </w:r>
      <w:r>
        <w:rPr>
          <w:spacing w:val="40"/>
        </w:rPr>
        <w:t> </w:t>
      </w:r>
      <w:r>
        <w:rPr/>
        <w:t>elicited</w:t>
      </w:r>
      <w:r>
        <w:rPr>
          <w:spacing w:val="40"/>
        </w:rPr>
        <w:t> </w:t>
      </w:r>
      <w:r>
        <w:rPr/>
        <w:t>discussion centered</w:t>
      </w:r>
      <w:r>
        <w:rPr>
          <w:spacing w:val="-4"/>
        </w:rPr>
        <w:t> </w:t>
      </w:r>
      <w:r>
        <w:rPr/>
        <w:t>on</w:t>
      </w:r>
      <w:r>
        <w:rPr>
          <w:spacing w:val="-4"/>
        </w:rPr>
        <w:t> </w:t>
      </w:r>
      <w:r>
        <w:rPr/>
        <w:t>tools,</w:t>
      </w:r>
      <w:r>
        <w:rPr>
          <w:spacing w:val="-4"/>
        </w:rPr>
        <w:t> </w:t>
      </w:r>
      <w:r>
        <w:rPr/>
        <w:t>techniques,</w:t>
      </w:r>
      <w:r>
        <w:rPr>
          <w:spacing w:val="-4"/>
        </w:rPr>
        <w:t> </w:t>
      </w:r>
      <w:r>
        <w:rPr/>
        <w:t>and</w:t>
      </w:r>
      <w:r>
        <w:rPr>
          <w:spacing w:val="-4"/>
        </w:rPr>
        <w:t> </w:t>
      </w:r>
      <w:r>
        <w:rPr/>
        <w:t>technical</w:t>
      </w:r>
      <w:r>
        <w:rPr>
          <w:spacing w:val="-4"/>
        </w:rPr>
        <w:t> </w:t>
      </w:r>
      <w:r>
        <w:rPr/>
        <w:t>problem-solving.</w:t>
      </w:r>
      <w:r>
        <w:rPr>
          <w:spacing w:val="-4"/>
        </w:rPr>
        <w:t> </w:t>
      </w:r>
      <w:r>
        <w:rPr/>
        <w:t>Additionally,</w:t>
      </w:r>
      <w:r>
        <w:rPr>
          <w:spacing w:val="-4"/>
        </w:rPr>
        <w:t> </w:t>
      </w:r>
      <w:r>
        <w:rPr/>
        <w:t>communication</w:t>
      </w:r>
      <w:r>
        <w:rPr>
          <w:spacing w:val="40"/>
        </w:rPr>
        <w:t> </w:t>
      </w:r>
      <w:r>
        <w:rPr/>
        <w:t>styles characterized</w:t>
      </w:r>
      <w:r>
        <w:rPr>
          <w:spacing w:val="40"/>
        </w:rPr>
        <w:t> </w:t>
      </w:r>
      <w:r>
        <w:rPr/>
        <w:t>by</w:t>
      </w:r>
      <w:r>
        <w:rPr>
          <w:spacing w:val="40"/>
        </w:rPr>
        <w:t> </w:t>
      </w:r>
      <w:r>
        <w:rPr/>
        <w:t>higher</w:t>
      </w:r>
      <w:r>
        <w:rPr>
          <w:spacing w:val="40"/>
        </w:rPr>
        <w:t> </w:t>
      </w:r>
      <w:r>
        <w:rPr/>
        <w:t>levels</w:t>
      </w:r>
      <w:r>
        <w:rPr>
          <w:spacing w:val="40"/>
        </w:rPr>
        <w:t> </w:t>
      </w:r>
      <w:r>
        <w:rPr/>
        <w:t>of</w:t>
      </w:r>
      <w:r>
        <w:rPr>
          <w:spacing w:val="40"/>
        </w:rPr>
        <w:t> </w:t>
      </w:r>
      <w:r>
        <w:rPr/>
        <w:t>analytical</w:t>
      </w:r>
      <w:r>
        <w:rPr>
          <w:spacing w:val="28"/>
        </w:rPr>
        <w:t> </w:t>
      </w:r>
      <w:r>
        <w:rPr/>
        <w:t>structure</w:t>
      </w:r>
      <w:r>
        <w:rPr>
          <w:spacing w:val="28"/>
        </w:rPr>
        <w:t> </w:t>
      </w:r>
      <w:r>
        <w:rPr/>
        <w:t>and</w:t>
      </w:r>
      <w:r>
        <w:rPr>
          <w:spacing w:val="28"/>
        </w:rPr>
        <w:t> </w:t>
      </w:r>
      <w:r>
        <w:rPr/>
        <w:t>perceived</w:t>
      </w:r>
      <w:r>
        <w:rPr>
          <w:spacing w:val="28"/>
        </w:rPr>
        <w:t> </w:t>
      </w:r>
      <w:r>
        <w:rPr/>
        <w:t>authority</w:t>
      </w:r>
      <w:r>
        <w:rPr>
          <w:spacing w:val="28"/>
        </w:rPr>
        <w:t> </w:t>
      </w:r>
      <w:r>
        <w:rPr/>
        <w:t>were</w:t>
      </w:r>
      <w:r>
        <w:rPr>
          <w:spacing w:val="80"/>
        </w:rPr>
        <w:t> </w:t>
      </w:r>
      <w:r>
        <w:rPr/>
        <w:t>associated </w:t>
      </w:r>
      <w:r>
        <w:rPr>
          <w:spacing w:val="-4"/>
        </w:rPr>
        <w:t>with</w:t>
      </w:r>
      <w:r>
        <w:rPr/>
        <w:tab/>
      </w:r>
      <w:r>
        <w:rPr>
          <w:spacing w:val="-2"/>
        </w:rPr>
        <w:t>reduced</w:t>
      </w:r>
      <w:r>
        <w:rPr/>
        <w:tab/>
        <w:t>audience</w:t>
      </w:r>
      <w:r>
        <w:rPr>
          <w:spacing w:val="80"/>
          <w:w w:val="150"/>
        </w:rPr>
        <w:t> </w:t>
      </w:r>
      <w:r>
        <w:rPr/>
        <w:t>interaction,</w:t>
      </w:r>
      <w:r>
        <w:rPr>
          <w:spacing w:val="80"/>
          <w:w w:val="150"/>
        </w:rPr>
        <w:t> </w:t>
      </w:r>
      <w:r>
        <w:rPr/>
        <w:t>suggesting</w:t>
      </w:r>
      <w:r>
        <w:rPr>
          <w:spacing w:val="80"/>
          <w:w w:val="150"/>
        </w:rPr>
        <w:t> </w:t>
      </w:r>
      <w:r>
        <w:rPr/>
        <w:t>that</w:t>
      </w:r>
      <w:r>
        <w:rPr>
          <w:spacing w:val="80"/>
          <w:w w:val="150"/>
        </w:rPr>
        <w:t> </w:t>
      </w:r>
      <w:r>
        <w:rPr/>
        <w:t>conversational</w:t>
      </w:r>
      <w:r>
        <w:rPr>
          <w:spacing w:val="80"/>
          <w:w w:val="150"/>
        </w:rPr>
        <w:t> </w:t>
      </w:r>
      <w:r>
        <w:rPr/>
        <w:t>tone</w:t>
      </w:r>
      <w:r>
        <w:rPr>
          <w:spacing w:val="80"/>
          <w:w w:val="150"/>
        </w:rPr>
        <w:t> </w:t>
      </w:r>
      <w:r>
        <w:rPr/>
        <w:t>may</w:t>
      </w:r>
      <w:r>
        <w:rPr>
          <w:spacing w:val="80"/>
          <w:w w:val="150"/>
        </w:rPr>
        <w:t> </w:t>
      </w:r>
      <w:r>
        <w:rPr/>
        <w:t>influence participatory behavior. Gender remained a statistically significant predictor of engagement after accounting</w:t>
      </w:r>
      <w:r>
        <w:rPr>
          <w:spacing w:val="28"/>
        </w:rPr>
        <w:t> </w:t>
      </w:r>
      <w:r>
        <w:rPr/>
        <w:t>for</w:t>
      </w:r>
      <w:r>
        <w:rPr>
          <w:spacing w:val="28"/>
        </w:rPr>
        <w:t> </w:t>
      </w:r>
      <w:r>
        <w:rPr/>
        <w:t>linguistic</w:t>
      </w:r>
      <w:r>
        <w:rPr>
          <w:spacing w:val="28"/>
        </w:rPr>
        <w:t> </w:t>
      </w:r>
      <w:r>
        <w:rPr/>
        <w:t>characteristics.</w:t>
      </w:r>
      <w:r>
        <w:rPr>
          <w:spacing w:val="28"/>
        </w:rPr>
        <w:t> </w:t>
      </w:r>
      <w:r>
        <w:rPr/>
        <w:t>Overall,</w:t>
      </w:r>
      <w:r>
        <w:rPr>
          <w:spacing w:val="28"/>
        </w:rPr>
        <w:t> </w:t>
      </w:r>
      <w:r>
        <w:rPr/>
        <w:t>results</w:t>
      </w:r>
      <w:r>
        <w:rPr>
          <w:spacing w:val="28"/>
        </w:rPr>
        <w:t> </w:t>
      </w:r>
      <w:r>
        <w:rPr/>
        <w:t>suggest</w:t>
      </w:r>
      <w:r>
        <w:rPr>
          <w:spacing w:val="28"/>
        </w:rPr>
        <w:t> </w:t>
      </w:r>
      <w:r>
        <w:rPr/>
        <w:t>that</w:t>
      </w:r>
      <w:r>
        <w:rPr>
          <w:spacing w:val="28"/>
        </w:rPr>
        <w:t> </w:t>
      </w:r>
      <w:r>
        <w:rPr/>
        <w:t>creator</w:t>
      </w:r>
      <w:r>
        <w:rPr>
          <w:spacing w:val="28"/>
        </w:rPr>
        <w:t> </w:t>
      </w:r>
      <w:r>
        <w:rPr/>
        <w:t>gender contributes to</w:t>
      </w:r>
      <w:r>
        <w:rPr>
          <w:spacing w:val="80"/>
        </w:rPr>
        <w:t> </w:t>
      </w:r>
      <w:r>
        <w:rPr/>
        <w:t>differences</w:t>
      </w:r>
      <w:r>
        <w:rPr>
          <w:spacing w:val="80"/>
        </w:rPr>
        <w:t> </w:t>
      </w:r>
      <w:r>
        <w:rPr/>
        <w:t>in</w:t>
      </w:r>
      <w:r>
        <w:rPr>
          <w:spacing w:val="80"/>
        </w:rPr>
        <w:t> </w:t>
      </w:r>
      <w:r>
        <w:rPr/>
        <w:t>how</w:t>
      </w:r>
      <w:r>
        <w:rPr>
          <w:spacing w:val="80"/>
        </w:rPr>
        <w:t> </w:t>
      </w:r>
      <w:r>
        <w:rPr/>
        <w:t>audiences</w:t>
      </w:r>
      <w:r>
        <w:rPr>
          <w:spacing w:val="80"/>
        </w:rPr>
        <w:t> </w:t>
      </w:r>
      <w:r>
        <w:rPr/>
        <w:t>interpret,</w:t>
      </w:r>
      <w:r>
        <w:rPr>
          <w:spacing w:val="71"/>
        </w:rPr>
        <w:t> </w:t>
      </w:r>
      <w:r>
        <w:rPr/>
        <w:t>discuss,</w:t>
      </w:r>
      <w:r>
        <w:rPr>
          <w:spacing w:val="71"/>
        </w:rPr>
        <w:t> </w:t>
      </w:r>
      <w:r>
        <w:rPr/>
        <w:t>and</w:t>
      </w:r>
      <w:r>
        <w:rPr>
          <w:spacing w:val="71"/>
        </w:rPr>
        <w:t> </w:t>
      </w:r>
      <w:r>
        <w:rPr/>
        <w:t>interact</w:t>
      </w:r>
      <w:r>
        <w:rPr>
          <w:spacing w:val="71"/>
        </w:rPr>
        <w:t> </w:t>
      </w:r>
      <w:r>
        <w:rPr/>
        <w:t>with</w:t>
      </w:r>
      <w:r>
        <w:rPr>
          <w:spacing w:val="71"/>
        </w:rPr>
        <w:t> </w:t>
      </w:r>
      <w:r>
        <w:rPr/>
        <w:t>instructional</w:t>
      </w:r>
      <w:r>
        <w:rPr>
          <w:spacing w:val="71"/>
        </w:rPr>
        <w:t> </w:t>
      </w:r>
      <w:r>
        <w:rPr/>
        <w:t>content, highlighting</w:t>
      </w:r>
      <w:r>
        <w:rPr>
          <w:spacing w:val="72"/>
        </w:rPr>
        <w:t> </w:t>
      </w:r>
      <w:r>
        <w:rPr/>
        <w:t>the</w:t>
      </w:r>
      <w:r>
        <w:rPr>
          <w:spacing w:val="72"/>
        </w:rPr>
        <w:t> </w:t>
      </w:r>
      <w:r>
        <w:rPr/>
        <w:t>role</w:t>
      </w:r>
      <w:r>
        <w:rPr>
          <w:spacing w:val="72"/>
        </w:rPr>
        <w:t> </w:t>
      </w:r>
      <w:r>
        <w:rPr/>
        <w:t>of</w:t>
      </w:r>
      <w:r>
        <w:rPr>
          <w:spacing w:val="72"/>
        </w:rPr>
        <w:t> </w:t>
      </w:r>
      <w:r>
        <w:rPr/>
        <w:t>social</w:t>
      </w:r>
      <w:r>
        <w:rPr>
          <w:spacing w:val="72"/>
        </w:rPr>
        <w:t> </w:t>
      </w:r>
      <w:r>
        <w:rPr/>
        <w:t>expectations</w:t>
      </w:r>
      <w:r>
        <w:rPr>
          <w:spacing w:val="72"/>
        </w:rPr>
        <w:t> </w:t>
      </w:r>
      <w:r>
        <w:rPr/>
        <w:t>in</w:t>
      </w:r>
      <w:r>
        <w:rPr>
          <w:spacing w:val="72"/>
        </w:rPr>
        <w:t> </w:t>
      </w:r>
      <w:r>
        <w:rPr/>
        <w:t>shaping</w:t>
      </w:r>
      <w:r>
        <w:rPr>
          <w:spacing w:val="72"/>
        </w:rPr>
        <w:t> </w:t>
      </w:r>
      <w:r>
        <w:rPr/>
        <w:t>participation</w:t>
      </w:r>
      <w:r>
        <w:rPr>
          <w:spacing w:val="72"/>
        </w:rPr>
        <w:t> </w:t>
      </w:r>
      <w:r>
        <w:rPr/>
        <w:t>within</w:t>
      </w:r>
      <w:r>
        <w:rPr>
          <w:spacing w:val="72"/>
        </w:rPr>
        <w:t> </w:t>
      </w:r>
      <w:r>
        <w:rPr/>
        <w:t>online</w:t>
      </w:r>
      <w:r>
        <w:rPr>
          <w:spacing w:val="72"/>
        </w:rPr>
        <w:t> </w:t>
      </w:r>
      <w:r>
        <w:rPr/>
        <w:t>learning </w:t>
      </w:r>
      <w:r>
        <w:rPr>
          <w:spacing w:val="-2"/>
        </w:rPr>
        <w:t>communities.</w:t>
      </w:r>
    </w:p>
    <w:p>
      <w:pPr>
        <w:pStyle w:val="BodyText"/>
        <w:spacing w:after="0" w:line="276" w:lineRule="auto"/>
        <w:sectPr>
          <w:pgSz w:w="12240" w:h="15840"/>
          <w:pgMar w:header="0" w:footer="721" w:top="580" w:bottom="960" w:left="720" w:right="0"/>
        </w:sectPr>
      </w:pPr>
    </w:p>
    <w:p>
      <w:pPr>
        <w:pStyle w:val="Heading2"/>
        <w:spacing w:line="247" w:lineRule="auto"/>
        <w:ind w:left="1458" w:right="2596"/>
        <w:jc w:val="center"/>
      </w:pPr>
      <w:bookmarkStart w:name="The Impacts of Participation Motivation " w:id="39"/>
      <w:bookmarkEnd w:id="39"/>
      <w:r>
        <w:rPr>
          <w:b w:val="0"/>
        </w:rPr>
      </w:r>
      <w:r>
        <w:rPr/>
        <w:t>The Impacts of Participation Motivation and Perceived Value</w:t>
      </w:r>
      <w:r>
        <w:rPr>
          <w:spacing w:val="-15"/>
        </w:rPr>
        <w:t> </w:t>
      </w:r>
      <w:r>
        <w:rPr/>
        <w:t>on</w:t>
      </w:r>
      <w:r>
        <w:rPr>
          <w:spacing w:val="-15"/>
        </w:rPr>
        <w:t> </w:t>
      </w:r>
      <w:r>
        <w:rPr/>
        <w:t>Willingness</w:t>
      </w:r>
      <w:r>
        <w:rPr>
          <w:spacing w:val="-15"/>
        </w:rPr>
        <w:t> </w:t>
      </w:r>
      <w:r>
        <w:rPr/>
        <w:t>to</w:t>
      </w:r>
      <w:r>
        <w:rPr>
          <w:spacing w:val="-15"/>
        </w:rPr>
        <w:t> </w:t>
      </w:r>
      <w:r>
        <w:rPr/>
        <w:t>Participate</w:t>
      </w:r>
      <w:r>
        <w:rPr>
          <w:spacing w:val="-15"/>
        </w:rPr>
        <w:t> </w:t>
      </w:r>
      <w:r>
        <w:rPr/>
        <w:t>in</w:t>
      </w:r>
      <w:r>
        <w:rPr>
          <w:spacing w:val="-15"/>
        </w:rPr>
        <w:t> </w:t>
      </w:r>
      <w:r>
        <w:rPr/>
        <w:t>Camping:</w:t>
      </w:r>
      <w:r>
        <w:rPr>
          <w:spacing w:val="-15"/>
        </w:rPr>
        <w:t> </w:t>
      </w:r>
      <w:r>
        <w:rPr/>
        <w:t>Perceived </w:t>
      </w:r>
      <w:bookmarkStart w:name="h.28lc8txyf052" w:id="40"/>
      <w:bookmarkEnd w:id="40"/>
      <w:r>
        <w:rPr/>
        <w:t>R</w:t>
      </w:r>
      <w:r>
        <w:rPr/>
        <w:t>isk and Trust as Moderators</w:t>
      </w:r>
    </w:p>
    <w:p>
      <w:pPr>
        <w:pStyle w:val="BodyText"/>
        <w:spacing w:line="253" w:lineRule="exact" w:before="258"/>
        <w:ind w:left="4685"/>
      </w:pPr>
      <w:r>
        <w:rPr/>
        <w:t>Chen, Kai-</w:t>
      </w:r>
      <w:r>
        <w:rPr>
          <w:spacing w:val="-5"/>
        </w:rPr>
        <w:t>Yan</w:t>
      </w:r>
    </w:p>
    <w:p>
      <w:pPr>
        <w:pStyle w:val="BodyText"/>
        <w:spacing w:line="199" w:lineRule="auto" w:before="15"/>
        <w:ind w:left="2575" w:right="3268" w:firstLine="746"/>
      </w:pPr>
      <w:r>
        <w:rPr/>
        <w:t>Graduate Institute of Tourism Management National</w:t>
      </w:r>
      <w:r>
        <w:rPr>
          <w:spacing w:val="-10"/>
        </w:rPr>
        <w:t> </w:t>
      </w:r>
      <w:r>
        <w:rPr/>
        <w:t>Kaohsiung</w:t>
      </w:r>
      <w:r>
        <w:rPr>
          <w:spacing w:val="-10"/>
        </w:rPr>
        <w:t> </w:t>
      </w:r>
      <w:r>
        <w:rPr/>
        <w:t>University</w:t>
      </w:r>
      <w:r>
        <w:rPr>
          <w:spacing w:val="-10"/>
        </w:rPr>
        <w:t> </w:t>
      </w:r>
      <w:r>
        <w:rPr/>
        <w:t>of</w:t>
      </w:r>
      <w:r>
        <w:rPr>
          <w:spacing w:val="-10"/>
        </w:rPr>
        <w:t> </w:t>
      </w:r>
      <w:r>
        <w:rPr/>
        <w:t>Hospitality</w:t>
      </w:r>
      <w:r>
        <w:rPr>
          <w:spacing w:val="-10"/>
        </w:rPr>
        <w:t> </w:t>
      </w:r>
      <w:r>
        <w:rPr/>
        <w:t>and</w:t>
      </w:r>
      <w:r>
        <w:rPr>
          <w:spacing w:val="-10"/>
        </w:rPr>
        <w:t> </w:t>
      </w:r>
      <w:r>
        <w:rPr/>
        <w:t>Tourism</w:t>
      </w:r>
    </w:p>
    <w:p>
      <w:pPr>
        <w:pStyle w:val="BodyText"/>
        <w:spacing w:line="199" w:lineRule="auto" w:before="2"/>
        <w:ind w:left="4090" w:right="4296" w:hanging="189"/>
      </w:pPr>
      <w:r>
        <w:rPr/>
        <w:t>Kaohsiung</w:t>
      </w:r>
      <w:r>
        <w:rPr>
          <w:spacing w:val="-15"/>
        </w:rPr>
        <w:t> </w:t>
      </w:r>
      <w:r>
        <w:rPr/>
        <w:t>City</w:t>
      </w:r>
      <w:r>
        <w:rPr>
          <w:spacing w:val="-15"/>
        </w:rPr>
        <w:t> </w:t>
      </w:r>
      <w:r>
        <w:rPr/>
        <w:t>81271,</w:t>
      </w:r>
      <w:r>
        <w:rPr>
          <w:spacing w:val="-15"/>
        </w:rPr>
        <w:t> </w:t>
      </w:r>
      <w:r>
        <w:rPr/>
        <w:t>Taiwan </w:t>
      </w:r>
      <w:hyperlink r:id="rId48">
        <w:r>
          <w:rPr>
            <w:spacing w:val="-2"/>
          </w:rPr>
          <w:t>ray441189514@gmail.com</w:t>
        </w:r>
      </w:hyperlink>
    </w:p>
    <w:p>
      <w:pPr>
        <w:pStyle w:val="BodyText"/>
        <w:spacing w:line="199" w:lineRule="auto" w:before="274"/>
        <w:ind w:left="3708" w:right="4394" w:firstLine="1033"/>
      </w:pPr>
      <w:r>
        <w:rPr/>
        <w:t>Kuo, Nien-Te Department</w:t>
      </w:r>
      <w:r>
        <w:rPr>
          <w:spacing w:val="-15"/>
        </w:rPr>
        <w:t> </w:t>
      </w:r>
      <w:r>
        <w:rPr/>
        <w:t>of</w:t>
      </w:r>
      <w:r>
        <w:rPr>
          <w:spacing w:val="-15"/>
        </w:rPr>
        <w:t> </w:t>
      </w:r>
      <w:r>
        <w:rPr/>
        <w:t>Travel</w:t>
      </w:r>
      <w:r>
        <w:rPr>
          <w:spacing w:val="-15"/>
        </w:rPr>
        <w:t> </w:t>
      </w:r>
      <w:r>
        <w:rPr/>
        <w:t>Management</w:t>
      </w:r>
    </w:p>
    <w:p>
      <w:pPr>
        <w:pStyle w:val="BodyText"/>
        <w:spacing w:line="199" w:lineRule="auto" w:before="1"/>
        <w:ind w:left="2575" w:right="3293"/>
        <w:jc w:val="center"/>
      </w:pPr>
      <w:r>
        <w:rPr/>
        <w:t>National</w:t>
      </w:r>
      <w:r>
        <w:rPr>
          <w:spacing w:val="-10"/>
        </w:rPr>
        <w:t> </w:t>
      </w:r>
      <w:r>
        <w:rPr/>
        <w:t>Kaohsiung</w:t>
      </w:r>
      <w:r>
        <w:rPr>
          <w:spacing w:val="-10"/>
        </w:rPr>
        <w:t> </w:t>
      </w:r>
      <w:r>
        <w:rPr/>
        <w:t>University</w:t>
      </w:r>
      <w:r>
        <w:rPr>
          <w:spacing w:val="-10"/>
        </w:rPr>
        <w:t> </w:t>
      </w:r>
      <w:r>
        <w:rPr/>
        <w:t>of</w:t>
      </w:r>
      <w:r>
        <w:rPr>
          <w:spacing w:val="-10"/>
        </w:rPr>
        <w:t> </w:t>
      </w:r>
      <w:r>
        <w:rPr/>
        <w:t>Hospitality</w:t>
      </w:r>
      <w:r>
        <w:rPr>
          <w:spacing w:val="-10"/>
        </w:rPr>
        <w:t> </w:t>
      </w:r>
      <w:r>
        <w:rPr/>
        <w:t>and</w:t>
      </w:r>
      <w:r>
        <w:rPr>
          <w:spacing w:val="-10"/>
        </w:rPr>
        <w:t> </w:t>
      </w:r>
      <w:r>
        <w:rPr/>
        <w:t>Tourism Kaohsiung City 81271, Taiwan</w:t>
      </w:r>
    </w:p>
    <w:p>
      <w:pPr>
        <w:pStyle w:val="BodyText"/>
        <w:spacing w:line="199" w:lineRule="auto" w:before="2"/>
        <w:ind w:left="4179" w:right="4897"/>
        <w:jc w:val="center"/>
      </w:pPr>
      <w:hyperlink r:id="rId49">
        <w:r>
          <w:rPr>
            <w:spacing w:val="-2"/>
          </w:rPr>
          <w:t>nkuo@mail.nkuht.edu.tw</w:t>
        </w:r>
      </w:hyperlink>
      <w:r>
        <w:rPr>
          <w:spacing w:val="-2"/>
        </w:rPr>
        <w:t> 886-7-806-0505#31318</w:t>
      </w:r>
    </w:p>
    <w:p>
      <w:pPr>
        <w:pStyle w:val="BodyText"/>
        <w:spacing w:line="253" w:lineRule="exact" w:before="236"/>
        <w:ind w:right="719"/>
        <w:jc w:val="center"/>
      </w:pPr>
      <w:r>
        <w:rPr/>
        <w:t>Cheng,</w:t>
      </w:r>
      <w:r>
        <w:rPr>
          <w:spacing w:val="-9"/>
        </w:rPr>
        <w:t> </w:t>
      </w:r>
      <w:r>
        <w:rPr/>
        <w:t>Yi-Sung</w:t>
      </w:r>
      <w:r>
        <w:rPr>
          <w:spacing w:val="-7"/>
        </w:rPr>
        <w:t> </w:t>
      </w:r>
      <w:r>
        <w:rPr>
          <w:spacing w:val="-2"/>
        </w:rPr>
        <w:t>(Ethan)</w:t>
      </w:r>
    </w:p>
    <w:p>
      <w:pPr>
        <w:pStyle w:val="BodyText"/>
        <w:spacing w:line="199" w:lineRule="auto" w:before="15"/>
        <w:ind w:left="2852" w:right="3570"/>
        <w:jc w:val="center"/>
      </w:pPr>
      <w:r>
        <w:rPr/>
        <w:t>Department</w:t>
      </w:r>
      <w:r>
        <w:rPr>
          <w:spacing w:val="-11"/>
        </w:rPr>
        <w:t> </w:t>
      </w:r>
      <w:r>
        <w:rPr/>
        <w:t>of</w:t>
      </w:r>
      <w:r>
        <w:rPr>
          <w:spacing w:val="-11"/>
        </w:rPr>
        <w:t> </w:t>
      </w:r>
      <w:r>
        <w:rPr/>
        <w:t>Hospitality</w:t>
      </w:r>
      <w:r>
        <w:rPr>
          <w:spacing w:val="-11"/>
        </w:rPr>
        <w:t> </w:t>
      </w:r>
      <w:r>
        <w:rPr/>
        <w:t>and</w:t>
      </w:r>
      <w:r>
        <w:rPr>
          <w:spacing w:val="-11"/>
        </w:rPr>
        <w:t> </w:t>
      </w:r>
      <w:r>
        <w:rPr/>
        <w:t>Tourism</w:t>
      </w:r>
      <w:r>
        <w:rPr>
          <w:spacing w:val="-11"/>
        </w:rPr>
        <w:t> </w:t>
      </w:r>
      <w:r>
        <w:rPr/>
        <w:t>Management College of Business</w:t>
      </w:r>
    </w:p>
    <w:p>
      <w:pPr>
        <w:pStyle w:val="BodyText"/>
        <w:spacing w:line="199" w:lineRule="auto" w:before="1"/>
        <w:ind w:left="4030" w:right="4748"/>
        <w:jc w:val="center"/>
      </w:pPr>
      <w:r>
        <w:rPr/>
        <w:t>Western</w:t>
      </w:r>
      <w:r>
        <w:rPr>
          <w:spacing w:val="-15"/>
        </w:rPr>
        <w:t> </w:t>
      </w:r>
      <w:r>
        <w:rPr/>
        <w:t>Carolina</w:t>
      </w:r>
      <w:r>
        <w:rPr>
          <w:spacing w:val="-15"/>
        </w:rPr>
        <w:t> </w:t>
      </w:r>
      <w:r>
        <w:rPr/>
        <w:t>University Forsyth 123C</w:t>
      </w:r>
    </w:p>
    <w:p>
      <w:pPr>
        <w:pStyle w:val="BodyText"/>
        <w:spacing w:line="199" w:lineRule="auto" w:before="2"/>
        <w:ind w:left="3886" w:right="4604"/>
        <w:jc w:val="center"/>
      </w:pPr>
      <w:r>
        <w:rPr/>
        <w:t>Cullowhee, NC 28723 </w:t>
      </w:r>
      <w:hyperlink r:id="rId50">
        <w:r>
          <w:rPr>
            <w:spacing w:val="-2"/>
          </w:rPr>
          <w:t>ycheng@wcu.edu</w:t>
        </w:r>
      </w:hyperlink>
      <w:r>
        <w:rPr>
          <w:spacing w:val="-2"/>
        </w:rPr>
        <w:t> </w:t>
      </w:r>
      <w:r>
        <w:rPr/>
        <w:t>828.227.3301</w:t>
      </w:r>
      <w:r>
        <w:rPr>
          <w:spacing w:val="-15"/>
        </w:rPr>
        <w:t> </w:t>
      </w:r>
      <w:r>
        <w:rPr/>
        <w:t>(Contact</w:t>
      </w:r>
      <w:r>
        <w:rPr>
          <w:spacing w:val="-15"/>
        </w:rPr>
        <w:t> </w:t>
      </w:r>
      <w:r>
        <w:rPr/>
        <w:t>Author)</w:t>
      </w:r>
    </w:p>
    <w:p>
      <w:pPr>
        <w:pStyle w:val="BodyText"/>
        <w:spacing w:line="253" w:lineRule="exact" w:before="236"/>
        <w:ind w:right="719"/>
        <w:jc w:val="center"/>
      </w:pPr>
      <w:r>
        <w:rPr/>
        <w:t>Lin, Lu-</w:t>
      </w:r>
      <w:r>
        <w:rPr>
          <w:spacing w:val="-4"/>
        </w:rPr>
        <w:t>Ping</w:t>
      </w:r>
    </w:p>
    <w:p>
      <w:pPr>
        <w:pStyle w:val="BodyText"/>
        <w:spacing w:line="199" w:lineRule="auto" w:before="15"/>
        <w:ind w:left="3483" w:right="4201"/>
        <w:jc w:val="center"/>
      </w:pPr>
      <w:r>
        <w:rPr/>
        <w:t>Department</w:t>
      </w:r>
      <w:r>
        <w:rPr>
          <w:spacing w:val="-13"/>
        </w:rPr>
        <w:t> </w:t>
      </w:r>
      <w:r>
        <w:rPr/>
        <w:t>of</w:t>
      </w:r>
      <w:r>
        <w:rPr>
          <w:spacing w:val="-13"/>
        </w:rPr>
        <w:t> </w:t>
      </w:r>
      <w:r>
        <w:rPr/>
        <w:t>Hospitality</w:t>
      </w:r>
      <w:r>
        <w:rPr>
          <w:spacing w:val="-13"/>
        </w:rPr>
        <w:t> </w:t>
      </w:r>
      <w:r>
        <w:rPr/>
        <w:t>Management University of Missouri</w:t>
      </w:r>
    </w:p>
    <w:p>
      <w:pPr>
        <w:pStyle w:val="BodyText"/>
        <w:spacing w:line="217" w:lineRule="exact"/>
        <w:ind w:right="719"/>
        <w:jc w:val="center"/>
      </w:pPr>
      <w:r>
        <w:rPr/>
        <w:t>325 Mumford </w:t>
      </w:r>
      <w:r>
        <w:rPr>
          <w:spacing w:val="-4"/>
        </w:rPr>
        <w:t>Hall</w:t>
      </w:r>
    </w:p>
    <w:p>
      <w:pPr>
        <w:pStyle w:val="BodyText"/>
        <w:spacing w:line="199" w:lineRule="auto" w:before="15"/>
        <w:ind w:left="4347" w:right="5065"/>
        <w:jc w:val="center"/>
      </w:pPr>
      <w:r>
        <w:rPr/>
        <w:t>Columbia,</w:t>
      </w:r>
      <w:r>
        <w:rPr>
          <w:spacing w:val="-15"/>
        </w:rPr>
        <w:t> </w:t>
      </w:r>
      <w:r>
        <w:rPr/>
        <w:t>MO</w:t>
      </w:r>
      <w:r>
        <w:rPr>
          <w:spacing w:val="-15"/>
        </w:rPr>
        <w:t> </w:t>
      </w:r>
      <w:r>
        <w:rPr/>
        <w:t>65211 </w:t>
      </w:r>
      <w:hyperlink r:id="rId51">
        <w:r>
          <w:rPr>
            <w:spacing w:val="-2"/>
          </w:rPr>
          <w:t>llv8n@umsystem.edu</w:t>
        </w:r>
      </w:hyperlink>
    </w:p>
    <w:p>
      <w:pPr>
        <w:pStyle w:val="BodyText"/>
        <w:spacing w:before="1"/>
      </w:pPr>
    </w:p>
    <w:p>
      <w:pPr>
        <w:pStyle w:val="BodyText"/>
        <w:ind w:left="720" w:right="1381"/>
      </w:pPr>
      <w:r>
        <w:rPr/>
        <w:t>Key</w:t>
      </w:r>
      <w:r>
        <w:rPr>
          <w:spacing w:val="-4"/>
        </w:rPr>
        <w:t> </w:t>
      </w:r>
      <w:r>
        <w:rPr/>
        <w:t>words</w:t>
      </w:r>
      <w:r>
        <w:rPr>
          <w:spacing w:val="-4"/>
        </w:rPr>
        <w:t> </w:t>
      </w:r>
      <w:r>
        <w:rPr/>
        <w:t>(3-5):</w:t>
      </w:r>
      <w:r>
        <w:rPr>
          <w:spacing w:val="-4"/>
        </w:rPr>
        <w:t> </w:t>
      </w:r>
      <w:r>
        <w:rPr/>
        <w:t>Participation</w:t>
      </w:r>
      <w:r>
        <w:rPr>
          <w:spacing w:val="-4"/>
        </w:rPr>
        <w:t> </w:t>
      </w:r>
      <w:r>
        <w:rPr/>
        <w:t>motivation,</w:t>
      </w:r>
      <w:r>
        <w:rPr>
          <w:spacing w:val="-4"/>
        </w:rPr>
        <w:t> </w:t>
      </w:r>
      <w:r>
        <w:rPr/>
        <w:t>perceived</w:t>
      </w:r>
      <w:r>
        <w:rPr>
          <w:spacing w:val="-4"/>
        </w:rPr>
        <w:t> </w:t>
      </w:r>
      <w:r>
        <w:rPr/>
        <w:t>value,</w:t>
      </w:r>
      <w:r>
        <w:rPr>
          <w:spacing w:val="-4"/>
        </w:rPr>
        <w:t> </w:t>
      </w:r>
      <w:r>
        <w:rPr/>
        <w:t>perceived</w:t>
      </w:r>
      <w:r>
        <w:rPr>
          <w:spacing w:val="-4"/>
        </w:rPr>
        <w:t> </w:t>
      </w:r>
      <w:r>
        <w:rPr/>
        <w:t>risk,</w:t>
      </w:r>
      <w:r>
        <w:rPr>
          <w:spacing w:val="-4"/>
        </w:rPr>
        <w:t> </w:t>
      </w:r>
      <w:r>
        <w:rPr/>
        <w:t>perceived</w:t>
      </w:r>
      <w:r>
        <w:rPr>
          <w:spacing w:val="-4"/>
        </w:rPr>
        <w:t> </w:t>
      </w:r>
      <w:r>
        <w:rPr/>
        <w:t>trust, </w:t>
      </w:r>
      <w:r>
        <w:rPr>
          <w:spacing w:val="-2"/>
        </w:rPr>
        <w:t>camping</w:t>
      </w:r>
    </w:p>
    <w:p>
      <w:pPr>
        <w:pStyle w:val="BodyText"/>
        <w:spacing w:before="91"/>
      </w:pPr>
    </w:p>
    <w:p>
      <w:pPr>
        <w:pStyle w:val="BodyText"/>
        <w:ind w:left="701" w:right="1374"/>
        <w:jc w:val="both"/>
      </w:pPr>
      <w:r>
        <w:rPr/>
        <w:t>Camping is a form of nature-based tourism. It has evolved</w:t>
      </w:r>
      <w:r>
        <w:rPr>
          <w:spacing w:val="-2"/>
        </w:rPr>
        <w:t> </w:t>
      </w:r>
      <w:r>
        <w:rPr/>
        <w:t>from</w:t>
      </w:r>
      <w:r>
        <w:rPr>
          <w:spacing w:val="-2"/>
        </w:rPr>
        <w:t> </w:t>
      </w:r>
      <w:r>
        <w:rPr/>
        <w:t>tenting</w:t>
      </w:r>
      <w:r>
        <w:rPr>
          <w:spacing w:val="-2"/>
        </w:rPr>
        <w:t> </w:t>
      </w:r>
      <w:r>
        <w:rPr/>
        <w:t>and</w:t>
      </w:r>
      <w:r>
        <w:rPr>
          <w:spacing w:val="-2"/>
        </w:rPr>
        <w:t> </w:t>
      </w:r>
      <w:r>
        <w:rPr/>
        <w:t>recreational</w:t>
      </w:r>
      <w:r>
        <w:rPr>
          <w:spacing w:val="-2"/>
        </w:rPr>
        <w:t> </w:t>
      </w:r>
      <w:r>
        <w:rPr/>
        <w:t>vehicles to glamping and has grown worldwide, including in Taiwan, as people pay more attention to outdoor recreation and change their activity choices after the COVID-19 pandemic (Lin </w:t>
      </w:r>
      <w:r>
        <w:rPr/>
        <w:t>&amp; Chuang,</w:t>
      </w:r>
      <w:r>
        <w:rPr>
          <w:spacing w:val="40"/>
        </w:rPr>
        <w:t> </w:t>
      </w:r>
      <w:r>
        <w:rPr/>
        <w:t>2021). As camping continues to grow, the demand for quality service, amenities, and recreational</w:t>
      </w:r>
      <w:r>
        <w:rPr>
          <w:spacing w:val="40"/>
        </w:rPr>
        <w:t> </w:t>
      </w:r>
      <w:r>
        <w:rPr/>
        <w:t>experiences has risen sharply (Lin &amp; Chuang, 2021). Thus, understanding the motivation for</w:t>
      </w:r>
      <w:r>
        <w:rPr>
          <w:spacing w:val="40"/>
        </w:rPr>
        <w:t> </w:t>
      </w:r>
      <w:r>
        <w:rPr/>
        <w:t>camping consumers’ participation is</w:t>
      </w:r>
      <w:r>
        <w:rPr>
          <w:spacing w:val="-3"/>
        </w:rPr>
        <w:t> </w:t>
      </w:r>
      <w:r>
        <w:rPr/>
        <w:t>important</w:t>
      </w:r>
      <w:r>
        <w:rPr>
          <w:spacing w:val="-3"/>
        </w:rPr>
        <w:t> </w:t>
      </w:r>
      <w:r>
        <w:rPr/>
        <w:t>and</w:t>
      </w:r>
      <w:r>
        <w:rPr>
          <w:spacing w:val="-3"/>
        </w:rPr>
        <w:t> </w:t>
      </w:r>
      <w:r>
        <w:rPr/>
        <w:t>warrants</w:t>
      </w:r>
      <w:r>
        <w:rPr>
          <w:spacing w:val="-3"/>
        </w:rPr>
        <w:t> </w:t>
      </w:r>
      <w:r>
        <w:rPr/>
        <w:t>further</w:t>
      </w:r>
      <w:r>
        <w:rPr>
          <w:spacing w:val="-3"/>
        </w:rPr>
        <w:t> </w:t>
      </w:r>
      <w:r>
        <w:rPr/>
        <w:t>investigation. Previous studies</w:t>
      </w:r>
      <w:r>
        <w:rPr>
          <w:spacing w:val="40"/>
        </w:rPr>
        <w:t> </w:t>
      </w:r>
      <w:r>
        <w:rPr/>
        <w:t>have shown a strong connection between motivation and intention in the camping tourism</w:t>
      </w:r>
      <w:r>
        <w:rPr>
          <w:spacing w:val="80"/>
        </w:rPr>
        <w:t> </w:t>
      </w:r>
      <w:r>
        <w:rPr/>
        <w:t>literature (e.g., Chen &amp; Zhou, 2025). Moreover, positive perceived</w:t>
      </w:r>
      <w:r>
        <w:rPr>
          <w:spacing w:val="-3"/>
        </w:rPr>
        <w:t> </w:t>
      </w:r>
      <w:r>
        <w:rPr/>
        <w:t>value</w:t>
      </w:r>
      <w:r>
        <w:rPr>
          <w:spacing w:val="-3"/>
        </w:rPr>
        <w:t> </w:t>
      </w:r>
      <w:r>
        <w:rPr/>
        <w:t>leads to</w:t>
      </w:r>
      <w:r>
        <w:rPr>
          <w:spacing w:val="80"/>
        </w:rPr>
        <w:t> </w:t>
      </w:r>
      <w:r>
        <w:rPr/>
        <w:t>better</w:t>
      </w:r>
      <w:r>
        <w:rPr>
          <w:spacing w:val="80"/>
        </w:rPr>
        <w:t> </w:t>
      </w:r>
      <w:r>
        <w:rPr/>
        <w:t>behavioral</w:t>
      </w:r>
      <w:r>
        <w:rPr>
          <w:spacing w:val="80"/>
        </w:rPr>
        <w:t>  </w:t>
      </w:r>
      <w:r>
        <w:rPr/>
        <w:t>intention</w:t>
      </w:r>
      <w:r>
        <w:rPr>
          <w:spacing w:val="80"/>
        </w:rPr>
        <w:t> </w:t>
      </w:r>
      <w:r>
        <w:rPr/>
        <w:t>(e.g.,</w:t>
      </w:r>
      <w:r>
        <w:rPr>
          <w:spacing w:val="80"/>
        </w:rPr>
        <w:t> </w:t>
      </w:r>
      <w:r>
        <w:rPr/>
        <w:t>Hanafiah</w:t>
      </w:r>
      <w:r>
        <w:rPr>
          <w:spacing w:val="80"/>
        </w:rPr>
        <w:t> </w:t>
      </w:r>
      <w:r>
        <w:rPr/>
        <w:t>et</w:t>
      </w:r>
      <w:r>
        <w:rPr>
          <w:spacing w:val="40"/>
        </w:rPr>
        <w:t> </w:t>
      </w:r>
      <w:r>
        <w:rPr/>
        <w:t>al.,</w:t>
      </w:r>
      <w:r>
        <w:rPr>
          <w:spacing w:val="40"/>
        </w:rPr>
        <w:t> </w:t>
      </w:r>
      <w:r>
        <w:rPr/>
        <w:t>2025).</w:t>
      </w:r>
      <w:r>
        <w:rPr>
          <w:spacing w:val="40"/>
        </w:rPr>
        <w:t> </w:t>
      </w:r>
      <w:r>
        <w:rPr/>
        <w:t>However,</w:t>
      </w:r>
      <w:r>
        <w:rPr>
          <w:spacing w:val="40"/>
        </w:rPr>
        <w:t> </w:t>
      </w:r>
      <w:r>
        <w:rPr/>
        <w:t>regardless</w:t>
      </w:r>
      <w:r>
        <w:rPr>
          <w:spacing w:val="40"/>
        </w:rPr>
        <w:t> </w:t>
      </w:r>
      <w:r>
        <w:rPr/>
        <w:t>of</w:t>
      </w:r>
      <w:r>
        <w:rPr>
          <w:spacing w:val="40"/>
        </w:rPr>
        <w:t> </w:t>
      </w:r>
      <w:r>
        <w:rPr/>
        <w:t>how well-defined or certain a</w:t>
      </w:r>
      <w:r>
        <w:rPr>
          <w:spacing w:val="80"/>
        </w:rPr>
        <w:t> </w:t>
      </w:r>
      <w:r>
        <w:rPr/>
        <w:t>consumer’s engagement in an activity may appear, there remain</w:t>
      </w:r>
      <w:r>
        <w:rPr>
          <w:spacing w:val="40"/>
        </w:rPr>
        <w:t> </w:t>
      </w:r>
      <w:r>
        <w:rPr/>
        <w:t>inherent risks of unpredictable</w:t>
      </w:r>
      <w:r>
        <w:rPr>
          <w:spacing w:val="40"/>
        </w:rPr>
        <w:t> </w:t>
      </w:r>
      <w:r>
        <w:rPr/>
        <w:t>and potentially adverse experiences or outcomes. Therefore, perceived risk and trust have been</w:t>
      </w:r>
      <w:r>
        <w:rPr>
          <w:spacing w:val="40"/>
        </w:rPr>
        <w:t> </w:t>
      </w:r>
      <w:r>
        <w:rPr/>
        <w:t>studied to understand consumer attitudes and predict and strengthen behavioral intention (Shin et</w:t>
      </w:r>
      <w:r>
        <w:rPr>
          <w:spacing w:val="40"/>
        </w:rPr>
        <w:t> </w:t>
      </w:r>
      <w:r>
        <w:rPr/>
        <w:t>al., 2022; Zorlu et al., 2023).</w:t>
      </w:r>
    </w:p>
    <w:p>
      <w:pPr>
        <w:pStyle w:val="BodyText"/>
        <w:spacing w:line="230" w:lineRule="auto" w:before="167"/>
        <w:ind w:left="716" w:right="1379" w:firstLine="15"/>
        <w:jc w:val="both"/>
      </w:pPr>
      <w:r>
        <w:rPr/>
        <w:t>Based on the Stimulus-Organism-Response theory (Mehrabian &amp; Russell, 1974), this study examines the relationships among</w:t>
      </w:r>
      <w:r>
        <w:rPr>
          <w:spacing w:val="-4"/>
        </w:rPr>
        <w:t> </w:t>
      </w:r>
      <w:r>
        <w:rPr/>
        <w:t>camping</w:t>
      </w:r>
      <w:r>
        <w:rPr>
          <w:spacing w:val="-4"/>
        </w:rPr>
        <w:t> </w:t>
      </w:r>
      <w:r>
        <w:rPr/>
        <w:t>consumers’</w:t>
      </w:r>
      <w:r>
        <w:rPr>
          <w:spacing w:val="-4"/>
        </w:rPr>
        <w:t> </w:t>
      </w:r>
      <w:r>
        <w:rPr/>
        <w:t>participation</w:t>
      </w:r>
      <w:r>
        <w:rPr>
          <w:spacing w:val="-4"/>
        </w:rPr>
        <w:t> </w:t>
      </w:r>
      <w:r>
        <w:rPr/>
        <w:t>motivation,</w:t>
      </w:r>
      <w:r>
        <w:rPr>
          <w:spacing w:val="-4"/>
        </w:rPr>
        <w:t> </w:t>
      </w:r>
      <w:r>
        <w:rPr/>
        <w:t>perceived</w:t>
      </w:r>
      <w:r>
        <w:rPr>
          <w:spacing w:val="-4"/>
        </w:rPr>
        <w:t> </w:t>
      </w:r>
      <w:r>
        <w:rPr/>
        <w:t>value, and willingness to participate in camping, and explores the mediating role of perceived value in these</w:t>
      </w:r>
      <w:r>
        <w:rPr>
          <w:spacing w:val="73"/>
          <w:w w:val="150"/>
        </w:rPr>
        <w:t> </w:t>
      </w:r>
      <w:r>
        <w:rPr/>
        <w:t>relationships.</w:t>
      </w:r>
      <w:r>
        <w:rPr>
          <w:spacing w:val="74"/>
          <w:w w:val="150"/>
        </w:rPr>
        <w:t> </w:t>
      </w:r>
      <w:r>
        <w:rPr/>
        <w:t>Additionally,</w:t>
      </w:r>
      <w:r>
        <w:rPr>
          <w:spacing w:val="73"/>
          <w:w w:val="150"/>
        </w:rPr>
        <w:t> </w:t>
      </w:r>
      <w:r>
        <w:rPr/>
        <w:t>it</w:t>
      </w:r>
      <w:r>
        <w:rPr>
          <w:spacing w:val="74"/>
          <w:w w:val="150"/>
        </w:rPr>
        <w:t> </w:t>
      </w:r>
      <w:r>
        <w:rPr/>
        <w:t>tests</w:t>
      </w:r>
      <w:r>
        <w:rPr>
          <w:spacing w:val="73"/>
          <w:w w:val="150"/>
        </w:rPr>
        <w:t> </w:t>
      </w:r>
      <w:r>
        <w:rPr/>
        <w:t>whether</w:t>
      </w:r>
      <w:r>
        <w:rPr>
          <w:spacing w:val="74"/>
          <w:w w:val="150"/>
        </w:rPr>
        <w:t> </w:t>
      </w:r>
      <w:r>
        <w:rPr/>
        <w:t>perceived</w:t>
      </w:r>
      <w:r>
        <w:rPr>
          <w:spacing w:val="73"/>
          <w:w w:val="150"/>
        </w:rPr>
        <w:t> </w:t>
      </w:r>
      <w:r>
        <w:rPr/>
        <w:t>risk</w:t>
      </w:r>
      <w:r>
        <w:rPr>
          <w:spacing w:val="74"/>
          <w:w w:val="150"/>
        </w:rPr>
        <w:t> </w:t>
      </w:r>
      <w:r>
        <w:rPr/>
        <w:t>and</w:t>
      </w:r>
      <w:r>
        <w:rPr>
          <w:spacing w:val="73"/>
          <w:w w:val="150"/>
        </w:rPr>
        <w:t> </w:t>
      </w:r>
      <w:r>
        <w:rPr/>
        <w:t>trust</w:t>
      </w:r>
      <w:r>
        <w:rPr>
          <w:spacing w:val="74"/>
          <w:w w:val="150"/>
        </w:rPr>
        <w:t> </w:t>
      </w:r>
      <w:r>
        <w:rPr/>
        <w:t>moderate</w:t>
      </w:r>
      <w:r>
        <w:rPr>
          <w:spacing w:val="59"/>
          <w:w w:val="150"/>
        </w:rPr>
        <w:t> </w:t>
      </w:r>
      <w:r>
        <w:rPr>
          <w:spacing w:val="-5"/>
        </w:rPr>
        <w:t>the</w:t>
      </w:r>
    </w:p>
    <w:p>
      <w:pPr>
        <w:pStyle w:val="BodyText"/>
        <w:spacing w:after="0" w:line="230" w:lineRule="auto"/>
        <w:jc w:val="both"/>
        <w:sectPr>
          <w:footerReference w:type="default" r:id="rId47"/>
          <w:pgSz w:w="12240" w:h="15840"/>
          <w:pgMar w:header="0" w:footer="776" w:top="640" w:bottom="960" w:left="720" w:right="0"/>
        </w:sectPr>
      </w:pPr>
    </w:p>
    <w:p>
      <w:pPr>
        <w:pStyle w:val="BodyText"/>
        <w:spacing w:line="230" w:lineRule="auto" w:before="80"/>
        <w:ind w:left="716" w:right="1375"/>
        <w:jc w:val="both"/>
      </w:pPr>
      <w:r>
        <w:rPr/>
        <w:t>relationship</w:t>
      </w:r>
      <w:r>
        <w:rPr>
          <w:spacing w:val="40"/>
        </w:rPr>
        <w:t> </w:t>
      </w:r>
      <w:r>
        <w:rPr/>
        <w:t>between perceived value and willingness to participate in camping. A </w:t>
      </w:r>
      <w:r>
        <w:rPr/>
        <w:t>survey approach</w:t>
      </w:r>
      <w:r>
        <w:rPr>
          <w:spacing w:val="-5"/>
        </w:rPr>
        <w:t> </w:t>
      </w:r>
      <w:r>
        <w:rPr/>
        <w:t>was</w:t>
      </w:r>
      <w:r>
        <w:rPr>
          <w:spacing w:val="40"/>
        </w:rPr>
        <w:t> </w:t>
      </w:r>
      <w:r>
        <w:rPr/>
        <w:t>adopted</w:t>
      </w:r>
      <w:r>
        <w:rPr>
          <w:spacing w:val="-5"/>
        </w:rPr>
        <w:t> </w:t>
      </w:r>
      <w:r>
        <w:rPr/>
        <w:t>to</w:t>
      </w:r>
      <w:r>
        <w:rPr>
          <w:spacing w:val="-5"/>
        </w:rPr>
        <w:t> </w:t>
      </w:r>
      <w:r>
        <w:rPr/>
        <w:t>examine</w:t>
      </w:r>
      <w:r>
        <w:rPr>
          <w:spacing w:val="-5"/>
        </w:rPr>
        <w:t> </w:t>
      </w:r>
      <w:r>
        <w:rPr/>
        <w:t>the</w:t>
      </w:r>
      <w:r>
        <w:rPr>
          <w:spacing w:val="-5"/>
        </w:rPr>
        <w:t> </w:t>
      </w:r>
      <w:r>
        <w:rPr/>
        <w:t>proposed</w:t>
      </w:r>
      <w:r>
        <w:rPr>
          <w:spacing w:val="-5"/>
        </w:rPr>
        <w:t> </w:t>
      </w:r>
      <w:r>
        <w:rPr/>
        <w:t>relationships.</w:t>
      </w:r>
      <w:r>
        <w:rPr>
          <w:spacing w:val="-5"/>
        </w:rPr>
        <w:t> </w:t>
      </w:r>
      <w:r>
        <w:rPr/>
        <w:t>Validated</w:t>
      </w:r>
      <w:r>
        <w:rPr>
          <w:spacing w:val="-5"/>
        </w:rPr>
        <w:t> </w:t>
      </w:r>
      <w:r>
        <w:rPr/>
        <w:t>scales</w:t>
      </w:r>
      <w:r>
        <w:rPr>
          <w:spacing w:val="-5"/>
        </w:rPr>
        <w:t> </w:t>
      </w:r>
      <w:r>
        <w:rPr/>
        <w:t>were</w:t>
      </w:r>
      <w:r>
        <w:rPr>
          <w:spacing w:val="-5"/>
        </w:rPr>
        <w:t> </w:t>
      </w:r>
      <w:r>
        <w:rPr/>
        <w:t>adopted</w:t>
      </w:r>
      <w:r>
        <w:rPr>
          <w:spacing w:val="-5"/>
        </w:rPr>
        <w:t> </w:t>
      </w:r>
      <w:r>
        <w:rPr/>
        <w:t>from the existing</w:t>
      </w:r>
      <w:r>
        <w:rPr>
          <w:spacing w:val="40"/>
        </w:rPr>
        <w:t> </w:t>
      </w:r>
      <w:r>
        <w:rPr/>
        <w:t>research to</w:t>
      </w:r>
      <w:r>
        <w:rPr>
          <w:spacing w:val="-2"/>
        </w:rPr>
        <w:t> </w:t>
      </w:r>
      <w:r>
        <w:rPr/>
        <w:t>measure</w:t>
      </w:r>
      <w:r>
        <w:rPr>
          <w:spacing w:val="-2"/>
        </w:rPr>
        <w:t> </w:t>
      </w:r>
      <w:r>
        <w:rPr/>
        <w:t>each</w:t>
      </w:r>
      <w:r>
        <w:rPr>
          <w:spacing w:val="-2"/>
        </w:rPr>
        <w:t> </w:t>
      </w:r>
      <w:r>
        <w:rPr/>
        <w:t>variable.</w:t>
      </w:r>
      <w:r>
        <w:rPr>
          <w:spacing w:val="-2"/>
        </w:rPr>
        <w:t> </w:t>
      </w:r>
      <w:r>
        <w:rPr/>
        <w:t>Samples</w:t>
      </w:r>
      <w:r>
        <w:rPr>
          <w:spacing w:val="-2"/>
        </w:rPr>
        <w:t> </w:t>
      </w:r>
      <w:r>
        <w:rPr/>
        <w:t>were</w:t>
      </w:r>
      <w:r>
        <w:rPr>
          <w:spacing w:val="-2"/>
        </w:rPr>
        <w:t> </w:t>
      </w:r>
      <w:r>
        <w:rPr/>
        <w:t>collected</w:t>
      </w:r>
      <w:r>
        <w:rPr>
          <w:spacing w:val="-2"/>
        </w:rPr>
        <w:t> </w:t>
      </w:r>
      <w:r>
        <w:rPr/>
        <w:t>from</w:t>
      </w:r>
      <w:r>
        <w:rPr>
          <w:spacing w:val="-2"/>
        </w:rPr>
        <w:t> </w:t>
      </w:r>
      <w:r>
        <w:rPr/>
        <w:t>camping</w:t>
      </w:r>
      <w:r>
        <w:rPr>
          <w:spacing w:val="-2"/>
        </w:rPr>
        <w:t> </w:t>
      </w:r>
      <w:r>
        <w:rPr/>
        <w:t>consumers in Taiwan.</w:t>
      </w:r>
      <w:r>
        <w:rPr>
          <w:spacing w:val="80"/>
        </w:rPr>
        <w:t> </w:t>
      </w:r>
      <w:r>
        <w:rPr/>
        <w:t>Confirmatory factor analysis and structural equation modeling were employed for data analysis.</w:t>
      </w:r>
      <w:r>
        <w:rPr>
          <w:spacing w:val="40"/>
        </w:rPr>
        <w:t> </w:t>
      </w:r>
      <w:r>
        <w:rPr/>
        <w:t>This</w:t>
      </w:r>
      <w:r>
        <w:rPr>
          <w:spacing w:val="-3"/>
        </w:rPr>
        <w:t> </w:t>
      </w:r>
      <w:r>
        <w:rPr/>
        <w:t>study</w:t>
      </w:r>
      <w:r>
        <w:rPr>
          <w:spacing w:val="-3"/>
        </w:rPr>
        <w:t> </w:t>
      </w:r>
      <w:r>
        <w:rPr/>
        <w:t>aims</w:t>
      </w:r>
      <w:r>
        <w:rPr>
          <w:spacing w:val="-3"/>
        </w:rPr>
        <w:t> </w:t>
      </w:r>
      <w:r>
        <w:rPr/>
        <w:t>to</w:t>
      </w:r>
      <w:r>
        <w:rPr>
          <w:spacing w:val="-3"/>
        </w:rPr>
        <w:t> </w:t>
      </w:r>
      <w:r>
        <w:rPr/>
        <w:t>offer</w:t>
      </w:r>
      <w:r>
        <w:rPr>
          <w:spacing w:val="-3"/>
        </w:rPr>
        <w:t> </w:t>
      </w:r>
      <w:r>
        <w:rPr/>
        <w:t>relevant</w:t>
      </w:r>
      <w:r>
        <w:rPr>
          <w:spacing w:val="-3"/>
        </w:rPr>
        <w:t> </w:t>
      </w:r>
      <w:r>
        <w:rPr/>
        <w:t>recommendations</w:t>
      </w:r>
      <w:r>
        <w:rPr>
          <w:spacing w:val="-3"/>
        </w:rPr>
        <w:t> </w:t>
      </w:r>
      <w:r>
        <w:rPr/>
        <w:t>to</w:t>
      </w:r>
      <w:r>
        <w:rPr>
          <w:spacing w:val="-3"/>
        </w:rPr>
        <w:t> </w:t>
      </w:r>
      <w:r>
        <w:rPr/>
        <w:t>enhance</w:t>
      </w:r>
      <w:r>
        <w:rPr>
          <w:spacing w:val="-3"/>
        </w:rPr>
        <w:t> </w:t>
      </w:r>
      <w:r>
        <w:rPr/>
        <w:t>marketing</w:t>
      </w:r>
      <w:r>
        <w:rPr>
          <w:spacing w:val="-3"/>
        </w:rPr>
        <w:t> </w:t>
      </w:r>
      <w:r>
        <w:rPr/>
        <w:t>strategies tailored to</w:t>
      </w:r>
      <w:r>
        <w:rPr>
          <w:spacing w:val="40"/>
        </w:rPr>
        <w:t> </w:t>
      </w:r>
      <w:r>
        <w:rPr/>
        <w:t>camping consumers, thereby boosting the economic benefits of the camping industry.</w:t>
      </w:r>
    </w:p>
    <w:p>
      <w:pPr>
        <w:pStyle w:val="BodyText"/>
      </w:pPr>
    </w:p>
    <w:p>
      <w:pPr>
        <w:pStyle w:val="BodyText"/>
        <w:spacing w:before="54"/>
      </w:pPr>
    </w:p>
    <w:p>
      <w:pPr>
        <w:pStyle w:val="Heading4"/>
        <w:ind w:left="731"/>
      </w:pPr>
      <w:r>
        <w:rPr>
          <w:spacing w:val="-2"/>
        </w:rPr>
        <w:t>References</w:t>
      </w:r>
    </w:p>
    <w:p>
      <w:pPr>
        <w:spacing w:line="230" w:lineRule="auto" w:before="156"/>
        <w:ind w:left="731" w:right="1381" w:firstLine="0"/>
        <w:jc w:val="left"/>
        <w:rPr>
          <w:sz w:val="24"/>
        </w:rPr>
      </w:pPr>
      <w:r>
        <w:rPr>
          <w:sz w:val="24"/>
        </w:rPr>
        <w:t>Chen,</w:t>
      </w:r>
      <w:r>
        <w:rPr>
          <w:spacing w:val="-3"/>
          <w:sz w:val="24"/>
        </w:rPr>
        <w:t> </w:t>
      </w:r>
      <w:r>
        <w:rPr>
          <w:sz w:val="24"/>
        </w:rPr>
        <w:t>X.,</w:t>
      </w:r>
      <w:r>
        <w:rPr>
          <w:spacing w:val="-3"/>
          <w:sz w:val="24"/>
        </w:rPr>
        <w:t> </w:t>
      </w:r>
      <w:r>
        <w:rPr>
          <w:sz w:val="24"/>
        </w:rPr>
        <w:t>&amp;</w:t>
      </w:r>
      <w:r>
        <w:rPr>
          <w:spacing w:val="-3"/>
          <w:sz w:val="24"/>
        </w:rPr>
        <w:t> </w:t>
      </w:r>
      <w:r>
        <w:rPr>
          <w:sz w:val="24"/>
        </w:rPr>
        <w:t>Zhou,</w:t>
      </w:r>
      <w:r>
        <w:rPr>
          <w:spacing w:val="-3"/>
          <w:sz w:val="24"/>
        </w:rPr>
        <w:t> </w:t>
      </w:r>
      <w:r>
        <w:rPr>
          <w:sz w:val="24"/>
        </w:rPr>
        <w:t>Z.</w:t>
      </w:r>
      <w:r>
        <w:rPr>
          <w:spacing w:val="-3"/>
          <w:sz w:val="24"/>
        </w:rPr>
        <w:t> </w:t>
      </w:r>
      <w:r>
        <w:rPr>
          <w:sz w:val="24"/>
        </w:rPr>
        <w:t>(2025).</w:t>
      </w:r>
      <w:r>
        <w:rPr>
          <w:spacing w:val="-3"/>
          <w:sz w:val="24"/>
        </w:rPr>
        <w:t> </w:t>
      </w:r>
      <w:r>
        <w:rPr>
          <w:sz w:val="24"/>
        </w:rPr>
        <w:t>A</w:t>
      </w:r>
      <w:r>
        <w:rPr>
          <w:spacing w:val="-3"/>
          <w:sz w:val="24"/>
        </w:rPr>
        <w:t> </w:t>
      </w:r>
      <w:r>
        <w:rPr>
          <w:sz w:val="24"/>
        </w:rPr>
        <w:t>study</w:t>
      </w:r>
      <w:r>
        <w:rPr>
          <w:spacing w:val="-3"/>
          <w:sz w:val="24"/>
        </w:rPr>
        <w:t> </w:t>
      </w:r>
      <w:r>
        <w:rPr>
          <w:sz w:val="24"/>
        </w:rPr>
        <w:t>on</w:t>
      </w:r>
      <w:r>
        <w:rPr>
          <w:spacing w:val="-3"/>
          <w:sz w:val="24"/>
        </w:rPr>
        <w:t> </w:t>
      </w:r>
      <w:r>
        <w:rPr>
          <w:sz w:val="24"/>
        </w:rPr>
        <w:t>the</w:t>
      </w:r>
      <w:r>
        <w:rPr>
          <w:spacing w:val="-3"/>
          <w:sz w:val="24"/>
        </w:rPr>
        <w:t> </w:t>
      </w:r>
      <w:r>
        <w:rPr>
          <w:sz w:val="24"/>
        </w:rPr>
        <w:t>relationship</w:t>
      </w:r>
      <w:r>
        <w:rPr>
          <w:spacing w:val="-3"/>
          <w:sz w:val="24"/>
        </w:rPr>
        <w:t> </w:t>
      </w:r>
      <w:r>
        <w:rPr>
          <w:sz w:val="24"/>
        </w:rPr>
        <w:t>between</w:t>
      </w:r>
      <w:r>
        <w:rPr>
          <w:spacing w:val="-3"/>
          <w:sz w:val="24"/>
        </w:rPr>
        <w:t> </w:t>
      </w:r>
      <w:r>
        <w:rPr>
          <w:sz w:val="24"/>
        </w:rPr>
        <w:t>camping</w:t>
      </w:r>
      <w:r>
        <w:rPr>
          <w:spacing w:val="-3"/>
          <w:sz w:val="24"/>
        </w:rPr>
        <w:t> </w:t>
      </w:r>
      <w:r>
        <w:rPr>
          <w:sz w:val="24"/>
        </w:rPr>
        <w:t>motivation,</w:t>
      </w:r>
      <w:r>
        <w:rPr>
          <w:spacing w:val="-3"/>
          <w:sz w:val="24"/>
        </w:rPr>
        <w:t> </w:t>
      </w:r>
      <w:r>
        <w:rPr>
          <w:sz w:val="24"/>
        </w:rPr>
        <w:t>attitude, and behavioral intention. </w:t>
      </w:r>
      <w:r>
        <w:rPr>
          <w:i/>
          <w:sz w:val="24"/>
        </w:rPr>
        <w:t>Journal of Economics and Management Sciences, 8</w:t>
      </w:r>
      <w:r>
        <w:rPr>
          <w:sz w:val="24"/>
        </w:rPr>
        <w:t>(2), 242-255.</w:t>
      </w:r>
    </w:p>
    <w:p>
      <w:pPr>
        <w:pStyle w:val="BodyText"/>
        <w:spacing w:line="230" w:lineRule="auto" w:before="156"/>
        <w:ind w:left="731" w:right="1191"/>
      </w:pPr>
      <w:r>
        <w:rPr/>
        <w:t>Hanafiah, M. H., Amirah, W. N., Asyraff, M. A., Zain, N. A. M., &amp; Hussein, A. S. (2025). Glamping</w:t>
      </w:r>
      <w:r>
        <w:rPr>
          <w:spacing w:val="-6"/>
        </w:rPr>
        <w:t> </w:t>
      </w:r>
      <w:r>
        <w:rPr/>
        <w:t>tourism:</w:t>
      </w:r>
      <w:r>
        <w:rPr>
          <w:spacing w:val="-6"/>
        </w:rPr>
        <w:t> </w:t>
      </w:r>
      <w:r>
        <w:rPr/>
        <w:t>Unpacking</w:t>
      </w:r>
      <w:r>
        <w:rPr>
          <w:spacing w:val="-6"/>
        </w:rPr>
        <w:t> </w:t>
      </w:r>
      <w:r>
        <w:rPr/>
        <w:t>ecotourists’</w:t>
      </w:r>
      <w:r>
        <w:rPr>
          <w:spacing w:val="-6"/>
        </w:rPr>
        <w:t> </w:t>
      </w:r>
      <w:r>
        <w:rPr/>
        <w:t>experiential</w:t>
      </w:r>
      <w:r>
        <w:rPr>
          <w:spacing w:val="-6"/>
        </w:rPr>
        <w:t> </w:t>
      </w:r>
      <w:r>
        <w:rPr/>
        <w:t>quality,</w:t>
      </w:r>
      <w:r>
        <w:rPr>
          <w:spacing w:val="-6"/>
        </w:rPr>
        <w:t> </w:t>
      </w:r>
      <w:r>
        <w:rPr/>
        <w:t>perceived</w:t>
      </w:r>
      <w:r>
        <w:rPr>
          <w:spacing w:val="-6"/>
        </w:rPr>
        <w:t> </w:t>
      </w:r>
      <w:r>
        <w:rPr/>
        <w:t>value</w:t>
      </w:r>
      <w:r>
        <w:rPr>
          <w:spacing w:val="-6"/>
        </w:rPr>
        <w:t> </w:t>
      </w:r>
      <w:r>
        <w:rPr/>
        <w:t>and</w:t>
      </w:r>
      <w:r>
        <w:rPr>
          <w:spacing w:val="40"/>
        </w:rPr>
        <w:t> </w:t>
      </w:r>
      <w:r>
        <w:rPr/>
        <w:t>behavioural intention. </w:t>
      </w:r>
      <w:r>
        <w:rPr>
          <w:i/>
        </w:rPr>
        <w:t>Journal of Ecotourism, 24</w:t>
      </w:r>
      <w:r>
        <w:rPr/>
        <w:t>(4), 401-423.</w:t>
      </w:r>
    </w:p>
    <w:p>
      <w:pPr>
        <w:spacing w:line="230" w:lineRule="auto" w:before="275"/>
        <w:ind w:left="731" w:right="1381" w:firstLine="0"/>
        <w:jc w:val="left"/>
        <w:rPr>
          <w:sz w:val="24"/>
        </w:rPr>
      </w:pPr>
      <w:r>
        <w:rPr>
          <w:sz w:val="24"/>
        </w:rPr>
        <w:t>Lin,</w:t>
      </w:r>
      <w:r>
        <w:rPr>
          <w:spacing w:val="-7"/>
          <w:sz w:val="24"/>
        </w:rPr>
        <w:t> </w:t>
      </w:r>
      <w:r>
        <w:rPr>
          <w:sz w:val="24"/>
        </w:rPr>
        <w:t>C.</w:t>
      </w:r>
      <w:r>
        <w:rPr>
          <w:spacing w:val="-7"/>
          <w:sz w:val="24"/>
        </w:rPr>
        <w:t> </w:t>
      </w:r>
      <w:r>
        <w:rPr>
          <w:sz w:val="24"/>
        </w:rPr>
        <w:t>H.,</w:t>
      </w:r>
      <w:r>
        <w:rPr>
          <w:spacing w:val="-7"/>
          <w:sz w:val="24"/>
        </w:rPr>
        <w:t> </w:t>
      </w:r>
      <w:r>
        <w:rPr>
          <w:sz w:val="24"/>
        </w:rPr>
        <w:t>&amp;</w:t>
      </w:r>
      <w:r>
        <w:rPr>
          <w:spacing w:val="-7"/>
          <w:sz w:val="24"/>
        </w:rPr>
        <w:t> </w:t>
      </w:r>
      <w:r>
        <w:rPr>
          <w:sz w:val="24"/>
        </w:rPr>
        <w:t>Chuang,</w:t>
      </w:r>
      <w:r>
        <w:rPr>
          <w:spacing w:val="-7"/>
          <w:sz w:val="24"/>
        </w:rPr>
        <w:t> </w:t>
      </w:r>
      <w:r>
        <w:rPr>
          <w:sz w:val="24"/>
        </w:rPr>
        <w:t>Y.</w:t>
      </w:r>
      <w:r>
        <w:rPr>
          <w:spacing w:val="-7"/>
          <w:sz w:val="24"/>
        </w:rPr>
        <w:t> </w:t>
      </w:r>
      <w:r>
        <w:rPr>
          <w:sz w:val="24"/>
        </w:rPr>
        <w:t>W.</w:t>
      </w:r>
      <w:r>
        <w:rPr>
          <w:spacing w:val="-7"/>
          <w:sz w:val="24"/>
        </w:rPr>
        <w:t> </w:t>
      </w:r>
      <w:r>
        <w:rPr>
          <w:sz w:val="24"/>
        </w:rPr>
        <w:t>(2021).</w:t>
      </w:r>
      <w:r>
        <w:rPr>
          <w:spacing w:val="-7"/>
          <w:sz w:val="24"/>
        </w:rPr>
        <w:t> </w:t>
      </w:r>
      <w:r>
        <w:rPr>
          <w:sz w:val="24"/>
        </w:rPr>
        <w:t>A</w:t>
      </w:r>
      <w:r>
        <w:rPr>
          <w:spacing w:val="-7"/>
          <w:sz w:val="24"/>
        </w:rPr>
        <w:t> </w:t>
      </w:r>
      <w:r>
        <w:rPr>
          <w:sz w:val="24"/>
        </w:rPr>
        <w:t>study</w:t>
      </w:r>
      <w:r>
        <w:rPr>
          <w:spacing w:val="-7"/>
          <w:sz w:val="24"/>
        </w:rPr>
        <w:t> </w:t>
      </w:r>
      <w:r>
        <w:rPr>
          <w:sz w:val="24"/>
        </w:rPr>
        <w:t>of</w:t>
      </w:r>
      <w:r>
        <w:rPr>
          <w:spacing w:val="-7"/>
          <w:sz w:val="24"/>
        </w:rPr>
        <w:t> </w:t>
      </w:r>
      <w:r>
        <w:rPr>
          <w:sz w:val="24"/>
        </w:rPr>
        <w:t>participation</w:t>
      </w:r>
      <w:r>
        <w:rPr>
          <w:spacing w:val="-7"/>
          <w:sz w:val="24"/>
        </w:rPr>
        <w:t> </w:t>
      </w:r>
      <w:r>
        <w:rPr>
          <w:sz w:val="24"/>
        </w:rPr>
        <w:t>motivation,</w:t>
      </w:r>
      <w:r>
        <w:rPr>
          <w:spacing w:val="-7"/>
          <w:sz w:val="24"/>
        </w:rPr>
        <w:t> </w:t>
      </w:r>
      <w:r>
        <w:rPr>
          <w:sz w:val="24"/>
        </w:rPr>
        <w:t>experience</w:t>
      </w:r>
      <w:r>
        <w:rPr>
          <w:spacing w:val="-7"/>
          <w:sz w:val="24"/>
        </w:rPr>
        <w:t> </w:t>
      </w:r>
      <w:r>
        <w:rPr>
          <w:sz w:val="24"/>
        </w:rPr>
        <w:t>and satisfaction in camping tourists. </w:t>
      </w:r>
      <w:r>
        <w:rPr>
          <w:i/>
          <w:sz w:val="24"/>
        </w:rPr>
        <w:t>Open Journal of Applied Sciences, 11</w:t>
      </w:r>
      <w:r>
        <w:rPr>
          <w:sz w:val="24"/>
        </w:rPr>
        <w:t>(2), 190-201.</w:t>
      </w:r>
    </w:p>
    <w:p>
      <w:pPr>
        <w:spacing w:line="230" w:lineRule="auto" w:before="275"/>
        <w:ind w:left="731" w:right="1619" w:firstLine="0"/>
        <w:jc w:val="left"/>
        <w:rPr>
          <w:sz w:val="24"/>
        </w:rPr>
      </w:pPr>
      <w:r>
        <w:rPr>
          <w:sz w:val="24"/>
        </w:rPr>
        <w:t>Mehrabian,</w:t>
      </w:r>
      <w:r>
        <w:rPr>
          <w:spacing w:val="-5"/>
          <w:sz w:val="24"/>
        </w:rPr>
        <w:t> </w:t>
      </w:r>
      <w:r>
        <w:rPr>
          <w:sz w:val="24"/>
        </w:rPr>
        <w:t>A.,</w:t>
      </w:r>
      <w:r>
        <w:rPr>
          <w:spacing w:val="-5"/>
          <w:sz w:val="24"/>
        </w:rPr>
        <w:t> </w:t>
      </w:r>
      <w:r>
        <w:rPr>
          <w:sz w:val="24"/>
        </w:rPr>
        <w:t>&amp;</w:t>
      </w:r>
      <w:r>
        <w:rPr>
          <w:spacing w:val="-5"/>
          <w:sz w:val="24"/>
        </w:rPr>
        <w:t> </w:t>
      </w:r>
      <w:r>
        <w:rPr>
          <w:sz w:val="24"/>
        </w:rPr>
        <w:t>Russell,</w:t>
      </w:r>
      <w:r>
        <w:rPr>
          <w:spacing w:val="-5"/>
          <w:sz w:val="24"/>
        </w:rPr>
        <w:t> </w:t>
      </w:r>
      <w:r>
        <w:rPr>
          <w:sz w:val="24"/>
        </w:rPr>
        <w:t>J.</w:t>
      </w:r>
      <w:r>
        <w:rPr>
          <w:spacing w:val="-5"/>
          <w:sz w:val="24"/>
        </w:rPr>
        <w:t> </w:t>
      </w:r>
      <w:r>
        <w:rPr>
          <w:sz w:val="24"/>
        </w:rPr>
        <w:t>A.</w:t>
      </w:r>
      <w:r>
        <w:rPr>
          <w:spacing w:val="-5"/>
          <w:sz w:val="24"/>
        </w:rPr>
        <w:t> </w:t>
      </w:r>
      <w:r>
        <w:rPr>
          <w:sz w:val="24"/>
        </w:rPr>
        <w:t>(1974).</w:t>
      </w:r>
      <w:r>
        <w:rPr>
          <w:spacing w:val="-5"/>
          <w:sz w:val="24"/>
        </w:rPr>
        <w:t> </w:t>
      </w:r>
      <w:r>
        <w:rPr>
          <w:i/>
          <w:sz w:val="24"/>
        </w:rPr>
        <w:t>An</w:t>
      </w:r>
      <w:r>
        <w:rPr>
          <w:i/>
          <w:spacing w:val="-5"/>
          <w:sz w:val="24"/>
        </w:rPr>
        <w:t> </w:t>
      </w:r>
      <w:r>
        <w:rPr>
          <w:i/>
          <w:sz w:val="24"/>
        </w:rPr>
        <w:t>approach</w:t>
      </w:r>
      <w:r>
        <w:rPr>
          <w:i/>
          <w:spacing w:val="-5"/>
          <w:sz w:val="24"/>
        </w:rPr>
        <w:t> </w:t>
      </w:r>
      <w:r>
        <w:rPr>
          <w:i/>
          <w:sz w:val="24"/>
        </w:rPr>
        <w:t>to</w:t>
      </w:r>
      <w:r>
        <w:rPr>
          <w:i/>
          <w:spacing w:val="-5"/>
          <w:sz w:val="24"/>
        </w:rPr>
        <w:t> </w:t>
      </w:r>
      <w:r>
        <w:rPr>
          <w:i/>
          <w:sz w:val="24"/>
        </w:rPr>
        <w:t>environmental</w:t>
      </w:r>
      <w:r>
        <w:rPr>
          <w:i/>
          <w:spacing w:val="-5"/>
          <w:sz w:val="24"/>
        </w:rPr>
        <w:t> </w:t>
      </w:r>
      <w:r>
        <w:rPr>
          <w:i/>
          <w:sz w:val="24"/>
        </w:rPr>
        <w:t>psychology</w:t>
      </w:r>
      <w:r>
        <w:rPr>
          <w:sz w:val="24"/>
        </w:rPr>
        <w:t>.</w:t>
      </w:r>
      <w:r>
        <w:rPr>
          <w:spacing w:val="-5"/>
          <w:sz w:val="24"/>
        </w:rPr>
        <w:t> </w:t>
      </w:r>
      <w:r>
        <w:rPr>
          <w:sz w:val="24"/>
        </w:rPr>
        <w:t>The</w:t>
      </w:r>
      <w:r>
        <w:rPr>
          <w:spacing w:val="-5"/>
          <w:sz w:val="24"/>
        </w:rPr>
        <w:t> </w:t>
      </w:r>
      <w:r>
        <w:rPr>
          <w:sz w:val="24"/>
        </w:rPr>
        <w:t>MIT </w:t>
      </w:r>
      <w:r>
        <w:rPr>
          <w:spacing w:val="-2"/>
          <w:sz w:val="24"/>
        </w:rPr>
        <w:t>Press.</w:t>
      </w:r>
    </w:p>
    <w:p>
      <w:pPr>
        <w:pStyle w:val="BodyText"/>
      </w:pPr>
    </w:p>
    <w:p>
      <w:pPr>
        <w:pStyle w:val="BodyText"/>
        <w:spacing w:line="230" w:lineRule="auto"/>
        <w:ind w:left="731" w:right="1191"/>
      </w:pPr>
      <w:r>
        <w:rPr/>
        <w:t>Shin, H., Nicolau, J. L., Kang, J., Sharma, A., &amp; Lee, H. (2022). Travel decision determinants during</w:t>
      </w:r>
      <w:r>
        <w:rPr>
          <w:spacing w:val="-3"/>
        </w:rPr>
        <w:t> </w:t>
      </w:r>
      <w:r>
        <w:rPr/>
        <w:t>and</w:t>
      </w:r>
      <w:r>
        <w:rPr>
          <w:spacing w:val="-3"/>
        </w:rPr>
        <w:t> </w:t>
      </w:r>
      <w:r>
        <w:rPr/>
        <w:t>after</w:t>
      </w:r>
      <w:r>
        <w:rPr>
          <w:spacing w:val="-3"/>
        </w:rPr>
        <w:t> </w:t>
      </w:r>
      <w:r>
        <w:rPr/>
        <w:t>COVID-19:</w:t>
      </w:r>
      <w:r>
        <w:rPr>
          <w:spacing w:val="-3"/>
        </w:rPr>
        <w:t> </w:t>
      </w:r>
      <w:r>
        <w:rPr/>
        <w:t>The</w:t>
      </w:r>
      <w:r>
        <w:rPr>
          <w:spacing w:val="-3"/>
        </w:rPr>
        <w:t> </w:t>
      </w:r>
      <w:r>
        <w:rPr/>
        <w:t>role</w:t>
      </w:r>
      <w:r>
        <w:rPr>
          <w:spacing w:val="-3"/>
        </w:rPr>
        <w:t> </w:t>
      </w:r>
      <w:r>
        <w:rPr/>
        <w:t>of</w:t>
      </w:r>
      <w:r>
        <w:rPr>
          <w:spacing w:val="-3"/>
        </w:rPr>
        <w:t> </w:t>
      </w:r>
      <w:r>
        <w:rPr/>
        <w:t>tourist</w:t>
      </w:r>
      <w:r>
        <w:rPr>
          <w:spacing w:val="-3"/>
        </w:rPr>
        <w:t> </w:t>
      </w:r>
      <w:r>
        <w:rPr/>
        <w:t>trust,</w:t>
      </w:r>
      <w:r>
        <w:rPr>
          <w:spacing w:val="-3"/>
        </w:rPr>
        <w:t> </w:t>
      </w:r>
      <w:r>
        <w:rPr/>
        <w:t>travel</w:t>
      </w:r>
      <w:r>
        <w:rPr>
          <w:spacing w:val="-3"/>
        </w:rPr>
        <w:t> </w:t>
      </w:r>
      <w:r>
        <w:rPr/>
        <w:t>constraints,</w:t>
      </w:r>
      <w:r>
        <w:rPr>
          <w:spacing w:val="-3"/>
        </w:rPr>
        <w:t> </w:t>
      </w:r>
      <w:r>
        <w:rPr/>
        <w:t>and</w:t>
      </w:r>
      <w:r>
        <w:rPr>
          <w:spacing w:val="-3"/>
        </w:rPr>
        <w:t> </w:t>
      </w:r>
      <w:r>
        <w:rPr/>
        <w:t>attitudinal</w:t>
      </w:r>
      <w:r>
        <w:rPr>
          <w:spacing w:val="40"/>
        </w:rPr>
        <w:t> </w:t>
      </w:r>
      <w:r>
        <w:rPr/>
        <w:t>factors. </w:t>
      </w:r>
      <w:r>
        <w:rPr>
          <w:i/>
        </w:rPr>
        <w:t>Tourism Management, 88</w:t>
      </w:r>
      <w:r>
        <w:rPr/>
        <w:t>, Article 104428.</w:t>
      </w:r>
    </w:p>
    <w:p>
      <w:pPr>
        <w:pStyle w:val="BodyText"/>
        <w:spacing w:line="230" w:lineRule="auto" w:before="275"/>
        <w:ind w:left="731" w:right="1191"/>
      </w:pPr>
      <w:r>
        <w:rPr/>
        <w:t>Zorlu, K., Tuncer, M., &amp; Taskın, G. A. (2023). The effect of COVID-19 on tourists’ attitudes and travel</w:t>
      </w:r>
      <w:r>
        <w:rPr>
          <w:spacing w:val="-4"/>
        </w:rPr>
        <w:t> </w:t>
      </w:r>
      <w:r>
        <w:rPr/>
        <w:t>intentions:</w:t>
      </w:r>
      <w:r>
        <w:rPr>
          <w:spacing w:val="-4"/>
        </w:rPr>
        <w:t> </w:t>
      </w:r>
      <w:r>
        <w:rPr/>
        <w:t>An</w:t>
      </w:r>
      <w:r>
        <w:rPr>
          <w:spacing w:val="-4"/>
        </w:rPr>
        <w:t> </w:t>
      </w:r>
      <w:r>
        <w:rPr/>
        <w:t>empirical</w:t>
      </w:r>
      <w:r>
        <w:rPr>
          <w:spacing w:val="-4"/>
        </w:rPr>
        <w:t> </w:t>
      </w:r>
      <w:r>
        <w:rPr/>
        <w:t>study</w:t>
      </w:r>
      <w:r>
        <w:rPr>
          <w:spacing w:val="-4"/>
        </w:rPr>
        <w:t> </w:t>
      </w:r>
      <w:r>
        <w:rPr/>
        <w:t>on</w:t>
      </w:r>
      <w:r>
        <w:rPr>
          <w:spacing w:val="-4"/>
        </w:rPr>
        <w:t> </w:t>
      </w:r>
      <w:r>
        <w:rPr/>
        <w:t>camping/glamping</w:t>
      </w:r>
      <w:r>
        <w:rPr>
          <w:spacing w:val="-4"/>
        </w:rPr>
        <w:t> </w:t>
      </w:r>
      <w:r>
        <w:rPr/>
        <w:t>tourism</w:t>
      </w:r>
      <w:r>
        <w:rPr>
          <w:spacing w:val="-4"/>
        </w:rPr>
        <w:t> </w:t>
      </w:r>
      <w:r>
        <w:rPr/>
        <w:t>in</w:t>
      </w:r>
      <w:r>
        <w:rPr>
          <w:spacing w:val="-4"/>
        </w:rPr>
        <w:t> </w:t>
      </w:r>
      <w:r>
        <w:rPr/>
        <w:t>Turkey</w:t>
      </w:r>
      <w:r>
        <w:rPr>
          <w:spacing w:val="-4"/>
        </w:rPr>
        <w:t> </w:t>
      </w:r>
      <w:r>
        <w:rPr/>
        <w:t>during</w:t>
      </w:r>
      <w:r>
        <w:rPr>
          <w:spacing w:val="40"/>
        </w:rPr>
        <w:t> </w:t>
      </w:r>
      <w:r>
        <w:rPr/>
        <w:t>COVID-</w:t>
      </w:r>
      <w:r>
        <w:rPr/>
        <w:t>19. </w:t>
      </w:r>
      <w:r>
        <w:rPr>
          <w:i/>
        </w:rPr>
        <w:t>Journal of Hospitality and Tourism Insights, 6</w:t>
      </w:r>
      <w:r>
        <w:rPr/>
        <w:t>(2), 947-965.</w:t>
      </w:r>
    </w:p>
    <w:p>
      <w:pPr>
        <w:pStyle w:val="BodyText"/>
        <w:spacing w:after="0" w:line="230" w:lineRule="auto"/>
        <w:sectPr>
          <w:footerReference w:type="default" r:id="rId52"/>
          <w:pgSz w:w="12240" w:h="15840"/>
          <w:pgMar w:header="0" w:footer="707" w:top="620" w:bottom="900" w:left="720" w:right="0"/>
          <w:pgNumType w:start="33"/>
        </w:sectPr>
      </w:pPr>
    </w:p>
    <w:p>
      <w:pPr>
        <w:pStyle w:val="Heading3"/>
        <w:ind w:right="552"/>
      </w:pPr>
      <w:bookmarkStart w:name=" " w:id="41"/>
      <w:bookmarkEnd w:id="41"/>
      <w:r>
        <w:rPr>
          <w:b w:val="0"/>
        </w:rPr>
      </w:r>
      <w:bookmarkStart w:name="Case: The Accounting and Auditing Failur" w:id="42"/>
      <w:bookmarkEnd w:id="42"/>
      <w:r>
        <w:rPr>
          <w:b w:val="0"/>
        </w:rPr>
      </w:r>
      <w:bookmarkStart w:name="h.u9qyg4ebsrp2" w:id="43"/>
      <w:bookmarkEnd w:id="43"/>
      <w:r>
        <w:rPr>
          <w:b w:val="0"/>
        </w:rPr>
      </w:r>
      <w:r>
        <w:rPr/>
        <w:t>Case:</w:t>
      </w:r>
      <w:r>
        <w:rPr>
          <w:spacing w:val="-11"/>
        </w:rPr>
        <w:t> </w:t>
      </w:r>
      <w:r>
        <w:rPr/>
        <w:t>The</w:t>
      </w:r>
      <w:r>
        <w:rPr>
          <w:spacing w:val="-10"/>
        </w:rPr>
        <w:t> </w:t>
      </w:r>
      <w:r>
        <w:rPr/>
        <w:t>Accounting</w:t>
      </w:r>
      <w:r>
        <w:rPr>
          <w:spacing w:val="-11"/>
        </w:rPr>
        <w:t> </w:t>
      </w:r>
      <w:r>
        <w:rPr/>
        <w:t>and</w:t>
      </w:r>
      <w:r>
        <w:rPr>
          <w:spacing w:val="-10"/>
        </w:rPr>
        <w:t> </w:t>
      </w:r>
      <w:r>
        <w:rPr/>
        <w:t>Auditing</w:t>
      </w:r>
      <w:r>
        <w:rPr>
          <w:spacing w:val="-11"/>
        </w:rPr>
        <w:t> </w:t>
      </w:r>
      <w:r>
        <w:rPr/>
        <w:t>Failures</w:t>
      </w:r>
      <w:r>
        <w:rPr>
          <w:spacing w:val="-10"/>
        </w:rPr>
        <w:t> </w:t>
      </w:r>
      <w:r>
        <w:rPr/>
        <w:t>of</w:t>
      </w:r>
      <w:r>
        <w:rPr>
          <w:spacing w:val="-11"/>
        </w:rPr>
        <w:t> </w:t>
      </w:r>
      <w:r>
        <w:rPr/>
        <w:t>Tupperware</w:t>
      </w:r>
      <w:r>
        <w:rPr>
          <w:spacing w:val="-10"/>
        </w:rPr>
        <w:t> </w:t>
      </w:r>
      <w:r>
        <w:rPr>
          <w:spacing w:val="-2"/>
        </w:rPr>
        <w:t>Brands</w:t>
      </w:r>
    </w:p>
    <w:p>
      <w:pPr>
        <w:pStyle w:val="BodyText"/>
        <w:spacing w:before="11"/>
        <w:ind w:right="658"/>
        <w:jc w:val="center"/>
      </w:pPr>
      <w:r>
        <w:rPr/>
        <w:t>Emily </w:t>
      </w:r>
      <w:r>
        <w:rPr>
          <w:spacing w:val="-2"/>
        </w:rPr>
        <w:t>Cokeley</w:t>
      </w:r>
    </w:p>
    <w:p>
      <w:pPr>
        <w:pStyle w:val="BodyText"/>
        <w:spacing w:line="230" w:lineRule="auto" w:before="204"/>
        <w:ind w:left="716" w:right="1318" w:firstLine="15"/>
        <w:jc w:val="both"/>
      </w:pPr>
      <w:r>
        <w:rPr/>
        <w:t>Once a global household name, Tupperware Brands Corporation</w:t>
      </w:r>
      <w:r>
        <w:rPr>
          <w:spacing w:val="-4"/>
        </w:rPr>
        <w:t> </w:t>
      </w:r>
      <w:r>
        <w:rPr/>
        <w:t>has</w:t>
      </w:r>
      <w:r>
        <w:rPr>
          <w:spacing w:val="-4"/>
        </w:rPr>
        <w:t> </w:t>
      </w:r>
      <w:r>
        <w:rPr/>
        <w:t>faced</w:t>
      </w:r>
      <w:r>
        <w:rPr>
          <w:spacing w:val="-4"/>
        </w:rPr>
        <w:t> </w:t>
      </w:r>
      <w:r>
        <w:rPr/>
        <w:t>a</w:t>
      </w:r>
      <w:r>
        <w:rPr>
          <w:spacing w:val="-4"/>
        </w:rPr>
        <w:t> </w:t>
      </w:r>
      <w:r>
        <w:rPr/>
        <w:t>decade-long</w:t>
      </w:r>
      <w:r>
        <w:rPr>
          <w:spacing w:val="-4"/>
        </w:rPr>
        <w:t> </w:t>
      </w:r>
      <w:r>
        <w:rPr/>
        <w:t>decline. The company’s downfall is not merely a result of shifting consumer preferences, but is deeply rooted in accounting and auditing failures</w:t>
      </w:r>
      <w:r>
        <w:rPr>
          <w:spacing w:val="-3"/>
        </w:rPr>
        <w:t> </w:t>
      </w:r>
      <w:r>
        <w:rPr/>
        <w:t>that</w:t>
      </w:r>
      <w:r>
        <w:rPr>
          <w:spacing w:val="-3"/>
        </w:rPr>
        <w:t> </w:t>
      </w:r>
      <w:r>
        <w:rPr/>
        <w:t>obscured</w:t>
      </w:r>
      <w:r>
        <w:rPr>
          <w:spacing w:val="-3"/>
        </w:rPr>
        <w:t> </w:t>
      </w:r>
      <w:r>
        <w:rPr/>
        <w:t>its</w:t>
      </w:r>
      <w:r>
        <w:rPr>
          <w:spacing w:val="-3"/>
        </w:rPr>
        <w:t> </w:t>
      </w:r>
      <w:r>
        <w:rPr/>
        <w:t>true</w:t>
      </w:r>
      <w:r>
        <w:rPr>
          <w:spacing w:val="-3"/>
        </w:rPr>
        <w:t> </w:t>
      </w:r>
      <w:r>
        <w:rPr/>
        <w:t>financial</w:t>
      </w:r>
      <w:r>
        <w:rPr>
          <w:spacing w:val="-3"/>
        </w:rPr>
        <w:t> </w:t>
      </w:r>
      <w:r>
        <w:rPr/>
        <w:t>health</w:t>
      </w:r>
      <w:r>
        <w:rPr>
          <w:spacing w:val="-3"/>
        </w:rPr>
        <w:t> </w:t>
      </w:r>
      <w:r>
        <w:rPr/>
        <w:t>for</w:t>
      </w:r>
      <w:r>
        <w:rPr>
          <w:spacing w:val="-3"/>
        </w:rPr>
        <w:t> </w:t>
      </w:r>
      <w:r>
        <w:rPr/>
        <w:t>years.</w:t>
      </w:r>
      <w:r>
        <w:rPr>
          <w:spacing w:val="-3"/>
        </w:rPr>
        <w:t> </w:t>
      </w:r>
      <w:r>
        <w:rPr/>
        <w:t>Starting as early as 2016, Tupperware’s Fuller Mexico</w:t>
      </w:r>
      <w:r>
        <w:rPr>
          <w:spacing w:val="-5"/>
        </w:rPr>
        <w:t> </w:t>
      </w:r>
      <w:r>
        <w:rPr/>
        <w:t>unit</w:t>
      </w:r>
      <w:r>
        <w:rPr>
          <w:spacing w:val="-5"/>
        </w:rPr>
        <w:t> </w:t>
      </w:r>
      <w:r>
        <w:rPr/>
        <w:t>engaged</w:t>
      </w:r>
      <w:r>
        <w:rPr>
          <w:spacing w:val="-5"/>
        </w:rPr>
        <w:t> </w:t>
      </w:r>
      <w:r>
        <w:rPr/>
        <w:t>in</w:t>
      </w:r>
      <w:r>
        <w:rPr>
          <w:spacing w:val="-5"/>
        </w:rPr>
        <w:t> </w:t>
      </w:r>
      <w:r>
        <w:rPr/>
        <w:t>significant</w:t>
      </w:r>
      <w:r>
        <w:rPr>
          <w:spacing w:val="-5"/>
        </w:rPr>
        <w:t> </w:t>
      </w:r>
      <w:r>
        <w:rPr/>
        <w:t>financial</w:t>
      </w:r>
      <w:r>
        <w:rPr>
          <w:spacing w:val="-5"/>
        </w:rPr>
        <w:t> </w:t>
      </w:r>
      <w:r>
        <w:rPr/>
        <w:t>misstatements, including those resulting from the shipment of unordered products to inflate sales, as well as the improper</w:t>
      </w:r>
      <w:r>
        <w:rPr>
          <w:spacing w:val="40"/>
        </w:rPr>
        <w:t> </w:t>
      </w:r>
      <w:r>
        <w:rPr/>
        <w:t>recording</w:t>
      </w:r>
      <w:r>
        <w:rPr>
          <w:spacing w:val="40"/>
        </w:rPr>
        <w:t> </w:t>
      </w:r>
      <w:r>
        <w:rPr/>
        <w:t>of</w:t>
      </w:r>
      <w:r>
        <w:rPr>
          <w:spacing w:val="40"/>
        </w:rPr>
        <w:t> </w:t>
      </w:r>
      <w:r>
        <w:rPr/>
        <w:t>expense</w:t>
      </w:r>
      <w:r>
        <w:rPr>
          <w:spacing w:val="40"/>
        </w:rPr>
        <w:t> </w:t>
      </w:r>
      <w:r>
        <w:rPr/>
        <w:t>reserves.</w:t>
      </w:r>
      <w:r>
        <w:rPr>
          <w:spacing w:val="40"/>
        </w:rPr>
        <w:t> </w:t>
      </w:r>
      <w:r>
        <w:rPr/>
        <w:t>These</w:t>
      </w:r>
      <w:r>
        <w:rPr>
          <w:spacing w:val="40"/>
        </w:rPr>
        <w:t> </w:t>
      </w:r>
      <w:r>
        <w:rPr/>
        <w:t>practices</w:t>
      </w:r>
      <w:r>
        <w:rPr>
          <w:spacing w:val="40"/>
        </w:rPr>
        <w:t> </w:t>
      </w:r>
      <w:r>
        <w:rPr/>
        <w:t>went</w:t>
      </w:r>
      <w:r>
        <w:rPr>
          <w:spacing w:val="40"/>
        </w:rPr>
        <w:t> </w:t>
      </w:r>
      <w:r>
        <w:rPr/>
        <w:t>undetected</w:t>
      </w:r>
      <w:r>
        <w:rPr>
          <w:spacing w:val="40"/>
        </w:rPr>
        <w:t> </w:t>
      </w:r>
      <w:r>
        <w:rPr/>
        <w:t>for years due to a failure to integrate reporting units and maintain sufficient internal controls, eventually</w:t>
      </w:r>
      <w:r>
        <w:rPr>
          <w:spacing w:val="40"/>
        </w:rPr>
        <w:t> </w:t>
      </w:r>
      <w:r>
        <w:rPr/>
        <w:t>leading</w:t>
      </w:r>
      <w:r>
        <w:rPr>
          <w:spacing w:val="-3"/>
        </w:rPr>
        <w:t> </w:t>
      </w:r>
      <w:r>
        <w:rPr/>
        <w:t>to</w:t>
      </w:r>
      <w:r>
        <w:rPr>
          <w:spacing w:val="80"/>
        </w:rPr>
        <w:t> </w:t>
      </w:r>
      <w:r>
        <w:rPr/>
        <w:t>a $900,000 SEC penalty in 2022.</w:t>
      </w:r>
    </w:p>
    <w:p>
      <w:pPr>
        <w:pStyle w:val="BodyText"/>
        <w:spacing w:line="230" w:lineRule="auto" w:before="160"/>
        <w:ind w:left="716" w:right="1319" w:firstLine="15"/>
        <w:jc w:val="both"/>
      </w:pPr>
      <w:r>
        <w:rPr/>
        <w:t>The company’s struggles intensified</w:t>
      </w:r>
      <w:r>
        <w:rPr>
          <w:spacing w:val="-4"/>
        </w:rPr>
        <w:t> </w:t>
      </w:r>
      <w:r>
        <w:rPr/>
        <w:t>in</w:t>
      </w:r>
      <w:r>
        <w:rPr>
          <w:spacing w:val="-4"/>
        </w:rPr>
        <w:t> </w:t>
      </w:r>
      <w:r>
        <w:rPr/>
        <w:t>the</w:t>
      </w:r>
      <w:r>
        <w:rPr>
          <w:spacing w:val="-4"/>
        </w:rPr>
        <w:t> </w:t>
      </w:r>
      <w:r>
        <w:rPr/>
        <w:t>early</w:t>
      </w:r>
      <w:r>
        <w:rPr>
          <w:spacing w:val="-4"/>
        </w:rPr>
        <w:t> </w:t>
      </w:r>
      <w:r>
        <w:rPr/>
        <w:t>2020s.</w:t>
      </w:r>
      <w:r>
        <w:rPr>
          <w:spacing w:val="-4"/>
        </w:rPr>
        <w:t> </w:t>
      </w:r>
      <w:r>
        <w:rPr/>
        <w:t>While</w:t>
      </w:r>
      <w:r>
        <w:rPr>
          <w:spacing w:val="-4"/>
        </w:rPr>
        <w:t> </w:t>
      </w:r>
      <w:r>
        <w:rPr/>
        <w:t>a</w:t>
      </w:r>
      <w:r>
        <w:rPr>
          <w:spacing w:val="-4"/>
        </w:rPr>
        <w:t> </w:t>
      </w:r>
      <w:r>
        <w:rPr/>
        <w:t>brief</w:t>
      </w:r>
      <w:r>
        <w:rPr>
          <w:spacing w:val="-4"/>
        </w:rPr>
        <w:t> </w:t>
      </w:r>
      <w:r>
        <w:rPr/>
        <w:t>pandemic-era</w:t>
      </w:r>
      <w:r>
        <w:rPr>
          <w:spacing w:val="-4"/>
        </w:rPr>
        <w:t> </w:t>
      </w:r>
      <w:r>
        <w:rPr/>
        <w:t>surge</w:t>
      </w:r>
      <w:r>
        <w:rPr>
          <w:spacing w:val="-4"/>
        </w:rPr>
        <w:t> </w:t>
      </w:r>
      <w:r>
        <w:rPr/>
        <w:t>in</w:t>
      </w:r>
      <w:r>
        <w:rPr>
          <w:spacing w:val="-4"/>
        </w:rPr>
        <w:t> </w:t>
      </w:r>
      <w:r>
        <w:rPr/>
        <w:t>home cooking provided a temporary boost, it was quickly overshadowed by rising raw material </w:t>
      </w:r>
      <w:r>
        <w:rPr/>
        <w:t>costs, labor shortages, and a failure to modernize its direct-selling model. By 2023, Tupperware was mired in a going concern crisis, repeatedly delaying its annual 10-K filings due to material weaknesses in internal controls and short-staffing within its accounting department. This lack of financial transparency led to the resignation of its long-term auditor, PricewaterhouseCoopers,</w:t>
      </w:r>
      <w:r>
        <w:rPr>
          <w:spacing w:val="80"/>
        </w:rPr>
        <w:t> </w:t>
      </w:r>
      <w:r>
        <w:rPr/>
        <w:t>and forced the company to scramble for new auditors and debt restructuring agreements.</w:t>
      </w:r>
    </w:p>
    <w:p>
      <w:pPr>
        <w:pStyle w:val="BodyText"/>
        <w:spacing w:line="230" w:lineRule="auto" w:before="163"/>
        <w:ind w:left="716" w:right="1318" w:firstLine="15"/>
        <w:jc w:val="both"/>
      </w:pPr>
      <w:r>
        <w:rPr/>
        <w:t>Tupperware Brands filed for Chapter 11 bankruptcy in September 2024, reporting over </w:t>
      </w:r>
      <w:r>
        <w:rPr/>
        <w:t>$1.2 billion in debt against roughly $680 million in assets. In late 2024, a</w:t>
      </w:r>
      <w:r>
        <w:rPr>
          <w:spacing w:val="-2"/>
        </w:rPr>
        <w:t> </w:t>
      </w:r>
      <w:r>
        <w:rPr/>
        <w:t>group</w:t>
      </w:r>
      <w:r>
        <w:rPr>
          <w:spacing w:val="-2"/>
        </w:rPr>
        <w:t> </w:t>
      </w:r>
      <w:r>
        <w:rPr/>
        <w:t>of</w:t>
      </w:r>
      <w:r>
        <w:rPr>
          <w:spacing w:val="-2"/>
        </w:rPr>
        <w:t> </w:t>
      </w:r>
      <w:r>
        <w:rPr/>
        <w:t>lenders</w:t>
      </w:r>
      <w:r>
        <w:rPr>
          <w:spacing w:val="40"/>
        </w:rPr>
        <w:t> </w:t>
      </w:r>
      <w:r>
        <w:rPr/>
        <w:t>completed an</w:t>
      </w:r>
      <w:r>
        <w:rPr>
          <w:spacing w:val="26"/>
        </w:rPr>
        <w:t> </w:t>
      </w:r>
      <w:r>
        <w:rPr/>
        <w:t>acquisition</w:t>
      </w:r>
      <w:r>
        <w:rPr>
          <w:spacing w:val="26"/>
        </w:rPr>
        <w:t> </w:t>
      </w:r>
      <w:r>
        <w:rPr/>
        <w:t>of</w:t>
      </w:r>
      <w:r>
        <w:rPr>
          <w:spacing w:val="26"/>
        </w:rPr>
        <w:t> </w:t>
      </w:r>
      <w:r>
        <w:rPr/>
        <w:t>the</w:t>
      </w:r>
      <w:r>
        <w:rPr>
          <w:spacing w:val="26"/>
        </w:rPr>
        <w:t> </w:t>
      </w:r>
      <w:r>
        <w:rPr/>
        <w:t>company’s</w:t>
      </w:r>
      <w:r>
        <w:rPr>
          <w:spacing w:val="26"/>
        </w:rPr>
        <w:t> </w:t>
      </w:r>
      <w:r>
        <w:rPr/>
        <w:t>assets,</w:t>
      </w:r>
      <w:r>
        <w:rPr>
          <w:spacing w:val="26"/>
        </w:rPr>
        <w:t> </w:t>
      </w:r>
      <w:r>
        <w:rPr/>
        <w:t>aiming</w:t>
      </w:r>
      <w:r>
        <w:rPr>
          <w:spacing w:val="26"/>
        </w:rPr>
        <w:t> </w:t>
      </w:r>
      <w:r>
        <w:rPr/>
        <w:t>to</w:t>
      </w:r>
      <w:r>
        <w:rPr>
          <w:spacing w:val="26"/>
        </w:rPr>
        <w:t> </w:t>
      </w:r>
      <w:r>
        <w:rPr/>
        <w:t>pivot</w:t>
      </w:r>
      <w:r>
        <w:rPr>
          <w:spacing w:val="26"/>
        </w:rPr>
        <w:t> </w:t>
      </w:r>
      <w:r>
        <w:rPr/>
        <w:t>the brand toward a digital first strategy: e-commerce, digital marketing, social media influencer partnerships, and retail</w:t>
      </w:r>
      <w:r>
        <w:rPr>
          <w:spacing w:val="40"/>
        </w:rPr>
        <w:t> </w:t>
      </w:r>
      <w:r>
        <w:rPr/>
        <w:t>partnerships to reach younger consumers. Recent reports indicate that the brand's assets are being</w:t>
      </w:r>
      <w:r>
        <w:rPr>
          <w:spacing w:val="40"/>
        </w:rPr>
        <w:t> </w:t>
      </w:r>
      <w:r>
        <w:rPr/>
        <w:t>further consolidated - notably, Betterware has moved to acquire specific Tupperware assets for approximately $250 million, seeking to leverage the brand's remaining equity at</w:t>
      </w:r>
      <w:r>
        <w:rPr>
          <w:spacing w:val="-3"/>
        </w:rPr>
        <w:t> </w:t>
      </w:r>
      <w:r>
        <w:rPr/>
        <w:t>a</w:t>
      </w:r>
      <w:r>
        <w:rPr>
          <w:spacing w:val="-3"/>
        </w:rPr>
        <w:t> </w:t>
      </w:r>
      <w:r>
        <w:rPr/>
        <w:t>steep</w:t>
      </w:r>
      <w:r>
        <w:rPr>
          <w:spacing w:val="-3"/>
        </w:rPr>
        <w:t> </w:t>
      </w:r>
      <w:r>
        <w:rPr/>
        <w:t>discount. Despite these efforts to save the brand, the original corporate</w:t>
      </w:r>
      <w:r>
        <w:rPr>
          <w:spacing w:val="-3"/>
        </w:rPr>
        <w:t> </w:t>
      </w:r>
      <w:r>
        <w:rPr/>
        <w:t>entity</w:t>
      </w:r>
      <w:r>
        <w:rPr>
          <w:spacing w:val="-3"/>
        </w:rPr>
        <w:t> </w:t>
      </w:r>
      <w:r>
        <w:rPr/>
        <w:t>remains</w:t>
      </w:r>
      <w:r>
        <w:rPr>
          <w:spacing w:val="-3"/>
        </w:rPr>
        <w:t> </w:t>
      </w:r>
      <w:r>
        <w:rPr/>
        <w:t>a</w:t>
      </w:r>
      <w:r>
        <w:rPr>
          <w:spacing w:val="-3"/>
        </w:rPr>
        <w:t> </w:t>
      </w:r>
      <w:r>
        <w:rPr/>
        <w:t>cautionary</w:t>
      </w:r>
      <w:r>
        <w:rPr>
          <w:spacing w:val="-3"/>
        </w:rPr>
        <w:t> </w:t>
      </w:r>
      <w:r>
        <w:rPr/>
        <w:t>tale</w:t>
      </w:r>
      <w:r>
        <w:rPr>
          <w:spacing w:val="-3"/>
        </w:rPr>
        <w:t> </w:t>
      </w:r>
      <w:r>
        <w:rPr/>
        <w:t>of</w:t>
      </w:r>
      <w:r>
        <w:rPr>
          <w:spacing w:val="-3"/>
        </w:rPr>
        <w:t> </w:t>
      </w:r>
      <w:r>
        <w:rPr/>
        <w:t>a legacy giant unable to recover from its storied past and keep up with modern financial and operational requirements.</w:t>
      </w:r>
    </w:p>
    <w:p>
      <w:pPr>
        <w:pStyle w:val="BodyText"/>
        <w:spacing w:line="230" w:lineRule="auto" w:before="159"/>
        <w:ind w:left="731" w:right="1315" w:hanging="15"/>
        <w:jc w:val="both"/>
      </w:pPr>
      <w:r>
        <w:rPr/>
        <w:t>A teaching case on Tupperware Brands offers a learning opportunity focusing on internal</w:t>
      </w:r>
      <w:r>
        <w:rPr>
          <w:spacing w:val="-3"/>
        </w:rPr>
        <w:t> </w:t>
      </w:r>
      <w:r>
        <w:rPr/>
        <w:t>control environments and the risks associated with decentralized global operations. Key </w:t>
      </w:r>
      <w:r>
        <w:rPr/>
        <w:t>takeaways </w:t>
      </w:r>
      <w:r>
        <w:rPr>
          <w:spacing w:val="-2"/>
        </w:rPr>
        <w:t>include:</w:t>
      </w:r>
    </w:p>
    <w:p>
      <w:pPr>
        <w:pStyle w:val="ListParagraph"/>
        <w:numPr>
          <w:ilvl w:val="0"/>
          <w:numId w:val="3"/>
        </w:numPr>
        <w:tabs>
          <w:tab w:pos="1107" w:val="left" w:leader="none"/>
        </w:tabs>
        <w:spacing w:line="280" w:lineRule="auto" w:before="144" w:after="0"/>
        <w:ind w:left="986" w:right="1898" w:firstLine="0"/>
        <w:jc w:val="left"/>
        <w:rPr>
          <w:sz w:val="24"/>
        </w:rPr>
      </w:pPr>
      <w:r>
        <w:rPr>
          <w:sz w:val="24"/>
        </w:rPr>
        <w:t>Internal</w:t>
      </w:r>
      <w:r>
        <w:rPr>
          <w:spacing w:val="-4"/>
          <w:sz w:val="24"/>
        </w:rPr>
        <w:t> </w:t>
      </w:r>
      <w:r>
        <w:rPr>
          <w:sz w:val="24"/>
        </w:rPr>
        <w:t>Control</w:t>
      </w:r>
      <w:r>
        <w:rPr>
          <w:spacing w:val="-4"/>
          <w:sz w:val="24"/>
        </w:rPr>
        <w:t> </w:t>
      </w:r>
      <w:r>
        <w:rPr>
          <w:sz w:val="24"/>
        </w:rPr>
        <w:t>Oversight:</w:t>
      </w:r>
      <w:r>
        <w:rPr>
          <w:spacing w:val="-4"/>
          <w:sz w:val="24"/>
        </w:rPr>
        <w:t> </w:t>
      </w:r>
      <w:r>
        <w:rPr>
          <w:sz w:val="24"/>
        </w:rPr>
        <w:t>Examining</w:t>
      </w:r>
      <w:r>
        <w:rPr>
          <w:spacing w:val="-4"/>
          <w:sz w:val="24"/>
        </w:rPr>
        <w:t> </w:t>
      </w:r>
      <w:r>
        <w:rPr>
          <w:sz w:val="24"/>
        </w:rPr>
        <w:t>how</w:t>
      </w:r>
      <w:r>
        <w:rPr>
          <w:spacing w:val="-4"/>
          <w:sz w:val="24"/>
        </w:rPr>
        <w:t> </w:t>
      </w:r>
      <w:r>
        <w:rPr>
          <w:sz w:val="24"/>
        </w:rPr>
        <w:t>the</w:t>
      </w:r>
      <w:r>
        <w:rPr>
          <w:spacing w:val="-4"/>
          <w:sz w:val="24"/>
        </w:rPr>
        <w:t> </w:t>
      </w:r>
      <w:r>
        <w:rPr>
          <w:sz w:val="24"/>
        </w:rPr>
        <w:t>failure</w:t>
      </w:r>
      <w:r>
        <w:rPr>
          <w:spacing w:val="-4"/>
          <w:sz w:val="24"/>
        </w:rPr>
        <w:t> </w:t>
      </w:r>
      <w:r>
        <w:rPr>
          <w:sz w:val="24"/>
        </w:rPr>
        <w:t>to</w:t>
      </w:r>
      <w:r>
        <w:rPr>
          <w:spacing w:val="-4"/>
          <w:sz w:val="24"/>
        </w:rPr>
        <w:t> </w:t>
      </w:r>
      <w:r>
        <w:rPr>
          <w:sz w:val="24"/>
        </w:rPr>
        <w:t>integrate</w:t>
      </w:r>
      <w:r>
        <w:rPr>
          <w:spacing w:val="-4"/>
          <w:sz w:val="24"/>
        </w:rPr>
        <w:t> </w:t>
      </w:r>
      <w:r>
        <w:rPr>
          <w:sz w:val="24"/>
        </w:rPr>
        <w:t>acquired</w:t>
      </w:r>
      <w:r>
        <w:rPr>
          <w:spacing w:val="-4"/>
          <w:sz w:val="24"/>
        </w:rPr>
        <w:t> </w:t>
      </w:r>
      <w:r>
        <w:rPr>
          <w:sz w:val="24"/>
        </w:rPr>
        <w:t>units</w:t>
      </w:r>
      <w:r>
        <w:rPr>
          <w:spacing w:val="-4"/>
          <w:sz w:val="24"/>
        </w:rPr>
        <w:t> </w:t>
      </w:r>
      <w:r>
        <w:rPr>
          <w:sz w:val="24"/>
        </w:rPr>
        <w:t>(Fuller Mexico) can lead to serious financial misstatements.</w:t>
      </w:r>
    </w:p>
    <w:p>
      <w:pPr>
        <w:pStyle w:val="ListParagraph"/>
        <w:numPr>
          <w:ilvl w:val="0"/>
          <w:numId w:val="3"/>
        </w:numPr>
        <w:tabs>
          <w:tab w:pos="1107" w:val="left" w:leader="none"/>
        </w:tabs>
        <w:spacing w:line="280" w:lineRule="auto" w:before="96" w:after="0"/>
        <w:ind w:left="986" w:right="1543" w:firstLine="0"/>
        <w:jc w:val="left"/>
        <w:rPr>
          <w:sz w:val="24"/>
        </w:rPr>
      </w:pPr>
      <w:r>
        <w:rPr>
          <w:sz w:val="24"/>
        </w:rPr>
        <w:t>Auditor-Client</w:t>
      </w:r>
      <w:r>
        <w:rPr>
          <w:spacing w:val="-4"/>
          <w:sz w:val="24"/>
        </w:rPr>
        <w:t> </w:t>
      </w:r>
      <w:r>
        <w:rPr>
          <w:sz w:val="24"/>
        </w:rPr>
        <w:t>Dynamics:</w:t>
      </w:r>
      <w:r>
        <w:rPr>
          <w:spacing w:val="-4"/>
          <w:sz w:val="24"/>
        </w:rPr>
        <w:t> </w:t>
      </w:r>
      <w:r>
        <w:rPr>
          <w:sz w:val="24"/>
        </w:rPr>
        <w:t>Analyzing</w:t>
      </w:r>
      <w:r>
        <w:rPr>
          <w:spacing w:val="-4"/>
          <w:sz w:val="24"/>
        </w:rPr>
        <w:t> </w:t>
      </w:r>
      <w:r>
        <w:rPr>
          <w:sz w:val="24"/>
        </w:rPr>
        <w:t>the</w:t>
      </w:r>
      <w:r>
        <w:rPr>
          <w:spacing w:val="-4"/>
          <w:sz w:val="24"/>
        </w:rPr>
        <w:t> </w:t>
      </w:r>
      <w:r>
        <w:rPr>
          <w:sz w:val="24"/>
        </w:rPr>
        <w:t>impact</w:t>
      </w:r>
      <w:r>
        <w:rPr>
          <w:spacing w:val="-4"/>
          <w:sz w:val="24"/>
        </w:rPr>
        <w:t> </w:t>
      </w:r>
      <w:r>
        <w:rPr>
          <w:sz w:val="24"/>
        </w:rPr>
        <w:t>of</w:t>
      </w:r>
      <w:r>
        <w:rPr>
          <w:spacing w:val="-4"/>
          <w:sz w:val="24"/>
        </w:rPr>
        <w:t> </w:t>
      </w:r>
      <w:r>
        <w:rPr>
          <w:sz w:val="24"/>
        </w:rPr>
        <w:t>auditor</w:t>
      </w:r>
      <w:r>
        <w:rPr>
          <w:spacing w:val="-4"/>
          <w:sz w:val="24"/>
        </w:rPr>
        <w:t> </w:t>
      </w:r>
      <w:r>
        <w:rPr>
          <w:sz w:val="24"/>
        </w:rPr>
        <w:t>intervention</w:t>
      </w:r>
      <w:r>
        <w:rPr>
          <w:spacing w:val="-4"/>
          <w:sz w:val="24"/>
        </w:rPr>
        <w:t> </w:t>
      </w:r>
      <w:r>
        <w:rPr>
          <w:sz w:val="24"/>
        </w:rPr>
        <w:t>and</w:t>
      </w:r>
      <w:r>
        <w:rPr>
          <w:spacing w:val="-4"/>
          <w:sz w:val="24"/>
        </w:rPr>
        <w:t> </w:t>
      </w:r>
      <w:r>
        <w:rPr>
          <w:sz w:val="24"/>
        </w:rPr>
        <w:t>turnover</w:t>
      </w:r>
      <w:r>
        <w:rPr>
          <w:spacing w:val="-4"/>
          <w:sz w:val="24"/>
        </w:rPr>
        <w:t> </w:t>
      </w:r>
      <w:r>
        <w:rPr>
          <w:sz w:val="24"/>
        </w:rPr>
        <w:t>as</w:t>
      </w:r>
      <w:r>
        <w:rPr>
          <w:spacing w:val="-4"/>
          <w:sz w:val="24"/>
        </w:rPr>
        <w:t> </w:t>
      </w:r>
      <w:r>
        <w:rPr>
          <w:sz w:val="24"/>
        </w:rPr>
        <w:t>well as material weakness disclosures on investor confidence and market listing status.</w:t>
      </w:r>
    </w:p>
    <w:p>
      <w:pPr>
        <w:pStyle w:val="ListParagraph"/>
        <w:numPr>
          <w:ilvl w:val="0"/>
          <w:numId w:val="3"/>
        </w:numPr>
        <w:tabs>
          <w:tab w:pos="1107" w:val="left" w:leader="none"/>
        </w:tabs>
        <w:spacing w:line="280" w:lineRule="auto" w:before="174" w:after="0"/>
        <w:ind w:left="986" w:right="1594" w:firstLine="0"/>
        <w:jc w:val="left"/>
        <w:rPr>
          <w:sz w:val="24"/>
        </w:rPr>
      </w:pPr>
      <w:r>
        <w:rPr>
          <w:sz w:val="24"/>
        </w:rPr>
        <w:t>Operational vs. Financial Failure: Understanding how outdated business models (direct selling)</w:t>
      </w:r>
      <w:r>
        <w:rPr>
          <w:spacing w:val="-4"/>
          <w:sz w:val="24"/>
        </w:rPr>
        <w:t> </w:t>
      </w:r>
      <w:r>
        <w:rPr>
          <w:sz w:val="24"/>
        </w:rPr>
        <w:t>exacerbate</w:t>
      </w:r>
      <w:r>
        <w:rPr>
          <w:spacing w:val="-4"/>
          <w:sz w:val="24"/>
        </w:rPr>
        <w:t> </w:t>
      </w:r>
      <w:r>
        <w:rPr>
          <w:sz w:val="24"/>
        </w:rPr>
        <w:t>accounting</w:t>
      </w:r>
      <w:r>
        <w:rPr>
          <w:spacing w:val="-4"/>
          <w:sz w:val="24"/>
        </w:rPr>
        <w:t> </w:t>
      </w:r>
      <w:r>
        <w:rPr>
          <w:sz w:val="24"/>
        </w:rPr>
        <w:t>strains,</w:t>
      </w:r>
      <w:r>
        <w:rPr>
          <w:spacing w:val="-4"/>
          <w:sz w:val="24"/>
        </w:rPr>
        <w:t> </w:t>
      </w:r>
      <w:r>
        <w:rPr>
          <w:sz w:val="24"/>
        </w:rPr>
        <w:t>particularly</w:t>
      </w:r>
      <w:r>
        <w:rPr>
          <w:spacing w:val="-4"/>
          <w:sz w:val="24"/>
        </w:rPr>
        <w:t> </w:t>
      </w:r>
      <w:r>
        <w:rPr>
          <w:sz w:val="24"/>
        </w:rPr>
        <w:t>during</w:t>
      </w:r>
      <w:r>
        <w:rPr>
          <w:spacing w:val="-4"/>
          <w:sz w:val="24"/>
        </w:rPr>
        <w:t> </w:t>
      </w:r>
      <w:r>
        <w:rPr>
          <w:sz w:val="24"/>
        </w:rPr>
        <w:t>periods</w:t>
      </w:r>
      <w:r>
        <w:rPr>
          <w:spacing w:val="-4"/>
          <w:sz w:val="24"/>
        </w:rPr>
        <w:t> </w:t>
      </w:r>
      <w:r>
        <w:rPr>
          <w:sz w:val="24"/>
        </w:rPr>
        <w:t>of</w:t>
      </w:r>
      <w:r>
        <w:rPr>
          <w:spacing w:val="-4"/>
          <w:sz w:val="24"/>
        </w:rPr>
        <w:t> </w:t>
      </w:r>
      <w:r>
        <w:rPr>
          <w:sz w:val="24"/>
        </w:rPr>
        <w:t>high</w:t>
      </w:r>
      <w:r>
        <w:rPr>
          <w:spacing w:val="-4"/>
          <w:sz w:val="24"/>
        </w:rPr>
        <w:t> </w:t>
      </w:r>
      <w:r>
        <w:rPr>
          <w:sz w:val="24"/>
        </w:rPr>
        <w:t>going</w:t>
      </w:r>
      <w:r>
        <w:rPr>
          <w:spacing w:val="-4"/>
          <w:sz w:val="24"/>
        </w:rPr>
        <w:t> </w:t>
      </w:r>
      <w:r>
        <w:rPr>
          <w:sz w:val="24"/>
        </w:rPr>
        <w:t>concern</w:t>
      </w:r>
      <w:r>
        <w:rPr>
          <w:spacing w:val="-4"/>
          <w:sz w:val="24"/>
        </w:rPr>
        <w:t> </w:t>
      </w:r>
      <w:r>
        <w:rPr>
          <w:sz w:val="24"/>
        </w:rPr>
        <w:t>risk.</w:t>
      </w:r>
    </w:p>
    <w:p>
      <w:pPr>
        <w:pStyle w:val="BodyText"/>
        <w:spacing w:line="230" w:lineRule="auto" w:before="128"/>
        <w:ind w:left="716" w:right="1381" w:firstLine="15"/>
      </w:pPr>
      <w:r>
        <w:rPr/>
        <w:t>This</w:t>
      </w:r>
      <w:r>
        <w:rPr>
          <w:spacing w:val="40"/>
        </w:rPr>
        <w:t> </w:t>
      </w:r>
      <w:r>
        <w:rPr/>
        <w:t>case,</w:t>
      </w:r>
      <w:r>
        <w:rPr>
          <w:spacing w:val="40"/>
        </w:rPr>
        <w:t> </w:t>
      </w:r>
      <w:r>
        <w:rPr/>
        <w:t>intended</w:t>
      </w:r>
      <w:r>
        <w:rPr>
          <w:spacing w:val="40"/>
        </w:rPr>
        <w:t> </w:t>
      </w:r>
      <w:r>
        <w:rPr/>
        <w:t>for</w:t>
      </w:r>
      <w:r>
        <w:rPr>
          <w:spacing w:val="40"/>
        </w:rPr>
        <w:t> </w:t>
      </w:r>
      <w:r>
        <w:rPr/>
        <w:t>use</w:t>
      </w:r>
      <w:r>
        <w:rPr>
          <w:spacing w:val="40"/>
        </w:rPr>
        <w:t> </w:t>
      </w:r>
      <w:r>
        <w:rPr/>
        <w:t>in</w:t>
      </w:r>
      <w:r>
        <w:rPr>
          <w:spacing w:val="27"/>
        </w:rPr>
        <w:t> </w:t>
      </w:r>
      <w:r>
        <w:rPr/>
        <w:t>collegiate</w:t>
      </w:r>
      <w:r>
        <w:rPr>
          <w:spacing w:val="27"/>
        </w:rPr>
        <w:t> </w:t>
      </w:r>
      <w:r>
        <w:rPr/>
        <w:t>accounting</w:t>
      </w:r>
      <w:r>
        <w:rPr>
          <w:spacing w:val="27"/>
        </w:rPr>
        <w:t> </w:t>
      </w:r>
      <w:r>
        <w:rPr/>
        <w:t>and</w:t>
      </w:r>
      <w:r>
        <w:rPr>
          <w:spacing w:val="27"/>
        </w:rPr>
        <w:t> </w:t>
      </w:r>
      <w:r>
        <w:rPr/>
        <w:t>auditing</w:t>
      </w:r>
      <w:r>
        <w:rPr>
          <w:spacing w:val="27"/>
        </w:rPr>
        <w:t> </w:t>
      </w:r>
      <w:r>
        <w:rPr/>
        <w:t>courses,</w:t>
      </w:r>
      <w:r>
        <w:rPr>
          <w:spacing w:val="27"/>
        </w:rPr>
        <w:t> </w:t>
      </w:r>
      <w:r>
        <w:rPr/>
        <w:t>requires</w:t>
      </w:r>
      <w:r>
        <w:rPr>
          <w:spacing w:val="27"/>
        </w:rPr>
        <w:t> </w:t>
      </w:r>
      <w:r>
        <w:rPr/>
        <w:t>students</w:t>
      </w:r>
      <w:r>
        <w:rPr>
          <w:spacing w:val="27"/>
        </w:rPr>
        <w:t> </w:t>
      </w:r>
      <w:r>
        <w:rPr/>
        <w:t>to discuss questions regarding the internal control environment, revenue</w:t>
      </w:r>
      <w:r>
        <w:rPr>
          <w:spacing w:val="-4"/>
        </w:rPr>
        <w:t> </w:t>
      </w:r>
      <w:r>
        <w:rPr/>
        <w:t>recognition,</w:t>
      </w:r>
      <w:r>
        <w:rPr>
          <w:spacing w:val="-4"/>
        </w:rPr>
        <w:t> </w:t>
      </w:r>
      <w:r>
        <w:rPr/>
        <w:t>going</w:t>
      </w:r>
      <w:r>
        <w:rPr>
          <w:spacing w:val="-4"/>
        </w:rPr>
        <w:t> </w:t>
      </w:r>
      <w:r>
        <w:rPr/>
        <w:t>concern and liquidity, bankruptcy strategy, and the role of the auditor. The subject of the case is</w:t>
      </w:r>
      <w:r>
        <w:rPr>
          <w:spacing w:val="-4"/>
        </w:rPr>
        <w:t> </w:t>
      </w:r>
      <w:r>
        <w:rPr/>
        <w:t>likely</w:t>
      </w:r>
      <w:r>
        <w:rPr>
          <w:spacing w:val="-4"/>
        </w:rPr>
        <w:t> </w:t>
      </w:r>
      <w:r>
        <w:rPr/>
        <w:t>to be interesting to students as a study on a “retro” company that they’ve heard of in their youth, learning about the name brand that became a generic representation of a product that many students</w:t>
      </w:r>
      <w:r>
        <w:rPr>
          <w:spacing w:val="40"/>
        </w:rPr>
        <w:t> </w:t>
      </w:r>
      <w:r>
        <w:rPr/>
        <w:t>use daily.</w:t>
      </w:r>
    </w:p>
    <w:p>
      <w:pPr>
        <w:pStyle w:val="BodyText"/>
        <w:spacing w:after="0" w:line="230" w:lineRule="auto"/>
        <w:sectPr>
          <w:pgSz w:w="12240" w:h="15840"/>
          <w:pgMar w:header="0" w:footer="707" w:top="640" w:bottom="960" w:left="720" w:right="0"/>
        </w:sectPr>
      </w:pPr>
    </w:p>
    <w:p>
      <w:pPr>
        <w:pStyle w:val="Heading3"/>
        <w:spacing w:line="247" w:lineRule="auto"/>
        <w:ind w:left="4150" w:right="1619" w:hanging="3280"/>
        <w:jc w:val="left"/>
      </w:pPr>
      <w:bookmarkStart w:name="From Workslop to Wisdom: Challenges and " w:id="44"/>
      <w:bookmarkEnd w:id="44"/>
      <w:r>
        <w:rPr>
          <w:b w:val="0"/>
        </w:rPr>
      </w:r>
      <w:r>
        <w:rPr/>
        <w:t>From</w:t>
      </w:r>
      <w:r>
        <w:rPr>
          <w:spacing w:val="-7"/>
        </w:rPr>
        <w:t> </w:t>
      </w:r>
      <w:r>
        <w:rPr/>
        <w:t>Workslop</w:t>
      </w:r>
      <w:r>
        <w:rPr>
          <w:spacing w:val="-7"/>
        </w:rPr>
        <w:t> </w:t>
      </w:r>
      <w:r>
        <w:rPr/>
        <w:t>to</w:t>
      </w:r>
      <w:r>
        <w:rPr>
          <w:spacing w:val="-7"/>
        </w:rPr>
        <w:t> </w:t>
      </w:r>
      <w:r>
        <w:rPr/>
        <w:t>Wisdom:</w:t>
      </w:r>
      <w:r>
        <w:rPr>
          <w:spacing w:val="-7"/>
        </w:rPr>
        <w:t> </w:t>
      </w:r>
      <w:r>
        <w:rPr/>
        <w:t>Challenges</w:t>
      </w:r>
      <w:r>
        <w:rPr>
          <w:spacing w:val="-7"/>
        </w:rPr>
        <w:t> </w:t>
      </w:r>
      <w:r>
        <w:rPr/>
        <w:t>and</w:t>
      </w:r>
      <w:r>
        <w:rPr>
          <w:spacing w:val="-7"/>
        </w:rPr>
        <w:t> </w:t>
      </w:r>
      <w:r>
        <w:rPr/>
        <w:t>Benefits</w:t>
      </w:r>
      <w:r>
        <w:rPr>
          <w:spacing w:val="-7"/>
        </w:rPr>
        <w:t> </w:t>
      </w:r>
      <w:r>
        <w:rPr/>
        <w:t>of</w:t>
      </w:r>
      <w:r>
        <w:rPr>
          <w:spacing w:val="-7"/>
        </w:rPr>
        <w:t> </w:t>
      </w:r>
      <w:r>
        <w:rPr/>
        <w:t>AI</w:t>
      </w:r>
      <w:r>
        <w:rPr>
          <w:spacing w:val="-7"/>
        </w:rPr>
        <w:t> </w:t>
      </w:r>
      <w:r>
        <w:rPr/>
        <w:t>for</w:t>
      </w:r>
      <w:r>
        <w:rPr>
          <w:spacing w:val="-7"/>
        </w:rPr>
        <w:t> </w:t>
      </w:r>
      <w:r>
        <w:rPr/>
        <w:t>Enterprise </w:t>
      </w:r>
      <w:bookmarkStart w:name="h.klf83uyj66en" w:id="45"/>
      <w:bookmarkEnd w:id="45"/>
      <w:r>
        <w:rPr/>
        <w:t>R</w:t>
      </w:r>
      <w:r>
        <w:rPr/>
        <w:t>isk Management</w:t>
      </w:r>
    </w:p>
    <w:p>
      <w:pPr>
        <w:pStyle w:val="BodyText"/>
        <w:spacing w:before="294"/>
        <w:ind w:left="4046" w:right="4765"/>
        <w:jc w:val="center"/>
      </w:pPr>
      <w:r>
        <w:rPr/>
        <w:t>Zachary A. Collier Department</w:t>
      </w:r>
      <w:r>
        <w:rPr>
          <w:spacing w:val="-15"/>
        </w:rPr>
        <w:t> </w:t>
      </w:r>
      <w:r>
        <w:rPr/>
        <w:t>of</w:t>
      </w:r>
      <w:r>
        <w:rPr>
          <w:spacing w:val="-15"/>
        </w:rPr>
        <w:t> </w:t>
      </w:r>
      <w:r>
        <w:rPr/>
        <w:t>Management</w:t>
      </w:r>
    </w:p>
    <w:p>
      <w:pPr>
        <w:pStyle w:val="BodyText"/>
        <w:ind w:left="3371" w:right="4073"/>
        <w:jc w:val="center"/>
      </w:pPr>
      <w:r>
        <w:rPr/>
        <w:t>Davis</w:t>
      </w:r>
      <w:r>
        <w:rPr>
          <w:spacing w:val="-8"/>
        </w:rPr>
        <w:t> </w:t>
      </w:r>
      <w:r>
        <w:rPr/>
        <w:t>College</w:t>
      </w:r>
      <w:r>
        <w:rPr>
          <w:spacing w:val="-8"/>
        </w:rPr>
        <w:t> </w:t>
      </w:r>
      <w:r>
        <w:rPr/>
        <w:t>of</w:t>
      </w:r>
      <w:r>
        <w:rPr>
          <w:spacing w:val="-8"/>
        </w:rPr>
        <w:t> </w:t>
      </w:r>
      <w:r>
        <w:rPr/>
        <w:t>Business</w:t>
      </w:r>
      <w:r>
        <w:rPr>
          <w:spacing w:val="-8"/>
        </w:rPr>
        <w:t> </w:t>
      </w:r>
      <w:r>
        <w:rPr/>
        <w:t>and</w:t>
      </w:r>
      <w:r>
        <w:rPr>
          <w:spacing w:val="-8"/>
        </w:rPr>
        <w:t> </w:t>
      </w:r>
      <w:r>
        <w:rPr/>
        <w:t>Economics Radford University</w:t>
      </w:r>
    </w:p>
    <w:p>
      <w:pPr>
        <w:pStyle w:val="BodyText"/>
        <w:ind w:right="722"/>
        <w:jc w:val="center"/>
      </w:pPr>
      <w:r>
        <w:rPr/>
        <w:t>701</w:t>
      </w:r>
      <w:r>
        <w:rPr>
          <w:spacing w:val="-9"/>
        </w:rPr>
        <w:t> </w:t>
      </w:r>
      <w:r>
        <w:rPr/>
        <w:t>Tyler</w:t>
      </w:r>
      <w:r>
        <w:rPr>
          <w:spacing w:val="-8"/>
        </w:rPr>
        <w:t> </w:t>
      </w:r>
      <w:r>
        <w:rPr>
          <w:spacing w:val="-2"/>
        </w:rPr>
        <w:t>Avenue</w:t>
      </w:r>
    </w:p>
    <w:p>
      <w:pPr>
        <w:pStyle w:val="BodyText"/>
        <w:ind w:left="3896" w:right="4596" w:hanging="35"/>
        <w:jc w:val="center"/>
      </w:pPr>
      <w:r>
        <w:rPr/>
        <w:t>Radford, VA 24142 </w:t>
      </w:r>
      <w:hyperlink r:id="rId53">
        <w:r>
          <w:rPr>
            <w:spacing w:val="-2"/>
          </w:rPr>
          <w:t>zcollier@radford.edu</w:t>
        </w:r>
      </w:hyperlink>
      <w:r>
        <w:rPr>
          <w:spacing w:val="-2"/>
        </w:rPr>
        <w:t> </w:t>
      </w:r>
      <w:r>
        <w:rPr/>
        <w:t>540.831.6732</w:t>
      </w:r>
      <w:r>
        <w:rPr>
          <w:spacing w:val="-15"/>
        </w:rPr>
        <w:t> </w:t>
      </w:r>
      <w:r>
        <w:rPr/>
        <w:t>(Contact</w:t>
      </w:r>
      <w:r>
        <w:rPr>
          <w:spacing w:val="-15"/>
        </w:rPr>
        <w:t> </w:t>
      </w:r>
      <w:r>
        <w:rPr/>
        <w:t>Author)</w:t>
      </w:r>
    </w:p>
    <w:p>
      <w:pPr>
        <w:pStyle w:val="BodyText"/>
        <w:spacing w:before="272"/>
        <w:ind w:left="4046" w:right="4765" w:firstLine="10"/>
        <w:jc w:val="center"/>
      </w:pPr>
      <w:r>
        <w:rPr/>
        <w:t>Dale A. Henderson Department</w:t>
      </w:r>
      <w:r>
        <w:rPr>
          <w:spacing w:val="-15"/>
        </w:rPr>
        <w:t> </w:t>
      </w:r>
      <w:r>
        <w:rPr/>
        <w:t>of</w:t>
      </w:r>
      <w:r>
        <w:rPr>
          <w:spacing w:val="-15"/>
        </w:rPr>
        <w:t> </w:t>
      </w:r>
      <w:r>
        <w:rPr/>
        <w:t>Management</w:t>
      </w:r>
    </w:p>
    <w:p>
      <w:pPr>
        <w:pStyle w:val="BodyText"/>
        <w:ind w:left="3371" w:right="4073"/>
        <w:jc w:val="center"/>
      </w:pPr>
      <w:r>
        <w:rPr/>
        <w:t>Davis</w:t>
      </w:r>
      <w:r>
        <w:rPr>
          <w:spacing w:val="-8"/>
        </w:rPr>
        <w:t> </w:t>
      </w:r>
      <w:r>
        <w:rPr/>
        <w:t>College</w:t>
      </w:r>
      <w:r>
        <w:rPr>
          <w:spacing w:val="-8"/>
        </w:rPr>
        <w:t> </w:t>
      </w:r>
      <w:r>
        <w:rPr/>
        <w:t>of</w:t>
      </w:r>
      <w:r>
        <w:rPr>
          <w:spacing w:val="-8"/>
        </w:rPr>
        <w:t> </w:t>
      </w:r>
      <w:r>
        <w:rPr/>
        <w:t>Business</w:t>
      </w:r>
      <w:r>
        <w:rPr>
          <w:spacing w:val="-8"/>
        </w:rPr>
        <w:t> </w:t>
      </w:r>
      <w:r>
        <w:rPr/>
        <w:t>and</w:t>
      </w:r>
      <w:r>
        <w:rPr>
          <w:spacing w:val="-8"/>
        </w:rPr>
        <w:t> </w:t>
      </w:r>
      <w:r>
        <w:rPr/>
        <w:t>Economics Radford University</w:t>
      </w:r>
    </w:p>
    <w:p>
      <w:pPr>
        <w:pStyle w:val="BodyText"/>
        <w:ind w:right="722"/>
        <w:jc w:val="center"/>
      </w:pPr>
      <w:r>
        <w:rPr/>
        <w:t>701</w:t>
      </w:r>
      <w:r>
        <w:rPr>
          <w:spacing w:val="-9"/>
        </w:rPr>
        <w:t> </w:t>
      </w:r>
      <w:r>
        <w:rPr/>
        <w:t>Tyler</w:t>
      </w:r>
      <w:r>
        <w:rPr>
          <w:spacing w:val="-8"/>
        </w:rPr>
        <w:t> </w:t>
      </w:r>
      <w:r>
        <w:rPr>
          <w:spacing w:val="-2"/>
        </w:rPr>
        <w:t>Avenue</w:t>
      </w:r>
    </w:p>
    <w:p>
      <w:pPr>
        <w:pStyle w:val="BodyText"/>
        <w:ind w:left="4301" w:right="5002" w:hanging="32"/>
        <w:jc w:val="center"/>
      </w:pPr>
      <w:r>
        <w:rPr/>
        <w:t>Radford, VA 24142 </w:t>
      </w:r>
      <w:hyperlink r:id="rId54">
        <w:r>
          <w:rPr>
            <w:spacing w:val="-2"/>
          </w:rPr>
          <w:t>dahender@radford.edu</w:t>
        </w:r>
      </w:hyperlink>
      <w:r>
        <w:rPr>
          <w:spacing w:val="-2"/>
        </w:rPr>
        <w:t> 540.831.6954</w:t>
      </w:r>
    </w:p>
    <w:p>
      <w:pPr>
        <w:pStyle w:val="BodyText"/>
      </w:pPr>
    </w:p>
    <w:p>
      <w:pPr>
        <w:pStyle w:val="BodyText"/>
        <w:ind w:left="716"/>
      </w:pPr>
      <w:r>
        <w:rPr/>
        <w:t>Key words (3-5): AI, enterprise risk management, innovation, cost-</w:t>
      </w:r>
      <w:r>
        <w:rPr>
          <w:spacing w:val="-2"/>
        </w:rPr>
        <w:t>benefit</w:t>
      </w:r>
    </w:p>
    <w:p>
      <w:pPr>
        <w:pStyle w:val="BodyText"/>
      </w:pPr>
    </w:p>
    <w:p>
      <w:pPr>
        <w:pStyle w:val="Heading4"/>
        <w:ind w:left="731"/>
      </w:pPr>
      <w:r>
        <w:rPr>
          <w:spacing w:val="-2"/>
        </w:rPr>
        <w:t>Introduction</w:t>
      </w:r>
    </w:p>
    <w:p>
      <w:pPr>
        <w:pStyle w:val="BodyText"/>
        <w:spacing w:before="236"/>
        <w:ind w:left="716" w:right="1378"/>
        <w:jc w:val="both"/>
      </w:pPr>
      <w:r>
        <w:rPr/>
        <w:t>Business adoption of generative artificial intelligence (gen-AI) is growing at an extraordinary pace.</w:t>
      </w:r>
      <w:r>
        <w:rPr>
          <w:spacing w:val="40"/>
        </w:rPr>
        <w:t> </w:t>
      </w:r>
      <w:r>
        <w:rPr/>
        <w:t>The enormous adoption of, and investment</w:t>
      </w:r>
      <w:r>
        <w:rPr>
          <w:spacing w:val="-3"/>
        </w:rPr>
        <w:t> </w:t>
      </w:r>
      <w:r>
        <w:rPr/>
        <w:t>in,</w:t>
      </w:r>
      <w:r>
        <w:rPr>
          <w:spacing w:val="-3"/>
        </w:rPr>
        <w:t> </w:t>
      </w:r>
      <w:r>
        <w:rPr/>
        <w:t>gen-AI</w:t>
      </w:r>
      <w:r>
        <w:rPr>
          <w:spacing w:val="-3"/>
        </w:rPr>
        <w:t> </w:t>
      </w:r>
      <w:r>
        <w:rPr/>
        <w:t>technology</w:t>
      </w:r>
      <w:r>
        <w:rPr>
          <w:spacing w:val="-3"/>
        </w:rPr>
        <w:t> </w:t>
      </w:r>
      <w:r>
        <w:rPr/>
        <w:t>is</w:t>
      </w:r>
      <w:r>
        <w:rPr>
          <w:spacing w:val="-3"/>
        </w:rPr>
        <w:t> </w:t>
      </w:r>
      <w:r>
        <w:rPr/>
        <w:t>driven</w:t>
      </w:r>
      <w:r>
        <w:rPr>
          <w:spacing w:val="-3"/>
        </w:rPr>
        <w:t> </w:t>
      </w:r>
      <w:r>
        <w:rPr/>
        <w:t>by</w:t>
      </w:r>
      <w:r>
        <w:rPr>
          <w:spacing w:val="-3"/>
        </w:rPr>
        <w:t> </w:t>
      </w:r>
      <w:r>
        <w:rPr/>
        <w:t>the</w:t>
      </w:r>
      <w:r>
        <w:rPr>
          <w:spacing w:val="-3"/>
        </w:rPr>
        <w:t> </w:t>
      </w:r>
      <w:r>
        <w:rPr/>
        <w:t>multiple perceived benefits that it can bring to an organization. Gen-AI is characterized by its ability to perform well on creative, analytical, and writing tasks (Dell’Acqua et al., 2023) and can be particularly helpful for tasks involving divergent thinking (Hubert et al., 2024). Gen-AI</w:t>
      </w:r>
      <w:r>
        <w:rPr>
          <w:spacing w:val="-3"/>
        </w:rPr>
        <w:t> </w:t>
      </w:r>
      <w:r>
        <w:rPr/>
        <w:t>chatbots can also perform mundane and repetitive tasks, allowing humans to focus on tasks requiring higher-order thinking (Urbani et al., 2024). The ability to process and analyze vast quantities of data by “brute force” is an</w:t>
      </w:r>
      <w:r>
        <w:rPr>
          <w:spacing w:val="-2"/>
        </w:rPr>
        <w:t> </w:t>
      </w:r>
      <w:r>
        <w:rPr/>
        <w:t>area</w:t>
      </w:r>
      <w:r>
        <w:rPr>
          <w:spacing w:val="-2"/>
        </w:rPr>
        <w:t> </w:t>
      </w:r>
      <w:r>
        <w:rPr/>
        <w:t>where</w:t>
      </w:r>
      <w:r>
        <w:rPr>
          <w:spacing w:val="-2"/>
        </w:rPr>
        <w:t> </w:t>
      </w:r>
      <w:r>
        <w:rPr/>
        <w:t>AI</w:t>
      </w:r>
      <w:r>
        <w:rPr>
          <w:spacing w:val="-2"/>
        </w:rPr>
        <w:t> </w:t>
      </w:r>
      <w:r>
        <w:rPr/>
        <w:t>has</w:t>
      </w:r>
      <w:r>
        <w:rPr>
          <w:spacing w:val="-2"/>
        </w:rPr>
        <w:t> </w:t>
      </w:r>
      <w:r>
        <w:rPr/>
        <w:t>an</w:t>
      </w:r>
      <w:r>
        <w:rPr>
          <w:spacing w:val="-2"/>
        </w:rPr>
        <w:t> </w:t>
      </w:r>
      <w:r>
        <w:rPr/>
        <w:t>advantage</w:t>
      </w:r>
      <w:r>
        <w:rPr>
          <w:spacing w:val="-2"/>
        </w:rPr>
        <w:t> </w:t>
      </w:r>
      <w:r>
        <w:rPr/>
        <w:t>over</w:t>
      </w:r>
      <w:r>
        <w:rPr>
          <w:spacing w:val="-2"/>
        </w:rPr>
        <w:t> </w:t>
      </w:r>
      <w:r>
        <w:rPr/>
        <w:t>human</w:t>
      </w:r>
      <w:r>
        <w:rPr>
          <w:spacing w:val="-2"/>
        </w:rPr>
        <w:t> </w:t>
      </w:r>
      <w:r>
        <w:rPr/>
        <w:t>cognition</w:t>
      </w:r>
      <w:r>
        <w:rPr>
          <w:spacing w:val="-2"/>
        </w:rPr>
        <w:t> </w:t>
      </w:r>
      <w:r>
        <w:rPr/>
        <w:t>(Jarrahi,</w:t>
      </w:r>
      <w:r>
        <w:rPr>
          <w:spacing w:val="-2"/>
        </w:rPr>
        <w:t> </w:t>
      </w:r>
      <w:r>
        <w:rPr/>
        <w:t>2018). Additionally, their ability to be used 24 hours a day affords flexibility and improved customer service potential (Urbani et al., 2024). Organizations adopting gen-AI report experiencing both cost reductions as well as revenue increases, indicating that it is</w:t>
      </w:r>
      <w:r>
        <w:rPr>
          <w:spacing w:val="-3"/>
        </w:rPr>
        <w:t> </w:t>
      </w:r>
      <w:r>
        <w:rPr/>
        <w:t>creating</w:t>
      </w:r>
      <w:r>
        <w:rPr>
          <w:spacing w:val="-3"/>
        </w:rPr>
        <w:t> </w:t>
      </w:r>
      <w:r>
        <w:rPr/>
        <w:t>significant</w:t>
      </w:r>
      <w:r>
        <w:rPr>
          <w:spacing w:val="-3"/>
        </w:rPr>
        <w:t> </w:t>
      </w:r>
      <w:r>
        <w:rPr/>
        <w:t>value</w:t>
      </w:r>
      <w:r>
        <w:rPr>
          <w:spacing w:val="-3"/>
        </w:rPr>
        <w:t> </w:t>
      </w:r>
      <w:r>
        <w:rPr/>
        <w:t>within enterprises (Singla et al., 2024).</w:t>
      </w:r>
    </w:p>
    <w:p>
      <w:pPr>
        <w:pStyle w:val="BodyText"/>
        <w:spacing w:before="243"/>
        <w:ind w:left="731" w:right="1394" w:hanging="15"/>
      </w:pPr>
      <w:r>
        <w:rPr/>
        <w:t>Despite the benefits associated with gen-AI, many authors have identified corresponding risks. Inaccurate outputs, including ones that may be biased, are top risks identified by businesses (Singla et al., 2024; Urbani et al., 2024). An overreliance on AI in a domain in which it does not excel can</w:t>
      </w:r>
      <w:r>
        <w:rPr>
          <w:spacing w:val="80"/>
        </w:rPr>
        <w:t> </w:t>
      </w:r>
      <w:r>
        <w:rPr/>
        <w:t>cause a decrease in performance and job quality (Dell’Acqua et al., 2023). Protection of the data</w:t>
      </w:r>
      <w:r>
        <w:rPr>
          <w:spacing w:val="78"/>
        </w:rPr>
        <w:t> </w:t>
      </w:r>
      <w:r>
        <w:rPr/>
        <w:t>on which gen-AI is trained is also a concern, ranging from issues related to intellectual</w:t>
      </w:r>
      <w:r>
        <w:rPr>
          <w:spacing w:val="-1"/>
        </w:rPr>
        <w:t> </w:t>
      </w:r>
      <w:r>
        <w:rPr/>
        <w:t>property</w:t>
      </w:r>
      <w:r>
        <w:rPr>
          <w:spacing w:val="40"/>
        </w:rPr>
        <w:t> </w:t>
      </w:r>
      <w:r>
        <w:rPr/>
        <w:t>protection</w:t>
      </w:r>
      <w:r>
        <w:rPr>
          <w:spacing w:val="-1"/>
        </w:rPr>
        <w:t> </w:t>
      </w:r>
      <w:r>
        <w:rPr/>
        <w:t>and</w:t>
      </w:r>
      <w:r>
        <w:rPr>
          <w:spacing w:val="-1"/>
        </w:rPr>
        <w:t> </w:t>
      </w:r>
      <w:r>
        <w:rPr/>
        <w:t>privacy</w:t>
      </w:r>
      <w:r>
        <w:rPr>
          <w:spacing w:val="-1"/>
        </w:rPr>
        <w:t> </w:t>
      </w:r>
      <w:r>
        <w:rPr/>
        <w:t>rights</w:t>
      </w:r>
      <w:r>
        <w:rPr>
          <w:spacing w:val="-1"/>
        </w:rPr>
        <w:t> </w:t>
      </w:r>
      <w:r>
        <w:rPr/>
        <w:t>(Urbani</w:t>
      </w:r>
      <w:r>
        <w:rPr>
          <w:spacing w:val="-1"/>
        </w:rPr>
        <w:t> </w:t>
      </w:r>
      <w:r>
        <w:rPr/>
        <w:t>et</w:t>
      </w:r>
      <w:r>
        <w:rPr>
          <w:spacing w:val="-1"/>
        </w:rPr>
        <w:t> </w:t>
      </w:r>
      <w:r>
        <w:rPr/>
        <w:t>al.,</w:t>
      </w:r>
      <w:r>
        <w:rPr>
          <w:spacing w:val="-1"/>
        </w:rPr>
        <w:t> </w:t>
      </w:r>
      <w:r>
        <w:rPr/>
        <w:t>2024).</w:t>
      </w:r>
      <w:r>
        <w:rPr>
          <w:spacing w:val="-1"/>
        </w:rPr>
        <w:t> </w:t>
      </w:r>
      <w:r>
        <w:rPr/>
        <w:t>There</w:t>
      </w:r>
      <w:r>
        <w:rPr>
          <w:spacing w:val="-1"/>
        </w:rPr>
        <w:t> </w:t>
      </w:r>
      <w:r>
        <w:rPr/>
        <w:t>exist</w:t>
      </w:r>
      <w:r>
        <w:rPr>
          <w:spacing w:val="-1"/>
        </w:rPr>
        <w:t> </w:t>
      </w:r>
      <w:r>
        <w:rPr/>
        <w:t>cybersecurity concerns, such as data</w:t>
      </w:r>
      <w:r>
        <w:rPr>
          <w:spacing w:val="40"/>
        </w:rPr>
        <w:t> </w:t>
      </w:r>
      <w:r>
        <w:rPr/>
        <w:t>poisoning, extraction of training data, and injection of malicious prompts into</w:t>
      </w:r>
      <w:r>
        <w:rPr>
          <w:spacing w:val="-3"/>
        </w:rPr>
        <w:t> </w:t>
      </w:r>
      <w:r>
        <w:rPr/>
        <w:t>the</w:t>
      </w:r>
      <w:r>
        <w:rPr>
          <w:spacing w:val="-3"/>
        </w:rPr>
        <w:t> </w:t>
      </w:r>
      <w:r>
        <w:rPr/>
        <w:t>gen-AI</w:t>
      </w:r>
      <w:r>
        <w:rPr>
          <w:spacing w:val="-3"/>
        </w:rPr>
        <w:t> </w:t>
      </w:r>
      <w:r>
        <w:rPr/>
        <w:t>system</w:t>
      </w:r>
      <w:r>
        <w:rPr>
          <w:spacing w:val="40"/>
        </w:rPr>
        <w:t> </w:t>
      </w:r>
      <w:r>
        <w:rPr/>
        <w:t>(Humphreys</w:t>
      </w:r>
      <w:r>
        <w:rPr>
          <w:spacing w:val="-3"/>
        </w:rPr>
        <w:t> </w:t>
      </w:r>
      <w:r>
        <w:rPr/>
        <w:t>et</w:t>
      </w:r>
      <w:r>
        <w:rPr>
          <w:spacing w:val="-3"/>
        </w:rPr>
        <w:t> </w:t>
      </w:r>
      <w:r>
        <w:rPr/>
        <w:t>al.,</w:t>
      </w:r>
      <w:r>
        <w:rPr>
          <w:spacing w:val="-3"/>
        </w:rPr>
        <w:t> </w:t>
      </w:r>
      <w:r>
        <w:rPr/>
        <w:t>2024).</w:t>
      </w:r>
      <w:r>
        <w:rPr>
          <w:spacing w:val="-3"/>
        </w:rPr>
        <w:t> </w:t>
      </w:r>
      <w:r>
        <w:rPr/>
        <w:t>Furthermore,</w:t>
      </w:r>
      <w:r>
        <w:rPr>
          <w:spacing w:val="-3"/>
        </w:rPr>
        <w:t> </w:t>
      </w:r>
      <w:r>
        <w:rPr/>
        <w:t>practical</w:t>
      </w:r>
      <w:r>
        <w:rPr>
          <w:spacing w:val="-3"/>
        </w:rPr>
        <w:t> </w:t>
      </w:r>
      <w:r>
        <w:rPr/>
        <w:t>challenges</w:t>
      </w:r>
      <w:r>
        <w:rPr>
          <w:spacing w:val="-3"/>
        </w:rPr>
        <w:t> </w:t>
      </w:r>
      <w:r>
        <w:rPr/>
        <w:t>exist</w:t>
      </w:r>
      <w:r>
        <w:rPr>
          <w:spacing w:val="-3"/>
        </w:rPr>
        <w:t> </w:t>
      </w:r>
      <w:r>
        <w:rPr/>
        <w:t>in</w:t>
      </w:r>
      <w:r>
        <w:rPr>
          <w:spacing w:val="-3"/>
        </w:rPr>
        <w:t> </w:t>
      </w:r>
      <w:r>
        <w:rPr/>
        <w:t>terms of interoperability</w:t>
      </w:r>
      <w:r>
        <w:rPr>
          <w:spacing w:val="40"/>
        </w:rPr>
        <w:t> </w:t>
      </w:r>
      <w:r>
        <w:rPr/>
        <w:t>between gen-AI and existing technological infrastructure within the firm (Urbani et al., 2024).</w:t>
      </w:r>
      <w:r>
        <w:rPr>
          <w:spacing w:val="40"/>
        </w:rPr>
        <w:t> </w:t>
      </w:r>
      <w:r>
        <w:rPr/>
        <w:t>Wach et al. (2023) identified seven gen-AI risks, including the lack of AI regulation, lack of quality</w:t>
      </w:r>
      <w:r>
        <w:rPr>
          <w:spacing w:val="80"/>
        </w:rPr>
        <w:t> </w:t>
      </w:r>
      <w:r>
        <w:rPr/>
        <w:t>control related to content such as disinformation and deepfakes, loss</w:t>
      </w:r>
      <w:r>
        <w:rPr>
          <w:spacing w:val="40"/>
        </w:rPr>
        <w:t> </w:t>
      </w:r>
      <w:r>
        <w:rPr/>
        <w:t>of jobs due to automation,</w:t>
      </w:r>
      <w:r>
        <w:rPr>
          <w:spacing w:val="40"/>
        </w:rPr>
        <w:t> </w:t>
      </w:r>
      <w:r>
        <w:rPr/>
        <w:t>privacy risks, use of AI for social manipulation, the widening of</w:t>
      </w:r>
    </w:p>
    <w:p>
      <w:pPr>
        <w:pStyle w:val="BodyText"/>
        <w:ind w:left="731"/>
      </w:pPr>
      <w:r>
        <w:rPr/>
        <w:t>socio-economic</w:t>
      </w:r>
      <w:r>
        <w:rPr>
          <w:spacing w:val="-2"/>
        </w:rPr>
        <w:t> </w:t>
      </w:r>
      <w:r>
        <w:rPr/>
        <w:t>inequality,</w:t>
      </w:r>
      <w:r>
        <w:rPr>
          <w:spacing w:val="-1"/>
        </w:rPr>
        <w:t> </w:t>
      </w:r>
      <w:r>
        <w:rPr/>
        <w:t>and</w:t>
      </w:r>
      <w:r>
        <w:rPr>
          <w:spacing w:val="57"/>
        </w:rPr>
        <w:t> </w:t>
      </w:r>
      <w:r>
        <w:rPr/>
        <w:t>increased</w:t>
      </w:r>
      <w:r>
        <w:rPr>
          <w:spacing w:val="-2"/>
        </w:rPr>
        <w:t> </w:t>
      </w:r>
      <w:r>
        <w:rPr/>
        <w:t>“technostress”</w:t>
      </w:r>
      <w:r>
        <w:rPr>
          <w:spacing w:val="-1"/>
        </w:rPr>
        <w:t> </w:t>
      </w:r>
      <w:r>
        <w:rPr/>
        <w:t>causing</w:t>
      </w:r>
      <w:r>
        <w:rPr>
          <w:spacing w:val="-2"/>
        </w:rPr>
        <w:t> </w:t>
      </w:r>
      <w:r>
        <w:rPr/>
        <w:t>negative</w:t>
      </w:r>
      <w:r>
        <w:rPr>
          <w:spacing w:val="-1"/>
        </w:rPr>
        <w:t> </w:t>
      </w:r>
      <w:r>
        <w:rPr/>
        <w:t>impacts</w:t>
      </w:r>
      <w:r>
        <w:rPr>
          <w:spacing w:val="-2"/>
        </w:rPr>
        <w:t> </w:t>
      </w:r>
      <w:r>
        <w:rPr/>
        <w:t>in</w:t>
      </w:r>
      <w:r>
        <w:rPr>
          <w:spacing w:val="-1"/>
        </w:rPr>
        <w:t> </w:t>
      </w:r>
      <w:r>
        <w:rPr/>
        <w:t>users</w:t>
      </w:r>
      <w:r>
        <w:rPr>
          <w:spacing w:val="-1"/>
        </w:rPr>
        <w:t> </w:t>
      </w:r>
      <w:r>
        <w:rPr>
          <w:spacing w:val="-4"/>
        </w:rPr>
        <w:t>such</w:t>
      </w:r>
    </w:p>
    <w:p>
      <w:pPr>
        <w:pStyle w:val="BodyText"/>
        <w:spacing w:after="0"/>
        <w:sectPr>
          <w:pgSz w:w="12240" w:h="15840"/>
          <w:pgMar w:header="0" w:footer="707" w:top="640" w:bottom="920" w:left="720" w:right="0"/>
        </w:sectPr>
      </w:pPr>
    </w:p>
    <w:p>
      <w:pPr>
        <w:pStyle w:val="BodyText"/>
        <w:spacing w:before="60"/>
        <w:ind w:left="731" w:right="1877"/>
        <w:jc w:val="both"/>
      </w:pPr>
      <w:r>
        <w:rPr/>
        <w:t>as</w:t>
      </w:r>
      <w:r>
        <w:rPr>
          <w:spacing w:val="-4"/>
        </w:rPr>
        <w:t> </w:t>
      </w:r>
      <w:r>
        <w:rPr/>
        <w:t>anxiety,</w:t>
      </w:r>
      <w:r>
        <w:rPr>
          <w:spacing w:val="-4"/>
        </w:rPr>
        <w:t> </w:t>
      </w:r>
      <w:r>
        <w:rPr/>
        <w:t>stress,</w:t>
      </w:r>
      <w:r>
        <w:rPr>
          <w:spacing w:val="-4"/>
        </w:rPr>
        <w:t> </w:t>
      </w:r>
      <w:r>
        <w:rPr/>
        <w:t>and</w:t>
      </w:r>
      <w:r>
        <w:rPr>
          <w:spacing w:val="-4"/>
        </w:rPr>
        <w:t> </w:t>
      </w:r>
      <w:r>
        <w:rPr/>
        <w:t>burnout.</w:t>
      </w:r>
      <w:r>
        <w:rPr>
          <w:spacing w:val="40"/>
        </w:rPr>
        <w:t> </w:t>
      </w:r>
      <w:r>
        <w:rPr/>
        <w:t>Calagna</w:t>
      </w:r>
      <w:r>
        <w:rPr>
          <w:spacing w:val="-4"/>
        </w:rPr>
        <w:t> </w:t>
      </w:r>
      <w:r>
        <w:rPr/>
        <w:t>et</w:t>
      </w:r>
      <w:r>
        <w:rPr>
          <w:spacing w:val="-4"/>
        </w:rPr>
        <w:t> </w:t>
      </w:r>
      <w:r>
        <w:rPr/>
        <w:t>al.</w:t>
      </w:r>
      <w:r>
        <w:rPr>
          <w:spacing w:val="-4"/>
        </w:rPr>
        <w:t> </w:t>
      </w:r>
      <w:r>
        <w:rPr/>
        <w:t>(2021)</w:t>
      </w:r>
      <w:r>
        <w:rPr>
          <w:spacing w:val="-4"/>
        </w:rPr>
        <w:t> </w:t>
      </w:r>
      <w:r>
        <w:rPr/>
        <w:t>identified</w:t>
      </w:r>
      <w:r>
        <w:rPr>
          <w:spacing w:val="-4"/>
        </w:rPr>
        <w:t> </w:t>
      </w:r>
      <w:r>
        <w:rPr/>
        <w:t>five</w:t>
      </w:r>
      <w:r>
        <w:rPr>
          <w:spacing w:val="-4"/>
        </w:rPr>
        <w:t> </w:t>
      </w:r>
      <w:r>
        <w:rPr/>
        <w:t>risks:</w:t>
      </w:r>
      <w:r>
        <w:rPr>
          <w:spacing w:val="-4"/>
        </w:rPr>
        <w:t> </w:t>
      </w:r>
      <w:r>
        <w:rPr/>
        <w:t>bias</w:t>
      </w:r>
      <w:r>
        <w:rPr>
          <w:spacing w:val="-4"/>
        </w:rPr>
        <w:t> </w:t>
      </w:r>
      <w:r>
        <w:rPr/>
        <w:t>and</w:t>
      </w:r>
      <w:r>
        <w:rPr>
          <w:spacing w:val="-4"/>
        </w:rPr>
        <w:t> </w:t>
      </w:r>
      <w:r>
        <w:rPr/>
        <w:t>reliability issues,</w:t>
      </w:r>
      <w:r>
        <w:rPr>
          <w:spacing w:val="-4"/>
        </w:rPr>
        <w:t> </w:t>
      </w:r>
      <w:r>
        <w:rPr/>
        <w:t>difficulties</w:t>
      </w:r>
      <w:r>
        <w:rPr>
          <w:spacing w:val="-4"/>
        </w:rPr>
        <w:t> </w:t>
      </w:r>
      <w:r>
        <w:rPr/>
        <w:t>in</w:t>
      </w:r>
      <w:r>
        <w:rPr>
          <w:spacing w:val="-4"/>
        </w:rPr>
        <w:t> </w:t>
      </w:r>
      <w:r>
        <w:rPr/>
        <w:t>understanding</w:t>
      </w:r>
      <w:r>
        <w:rPr>
          <w:spacing w:val="40"/>
        </w:rPr>
        <w:t> </w:t>
      </w:r>
      <w:r>
        <w:rPr/>
        <w:t>and</w:t>
      </w:r>
      <w:r>
        <w:rPr>
          <w:spacing w:val="-4"/>
        </w:rPr>
        <w:t> </w:t>
      </w:r>
      <w:r>
        <w:rPr/>
        <w:t>explaining</w:t>
      </w:r>
      <w:r>
        <w:rPr>
          <w:spacing w:val="-4"/>
        </w:rPr>
        <w:t> </w:t>
      </w:r>
      <w:r>
        <w:rPr/>
        <w:t>AI</w:t>
      </w:r>
      <w:r>
        <w:rPr>
          <w:spacing w:val="-4"/>
        </w:rPr>
        <w:t> </w:t>
      </w:r>
      <w:r>
        <w:rPr/>
        <w:t>outputs,</w:t>
      </w:r>
      <w:r>
        <w:rPr>
          <w:spacing w:val="-4"/>
        </w:rPr>
        <w:t> </w:t>
      </w:r>
      <w:r>
        <w:rPr/>
        <w:t>inappropriate</w:t>
      </w:r>
      <w:r>
        <w:rPr>
          <w:spacing w:val="-4"/>
        </w:rPr>
        <w:t> </w:t>
      </w:r>
      <w:r>
        <w:rPr/>
        <w:t>data</w:t>
      </w:r>
      <w:r>
        <w:rPr>
          <w:spacing w:val="-4"/>
        </w:rPr>
        <w:t> </w:t>
      </w:r>
      <w:r>
        <w:rPr/>
        <w:t>use,</w:t>
      </w:r>
      <w:r>
        <w:rPr>
          <w:spacing w:val="-4"/>
        </w:rPr>
        <w:t> </w:t>
      </w:r>
      <w:r>
        <w:rPr/>
        <w:t>cyber vulnerabilities, and societal stresses due</w:t>
      </w:r>
      <w:r>
        <w:rPr>
          <w:spacing w:val="40"/>
        </w:rPr>
        <w:t> </w:t>
      </w:r>
      <w:r>
        <w:rPr/>
        <w:t>to rapid adoption and transformation.</w:t>
      </w:r>
    </w:p>
    <w:p>
      <w:pPr>
        <w:pStyle w:val="BodyText"/>
        <w:spacing w:before="246"/>
        <w:ind w:left="716" w:right="1377" w:firstLine="15"/>
        <w:jc w:val="both"/>
      </w:pPr>
      <w:r>
        <w:rPr/>
        <w:t>There is clearly a dual nature to</w:t>
      </w:r>
      <w:r>
        <w:rPr>
          <w:spacing w:val="-3"/>
        </w:rPr>
        <w:t> </w:t>
      </w:r>
      <w:r>
        <w:rPr/>
        <w:t>gen-AI.</w:t>
      </w:r>
      <w:r>
        <w:rPr>
          <w:spacing w:val="-3"/>
        </w:rPr>
        <w:t> </w:t>
      </w:r>
      <w:r>
        <w:rPr/>
        <w:t>On</w:t>
      </w:r>
      <w:r>
        <w:rPr>
          <w:spacing w:val="-3"/>
        </w:rPr>
        <w:t> </w:t>
      </w:r>
      <w:r>
        <w:rPr/>
        <w:t>one</w:t>
      </w:r>
      <w:r>
        <w:rPr>
          <w:spacing w:val="-3"/>
        </w:rPr>
        <w:t> </w:t>
      </w:r>
      <w:r>
        <w:rPr/>
        <w:t>hand,</w:t>
      </w:r>
      <w:r>
        <w:rPr>
          <w:spacing w:val="-3"/>
        </w:rPr>
        <w:t> </w:t>
      </w:r>
      <w:r>
        <w:rPr/>
        <w:t>it</w:t>
      </w:r>
      <w:r>
        <w:rPr>
          <w:spacing w:val="-3"/>
        </w:rPr>
        <w:t> </w:t>
      </w:r>
      <w:r>
        <w:rPr/>
        <w:t>offers</w:t>
      </w:r>
      <w:r>
        <w:rPr>
          <w:spacing w:val="-3"/>
        </w:rPr>
        <w:t> </w:t>
      </w:r>
      <w:r>
        <w:rPr/>
        <w:t>numerous</w:t>
      </w:r>
      <w:r>
        <w:rPr>
          <w:spacing w:val="-3"/>
        </w:rPr>
        <w:t> </w:t>
      </w:r>
      <w:r>
        <w:rPr/>
        <w:t>potential</w:t>
      </w:r>
      <w:r>
        <w:rPr>
          <w:spacing w:val="-3"/>
        </w:rPr>
        <w:t> </w:t>
      </w:r>
      <w:r>
        <w:rPr/>
        <w:t>benefits</w:t>
      </w:r>
      <w:r>
        <w:rPr>
          <w:spacing w:val="-3"/>
        </w:rPr>
        <w:t> </w:t>
      </w:r>
      <w:r>
        <w:rPr/>
        <w:t>to</w:t>
      </w:r>
      <w:r>
        <w:rPr>
          <w:spacing w:val="-3"/>
        </w:rPr>
        <w:t> </w:t>
      </w:r>
      <w:r>
        <w:rPr/>
        <w:t>the organizations that adopt it, yet on the other hand, it poses significant risks. Canhoto and Clear (2020) describe that AI can create value within organizations, but it can also destroy value. For example, time and effort to correct AI-generated “workslop” may decrease organizational productivity, rather than increase it (Niederhoffer, et al., 2025).</w:t>
      </w:r>
    </w:p>
    <w:p>
      <w:pPr>
        <w:pStyle w:val="BodyText"/>
        <w:spacing w:before="244"/>
        <w:ind w:left="716" w:right="1388"/>
        <w:jc w:val="both"/>
      </w:pPr>
      <w:r>
        <w:rPr/>
        <w:t>No company would want to adopt a new technology only to end</w:t>
      </w:r>
      <w:r>
        <w:rPr>
          <w:spacing w:val="-2"/>
        </w:rPr>
        <w:t> </w:t>
      </w:r>
      <w:r>
        <w:rPr/>
        <w:t>up</w:t>
      </w:r>
      <w:r>
        <w:rPr>
          <w:spacing w:val="-2"/>
        </w:rPr>
        <w:t> </w:t>
      </w:r>
      <w:r>
        <w:rPr/>
        <w:t>worse-off</w:t>
      </w:r>
      <w:r>
        <w:rPr>
          <w:spacing w:val="-2"/>
        </w:rPr>
        <w:t> </w:t>
      </w:r>
      <w:r>
        <w:rPr/>
        <w:t>than</w:t>
      </w:r>
      <w:r>
        <w:rPr>
          <w:spacing w:val="-2"/>
        </w:rPr>
        <w:t> </w:t>
      </w:r>
      <w:r>
        <w:rPr/>
        <w:t>if</w:t>
      </w:r>
      <w:r>
        <w:rPr>
          <w:spacing w:val="-2"/>
        </w:rPr>
        <w:t> </w:t>
      </w:r>
      <w:r>
        <w:rPr/>
        <w:t>it</w:t>
      </w:r>
      <w:r>
        <w:rPr>
          <w:spacing w:val="-2"/>
        </w:rPr>
        <w:t> </w:t>
      </w:r>
      <w:r>
        <w:rPr/>
        <w:t>had</w:t>
      </w:r>
      <w:r>
        <w:rPr>
          <w:spacing w:val="-2"/>
        </w:rPr>
        <w:t> </w:t>
      </w:r>
      <w:r>
        <w:rPr/>
        <w:t>done nothing at all, hence the importance of managing the risks related to gen-AI.</w:t>
      </w:r>
      <w:r>
        <w:rPr>
          <w:spacing w:val="-4"/>
        </w:rPr>
        <w:t> </w:t>
      </w:r>
      <w:r>
        <w:rPr/>
        <w:t>Yet,</w:t>
      </w:r>
      <w:r>
        <w:rPr>
          <w:spacing w:val="-4"/>
        </w:rPr>
        <w:t> </w:t>
      </w:r>
      <w:r>
        <w:rPr/>
        <w:t>while</w:t>
      </w:r>
      <w:r>
        <w:rPr>
          <w:spacing w:val="-4"/>
        </w:rPr>
        <w:t> </w:t>
      </w:r>
      <w:r>
        <w:rPr/>
        <w:t>the</w:t>
      </w:r>
      <w:r>
        <w:rPr>
          <w:spacing w:val="-4"/>
        </w:rPr>
        <w:t> </w:t>
      </w:r>
      <w:r>
        <w:rPr/>
        <w:t>need to manage the risks of gen-AI are clear, related questions emerge:</w:t>
      </w:r>
    </w:p>
    <w:p>
      <w:pPr>
        <w:pStyle w:val="ListParagraph"/>
        <w:numPr>
          <w:ilvl w:val="1"/>
          <w:numId w:val="3"/>
        </w:numPr>
        <w:tabs>
          <w:tab w:pos="1235" w:val="left" w:leader="none"/>
        </w:tabs>
        <w:spacing w:line="240" w:lineRule="auto" w:before="243" w:after="0"/>
        <w:ind w:left="1235" w:right="0" w:hanging="144"/>
        <w:jc w:val="left"/>
        <w:rPr>
          <w:sz w:val="24"/>
        </w:rPr>
      </w:pPr>
      <w:r>
        <w:rPr>
          <w:sz w:val="24"/>
        </w:rPr>
        <w:t>Can gen-AI be used to manage </w:t>
      </w:r>
      <w:r>
        <w:rPr>
          <w:spacing w:val="-2"/>
          <w:sz w:val="24"/>
        </w:rPr>
        <w:t>risk?</w:t>
      </w:r>
    </w:p>
    <w:p>
      <w:pPr>
        <w:pStyle w:val="ListParagraph"/>
        <w:numPr>
          <w:ilvl w:val="1"/>
          <w:numId w:val="3"/>
        </w:numPr>
        <w:tabs>
          <w:tab w:pos="1235" w:val="left" w:leader="none"/>
        </w:tabs>
        <w:spacing w:line="240" w:lineRule="auto" w:before="0" w:after="0"/>
        <w:ind w:left="1235" w:right="0" w:hanging="144"/>
        <w:jc w:val="left"/>
        <w:rPr>
          <w:sz w:val="24"/>
        </w:rPr>
      </w:pPr>
      <w:r>
        <w:rPr>
          <w:sz w:val="24"/>
        </w:rPr>
        <w:t>Does the use of gen-AI for risk management create new </w:t>
      </w:r>
      <w:r>
        <w:rPr>
          <w:spacing w:val="-2"/>
          <w:sz w:val="24"/>
        </w:rPr>
        <w:t>risks?</w:t>
      </w:r>
    </w:p>
    <w:p>
      <w:pPr>
        <w:pStyle w:val="BodyText"/>
      </w:pPr>
    </w:p>
    <w:p>
      <w:pPr>
        <w:pStyle w:val="Heading4"/>
        <w:ind w:left="701"/>
        <w:jc w:val="both"/>
      </w:pPr>
      <w:r>
        <w:rPr/>
        <w:t>Enterprise Risk Management and Gen-</w:t>
      </w:r>
      <w:r>
        <w:rPr>
          <w:spacing w:val="-5"/>
        </w:rPr>
        <w:t>AI</w:t>
      </w:r>
    </w:p>
    <w:p>
      <w:pPr>
        <w:pStyle w:val="BodyText"/>
        <w:spacing w:before="236"/>
        <w:ind w:left="716" w:right="1374" w:firstLine="15"/>
        <w:jc w:val="both"/>
      </w:pPr>
      <w:r>
        <w:rPr/>
        <w:t>ERM is “an integrated and continuous process for managing enterprise-wide risks—including strategic, financial, operational, compliance, and reputational risks—in order to minimize unexpected performance variance and maximize intrinsic firm value” (Lam, 2017). </w:t>
      </w:r>
      <w:r>
        <w:rPr/>
        <w:t>ERM</w:t>
      </w:r>
      <w:r>
        <w:rPr>
          <w:spacing w:val="80"/>
        </w:rPr>
        <w:t> </w:t>
      </w:r>
      <w:r>
        <w:rPr/>
        <w:t>involves</w:t>
      </w:r>
      <w:r>
        <w:rPr>
          <w:spacing w:val="40"/>
        </w:rPr>
        <w:t> </w:t>
      </w:r>
      <w:r>
        <w:rPr/>
        <w:t>developing and implementing processes</w:t>
      </w:r>
      <w:r>
        <w:rPr>
          <w:spacing w:val="-3"/>
        </w:rPr>
        <w:t> </w:t>
      </w:r>
      <w:r>
        <w:rPr/>
        <w:t>and</w:t>
      </w:r>
      <w:r>
        <w:rPr>
          <w:spacing w:val="-3"/>
        </w:rPr>
        <w:t> </w:t>
      </w:r>
      <w:r>
        <w:rPr/>
        <w:t>mechanisms</w:t>
      </w:r>
      <w:r>
        <w:rPr>
          <w:spacing w:val="-3"/>
        </w:rPr>
        <w:t> </w:t>
      </w:r>
      <w:r>
        <w:rPr/>
        <w:t>to</w:t>
      </w:r>
      <w:r>
        <w:rPr>
          <w:spacing w:val="-3"/>
        </w:rPr>
        <w:t> </w:t>
      </w:r>
      <w:r>
        <w:rPr/>
        <w:t>manage</w:t>
      </w:r>
      <w:r>
        <w:rPr>
          <w:spacing w:val="-3"/>
        </w:rPr>
        <w:t> </w:t>
      </w:r>
      <w:r>
        <w:rPr/>
        <w:t>the</w:t>
      </w:r>
      <w:r>
        <w:rPr>
          <w:spacing w:val="-3"/>
        </w:rPr>
        <w:t> </w:t>
      </w:r>
      <w:r>
        <w:rPr/>
        <w:t>entire</w:t>
      </w:r>
      <w:r>
        <w:rPr>
          <w:spacing w:val="-3"/>
        </w:rPr>
        <w:t> </w:t>
      </w:r>
      <w:r>
        <w:rPr/>
        <w:t>portfolio of risks</w:t>
      </w:r>
      <w:r>
        <w:rPr>
          <w:spacing w:val="40"/>
        </w:rPr>
        <w:t> </w:t>
      </w:r>
      <w:r>
        <w:rPr/>
        <w:t>faced by an organization, and not specifically just one class of risk such as financial or operational</w:t>
      </w:r>
      <w:r>
        <w:rPr>
          <w:spacing w:val="40"/>
        </w:rPr>
        <w:t> </w:t>
      </w:r>
      <w:r>
        <w:rPr/>
        <w:t>risk (Greifer &amp; Schwarz, 2001). Given this holistic view, ERM differs from traditional “siloed”</w:t>
      </w:r>
      <w:r>
        <w:rPr>
          <w:spacing w:val="40"/>
        </w:rPr>
        <w:t> </w:t>
      </w:r>
      <w:r>
        <w:rPr/>
        <w:t>risk management approaches that historically sought to</w:t>
      </w:r>
      <w:r>
        <w:rPr>
          <w:spacing w:val="-2"/>
        </w:rPr>
        <w:t> </w:t>
      </w:r>
      <w:r>
        <w:rPr/>
        <w:t>treat</w:t>
      </w:r>
      <w:r>
        <w:rPr>
          <w:spacing w:val="-2"/>
        </w:rPr>
        <w:t> </w:t>
      </w:r>
      <w:r>
        <w:rPr/>
        <w:t>individual</w:t>
      </w:r>
      <w:r>
        <w:rPr>
          <w:spacing w:val="-2"/>
        </w:rPr>
        <w:t> </w:t>
      </w:r>
      <w:r>
        <w:rPr/>
        <w:t>risks in isolation (Frigo &amp;</w:t>
      </w:r>
      <w:r>
        <w:rPr>
          <w:spacing w:val="40"/>
        </w:rPr>
        <w:t> </w:t>
      </w:r>
      <w:r>
        <w:rPr/>
        <w:t>Anderson, 2011).</w:t>
      </w:r>
    </w:p>
    <w:p>
      <w:pPr>
        <w:pStyle w:val="BodyText"/>
        <w:spacing w:before="243"/>
        <w:ind w:left="716" w:right="1376" w:firstLine="15"/>
        <w:jc w:val="both"/>
      </w:pPr>
      <w:r>
        <w:rPr/>
        <w:t>ERM is closely tied to an organization’s strategy (Soltanizadeh et al., 2016). Taking risks is inherently part of business: “companies are in the business to take strategic and business </w:t>
      </w:r>
      <w:r>
        <w:rPr/>
        <w:t>risks” (Nocco &amp; Stulz, 2006). ERM exists to help organizations achieve their core objectives, and</w:t>
      </w:r>
      <w:r>
        <w:rPr>
          <w:spacing w:val="-3"/>
        </w:rPr>
        <w:t> </w:t>
      </w:r>
      <w:r>
        <w:rPr/>
        <w:t>thus create and preserve value, and so</w:t>
      </w:r>
      <w:r>
        <w:rPr>
          <w:spacing w:val="-2"/>
        </w:rPr>
        <w:t> </w:t>
      </w:r>
      <w:r>
        <w:rPr/>
        <w:t>ERM</w:t>
      </w:r>
      <w:r>
        <w:rPr>
          <w:spacing w:val="-2"/>
        </w:rPr>
        <w:t> </w:t>
      </w:r>
      <w:r>
        <w:rPr/>
        <w:t>should</w:t>
      </w:r>
      <w:r>
        <w:rPr>
          <w:spacing w:val="-2"/>
        </w:rPr>
        <w:t> </w:t>
      </w:r>
      <w:r>
        <w:rPr/>
        <w:t>be</w:t>
      </w:r>
      <w:r>
        <w:rPr>
          <w:spacing w:val="-2"/>
        </w:rPr>
        <w:t> </w:t>
      </w:r>
      <w:r>
        <w:rPr/>
        <w:t>embedded</w:t>
      </w:r>
      <w:r>
        <w:rPr>
          <w:spacing w:val="-2"/>
        </w:rPr>
        <w:t> </w:t>
      </w:r>
      <w:r>
        <w:rPr/>
        <w:t>in</w:t>
      </w:r>
      <w:r>
        <w:rPr>
          <w:spacing w:val="-2"/>
        </w:rPr>
        <w:t> </w:t>
      </w:r>
      <w:r>
        <w:rPr/>
        <w:t>the</w:t>
      </w:r>
      <w:r>
        <w:rPr>
          <w:spacing w:val="-2"/>
        </w:rPr>
        <w:t> </w:t>
      </w:r>
      <w:r>
        <w:rPr/>
        <w:t>processes</w:t>
      </w:r>
      <w:r>
        <w:rPr>
          <w:spacing w:val="-2"/>
        </w:rPr>
        <w:t> </w:t>
      </w:r>
      <w:r>
        <w:rPr/>
        <w:t>of</w:t>
      </w:r>
      <w:r>
        <w:rPr>
          <w:spacing w:val="-2"/>
        </w:rPr>
        <w:t> </w:t>
      </w:r>
      <w:r>
        <w:rPr/>
        <w:t>strategy</w:t>
      </w:r>
      <w:r>
        <w:rPr>
          <w:spacing w:val="-2"/>
        </w:rPr>
        <w:t> </w:t>
      </w:r>
      <w:r>
        <w:rPr/>
        <w:t>planning and strategy execution (Frigo &amp; Anderson, 2011). ERM can create value by allowing senior managers to manage the enterprise-level risk-return tradeoffs and by creating a culture in which risks are owned and effectively managed by employees (Nocco &amp; Stulz, 2006).</w:t>
      </w:r>
    </w:p>
    <w:p>
      <w:pPr>
        <w:pStyle w:val="BodyText"/>
      </w:pPr>
    </w:p>
    <w:p>
      <w:pPr>
        <w:pStyle w:val="BodyText"/>
        <w:ind w:left="716" w:right="1378" w:firstLine="15"/>
        <w:jc w:val="both"/>
      </w:pPr>
      <w:r>
        <w:rPr/>
        <w:t>Several ERM frameworks exist, for example the ISO 31000 standard and the </w:t>
      </w:r>
      <w:r>
        <w:rPr/>
        <w:t>guidelines</w:t>
      </w:r>
      <w:r>
        <w:rPr>
          <w:spacing w:val="40"/>
        </w:rPr>
        <w:t> </w:t>
      </w:r>
      <w:r>
        <w:rPr/>
        <w:t>published</w:t>
      </w:r>
      <w:r>
        <w:rPr>
          <w:spacing w:val="40"/>
        </w:rPr>
        <w:t> </w:t>
      </w:r>
      <w:r>
        <w:rPr/>
        <w:t>by COSO (the Committee</w:t>
      </w:r>
      <w:r>
        <w:rPr>
          <w:spacing w:val="-4"/>
        </w:rPr>
        <w:t> </w:t>
      </w:r>
      <w:r>
        <w:rPr/>
        <w:t>of</w:t>
      </w:r>
      <w:r>
        <w:rPr>
          <w:spacing w:val="-4"/>
        </w:rPr>
        <w:t> </w:t>
      </w:r>
      <w:r>
        <w:rPr/>
        <w:t>Sponsoring</w:t>
      </w:r>
      <w:r>
        <w:rPr>
          <w:spacing w:val="-4"/>
        </w:rPr>
        <w:t> </w:t>
      </w:r>
      <w:r>
        <w:rPr/>
        <w:t>Organizations</w:t>
      </w:r>
      <w:r>
        <w:rPr>
          <w:spacing w:val="-4"/>
        </w:rPr>
        <w:t> </w:t>
      </w:r>
      <w:r>
        <w:rPr/>
        <w:t>of</w:t>
      </w:r>
      <w:r>
        <w:rPr>
          <w:spacing w:val="-4"/>
        </w:rPr>
        <w:t> </w:t>
      </w:r>
      <w:r>
        <w:rPr/>
        <w:t>the</w:t>
      </w:r>
      <w:r>
        <w:rPr>
          <w:spacing w:val="-4"/>
        </w:rPr>
        <w:t> </w:t>
      </w:r>
      <w:r>
        <w:rPr/>
        <w:t>Treadway</w:t>
      </w:r>
      <w:r>
        <w:rPr>
          <w:spacing w:val="-4"/>
        </w:rPr>
        <w:t> </w:t>
      </w:r>
      <w:r>
        <w:rPr/>
        <w:t>Commission) in the</w:t>
      </w:r>
      <w:r>
        <w:rPr>
          <w:spacing w:val="40"/>
        </w:rPr>
        <w:t> </w:t>
      </w:r>
      <w:r>
        <w:rPr/>
        <w:t>guidebook entitled Enterprise Risk Management—Integrating with Strategy and Performance</w:t>
      </w:r>
      <w:r>
        <w:rPr>
          <w:spacing w:val="40"/>
        </w:rPr>
        <w:t> </w:t>
      </w:r>
      <w:r>
        <w:rPr/>
        <w:t>(COSO, 2017). In the</w:t>
      </w:r>
      <w:r>
        <w:rPr>
          <w:spacing w:val="-4"/>
        </w:rPr>
        <w:t> </w:t>
      </w:r>
      <w:r>
        <w:rPr/>
        <w:t>executive</w:t>
      </w:r>
      <w:r>
        <w:rPr>
          <w:spacing w:val="-4"/>
        </w:rPr>
        <w:t> </w:t>
      </w:r>
      <w:r>
        <w:rPr/>
        <w:t>summary,</w:t>
      </w:r>
      <w:r>
        <w:rPr>
          <w:spacing w:val="-4"/>
        </w:rPr>
        <w:t> </w:t>
      </w:r>
      <w:r>
        <w:rPr/>
        <w:t>the</w:t>
      </w:r>
      <w:r>
        <w:rPr>
          <w:spacing w:val="-4"/>
        </w:rPr>
        <w:t> </w:t>
      </w:r>
      <w:r>
        <w:rPr/>
        <w:t>COSO</w:t>
      </w:r>
      <w:r>
        <w:rPr>
          <w:spacing w:val="-4"/>
        </w:rPr>
        <w:t> </w:t>
      </w:r>
      <w:r>
        <w:rPr/>
        <w:t>guidance</w:t>
      </w:r>
      <w:r>
        <w:rPr>
          <w:spacing w:val="-4"/>
        </w:rPr>
        <w:t> </w:t>
      </w:r>
      <w:r>
        <w:rPr/>
        <w:t>notes</w:t>
      </w:r>
      <w:r>
        <w:rPr>
          <w:spacing w:val="-4"/>
        </w:rPr>
        <w:t> </w:t>
      </w:r>
      <w:r>
        <w:rPr/>
        <w:t>that</w:t>
      </w:r>
      <w:r>
        <w:rPr>
          <w:spacing w:val="-4"/>
        </w:rPr>
        <w:t> </w:t>
      </w:r>
      <w:r>
        <w:rPr/>
        <w:t>regarding AI, “…it is</w:t>
      </w:r>
      <w:r>
        <w:rPr>
          <w:spacing w:val="80"/>
        </w:rPr>
        <w:t> </w:t>
      </w:r>
      <w:r>
        <w:rPr/>
        <w:t>important for enterprise risk management practices to consider the impact of these and future</w:t>
      </w:r>
      <w:r>
        <w:rPr>
          <w:spacing w:val="40"/>
        </w:rPr>
        <w:t> </w:t>
      </w:r>
      <w:r>
        <w:rPr/>
        <w:t>technologies, and leverage their</w:t>
      </w:r>
      <w:r>
        <w:rPr>
          <w:spacing w:val="-3"/>
        </w:rPr>
        <w:t> </w:t>
      </w:r>
      <w:r>
        <w:rPr/>
        <w:t>capabilities.</w:t>
      </w:r>
      <w:r>
        <w:rPr>
          <w:spacing w:val="-3"/>
        </w:rPr>
        <w:t> </w:t>
      </w:r>
      <w:r>
        <w:rPr/>
        <w:t>Previously</w:t>
      </w:r>
      <w:r>
        <w:rPr>
          <w:spacing w:val="-3"/>
        </w:rPr>
        <w:t> </w:t>
      </w:r>
      <w:r>
        <w:rPr/>
        <w:t>unrecognizable</w:t>
      </w:r>
      <w:r>
        <w:rPr>
          <w:spacing w:val="-3"/>
        </w:rPr>
        <w:t> </w:t>
      </w:r>
      <w:r>
        <w:rPr/>
        <w:t>relationships, trends and</w:t>
      </w:r>
      <w:r>
        <w:rPr>
          <w:spacing w:val="40"/>
        </w:rPr>
        <w:t> </w:t>
      </w:r>
      <w:r>
        <w:rPr/>
        <w:t>patterns</w:t>
      </w:r>
      <w:r>
        <w:rPr>
          <w:spacing w:val="-2"/>
        </w:rPr>
        <w:t> </w:t>
      </w:r>
      <w:r>
        <w:rPr/>
        <w:t>can</w:t>
      </w:r>
      <w:r>
        <w:rPr>
          <w:spacing w:val="-2"/>
        </w:rPr>
        <w:t> </w:t>
      </w:r>
      <w:r>
        <w:rPr/>
        <w:t>be</w:t>
      </w:r>
      <w:r>
        <w:rPr>
          <w:spacing w:val="-2"/>
        </w:rPr>
        <w:t> </w:t>
      </w:r>
      <w:r>
        <w:rPr/>
        <w:t>uncovered,</w:t>
      </w:r>
      <w:r>
        <w:rPr>
          <w:spacing w:val="-2"/>
        </w:rPr>
        <w:t> </w:t>
      </w:r>
      <w:r>
        <w:rPr/>
        <w:t>providing</w:t>
      </w:r>
      <w:r>
        <w:rPr>
          <w:spacing w:val="-2"/>
        </w:rPr>
        <w:t> </w:t>
      </w:r>
      <w:r>
        <w:rPr/>
        <w:t>a</w:t>
      </w:r>
      <w:r>
        <w:rPr>
          <w:spacing w:val="-2"/>
        </w:rPr>
        <w:t> </w:t>
      </w:r>
      <w:r>
        <w:rPr/>
        <w:t>rich</w:t>
      </w:r>
      <w:r>
        <w:rPr>
          <w:spacing w:val="-2"/>
        </w:rPr>
        <w:t> </w:t>
      </w:r>
      <w:r>
        <w:rPr/>
        <w:t>source</w:t>
      </w:r>
      <w:r>
        <w:rPr>
          <w:spacing w:val="-2"/>
        </w:rPr>
        <w:t> </w:t>
      </w:r>
      <w:r>
        <w:rPr/>
        <w:t>of</w:t>
      </w:r>
      <w:r>
        <w:rPr>
          <w:spacing w:val="-2"/>
        </w:rPr>
        <w:t> </w:t>
      </w:r>
      <w:r>
        <w:rPr/>
        <w:t>information</w:t>
      </w:r>
      <w:r>
        <w:rPr>
          <w:spacing w:val="-2"/>
        </w:rPr>
        <w:t> </w:t>
      </w:r>
      <w:r>
        <w:rPr/>
        <w:t>critical</w:t>
      </w:r>
      <w:r>
        <w:rPr>
          <w:spacing w:val="-2"/>
        </w:rPr>
        <w:t> </w:t>
      </w:r>
      <w:r>
        <w:rPr/>
        <w:t>to</w:t>
      </w:r>
      <w:r>
        <w:rPr>
          <w:spacing w:val="-2"/>
        </w:rPr>
        <w:t> </w:t>
      </w:r>
      <w:r>
        <w:rPr/>
        <w:t>managing risk”</w:t>
      </w:r>
      <w:r>
        <w:rPr>
          <w:spacing w:val="40"/>
        </w:rPr>
        <w:t> </w:t>
      </w:r>
      <w:r>
        <w:rPr/>
        <w:t>(COSO, 2017). This quote highlights the dual nature mentioned above – that AI is a technology</w:t>
      </w:r>
      <w:r>
        <w:rPr>
          <w:spacing w:val="80"/>
        </w:rPr>
        <w:t> </w:t>
      </w:r>
      <w:r>
        <w:rPr/>
        <w:t>with risks</w:t>
      </w:r>
      <w:r>
        <w:rPr>
          <w:spacing w:val="-3"/>
        </w:rPr>
        <w:t> </w:t>
      </w:r>
      <w:r>
        <w:rPr/>
        <w:t>that</w:t>
      </w:r>
      <w:r>
        <w:rPr>
          <w:spacing w:val="-3"/>
        </w:rPr>
        <w:t> </w:t>
      </w:r>
      <w:r>
        <w:rPr/>
        <w:t>should</w:t>
      </w:r>
      <w:r>
        <w:rPr>
          <w:spacing w:val="-3"/>
        </w:rPr>
        <w:t> </w:t>
      </w:r>
      <w:r>
        <w:rPr/>
        <w:t>be</w:t>
      </w:r>
      <w:r>
        <w:rPr>
          <w:spacing w:val="-3"/>
        </w:rPr>
        <w:t> </w:t>
      </w:r>
      <w:r>
        <w:rPr/>
        <w:t>managed,</w:t>
      </w:r>
      <w:r>
        <w:rPr>
          <w:spacing w:val="-3"/>
        </w:rPr>
        <w:t> </w:t>
      </w:r>
      <w:r>
        <w:rPr/>
        <w:t>but</w:t>
      </w:r>
      <w:r>
        <w:rPr>
          <w:spacing w:val="-3"/>
        </w:rPr>
        <w:t> </w:t>
      </w:r>
      <w:r>
        <w:rPr/>
        <w:t>that</w:t>
      </w:r>
      <w:r>
        <w:rPr>
          <w:spacing w:val="-3"/>
        </w:rPr>
        <w:t> </w:t>
      </w:r>
      <w:r>
        <w:rPr/>
        <w:t>also</w:t>
      </w:r>
      <w:r>
        <w:rPr>
          <w:spacing w:val="-3"/>
        </w:rPr>
        <w:t> </w:t>
      </w:r>
      <w:r>
        <w:rPr/>
        <w:t>has</w:t>
      </w:r>
      <w:r>
        <w:rPr>
          <w:spacing w:val="-3"/>
        </w:rPr>
        <w:t> </w:t>
      </w:r>
      <w:r>
        <w:rPr/>
        <w:t>capabilities</w:t>
      </w:r>
      <w:r>
        <w:rPr>
          <w:spacing w:val="-3"/>
        </w:rPr>
        <w:t> </w:t>
      </w:r>
      <w:r>
        <w:rPr/>
        <w:t>that</w:t>
      </w:r>
      <w:r>
        <w:rPr>
          <w:spacing w:val="-3"/>
        </w:rPr>
        <w:t> </w:t>
      </w:r>
      <w:r>
        <w:rPr/>
        <w:t>can</w:t>
      </w:r>
      <w:r>
        <w:rPr>
          <w:spacing w:val="-3"/>
        </w:rPr>
        <w:t> </w:t>
      </w:r>
      <w:r>
        <w:rPr/>
        <w:t>be</w:t>
      </w:r>
      <w:r>
        <w:rPr>
          <w:spacing w:val="-3"/>
        </w:rPr>
        <w:t> </w:t>
      </w:r>
      <w:r>
        <w:rPr/>
        <w:t>leveraged to further</w:t>
      </w:r>
      <w:r>
        <w:rPr>
          <w:spacing w:val="40"/>
        </w:rPr>
        <w:t> </w:t>
      </w:r>
      <w:r>
        <w:rPr/>
        <w:t>the aims and capabilities of ERM itself.</w:t>
      </w:r>
    </w:p>
    <w:p>
      <w:pPr>
        <w:pStyle w:val="BodyText"/>
        <w:spacing w:before="246"/>
        <w:ind w:left="716" w:right="1375" w:firstLine="15"/>
        <w:jc w:val="both"/>
      </w:pPr>
      <w:r>
        <w:rPr/>
        <w:t>Gen-AI, and AI more generally, is already used in various ways related</w:t>
      </w:r>
      <w:r>
        <w:rPr>
          <w:spacing w:val="-3"/>
        </w:rPr>
        <w:t> </w:t>
      </w:r>
      <w:r>
        <w:rPr/>
        <w:t>to</w:t>
      </w:r>
      <w:r>
        <w:rPr>
          <w:spacing w:val="-3"/>
        </w:rPr>
        <w:t> </w:t>
      </w:r>
      <w:r>
        <w:rPr/>
        <w:t>risk</w:t>
      </w:r>
      <w:r>
        <w:rPr>
          <w:spacing w:val="-3"/>
        </w:rPr>
        <w:t> </w:t>
      </w:r>
      <w:r>
        <w:rPr/>
        <w:t>management.</w:t>
      </w:r>
      <w:r>
        <w:rPr>
          <w:spacing w:val="-3"/>
        </w:rPr>
        <w:t> </w:t>
      </w:r>
      <w:r>
        <w:rPr/>
        <w:t>For example, 8% of firms surveyed responded that they used Gen-AI as part of their firm’s risk function (Singla et al., 2024). Collier et al. (2025) examined the potential for gen-AI tools </w:t>
      </w:r>
      <w:r>
        <w:rPr/>
        <w:t>to support product risk assessment, and found that gen-AI tools were the most helpful for tasks requiring</w:t>
      </w:r>
      <w:r>
        <w:rPr>
          <w:spacing w:val="14"/>
        </w:rPr>
        <w:t> </w:t>
      </w:r>
      <w:r>
        <w:rPr/>
        <w:t>divergent</w:t>
      </w:r>
      <w:r>
        <w:rPr>
          <w:spacing w:val="15"/>
        </w:rPr>
        <w:t> </w:t>
      </w:r>
      <w:r>
        <w:rPr/>
        <w:t>thinking</w:t>
      </w:r>
      <w:r>
        <w:rPr>
          <w:spacing w:val="14"/>
        </w:rPr>
        <w:t> </w:t>
      </w:r>
      <w:r>
        <w:rPr/>
        <w:t>like</w:t>
      </w:r>
      <w:r>
        <w:rPr>
          <w:spacing w:val="15"/>
        </w:rPr>
        <w:t> </w:t>
      </w:r>
      <w:r>
        <w:rPr/>
        <w:t>risk</w:t>
      </w:r>
      <w:r>
        <w:rPr>
          <w:spacing w:val="14"/>
        </w:rPr>
        <w:t> </w:t>
      </w:r>
      <w:r>
        <w:rPr/>
        <w:t>identification</w:t>
      </w:r>
      <w:r>
        <w:rPr>
          <w:spacing w:val="15"/>
        </w:rPr>
        <w:t> </w:t>
      </w:r>
      <w:r>
        <w:rPr/>
        <w:t>and</w:t>
      </w:r>
      <w:r>
        <w:rPr>
          <w:spacing w:val="14"/>
        </w:rPr>
        <w:t> </w:t>
      </w:r>
      <w:r>
        <w:rPr/>
        <w:t>identification of</w:t>
      </w:r>
      <w:r>
        <w:rPr>
          <w:spacing w:val="-1"/>
        </w:rPr>
        <w:t> </w:t>
      </w:r>
      <w:r>
        <w:rPr/>
        <w:t>risk mitigations. </w:t>
      </w:r>
      <w:r>
        <w:rPr>
          <w:spacing w:val="-2"/>
        </w:rPr>
        <w:t>Sohrabi</w:t>
      </w:r>
    </w:p>
    <w:p>
      <w:pPr>
        <w:pStyle w:val="BodyText"/>
        <w:spacing w:after="0"/>
        <w:jc w:val="both"/>
        <w:sectPr>
          <w:pgSz w:w="12240" w:h="15840"/>
          <w:pgMar w:header="0" w:footer="707" w:top="640" w:bottom="900" w:left="720" w:right="0"/>
        </w:sectPr>
      </w:pPr>
    </w:p>
    <w:p>
      <w:pPr>
        <w:pStyle w:val="BodyText"/>
        <w:spacing w:before="60"/>
        <w:ind w:left="716" w:right="1385"/>
        <w:jc w:val="both"/>
      </w:pPr>
      <w:r>
        <w:rPr/>
        <w:t>et al. (2018) developed an AI</w:t>
      </w:r>
      <w:r>
        <w:rPr>
          <w:spacing w:val="-2"/>
        </w:rPr>
        <w:t> </w:t>
      </w:r>
      <w:r>
        <w:rPr/>
        <w:t>tool</w:t>
      </w:r>
      <w:r>
        <w:rPr>
          <w:spacing w:val="-2"/>
        </w:rPr>
        <w:t> </w:t>
      </w:r>
      <w:r>
        <w:rPr/>
        <w:t>to</w:t>
      </w:r>
      <w:r>
        <w:rPr>
          <w:spacing w:val="-2"/>
        </w:rPr>
        <w:t> </w:t>
      </w:r>
      <w:r>
        <w:rPr/>
        <w:t>process</w:t>
      </w:r>
      <w:r>
        <w:rPr>
          <w:spacing w:val="-2"/>
        </w:rPr>
        <w:t> </w:t>
      </w:r>
      <w:r>
        <w:rPr/>
        <w:t>information</w:t>
      </w:r>
      <w:r>
        <w:rPr>
          <w:spacing w:val="-2"/>
        </w:rPr>
        <w:t> </w:t>
      </w:r>
      <w:r>
        <w:rPr/>
        <w:t>from</w:t>
      </w:r>
      <w:r>
        <w:rPr>
          <w:spacing w:val="-2"/>
        </w:rPr>
        <w:t> </w:t>
      </w:r>
      <w:r>
        <w:rPr/>
        <w:t>news</w:t>
      </w:r>
      <w:r>
        <w:rPr>
          <w:spacing w:val="-2"/>
        </w:rPr>
        <w:t> </w:t>
      </w:r>
      <w:r>
        <w:rPr/>
        <w:t>and</w:t>
      </w:r>
      <w:r>
        <w:rPr>
          <w:spacing w:val="-2"/>
        </w:rPr>
        <w:t> </w:t>
      </w:r>
      <w:r>
        <w:rPr/>
        <w:t>social</w:t>
      </w:r>
      <w:r>
        <w:rPr>
          <w:spacing w:val="-2"/>
        </w:rPr>
        <w:t> </w:t>
      </w:r>
      <w:r>
        <w:rPr/>
        <w:t>media</w:t>
      </w:r>
      <w:r>
        <w:rPr>
          <w:spacing w:val="-2"/>
        </w:rPr>
        <w:t> </w:t>
      </w:r>
      <w:r>
        <w:rPr/>
        <w:t>to</w:t>
      </w:r>
      <w:r>
        <w:rPr>
          <w:spacing w:val="-2"/>
        </w:rPr>
        <w:t> </w:t>
      </w:r>
      <w:r>
        <w:rPr/>
        <w:t>generate scenarios for ERM planning exercises. Boillet (2018) noted that AI can be used for a number</w:t>
      </w:r>
      <w:r>
        <w:rPr>
          <w:spacing w:val="-2"/>
        </w:rPr>
        <w:t> </w:t>
      </w:r>
      <w:r>
        <w:rPr/>
        <w:t>of risk management applications including predicting loan defaults, generating revenue forecasts, detecting fraud, building risk profiles of suppliers across the supply chain, and defending companies against cyber attacks.</w:t>
      </w:r>
    </w:p>
    <w:p>
      <w:pPr>
        <w:pStyle w:val="BodyText"/>
        <w:spacing w:before="244"/>
        <w:ind w:left="716" w:right="1378"/>
        <w:jc w:val="both"/>
      </w:pPr>
      <w:r>
        <w:rPr/>
        <w:t>While examples of gen-AI can be found to support risk management across various </w:t>
      </w:r>
      <w:r>
        <w:rPr/>
        <w:t>individual aspects of the organization, there is not a comprehensive framework for how gen-AI can be applied</w:t>
      </w:r>
      <w:r>
        <w:rPr>
          <w:spacing w:val="40"/>
        </w:rPr>
        <w:t> </w:t>
      </w:r>
      <w:r>
        <w:rPr/>
        <w:t>and integrated holistically within a firm’s ERM process. COSO’s guidance identifies twenty</w:t>
      </w:r>
      <w:r>
        <w:rPr>
          <w:spacing w:val="40"/>
        </w:rPr>
        <w:t> </w:t>
      </w:r>
      <w:r>
        <w:rPr/>
        <w:t>principles for successful ERM, which are grouped into five components (COSO, 2017) (Figure 1).</w:t>
      </w:r>
    </w:p>
    <w:p>
      <w:pPr>
        <w:pStyle w:val="Heading4"/>
        <w:spacing w:before="243"/>
        <w:ind w:left="731"/>
        <w:jc w:val="both"/>
      </w:pPr>
      <w:r>
        <w:rPr/>
        <w:t>Opportunities and Challenges for Gen-AI within </w:t>
      </w:r>
      <w:r>
        <w:rPr>
          <w:spacing w:val="-5"/>
        </w:rPr>
        <w:t>ERM</w:t>
      </w:r>
    </w:p>
    <w:p>
      <w:pPr>
        <w:pStyle w:val="BodyText"/>
        <w:spacing w:before="236"/>
        <w:ind w:left="716" w:right="1376" w:firstLine="15"/>
        <w:jc w:val="both"/>
      </w:pPr>
      <w:r>
        <w:rPr/>
        <w:t>To conduct a preliminary exploration, we prompted Claude 4.5 to provide examples of the opportunities and challenges for gen-AI tool use within corporate ERM processes for selected ERM principles (see Figure 1). For the identified challenges, a follow-up prompt was</w:t>
      </w:r>
      <w:r>
        <w:rPr>
          <w:spacing w:val="-3"/>
        </w:rPr>
        <w:t> </w:t>
      </w:r>
      <w:r>
        <w:rPr/>
        <w:t>conducted to identify potential mitigations that could be implemented to reduce risks that might be inadvertently introduced through the introduction of gen-AI. These AI-generated results were</w:t>
      </w:r>
      <w:r>
        <w:rPr>
          <w:spacing w:val="40"/>
        </w:rPr>
        <w:t> </w:t>
      </w:r>
      <w:r>
        <w:rPr/>
        <w:t>then</w:t>
      </w:r>
      <w:r>
        <w:rPr>
          <w:spacing w:val="40"/>
        </w:rPr>
        <w:t> </w:t>
      </w:r>
      <w:r>
        <w:rPr/>
        <w:t>manually curated (to remove duplicated and irrelevant outputs) and</w:t>
      </w:r>
      <w:r>
        <w:rPr>
          <w:spacing w:val="-3"/>
        </w:rPr>
        <w:t> </w:t>
      </w:r>
      <w:r>
        <w:rPr/>
        <w:t>synthesized</w:t>
      </w:r>
      <w:r>
        <w:rPr>
          <w:spacing w:val="-3"/>
        </w:rPr>
        <w:t> </w:t>
      </w:r>
      <w:r>
        <w:rPr/>
        <w:t>(to</w:t>
      </w:r>
      <w:r>
        <w:rPr>
          <w:spacing w:val="-3"/>
        </w:rPr>
        <w:t> </w:t>
      </w:r>
      <w:r>
        <w:rPr/>
        <w:t>capture patterns and repetition across ERM principles). The following are the findings from our exploratory investigation.</w:t>
      </w:r>
    </w:p>
    <w:p>
      <w:pPr>
        <w:pStyle w:val="BodyText"/>
        <w:spacing w:before="236"/>
        <w:ind w:left="716" w:right="1374"/>
        <w:jc w:val="both"/>
      </w:pPr>
      <w:r>
        <w:rPr/>
        <w:t>First, there are several areas where gen-AI is well suited to support ERM. From data processing</w:t>
      </w:r>
      <w:r>
        <w:rPr>
          <w:spacing w:val="40"/>
        </w:rPr>
        <w:t> </w:t>
      </w:r>
      <w:r>
        <w:rPr/>
        <w:t>to</w:t>
      </w:r>
      <w:r>
        <w:rPr>
          <w:spacing w:val="40"/>
        </w:rPr>
        <w:t> </w:t>
      </w:r>
      <w:r>
        <w:rPr/>
        <w:t>pattern recognition to</w:t>
      </w:r>
      <w:r>
        <w:rPr>
          <w:spacing w:val="-2"/>
        </w:rPr>
        <w:t> </w:t>
      </w:r>
      <w:r>
        <w:rPr/>
        <w:t>divergent</w:t>
      </w:r>
      <w:r>
        <w:rPr>
          <w:spacing w:val="-2"/>
        </w:rPr>
        <w:t> </w:t>
      </w:r>
      <w:r>
        <w:rPr/>
        <w:t>thinking</w:t>
      </w:r>
      <w:r>
        <w:rPr>
          <w:spacing w:val="-2"/>
        </w:rPr>
        <w:t> </w:t>
      </w:r>
      <w:r>
        <w:rPr/>
        <w:t>and</w:t>
      </w:r>
      <w:r>
        <w:rPr>
          <w:spacing w:val="-2"/>
        </w:rPr>
        <w:t> </w:t>
      </w:r>
      <w:r>
        <w:rPr/>
        <w:t>scenario</w:t>
      </w:r>
      <w:r>
        <w:rPr>
          <w:spacing w:val="-2"/>
        </w:rPr>
        <w:t> </w:t>
      </w:r>
      <w:r>
        <w:rPr/>
        <w:t>planning,</w:t>
      </w:r>
      <w:r>
        <w:rPr>
          <w:spacing w:val="-2"/>
        </w:rPr>
        <w:t> </w:t>
      </w:r>
      <w:r>
        <w:rPr/>
        <w:t>these</w:t>
      </w:r>
      <w:r>
        <w:rPr>
          <w:spacing w:val="-2"/>
        </w:rPr>
        <w:t> </w:t>
      </w:r>
      <w:r>
        <w:rPr/>
        <w:t>areas</w:t>
      </w:r>
      <w:r>
        <w:rPr>
          <w:spacing w:val="-2"/>
        </w:rPr>
        <w:t> </w:t>
      </w:r>
      <w:r>
        <w:rPr/>
        <w:t>appear</w:t>
      </w:r>
      <w:r>
        <w:rPr>
          <w:spacing w:val="-2"/>
        </w:rPr>
        <w:t> </w:t>
      </w:r>
      <w:r>
        <w:rPr/>
        <w:t>to</w:t>
      </w:r>
      <w:r>
        <w:rPr>
          <w:spacing w:val="-2"/>
        </w:rPr>
        <w:t> </w:t>
      </w:r>
      <w:r>
        <w:rPr/>
        <w:t>form</w:t>
      </w:r>
      <w:r>
        <w:rPr>
          <w:spacing w:val="-2"/>
        </w:rPr>
        <w:t> </w:t>
      </w:r>
      <w:r>
        <w:rPr/>
        <w:t>the basis of AI’s value in directly aligning with ERM principles. Understanding these benefits </w:t>
      </w:r>
      <w:r>
        <w:rPr/>
        <w:t>can enable an organization to better identify and understand their risks while exploring</w:t>
      </w:r>
      <w:r>
        <w:rPr>
          <w:spacing w:val="-3"/>
        </w:rPr>
        <w:t> </w:t>
      </w:r>
      <w:r>
        <w:rPr/>
        <w:t>more</w:t>
      </w:r>
      <w:r>
        <w:rPr>
          <w:spacing w:val="-3"/>
        </w:rPr>
        <w:t> </w:t>
      </w:r>
      <w:r>
        <w:rPr/>
        <w:t>options or modeling complex scenarios.</w:t>
      </w:r>
    </w:p>
    <w:p>
      <w:pPr>
        <w:pStyle w:val="BodyText"/>
        <w:spacing w:before="236"/>
        <w:ind w:left="716" w:right="1375"/>
        <w:jc w:val="both"/>
      </w:pPr>
      <w:r>
        <w:rPr/>
        <w:t>According to Jarrahi (2018), AI is able to</w:t>
      </w:r>
      <w:r>
        <w:rPr>
          <w:spacing w:val="-2"/>
        </w:rPr>
        <w:t> </w:t>
      </w:r>
      <w:r>
        <w:rPr/>
        <w:t>process</w:t>
      </w:r>
      <w:r>
        <w:rPr>
          <w:spacing w:val="-2"/>
        </w:rPr>
        <w:t> </w:t>
      </w:r>
      <w:r>
        <w:rPr/>
        <w:t>vast</w:t>
      </w:r>
      <w:r>
        <w:rPr>
          <w:spacing w:val="-2"/>
        </w:rPr>
        <w:t> </w:t>
      </w:r>
      <w:r>
        <w:rPr/>
        <w:t>amounts</w:t>
      </w:r>
      <w:r>
        <w:rPr>
          <w:spacing w:val="-2"/>
        </w:rPr>
        <w:t> </w:t>
      </w:r>
      <w:r>
        <w:rPr/>
        <w:t>of</w:t>
      </w:r>
      <w:r>
        <w:rPr>
          <w:spacing w:val="-2"/>
        </w:rPr>
        <w:t> </w:t>
      </w:r>
      <w:r>
        <w:rPr/>
        <w:t>data</w:t>
      </w:r>
      <w:r>
        <w:rPr>
          <w:spacing w:val="-2"/>
        </w:rPr>
        <w:t> </w:t>
      </w:r>
      <w:r>
        <w:rPr/>
        <w:t>at</w:t>
      </w:r>
      <w:r>
        <w:rPr>
          <w:spacing w:val="-2"/>
        </w:rPr>
        <w:t> </w:t>
      </w:r>
      <w:r>
        <w:rPr/>
        <w:t>speeds</w:t>
      </w:r>
      <w:r>
        <w:rPr>
          <w:spacing w:val="-2"/>
        </w:rPr>
        <w:t> </w:t>
      </w:r>
      <w:r>
        <w:rPr/>
        <w:t>well</w:t>
      </w:r>
      <w:r>
        <w:rPr>
          <w:spacing w:val="-2"/>
        </w:rPr>
        <w:t> </w:t>
      </w:r>
      <w:r>
        <w:rPr/>
        <w:t>beyond</w:t>
      </w:r>
      <w:r>
        <w:rPr>
          <w:spacing w:val="-2"/>
        </w:rPr>
        <w:t> </w:t>
      </w:r>
      <w:r>
        <w:rPr/>
        <w:t>the cognitive abilities of humans. This core benefit allows AI to help reduce the complexity of a problem by identifying causal relationships and asserting the appropriate cause of action. This allows firms to scan global news, social media, regulatory filings, and internal logs 24/7 to identify</w:t>
      </w:r>
      <w:r>
        <w:rPr>
          <w:spacing w:val="40"/>
        </w:rPr>
        <w:t> </w:t>
      </w:r>
      <w:r>
        <w:rPr/>
        <w:t>emerging trends and threats in real-time (Urbani et al., 2024). Thus, AI provides a significant</w:t>
      </w:r>
      <w:r>
        <w:rPr>
          <w:spacing w:val="40"/>
        </w:rPr>
        <w:t> </w:t>
      </w:r>
      <w:r>
        <w:rPr/>
        <w:t>cognitive</w:t>
      </w:r>
      <w:r>
        <w:rPr>
          <w:spacing w:val="-3"/>
        </w:rPr>
        <w:t> </w:t>
      </w:r>
      <w:r>
        <w:rPr/>
        <w:t>advantage</w:t>
      </w:r>
      <w:r>
        <w:rPr>
          <w:spacing w:val="-3"/>
        </w:rPr>
        <w:t> </w:t>
      </w:r>
      <w:r>
        <w:rPr/>
        <w:t>by</w:t>
      </w:r>
      <w:r>
        <w:rPr>
          <w:spacing w:val="-3"/>
        </w:rPr>
        <w:t> </w:t>
      </w:r>
      <w:r>
        <w:rPr/>
        <w:t>processing</w:t>
      </w:r>
      <w:r>
        <w:rPr>
          <w:spacing w:val="-3"/>
        </w:rPr>
        <w:t> </w:t>
      </w:r>
      <w:r>
        <w:rPr/>
        <w:t>information</w:t>
      </w:r>
      <w:r>
        <w:rPr>
          <w:spacing w:val="-3"/>
        </w:rPr>
        <w:t> </w:t>
      </w:r>
      <w:r>
        <w:rPr/>
        <w:t>at</w:t>
      </w:r>
      <w:r>
        <w:rPr>
          <w:spacing w:val="-3"/>
        </w:rPr>
        <w:t> </w:t>
      </w:r>
      <w:r>
        <w:rPr/>
        <w:t>a</w:t>
      </w:r>
      <w:r>
        <w:rPr>
          <w:spacing w:val="-3"/>
        </w:rPr>
        <w:t> </w:t>
      </w:r>
      <w:r>
        <w:rPr/>
        <w:t>scale</w:t>
      </w:r>
      <w:r>
        <w:rPr>
          <w:spacing w:val="-3"/>
        </w:rPr>
        <w:t> </w:t>
      </w:r>
      <w:r>
        <w:rPr/>
        <w:t>impossible</w:t>
      </w:r>
      <w:r>
        <w:rPr>
          <w:spacing w:val="-3"/>
        </w:rPr>
        <w:t> </w:t>
      </w:r>
      <w:r>
        <w:rPr/>
        <w:t>for</w:t>
      </w:r>
      <w:r>
        <w:rPr>
          <w:spacing w:val="-3"/>
        </w:rPr>
        <w:t> </w:t>
      </w:r>
      <w:r>
        <w:rPr/>
        <w:t>human</w:t>
      </w:r>
      <w:r>
        <w:rPr>
          <w:spacing w:val="-3"/>
        </w:rPr>
        <w:t> </w:t>
      </w:r>
      <w:r>
        <w:rPr/>
        <w:t>teams, which</w:t>
      </w:r>
      <w:r>
        <w:rPr>
          <w:spacing w:val="40"/>
        </w:rPr>
        <w:t> </w:t>
      </w:r>
      <w:r>
        <w:rPr/>
        <w:t>directly supports COSO Principle 6 (Analyzes Business Context) and Principle 10 (Identifies</w:t>
      </w:r>
      <w:r>
        <w:rPr>
          <w:spacing w:val="40"/>
        </w:rPr>
        <w:t> </w:t>
      </w:r>
      <w:r>
        <w:rPr/>
        <w:t>Risk).</w:t>
      </w:r>
    </w:p>
    <w:p>
      <w:pPr>
        <w:pStyle w:val="BodyText"/>
        <w:spacing w:after="0"/>
        <w:jc w:val="both"/>
        <w:sectPr>
          <w:pgSz w:w="12240" w:h="15840"/>
          <w:pgMar w:header="0" w:footer="707" w:top="640" w:bottom="960" w:left="720" w:right="0"/>
        </w:sectPr>
      </w:pPr>
    </w:p>
    <w:p>
      <w:pPr>
        <w:spacing w:line="240" w:lineRule="auto"/>
        <w:ind w:left="2280" w:right="0" w:firstLine="0"/>
        <w:rPr>
          <w:sz w:val="20"/>
        </w:rPr>
      </w:pPr>
      <w:r>
        <w:rPr>
          <w:sz w:val="20"/>
        </w:rPr>
        <w:drawing>
          <wp:inline distT="0" distB="0" distL="0" distR="0">
            <wp:extent cx="3648821" cy="2375534"/>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55" cstate="print"/>
                    <a:stretch>
                      <a:fillRect/>
                    </a:stretch>
                  </pic:blipFill>
                  <pic:spPr>
                    <a:xfrm>
                      <a:off x="0" y="0"/>
                      <a:ext cx="3648821" cy="2375534"/>
                    </a:xfrm>
                    <a:prstGeom prst="rect">
                      <a:avLst/>
                    </a:prstGeom>
                  </pic:spPr>
                </pic:pic>
              </a:graphicData>
            </a:graphic>
          </wp:inline>
        </w:drawing>
      </w:r>
      <w:r>
        <w:rPr>
          <w:sz w:val="20"/>
        </w:rPr>
      </w:r>
    </w:p>
    <w:p>
      <w:pPr>
        <w:pStyle w:val="BodyText"/>
        <w:spacing w:before="8"/>
      </w:pPr>
    </w:p>
    <w:p>
      <w:pPr>
        <w:pStyle w:val="Heading4"/>
        <w:spacing w:before="1"/>
        <w:ind w:left="1924"/>
      </w:pPr>
      <w:r>
        <w:rPr/>
        <w:t>Figure</w:t>
      </w:r>
      <w:r>
        <w:rPr>
          <w:spacing w:val="-3"/>
        </w:rPr>
        <w:t> </w:t>
      </w:r>
      <w:r>
        <w:rPr/>
        <w:t>1.</w:t>
      </w:r>
      <w:r>
        <w:rPr>
          <w:spacing w:val="-3"/>
        </w:rPr>
        <w:t> </w:t>
      </w:r>
      <w:r>
        <w:rPr/>
        <w:t>Twenty</w:t>
      </w:r>
      <w:r>
        <w:rPr>
          <w:spacing w:val="-2"/>
        </w:rPr>
        <w:t> </w:t>
      </w:r>
      <w:r>
        <w:rPr/>
        <w:t>principles</w:t>
      </w:r>
      <w:r>
        <w:rPr>
          <w:spacing w:val="-3"/>
        </w:rPr>
        <w:t> </w:t>
      </w:r>
      <w:r>
        <w:rPr/>
        <w:t>of</w:t>
      </w:r>
      <w:r>
        <w:rPr>
          <w:spacing w:val="-2"/>
        </w:rPr>
        <w:t> </w:t>
      </w:r>
      <w:r>
        <w:rPr/>
        <w:t>ERM</w:t>
      </w:r>
      <w:r>
        <w:rPr>
          <w:spacing w:val="-3"/>
        </w:rPr>
        <w:t> </w:t>
      </w:r>
      <w:r>
        <w:rPr/>
        <w:t>identified</w:t>
      </w:r>
      <w:r>
        <w:rPr>
          <w:spacing w:val="-2"/>
        </w:rPr>
        <w:t> </w:t>
      </w:r>
      <w:r>
        <w:rPr/>
        <w:t>by</w:t>
      </w:r>
      <w:r>
        <w:rPr>
          <w:spacing w:val="-3"/>
        </w:rPr>
        <w:t> </w:t>
      </w:r>
      <w:r>
        <w:rPr/>
        <w:t>COSO</w:t>
      </w:r>
      <w:r>
        <w:rPr>
          <w:spacing w:val="-2"/>
        </w:rPr>
        <w:t> (2017)</w:t>
      </w:r>
    </w:p>
    <w:p>
      <w:pPr>
        <w:pStyle w:val="BodyText"/>
        <w:spacing w:before="162"/>
        <w:rPr>
          <w:b/>
        </w:rPr>
      </w:pPr>
    </w:p>
    <w:p>
      <w:pPr>
        <w:pStyle w:val="BodyText"/>
        <w:spacing w:line="230" w:lineRule="auto" w:before="1"/>
        <w:ind w:left="716" w:right="1375"/>
        <w:jc w:val="both"/>
      </w:pPr>
      <w:r>
        <w:rPr/>
        <w:t>A second core benefit of AI is its ability to detect non-linear correlations that inform </w:t>
      </w:r>
      <w:r>
        <w:rPr/>
        <w:t>COSO Principle 3 (Defining Desired Culture) and Principle 7 (Defining Risk</w:t>
      </w:r>
      <w:r>
        <w:rPr>
          <w:spacing w:val="-2"/>
        </w:rPr>
        <w:t> </w:t>
      </w:r>
      <w:r>
        <w:rPr/>
        <w:t>Appetite).</w:t>
      </w:r>
      <w:r>
        <w:rPr>
          <w:spacing w:val="-2"/>
        </w:rPr>
        <w:t> </w:t>
      </w:r>
      <w:r>
        <w:rPr/>
        <w:t>AI</w:t>
      </w:r>
      <w:r>
        <w:rPr>
          <w:spacing w:val="-2"/>
        </w:rPr>
        <w:t> </w:t>
      </w:r>
      <w:r>
        <w:rPr/>
        <w:t>can</w:t>
      </w:r>
      <w:r>
        <w:rPr>
          <w:spacing w:val="-2"/>
        </w:rPr>
        <w:t> </w:t>
      </w:r>
      <w:r>
        <w:rPr/>
        <w:t>uncover previously hidden or unrecognizable trends and relationships critical for understanding how various factors influence risk (COSO, 2017). Organizations</w:t>
      </w:r>
      <w:r>
        <w:rPr>
          <w:spacing w:val="-3"/>
        </w:rPr>
        <w:t> </w:t>
      </w:r>
      <w:r>
        <w:rPr/>
        <w:t>can</w:t>
      </w:r>
      <w:r>
        <w:rPr>
          <w:spacing w:val="-3"/>
        </w:rPr>
        <w:t> </w:t>
      </w:r>
      <w:r>
        <w:rPr/>
        <w:t>use</w:t>
      </w:r>
      <w:r>
        <w:rPr>
          <w:spacing w:val="-3"/>
        </w:rPr>
        <w:t> </w:t>
      </w:r>
      <w:r>
        <w:rPr/>
        <w:t>these</w:t>
      </w:r>
      <w:r>
        <w:rPr>
          <w:spacing w:val="-3"/>
        </w:rPr>
        <w:t> </w:t>
      </w:r>
      <w:r>
        <w:rPr/>
        <w:t>insights</w:t>
      </w:r>
      <w:r>
        <w:rPr>
          <w:spacing w:val="-3"/>
        </w:rPr>
        <w:t> </w:t>
      </w:r>
      <w:r>
        <w:rPr/>
        <w:t>to</w:t>
      </w:r>
      <w:r>
        <w:rPr>
          <w:spacing w:val="-3"/>
        </w:rPr>
        <w:t> </w:t>
      </w:r>
      <w:r>
        <w:rPr/>
        <w:t>link</w:t>
      </w:r>
      <w:r>
        <w:rPr>
          <w:spacing w:val="-3"/>
        </w:rPr>
        <w:t> </w:t>
      </w:r>
      <w:r>
        <w:rPr/>
        <w:t>specific cultural attributes to business outcomes and identify where current risk-taking behaviors are misaligned with strategic objectives. By providing data-driven evidence of cultural drift a firm may enhance their risk consciousness.</w:t>
      </w:r>
    </w:p>
    <w:p>
      <w:pPr>
        <w:pStyle w:val="BodyText"/>
        <w:spacing w:line="230" w:lineRule="auto" w:before="242"/>
        <w:ind w:left="716" w:right="1375"/>
        <w:jc w:val="both"/>
      </w:pPr>
      <w:r>
        <w:rPr/>
        <w:t>Hubert et al. (2024) argues that generative AI is particularly effective for tasks requiring</w:t>
      </w:r>
      <w:r>
        <w:rPr>
          <w:spacing w:val="40"/>
        </w:rPr>
        <w:t> </w:t>
      </w:r>
      <w:r>
        <w:rPr/>
        <w:t>divergent</w:t>
      </w:r>
      <w:r>
        <w:rPr>
          <w:spacing w:val="40"/>
        </w:rPr>
        <w:t> </w:t>
      </w:r>
      <w:r>
        <w:rPr/>
        <w:t>thinking. As such, this third core benefit</w:t>
      </w:r>
      <w:r>
        <w:rPr>
          <w:spacing w:val="-2"/>
        </w:rPr>
        <w:t> </w:t>
      </w:r>
      <w:r>
        <w:rPr/>
        <w:t>of</w:t>
      </w:r>
      <w:r>
        <w:rPr>
          <w:spacing w:val="-2"/>
        </w:rPr>
        <w:t> </w:t>
      </w:r>
      <w:r>
        <w:rPr/>
        <w:t>AI</w:t>
      </w:r>
      <w:r>
        <w:rPr>
          <w:spacing w:val="-2"/>
        </w:rPr>
        <w:t> </w:t>
      </w:r>
      <w:r>
        <w:rPr/>
        <w:t>helps</w:t>
      </w:r>
      <w:r>
        <w:rPr>
          <w:spacing w:val="-2"/>
        </w:rPr>
        <w:t> </w:t>
      </w:r>
      <w:r>
        <w:rPr/>
        <w:t>risk</w:t>
      </w:r>
      <w:r>
        <w:rPr>
          <w:spacing w:val="-2"/>
        </w:rPr>
        <w:t> </w:t>
      </w:r>
      <w:r>
        <w:rPr/>
        <w:t>managers</w:t>
      </w:r>
      <w:r>
        <w:rPr>
          <w:spacing w:val="-2"/>
        </w:rPr>
        <w:t> </w:t>
      </w:r>
      <w:r>
        <w:rPr/>
        <w:t>brainstorm</w:t>
      </w:r>
      <w:r>
        <w:rPr>
          <w:spacing w:val="-2"/>
        </w:rPr>
        <w:t> </w:t>
      </w:r>
      <w:r>
        <w:rPr/>
        <w:t>a</w:t>
      </w:r>
      <w:r>
        <w:rPr>
          <w:spacing w:val="-2"/>
        </w:rPr>
        <w:t> </w:t>
      </w:r>
      <w:r>
        <w:rPr/>
        <w:t>wider variety of</w:t>
      </w:r>
      <w:r>
        <w:rPr>
          <w:spacing w:val="40"/>
        </w:rPr>
        <w:t> </w:t>
      </w:r>
      <w:r>
        <w:rPr/>
        <w:t>potential disruptions, including "black swan" events, and identify non-traditional strategic</w:t>
      </w:r>
      <w:r>
        <w:rPr>
          <w:spacing w:val="40"/>
        </w:rPr>
        <w:t> </w:t>
      </w:r>
      <w:r>
        <w:rPr/>
        <w:t>alternatives that managers might overlook due to cognitive limitations. This capability allows for</w:t>
      </w:r>
      <w:r>
        <w:rPr>
          <w:spacing w:val="80"/>
        </w:rPr>
        <w:t> </w:t>
      </w:r>
      <w:r>
        <w:rPr/>
        <w:t>a deeper exploration of the business context and subsequent strategic paths. This in turn can</w:t>
      </w:r>
      <w:r>
        <w:rPr>
          <w:spacing w:val="-3"/>
        </w:rPr>
        <w:t> </w:t>
      </w:r>
      <w:r>
        <w:rPr/>
        <w:t>assist</w:t>
      </w:r>
      <w:r>
        <w:rPr>
          <w:spacing w:val="40"/>
        </w:rPr>
        <w:t> </w:t>
      </w:r>
      <w:r>
        <w:rPr/>
        <w:t>in</w:t>
      </w:r>
      <w:r>
        <w:rPr>
          <w:spacing w:val="-3"/>
        </w:rPr>
        <w:t> </w:t>
      </w:r>
      <w:r>
        <w:rPr/>
        <w:t>overcoming</w:t>
      </w:r>
      <w:r>
        <w:rPr>
          <w:spacing w:val="-3"/>
        </w:rPr>
        <w:t> </w:t>
      </w:r>
      <w:r>
        <w:rPr/>
        <w:t>cognitive</w:t>
      </w:r>
      <w:r>
        <w:rPr>
          <w:spacing w:val="-3"/>
        </w:rPr>
        <w:t> </w:t>
      </w:r>
      <w:r>
        <w:rPr/>
        <w:t>biases</w:t>
      </w:r>
      <w:r>
        <w:rPr>
          <w:spacing w:val="-3"/>
        </w:rPr>
        <w:t> </w:t>
      </w:r>
      <w:r>
        <w:rPr/>
        <w:t>like</w:t>
      </w:r>
      <w:r>
        <w:rPr>
          <w:spacing w:val="-3"/>
        </w:rPr>
        <w:t> </w:t>
      </w:r>
      <w:r>
        <w:rPr/>
        <w:t>groupthink</w:t>
      </w:r>
      <w:r>
        <w:rPr>
          <w:spacing w:val="-3"/>
        </w:rPr>
        <w:t> </w:t>
      </w:r>
      <w:r>
        <w:rPr/>
        <w:t>and</w:t>
      </w:r>
      <w:r>
        <w:rPr>
          <w:spacing w:val="-3"/>
        </w:rPr>
        <w:t> </w:t>
      </w:r>
      <w:r>
        <w:rPr/>
        <w:t>anchoring,</w:t>
      </w:r>
      <w:r>
        <w:rPr>
          <w:spacing w:val="-3"/>
        </w:rPr>
        <w:t> </w:t>
      </w:r>
      <w:r>
        <w:rPr/>
        <w:t>which</w:t>
      </w:r>
      <w:r>
        <w:rPr>
          <w:spacing w:val="-3"/>
        </w:rPr>
        <w:t> </w:t>
      </w:r>
      <w:r>
        <w:rPr/>
        <w:t>is</w:t>
      </w:r>
      <w:r>
        <w:rPr>
          <w:spacing w:val="-3"/>
        </w:rPr>
        <w:t> </w:t>
      </w:r>
      <w:r>
        <w:rPr/>
        <w:t>central</w:t>
      </w:r>
      <w:r>
        <w:rPr>
          <w:spacing w:val="-3"/>
        </w:rPr>
        <w:t> </w:t>
      </w:r>
      <w:r>
        <w:rPr/>
        <w:t>for COSO</w:t>
      </w:r>
      <w:r>
        <w:rPr>
          <w:spacing w:val="40"/>
        </w:rPr>
        <w:t> </w:t>
      </w:r>
      <w:r>
        <w:rPr/>
        <w:t>Principle 8 (Evaluates Alternative Strategies) and Principle 10 (Identifies Risk).</w:t>
      </w:r>
    </w:p>
    <w:p>
      <w:pPr>
        <w:pStyle w:val="BodyText"/>
        <w:spacing w:line="230" w:lineRule="auto" w:before="260"/>
        <w:ind w:left="716" w:right="1377"/>
        <w:jc w:val="both"/>
      </w:pPr>
      <w:r>
        <w:rPr/>
        <w:t>A fourth benefit of AI to support ERM is its ability to enhance the precision of COSO</w:t>
      </w:r>
      <w:r>
        <w:rPr>
          <w:spacing w:val="-2"/>
        </w:rPr>
        <w:t> </w:t>
      </w:r>
      <w:r>
        <w:rPr/>
        <w:t>Principle 12 (Prioritizes Risk) and Principle 7 (Defining Risk Appetite) through sophisticated</w:t>
      </w:r>
      <w:r>
        <w:rPr>
          <w:spacing w:val="-3"/>
        </w:rPr>
        <w:t> </w:t>
      </w:r>
      <w:r>
        <w:rPr/>
        <w:t>simulations. AI tools have been identified as highly effective at generating complex scenarios and revenue forecasts (Sohrabi et al., 2018; Boillet, 2018). By modeling thousands of variables simultaneously,</w:t>
      </w:r>
      <w:r>
        <w:rPr>
          <w:spacing w:val="40"/>
        </w:rPr>
        <w:t> </w:t>
      </w:r>
      <w:r>
        <w:rPr/>
        <w:t>AI can provide assessments of risk severity. This helps boards to stress test</w:t>
      </w:r>
      <w:r>
        <w:rPr>
          <w:spacing w:val="-4"/>
        </w:rPr>
        <w:t> </w:t>
      </w:r>
      <w:r>
        <w:rPr/>
        <w:t>and visualize the</w:t>
      </w:r>
      <w:r>
        <w:rPr>
          <w:spacing w:val="40"/>
        </w:rPr>
        <w:t> </w:t>
      </w:r>
      <w:r>
        <w:rPr/>
        <w:t>potential consequences of different risk appetite levels before finalizing strategic statements, by</w:t>
      </w:r>
      <w:r>
        <w:rPr>
          <w:spacing w:val="40"/>
        </w:rPr>
        <w:t> </w:t>
      </w:r>
      <w:r>
        <w:rPr/>
        <w:t>predicting financial impacts, operational hazards, or market disruptions. This allows evaluation</w:t>
      </w:r>
      <w:r>
        <w:rPr>
          <w:spacing w:val="80"/>
        </w:rPr>
        <w:t> </w:t>
      </w:r>
      <w:r>
        <w:rPr/>
        <w:t>based on quantified impact and probability estimates rather than intuition </w:t>
      </w:r>
      <w:r>
        <w:rPr>
          <w:spacing w:val="-2"/>
        </w:rPr>
        <w:t>alone.</w:t>
      </w:r>
    </w:p>
    <w:p>
      <w:pPr>
        <w:pStyle w:val="BodyText"/>
        <w:spacing w:line="230" w:lineRule="auto" w:before="241"/>
        <w:ind w:left="701" w:right="1377" w:firstLine="15"/>
        <w:jc w:val="both"/>
      </w:pPr>
      <w:r>
        <w:rPr/>
        <w:t>However, the use of gen-AI comes with potential risks, including the production of biased </w:t>
      </w:r>
      <w:r>
        <w:rPr/>
        <w:t>or inaccurate outputs (Singla et al., 2024; Urbani et al., 2024). Explainability and black box issues (Calagna et al., 2021) are another risk factor along with overreliance and the erosion of human judgment (Dell'Acqua et al., 2023). Likewise, AI systems are uniquely vulnerable to adversarial attacks that can compromise the integrity of risk assessments across multiple COSO principles (Obsidian Security, 2025). The authors will briefly discuss each of these risks.</w:t>
      </w:r>
    </w:p>
    <w:p>
      <w:pPr>
        <w:pStyle w:val="BodyText"/>
        <w:spacing w:line="230" w:lineRule="auto" w:before="243"/>
        <w:ind w:left="716" w:right="1383" w:firstLine="15"/>
        <w:jc w:val="both"/>
      </w:pPr>
      <w:r>
        <w:rPr/>
        <w:t>The first primary risk identified is biased or inaccurate outputs</w:t>
      </w:r>
      <w:r>
        <w:rPr>
          <w:spacing w:val="-2"/>
        </w:rPr>
        <w:t> </w:t>
      </w:r>
      <w:r>
        <w:rPr/>
        <w:t>(Singla</w:t>
      </w:r>
      <w:r>
        <w:rPr>
          <w:spacing w:val="-2"/>
        </w:rPr>
        <w:t> </w:t>
      </w:r>
      <w:r>
        <w:rPr/>
        <w:t>et</w:t>
      </w:r>
      <w:r>
        <w:rPr>
          <w:spacing w:val="-2"/>
        </w:rPr>
        <w:t> </w:t>
      </w:r>
      <w:r>
        <w:rPr/>
        <w:t>al.,</w:t>
      </w:r>
      <w:r>
        <w:rPr>
          <w:spacing w:val="-2"/>
        </w:rPr>
        <w:t> </w:t>
      </w:r>
      <w:r>
        <w:rPr/>
        <w:t>2024;</w:t>
      </w:r>
      <w:r>
        <w:rPr>
          <w:spacing w:val="-2"/>
        </w:rPr>
        <w:t> </w:t>
      </w:r>
      <w:r>
        <w:rPr/>
        <w:t>Urbani</w:t>
      </w:r>
      <w:r>
        <w:rPr>
          <w:spacing w:val="-2"/>
        </w:rPr>
        <w:t> </w:t>
      </w:r>
      <w:r>
        <w:rPr/>
        <w:t>et</w:t>
      </w:r>
      <w:r>
        <w:rPr>
          <w:spacing w:val="-2"/>
        </w:rPr>
        <w:t> </w:t>
      </w:r>
      <w:r>
        <w:rPr/>
        <w:t>al., 2024).</w:t>
      </w:r>
      <w:r>
        <w:rPr>
          <w:spacing w:val="75"/>
        </w:rPr>
        <w:t> </w:t>
      </w:r>
      <w:r>
        <w:rPr/>
        <w:t>Biased</w:t>
      </w:r>
      <w:r>
        <w:rPr>
          <w:spacing w:val="75"/>
        </w:rPr>
        <w:t> </w:t>
      </w:r>
      <w:r>
        <w:rPr/>
        <w:t>outputs</w:t>
      </w:r>
      <w:r>
        <w:rPr>
          <w:spacing w:val="75"/>
        </w:rPr>
        <w:t> </w:t>
      </w:r>
      <w:r>
        <w:rPr/>
        <w:t>are</w:t>
      </w:r>
      <w:r>
        <w:rPr>
          <w:spacing w:val="75"/>
        </w:rPr>
        <w:t> </w:t>
      </w:r>
      <w:r>
        <w:rPr/>
        <w:t>an</w:t>
      </w:r>
      <w:r>
        <w:rPr>
          <w:spacing w:val="75"/>
        </w:rPr>
        <w:t> </w:t>
      </w:r>
      <w:r>
        <w:rPr/>
        <w:t>inherent</w:t>
      </w:r>
      <w:r>
        <w:rPr>
          <w:spacing w:val="75"/>
        </w:rPr>
        <w:t> </w:t>
      </w:r>
      <w:r>
        <w:rPr/>
        <w:t>risk</w:t>
      </w:r>
      <w:r>
        <w:rPr>
          <w:spacing w:val="75"/>
        </w:rPr>
        <w:t> </w:t>
      </w:r>
      <w:r>
        <w:rPr/>
        <w:t>if</w:t>
      </w:r>
      <w:r>
        <w:rPr>
          <w:spacing w:val="75"/>
        </w:rPr>
        <w:t> </w:t>
      </w:r>
      <w:r>
        <w:rPr/>
        <w:t>the</w:t>
      </w:r>
      <w:r>
        <w:rPr>
          <w:spacing w:val="60"/>
        </w:rPr>
        <w:t> </w:t>
      </w:r>
      <w:r>
        <w:rPr/>
        <w:t>data</w:t>
      </w:r>
      <w:r>
        <w:rPr>
          <w:spacing w:val="60"/>
        </w:rPr>
        <w:t> </w:t>
      </w:r>
      <w:r>
        <w:rPr/>
        <w:t>AI</w:t>
      </w:r>
      <w:r>
        <w:rPr>
          <w:spacing w:val="60"/>
        </w:rPr>
        <w:t> </w:t>
      </w:r>
      <w:r>
        <w:rPr/>
        <w:t>is</w:t>
      </w:r>
      <w:r>
        <w:rPr>
          <w:spacing w:val="60"/>
        </w:rPr>
        <w:t> </w:t>
      </w:r>
      <w:r>
        <w:rPr/>
        <w:t>trained</w:t>
      </w:r>
      <w:r>
        <w:rPr>
          <w:spacing w:val="60"/>
        </w:rPr>
        <w:t> </w:t>
      </w:r>
      <w:r>
        <w:rPr/>
        <w:t>on</w:t>
      </w:r>
      <w:r>
        <w:rPr>
          <w:spacing w:val="60"/>
        </w:rPr>
        <w:t> </w:t>
      </w:r>
      <w:r>
        <w:rPr/>
        <w:t>contains</w:t>
      </w:r>
      <w:r>
        <w:rPr>
          <w:spacing w:val="60"/>
        </w:rPr>
        <w:t> </w:t>
      </w:r>
      <w:r>
        <w:rPr>
          <w:spacing w:val="-2"/>
        </w:rPr>
        <w:t>historical</w:t>
      </w:r>
    </w:p>
    <w:p>
      <w:pPr>
        <w:pStyle w:val="BodyText"/>
        <w:spacing w:after="0" w:line="230" w:lineRule="auto"/>
        <w:jc w:val="both"/>
        <w:sectPr>
          <w:pgSz w:w="12240" w:h="15840"/>
          <w:pgMar w:header="0" w:footer="707" w:top="700" w:bottom="960" w:left="720" w:right="0"/>
        </w:sectPr>
      </w:pPr>
    </w:p>
    <w:p>
      <w:pPr>
        <w:pStyle w:val="BodyText"/>
        <w:spacing w:line="230" w:lineRule="auto" w:before="80"/>
        <w:ind w:left="716" w:right="1374"/>
        <w:jc w:val="both"/>
      </w:pPr>
      <w:r>
        <w:rPr/>
        <w:t>prejudices.</w:t>
      </w:r>
      <w:r>
        <w:rPr>
          <w:spacing w:val="40"/>
        </w:rPr>
        <w:t> </w:t>
      </w:r>
      <w:r>
        <w:rPr/>
        <w:t>Workday (2025) suggests "risk management teams must be adept at </w:t>
      </w:r>
      <w:r>
        <w:rPr/>
        <w:t>navigating potential issues</w:t>
      </w:r>
      <w:r>
        <w:rPr>
          <w:spacing w:val="80"/>
        </w:rPr>
        <w:t> </w:t>
      </w:r>
      <w:r>
        <w:rPr/>
        <w:t>like bias”.</w:t>
      </w:r>
      <w:r>
        <w:rPr>
          <w:spacing w:val="-3"/>
        </w:rPr>
        <w:t> </w:t>
      </w:r>
      <w:r>
        <w:rPr/>
        <w:t>In</w:t>
      </w:r>
      <w:r>
        <w:rPr>
          <w:spacing w:val="-3"/>
        </w:rPr>
        <w:t> </w:t>
      </w:r>
      <w:r>
        <w:rPr/>
        <w:t>this</w:t>
      </w:r>
      <w:r>
        <w:rPr>
          <w:spacing w:val="-3"/>
        </w:rPr>
        <w:t> </w:t>
      </w:r>
      <w:r>
        <w:rPr/>
        <w:t>manner,</w:t>
      </w:r>
      <w:r>
        <w:rPr>
          <w:spacing w:val="-3"/>
        </w:rPr>
        <w:t> </w:t>
      </w:r>
      <w:r>
        <w:rPr/>
        <w:t>AI</w:t>
      </w:r>
      <w:r>
        <w:rPr>
          <w:spacing w:val="-3"/>
        </w:rPr>
        <w:t> </w:t>
      </w:r>
      <w:r>
        <w:rPr/>
        <w:t>could</w:t>
      </w:r>
      <w:r>
        <w:rPr>
          <w:spacing w:val="-3"/>
        </w:rPr>
        <w:t> </w:t>
      </w:r>
      <w:r>
        <w:rPr/>
        <w:t>potentially</w:t>
      </w:r>
      <w:r>
        <w:rPr>
          <w:spacing w:val="-3"/>
        </w:rPr>
        <w:t> </w:t>
      </w:r>
      <w:r>
        <w:rPr/>
        <w:t>screen</w:t>
      </w:r>
      <w:r>
        <w:rPr>
          <w:spacing w:val="-3"/>
        </w:rPr>
        <w:t> </w:t>
      </w:r>
      <w:r>
        <w:rPr/>
        <w:t>out</w:t>
      </w:r>
      <w:r>
        <w:rPr>
          <w:spacing w:val="-3"/>
        </w:rPr>
        <w:t> </w:t>
      </w:r>
      <w:r>
        <w:rPr/>
        <w:t>good</w:t>
      </w:r>
      <w:r>
        <w:rPr>
          <w:spacing w:val="-3"/>
        </w:rPr>
        <w:t> </w:t>
      </w:r>
      <w:r>
        <w:rPr/>
        <w:t>candidates</w:t>
      </w:r>
      <w:r>
        <w:rPr>
          <w:spacing w:val="-3"/>
        </w:rPr>
        <w:t> </w:t>
      </w:r>
      <w:r>
        <w:rPr/>
        <w:t>which is counter to</w:t>
      </w:r>
      <w:r>
        <w:rPr>
          <w:spacing w:val="40"/>
        </w:rPr>
        <w:t> </w:t>
      </w:r>
      <w:r>
        <w:rPr/>
        <w:t>COSO principle 5 (Attracts, Develops, and Retains Capable Individuals). Also, inaccurate data</w:t>
      </w:r>
      <w:r>
        <w:rPr>
          <w:spacing w:val="40"/>
        </w:rPr>
        <w:t> </w:t>
      </w:r>
      <w:r>
        <w:rPr/>
        <w:t>could fail to identify emerging risks leading to possible</w:t>
      </w:r>
      <w:r>
        <w:rPr>
          <w:spacing w:val="-2"/>
        </w:rPr>
        <w:t> </w:t>
      </w:r>
      <w:r>
        <w:rPr/>
        <w:t>strategic</w:t>
      </w:r>
      <w:r>
        <w:rPr>
          <w:spacing w:val="-2"/>
        </w:rPr>
        <w:t> </w:t>
      </w:r>
      <w:r>
        <w:rPr/>
        <w:t>blind</w:t>
      </w:r>
      <w:r>
        <w:rPr>
          <w:spacing w:val="-2"/>
        </w:rPr>
        <w:t> </w:t>
      </w:r>
      <w:r>
        <w:rPr/>
        <w:t>spots</w:t>
      </w:r>
      <w:r>
        <w:rPr>
          <w:spacing w:val="-2"/>
        </w:rPr>
        <w:t> </w:t>
      </w:r>
      <w:r>
        <w:rPr/>
        <w:t>and ineffective use of</w:t>
      </w:r>
      <w:r>
        <w:rPr>
          <w:spacing w:val="40"/>
        </w:rPr>
        <w:t> </w:t>
      </w:r>
      <w:r>
        <w:rPr/>
        <w:t>Principle 10 (Identifies Risk).</w:t>
      </w:r>
    </w:p>
    <w:p>
      <w:pPr>
        <w:pStyle w:val="BodyText"/>
        <w:spacing w:line="230" w:lineRule="auto" w:before="241"/>
        <w:ind w:left="716" w:right="1374" w:firstLine="15"/>
        <w:jc w:val="both"/>
      </w:pPr>
      <w:r>
        <w:rPr/>
        <w:t>The lack of transparency in AI decision-making creates significant hurdles for Principle </w:t>
      </w:r>
      <w:r>
        <w:rPr/>
        <w:t>1 (Exercises Board Risk Oversight) and Principle 12 (Prioritizes Risk). AI systems need to be explainable and auditable to allow users to explain the rationale behind AI generated recommendations (Calagna et al., 2021). For example, Calagna et al. (2021) suggest that the</w:t>
      </w:r>
      <w:r>
        <w:rPr>
          <w:spacing w:val="40"/>
        </w:rPr>
        <w:t> </w:t>
      </w:r>
      <w:r>
        <w:rPr/>
        <w:t>black</w:t>
      </w:r>
      <w:r>
        <w:rPr>
          <w:spacing w:val="40"/>
        </w:rPr>
        <w:t> </w:t>
      </w:r>
      <w:r>
        <w:rPr/>
        <w:t>box nature of some AI models make it difficult to explain certain decisions</w:t>
      </w:r>
      <w:r>
        <w:rPr>
          <w:spacing w:val="-2"/>
        </w:rPr>
        <w:t> </w:t>
      </w:r>
      <w:r>
        <w:rPr/>
        <w:t>or</w:t>
      </w:r>
      <w:r>
        <w:rPr>
          <w:spacing w:val="-2"/>
        </w:rPr>
        <w:t> </w:t>
      </w:r>
      <w:r>
        <w:rPr/>
        <w:t>understand the</w:t>
      </w:r>
      <w:r>
        <w:rPr>
          <w:spacing w:val="40"/>
        </w:rPr>
        <w:t> </w:t>
      </w:r>
      <w:r>
        <w:rPr/>
        <w:t>underlying logic behind them. If the board and senior management cannot understand or explain</w:t>
      </w:r>
      <w:r>
        <w:rPr>
          <w:spacing w:val="40"/>
        </w:rPr>
        <w:t> </w:t>
      </w:r>
      <w:r>
        <w:rPr/>
        <w:t>the rationale behind AI-generated recommendations, they cannot effectively fulfill their fiduciary</w:t>
      </w:r>
      <w:r>
        <w:rPr>
          <w:spacing w:val="40"/>
        </w:rPr>
        <w:t> </w:t>
      </w:r>
      <w:r>
        <w:rPr/>
        <w:t>oversight responsibilities or communicate strategic risk assessments to stakeholders.</w:t>
      </w:r>
    </w:p>
    <w:p>
      <w:pPr>
        <w:pStyle w:val="BodyText"/>
        <w:spacing w:line="230" w:lineRule="auto" w:before="242"/>
        <w:ind w:left="716" w:right="1376" w:firstLine="15"/>
        <w:jc w:val="both"/>
      </w:pPr>
      <w:r>
        <w:rPr/>
        <w:t>The third risk area lies in overreliance and the attrition of human judgement. Managers may become accustomed to accepting AI generated outcomes at the expense of abdicating </w:t>
      </w:r>
      <w:r>
        <w:rPr/>
        <w:t>their strategic and ethical judgment. Dell’Acqua et al., (2023) suggests that overreliance on AI where human judgment is critical, like with</w:t>
      </w:r>
      <w:r>
        <w:rPr>
          <w:spacing w:val="-2"/>
        </w:rPr>
        <w:t> </w:t>
      </w:r>
      <w:r>
        <w:rPr/>
        <w:t>soft</w:t>
      </w:r>
      <w:r>
        <w:rPr>
          <w:spacing w:val="-2"/>
        </w:rPr>
        <w:t> </w:t>
      </w:r>
      <w:r>
        <w:rPr/>
        <w:t>skills</w:t>
      </w:r>
      <w:r>
        <w:rPr>
          <w:spacing w:val="-2"/>
        </w:rPr>
        <w:t> </w:t>
      </w:r>
      <w:r>
        <w:rPr/>
        <w:t>or</w:t>
      </w:r>
      <w:r>
        <w:rPr>
          <w:spacing w:val="-2"/>
        </w:rPr>
        <w:t> </w:t>
      </w:r>
      <w:r>
        <w:rPr/>
        <w:t>cultural</w:t>
      </w:r>
      <w:r>
        <w:rPr>
          <w:spacing w:val="-2"/>
        </w:rPr>
        <w:t> </w:t>
      </w:r>
      <w:r>
        <w:rPr/>
        <w:t>fit</w:t>
      </w:r>
      <w:r>
        <w:rPr>
          <w:spacing w:val="-2"/>
        </w:rPr>
        <w:t> </w:t>
      </w:r>
      <w:r>
        <w:rPr/>
        <w:t>can</w:t>
      </w:r>
      <w:r>
        <w:rPr>
          <w:spacing w:val="-2"/>
        </w:rPr>
        <w:t> </w:t>
      </w:r>
      <w:r>
        <w:rPr/>
        <w:t>lead</w:t>
      </w:r>
      <w:r>
        <w:rPr>
          <w:spacing w:val="-2"/>
        </w:rPr>
        <w:t> </w:t>
      </w:r>
      <w:r>
        <w:rPr/>
        <w:t>to</w:t>
      </w:r>
      <w:r>
        <w:rPr>
          <w:spacing w:val="-2"/>
        </w:rPr>
        <w:t> </w:t>
      </w:r>
      <w:r>
        <w:rPr/>
        <w:t>a</w:t>
      </w:r>
      <w:r>
        <w:rPr>
          <w:spacing w:val="-2"/>
        </w:rPr>
        <w:t> </w:t>
      </w:r>
      <w:r>
        <w:rPr/>
        <w:t>decrease</w:t>
      </w:r>
      <w:r>
        <w:rPr>
          <w:spacing w:val="-2"/>
        </w:rPr>
        <w:t> </w:t>
      </w:r>
      <w:r>
        <w:rPr/>
        <w:t>in</w:t>
      </w:r>
      <w:r>
        <w:rPr>
          <w:spacing w:val="-2"/>
        </w:rPr>
        <w:t> </w:t>
      </w:r>
      <w:r>
        <w:rPr/>
        <w:t>overall</w:t>
      </w:r>
      <w:r>
        <w:rPr>
          <w:spacing w:val="-2"/>
        </w:rPr>
        <w:t> </w:t>
      </w:r>
      <w:r>
        <w:rPr/>
        <w:t>job performance. This risk directly threatens the integrity of Principle 2 (Establishes Operating Structures) and Principle 8 (Evaluates Alternative Strategies). Ignoring qualitative nuances or moral considerations that AI algorithms cannot process may erode the trust of managers’ </w:t>
      </w:r>
      <w:r>
        <w:rPr>
          <w:spacing w:val="-2"/>
        </w:rPr>
        <w:t>decisions.</w:t>
      </w:r>
    </w:p>
    <w:p>
      <w:pPr>
        <w:pStyle w:val="BodyText"/>
        <w:spacing w:before="242"/>
        <w:ind w:left="716" w:right="1379"/>
        <w:jc w:val="both"/>
      </w:pPr>
      <w:r>
        <w:rPr/>
        <w:t>AI systems are uniquely vulnerable to adversarial attacks that can compromise the integrity </w:t>
      </w:r>
      <w:r>
        <w:rPr/>
        <w:t>of</w:t>
      </w:r>
      <w:r>
        <w:rPr>
          <w:spacing w:val="40"/>
        </w:rPr>
        <w:t> </w:t>
      </w:r>
      <w:r>
        <w:rPr/>
        <w:t>risk</w:t>
      </w:r>
      <w:r>
        <w:rPr>
          <w:spacing w:val="80"/>
        </w:rPr>
        <w:t> </w:t>
      </w:r>
      <w:r>
        <w:rPr/>
        <w:t>assessments in the</w:t>
      </w:r>
      <w:r>
        <w:rPr>
          <w:spacing w:val="-3"/>
        </w:rPr>
        <w:t> </w:t>
      </w:r>
      <w:r>
        <w:rPr/>
        <w:t>outputs</w:t>
      </w:r>
      <w:r>
        <w:rPr>
          <w:spacing w:val="-3"/>
        </w:rPr>
        <w:t> </w:t>
      </w:r>
      <w:r>
        <w:rPr/>
        <w:t>generated</w:t>
      </w:r>
      <w:r>
        <w:rPr>
          <w:spacing w:val="-3"/>
        </w:rPr>
        <w:t> </w:t>
      </w:r>
      <w:r>
        <w:rPr/>
        <w:t>by</w:t>
      </w:r>
      <w:r>
        <w:rPr>
          <w:spacing w:val="-3"/>
        </w:rPr>
        <w:t> </w:t>
      </w:r>
      <w:r>
        <w:rPr/>
        <w:t>AI.</w:t>
      </w:r>
      <w:r>
        <w:rPr>
          <w:spacing w:val="-3"/>
        </w:rPr>
        <w:t> </w:t>
      </w:r>
      <w:r>
        <w:rPr/>
        <w:t>Such</w:t>
      </w:r>
      <w:r>
        <w:rPr>
          <w:spacing w:val="-3"/>
        </w:rPr>
        <w:t> </w:t>
      </w:r>
      <w:r>
        <w:rPr/>
        <w:t>cybersecurity</w:t>
      </w:r>
      <w:r>
        <w:rPr>
          <w:spacing w:val="-3"/>
        </w:rPr>
        <w:t> </w:t>
      </w:r>
      <w:r>
        <w:rPr/>
        <w:t>threats</w:t>
      </w:r>
      <w:r>
        <w:rPr>
          <w:spacing w:val="-3"/>
        </w:rPr>
        <w:t> </w:t>
      </w:r>
      <w:r>
        <w:rPr/>
        <w:t>and</w:t>
      </w:r>
      <w:r>
        <w:rPr>
          <w:spacing w:val="-3"/>
        </w:rPr>
        <w:t> </w:t>
      </w:r>
      <w:r>
        <w:rPr/>
        <w:t>data</w:t>
      </w:r>
      <w:r>
        <w:rPr>
          <w:spacing w:val="-3"/>
        </w:rPr>
        <w:t> </w:t>
      </w:r>
      <w:r>
        <w:rPr/>
        <w:t>poisoning</w:t>
      </w:r>
      <w:r>
        <w:rPr>
          <w:spacing w:val="-3"/>
        </w:rPr>
        <w:t> </w:t>
      </w:r>
      <w:r>
        <w:rPr/>
        <w:t>is a</w:t>
      </w:r>
      <w:r>
        <w:rPr>
          <w:spacing w:val="40"/>
        </w:rPr>
        <w:t> </w:t>
      </w:r>
      <w:r>
        <w:rPr/>
        <w:t>fourth risk area that extends across multiple COSO principles.</w:t>
      </w:r>
      <w:r>
        <w:rPr>
          <w:spacing w:val="-3"/>
        </w:rPr>
        <w:t> </w:t>
      </w:r>
      <w:r>
        <w:rPr/>
        <w:t>Obsidian</w:t>
      </w:r>
      <w:r>
        <w:rPr>
          <w:spacing w:val="-3"/>
        </w:rPr>
        <w:t> </w:t>
      </w:r>
      <w:r>
        <w:rPr/>
        <w:t>Security</w:t>
      </w:r>
      <w:r>
        <w:rPr>
          <w:spacing w:val="-3"/>
        </w:rPr>
        <w:t> </w:t>
      </w:r>
      <w:r>
        <w:rPr/>
        <w:t>(2025)</w:t>
      </w:r>
      <w:r>
        <w:rPr>
          <w:spacing w:val="-3"/>
        </w:rPr>
        <w:t> </w:t>
      </w:r>
      <w:r>
        <w:rPr/>
        <w:t>states that</w:t>
      </w:r>
      <w:r>
        <w:rPr>
          <w:spacing w:val="40"/>
        </w:rPr>
        <w:t> </w:t>
      </w:r>
      <w:r>
        <w:rPr/>
        <w:t>"adversarial attacks use carefully crafted inputs to fool AI models into making incorrect decisions</w:t>
      </w:r>
      <w:r>
        <w:rPr>
          <w:spacing w:val="40"/>
        </w:rPr>
        <w:t> </w:t>
      </w:r>
      <w:r>
        <w:rPr/>
        <w:t>while appearing normal to humans," which could lead organizations to prioritize the wrong risks or miss critical threats entirely. Additionally, Workday (2025) noted that cybersecurity threats rank</w:t>
      </w:r>
      <w:r>
        <w:rPr>
          <w:spacing w:val="40"/>
        </w:rPr>
        <w:t> </w:t>
      </w:r>
      <w:r>
        <w:rPr/>
        <w:t>in the top 10 global risks identified by executives in the near-term.</w:t>
      </w:r>
    </w:p>
    <w:p>
      <w:pPr>
        <w:pStyle w:val="BodyText"/>
        <w:spacing w:before="246"/>
        <w:ind w:left="731"/>
        <w:jc w:val="both"/>
      </w:pPr>
      <w:r>
        <w:rPr/>
        <w:t>To</w:t>
      </w:r>
      <w:r>
        <w:rPr>
          <w:spacing w:val="-2"/>
        </w:rPr>
        <w:t> </w:t>
      </w:r>
      <w:r>
        <w:rPr/>
        <w:t>mitigate</w:t>
      </w:r>
      <w:r>
        <w:rPr>
          <w:spacing w:val="-1"/>
        </w:rPr>
        <w:t> </w:t>
      </w:r>
      <w:r>
        <w:rPr/>
        <w:t>the</w:t>
      </w:r>
      <w:r>
        <w:rPr>
          <w:spacing w:val="-1"/>
        </w:rPr>
        <w:t> </w:t>
      </w:r>
      <w:r>
        <w:rPr/>
        <w:t>potential</w:t>
      </w:r>
      <w:r>
        <w:rPr>
          <w:spacing w:val="-2"/>
        </w:rPr>
        <w:t> </w:t>
      </w:r>
      <w:r>
        <w:rPr/>
        <w:t>risks,</w:t>
      </w:r>
      <w:r>
        <w:rPr>
          <w:spacing w:val="-1"/>
        </w:rPr>
        <w:t> </w:t>
      </w:r>
      <w:r>
        <w:rPr/>
        <w:t>the</w:t>
      </w:r>
      <w:r>
        <w:rPr>
          <w:spacing w:val="-1"/>
        </w:rPr>
        <w:t> </w:t>
      </w:r>
      <w:r>
        <w:rPr/>
        <w:t>following</w:t>
      </w:r>
      <w:r>
        <w:rPr>
          <w:spacing w:val="-2"/>
        </w:rPr>
        <w:t> </w:t>
      </w:r>
      <w:r>
        <w:rPr/>
        <w:t>are</w:t>
      </w:r>
      <w:r>
        <w:rPr>
          <w:spacing w:val="-1"/>
        </w:rPr>
        <w:t> </w:t>
      </w:r>
      <w:r>
        <w:rPr/>
        <w:t>some</w:t>
      </w:r>
      <w:r>
        <w:rPr>
          <w:spacing w:val="-1"/>
        </w:rPr>
        <w:t> </w:t>
      </w:r>
      <w:r>
        <w:rPr/>
        <w:t>actions</w:t>
      </w:r>
      <w:r>
        <w:rPr>
          <w:spacing w:val="-2"/>
        </w:rPr>
        <w:t> </w:t>
      </w:r>
      <w:r>
        <w:rPr/>
        <w:t>that</w:t>
      </w:r>
      <w:r>
        <w:rPr>
          <w:spacing w:val="-1"/>
        </w:rPr>
        <w:t> </w:t>
      </w:r>
      <w:r>
        <w:rPr/>
        <w:t>firms</w:t>
      </w:r>
      <w:r>
        <w:rPr>
          <w:spacing w:val="-1"/>
        </w:rPr>
        <w:t> </w:t>
      </w:r>
      <w:r>
        <w:rPr/>
        <w:t>can</w:t>
      </w:r>
      <w:r>
        <w:rPr>
          <w:spacing w:val="-1"/>
        </w:rPr>
        <w:t> </w:t>
      </w:r>
      <w:r>
        <w:rPr>
          <w:spacing w:val="-2"/>
        </w:rPr>
        <w:t>take.</w:t>
      </w:r>
    </w:p>
    <w:p>
      <w:pPr>
        <w:pStyle w:val="ListParagraph"/>
        <w:numPr>
          <w:ilvl w:val="0"/>
          <w:numId w:val="4"/>
        </w:numPr>
        <w:tabs>
          <w:tab w:pos="1391" w:val="left" w:leader="none"/>
          <w:tab w:pos="1436" w:val="left" w:leader="none"/>
        </w:tabs>
        <w:spacing w:line="230" w:lineRule="auto" w:before="235" w:after="0"/>
        <w:ind w:left="1436" w:right="1434" w:hanging="330"/>
        <w:jc w:val="both"/>
        <w:rPr>
          <w:sz w:val="24"/>
        </w:rPr>
      </w:pPr>
      <w:r>
        <w:rPr>
          <w:sz w:val="24"/>
        </w:rPr>
        <w:t>Explainable AI (XAI) Standards: Mandates that AI outputs used for strategic decision making are accompanied by transparent rationale that stakeholders can interpret </w:t>
      </w:r>
      <w:r>
        <w:rPr>
          <w:sz w:val="24"/>
        </w:rPr>
        <w:t>and challenge (Calagna et al., 2021).</w:t>
      </w:r>
    </w:p>
    <w:p>
      <w:pPr>
        <w:pStyle w:val="ListParagraph"/>
        <w:numPr>
          <w:ilvl w:val="0"/>
          <w:numId w:val="4"/>
        </w:numPr>
        <w:tabs>
          <w:tab w:pos="1376" w:val="left" w:leader="none"/>
          <w:tab w:pos="1421" w:val="left" w:leader="none"/>
        </w:tabs>
        <w:spacing w:line="230" w:lineRule="auto" w:before="4" w:after="0"/>
        <w:ind w:left="1421" w:right="1435" w:hanging="330"/>
        <w:jc w:val="both"/>
        <w:rPr>
          <w:sz w:val="24"/>
        </w:rPr>
      </w:pPr>
      <w:r>
        <w:rPr>
          <w:sz w:val="24"/>
        </w:rPr>
        <w:t>Human-in-the-Loop (HITL) Oversight: Ensures that AI is used to augment rather </w:t>
      </w:r>
      <w:r>
        <w:rPr>
          <w:sz w:val="24"/>
        </w:rPr>
        <w:t>than replace human leadership, particularly in domains requiring nuanced ethical or strategic judgment (Dell'Acqua et al., 2023).</w:t>
      </w:r>
    </w:p>
    <w:p>
      <w:pPr>
        <w:pStyle w:val="ListParagraph"/>
        <w:numPr>
          <w:ilvl w:val="0"/>
          <w:numId w:val="4"/>
        </w:numPr>
        <w:tabs>
          <w:tab w:pos="1391" w:val="left" w:leader="none"/>
          <w:tab w:pos="1436" w:val="left" w:leader="none"/>
        </w:tabs>
        <w:spacing w:line="230" w:lineRule="auto" w:before="5" w:after="0"/>
        <w:ind w:left="1436" w:right="1437" w:hanging="345"/>
        <w:jc w:val="both"/>
        <w:rPr>
          <w:sz w:val="24"/>
        </w:rPr>
      </w:pPr>
      <w:r>
        <w:rPr>
          <w:sz w:val="24"/>
        </w:rPr>
        <w:t>Model Risk Management (MRM) &amp; Bias Audits: A rigorous program to detect </w:t>
      </w:r>
      <w:r>
        <w:rPr>
          <w:sz w:val="24"/>
        </w:rPr>
        <w:t>and mitigate algorithmic bias and performance degradation (drift) over time (Singla et al., 2024; Humphreys et al., 2024).</w:t>
      </w:r>
    </w:p>
    <w:p>
      <w:pPr>
        <w:pStyle w:val="ListParagraph"/>
        <w:numPr>
          <w:ilvl w:val="0"/>
          <w:numId w:val="4"/>
        </w:numPr>
        <w:tabs>
          <w:tab w:pos="1361" w:val="left" w:leader="none"/>
          <w:tab w:pos="1421" w:val="left" w:leader="none"/>
        </w:tabs>
        <w:spacing w:line="230" w:lineRule="auto" w:before="4" w:after="0"/>
        <w:ind w:left="1421" w:right="1450" w:hanging="345"/>
        <w:jc w:val="both"/>
        <w:rPr>
          <w:sz w:val="24"/>
        </w:rPr>
      </w:pPr>
      <w:r>
        <w:rPr>
          <w:sz w:val="24"/>
        </w:rPr>
        <w:t>Decision Authority Matrix: Explicitly designates which decisions AI can inform </w:t>
      </w:r>
      <w:r>
        <w:rPr>
          <w:sz w:val="24"/>
        </w:rPr>
        <w:t>versus which require explicit human/board approval to prevent the erosion of professional judgment (Dell'Acqua et al., 2023).</w:t>
      </w:r>
    </w:p>
    <w:p>
      <w:pPr>
        <w:pStyle w:val="ListParagraph"/>
        <w:numPr>
          <w:ilvl w:val="0"/>
          <w:numId w:val="4"/>
        </w:numPr>
        <w:tabs>
          <w:tab w:pos="1406" w:val="left" w:leader="none"/>
          <w:tab w:pos="1451" w:val="left" w:leader="none"/>
        </w:tabs>
        <w:spacing w:line="230" w:lineRule="auto" w:before="4" w:after="0"/>
        <w:ind w:left="1451" w:right="1439" w:hanging="360"/>
        <w:jc w:val="both"/>
        <w:rPr>
          <w:sz w:val="24"/>
        </w:rPr>
      </w:pPr>
      <w:r>
        <w:rPr>
          <w:sz w:val="24"/>
        </w:rPr>
        <w:t>Standardized Validation &amp; Quality Control Gates: Mandatory checkpoints where </w:t>
      </w:r>
      <w:r>
        <w:rPr>
          <w:sz w:val="24"/>
        </w:rPr>
        <w:t>AI generated</w:t>
      </w:r>
      <w:r>
        <w:rPr>
          <w:spacing w:val="-4"/>
          <w:sz w:val="24"/>
        </w:rPr>
        <w:t> </w:t>
      </w:r>
      <w:r>
        <w:rPr>
          <w:sz w:val="24"/>
        </w:rPr>
        <w:t>"workslop"</w:t>
      </w:r>
      <w:r>
        <w:rPr>
          <w:spacing w:val="-4"/>
          <w:sz w:val="24"/>
        </w:rPr>
        <w:t> </w:t>
      </w:r>
      <w:r>
        <w:rPr>
          <w:sz w:val="24"/>
        </w:rPr>
        <w:t>is</w:t>
      </w:r>
      <w:r>
        <w:rPr>
          <w:spacing w:val="-4"/>
          <w:sz w:val="24"/>
        </w:rPr>
        <w:t> </w:t>
      </w:r>
      <w:r>
        <w:rPr>
          <w:sz w:val="24"/>
        </w:rPr>
        <w:t>identified</w:t>
      </w:r>
      <w:r>
        <w:rPr>
          <w:spacing w:val="-4"/>
          <w:sz w:val="24"/>
        </w:rPr>
        <w:t> </w:t>
      </w:r>
      <w:r>
        <w:rPr>
          <w:sz w:val="24"/>
        </w:rPr>
        <w:t>and</w:t>
      </w:r>
      <w:r>
        <w:rPr>
          <w:spacing w:val="-4"/>
          <w:sz w:val="24"/>
        </w:rPr>
        <w:t> </w:t>
      </w:r>
      <w:r>
        <w:rPr>
          <w:sz w:val="24"/>
        </w:rPr>
        <w:t>corrected</w:t>
      </w:r>
      <w:r>
        <w:rPr>
          <w:spacing w:val="-4"/>
          <w:sz w:val="24"/>
        </w:rPr>
        <w:t> </w:t>
      </w:r>
      <w:r>
        <w:rPr>
          <w:sz w:val="24"/>
        </w:rPr>
        <w:t>by</w:t>
      </w:r>
      <w:r>
        <w:rPr>
          <w:spacing w:val="-4"/>
          <w:sz w:val="24"/>
        </w:rPr>
        <w:t> </w:t>
      </w:r>
      <w:r>
        <w:rPr>
          <w:sz w:val="24"/>
        </w:rPr>
        <w:t>human</w:t>
      </w:r>
      <w:r>
        <w:rPr>
          <w:spacing w:val="-4"/>
          <w:sz w:val="24"/>
        </w:rPr>
        <w:t> </w:t>
      </w:r>
      <w:r>
        <w:rPr>
          <w:sz w:val="24"/>
        </w:rPr>
        <w:t>experts</w:t>
      </w:r>
      <w:r>
        <w:rPr>
          <w:spacing w:val="-4"/>
          <w:sz w:val="24"/>
        </w:rPr>
        <w:t> </w:t>
      </w:r>
      <w:r>
        <w:rPr>
          <w:sz w:val="24"/>
        </w:rPr>
        <w:t>before</w:t>
      </w:r>
      <w:r>
        <w:rPr>
          <w:spacing w:val="-4"/>
          <w:sz w:val="24"/>
        </w:rPr>
        <w:t> </w:t>
      </w:r>
      <w:r>
        <w:rPr>
          <w:sz w:val="24"/>
        </w:rPr>
        <w:t>the</w:t>
      </w:r>
      <w:r>
        <w:rPr>
          <w:spacing w:val="-4"/>
          <w:sz w:val="24"/>
        </w:rPr>
        <w:t> </w:t>
      </w:r>
      <w:r>
        <w:rPr>
          <w:sz w:val="24"/>
        </w:rPr>
        <w:t>information flows up the reporting line (Niederhoffer et al., 2025).</w:t>
      </w:r>
    </w:p>
    <w:p>
      <w:pPr>
        <w:pStyle w:val="ListParagraph"/>
        <w:numPr>
          <w:ilvl w:val="0"/>
          <w:numId w:val="4"/>
        </w:numPr>
        <w:tabs>
          <w:tab w:pos="1421" w:val="left" w:leader="none"/>
          <w:tab w:pos="1436" w:val="left" w:leader="none"/>
        </w:tabs>
        <w:spacing w:line="230" w:lineRule="auto" w:before="5" w:after="0"/>
        <w:ind w:left="1436" w:right="1451" w:hanging="345"/>
        <w:jc w:val="both"/>
        <w:rPr>
          <w:sz w:val="24"/>
        </w:rPr>
      </w:pPr>
      <w:r>
        <w:rPr>
          <w:sz w:val="24"/>
        </w:rPr>
        <w:t>Cross-functional Governance Committees: Multidisciplinary teams (IT, Risk, </w:t>
      </w:r>
      <w:r>
        <w:rPr>
          <w:sz w:val="24"/>
        </w:rPr>
        <w:t>Legal, Business) that oversee</w:t>
      </w:r>
      <w:r>
        <w:rPr>
          <w:spacing w:val="-4"/>
          <w:sz w:val="24"/>
        </w:rPr>
        <w:t> </w:t>
      </w:r>
      <w:r>
        <w:rPr>
          <w:sz w:val="24"/>
        </w:rPr>
        <w:t>AI</w:t>
      </w:r>
      <w:r>
        <w:rPr>
          <w:spacing w:val="-4"/>
          <w:sz w:val="24"/>
        </w:rPr>
        <w:t> </w:t>
      </w:r>
      <w:r>
        <w:rPr>
          <w:sz w:val="24"/>
        </w:rPr>
        <w:t>deployments</w:t>
      </w:r>
      <w:r>
        <w:rPr>
          <w:spacing w:val="-4"/>
          <w:sz w:val="24"/>
        </w:rPr>
        <w:t> </w:t>
      </w:r>
      <w:r>
        <w:rPr>
          <w:sz w:val="24"/>
        </w:rPr>
        <w:t>to</w:t>
      </w:r>
      <w:r>
        <w:rPr>
          <w:spacing w:val="-4"/>
          <w:sz w:val="24"/>
        </w:rPr>
        <w:t> </w:t>
      </w:r>
      <w:r>
        <w:rPr>
          <w:sz w:val="24"/>
        </w:rPr>
        <w:t>ensure</w:t>
      </w:r>
      <w:r>
        <w:rPr>
          <w:spacing w:val="-4"/>
          <w:sz w:val="24"/>
        </w:rPr>
        <w:t> </w:t>
      </w:r>
      <w:r>
        <w:rPr>
          <w:sz w:val="24"/>
        </w:rPr>
        <w:t>they</w:t>
      </w:r>
      <w:r>
        <w:rPr>
          <w:spacing w:val="-4"/>
          <w:sz w:val="24"/>
        </w:rPr>
        <w:t> </w:t>
      </w:r>
      <w:r>
        <w:rPr>
          <w:sz w:val="24"/>
        </w:rPr>
        <w:t>align</w:t>
      </w:r>
      <w:r>
        <w:rPr>
          <w:spacing w:val="-4"/>
          <w:sz w:val="24"/>
        </w:rPr>
        <w:t> </w:t>
      </w:r>
      <w:r>
        <w:rPr>
          <w:sz w:val="24"/>
        </w:rPr>
        <w:t>with</w:t>
      </w:r>
      <w:r>
        <w:rPr>
          <w:spacing w:val="-4"/>
          <w:sz w:val="24"/>
        </w:rPr>
        <w:t> </w:t>
      </w:r>
      <w:r>
        <w:rPr>
          <w:sz w:val="24"/>
        </w:rPr>
        <w:t>organizational</w:t>
      </w:r>
      <w:r>
        <w:rPr>
          <w:spacing w:val="-4"/>
          <w:sz w:val="24"/>
        </w:rPr>
        <w:t> </w:t>
      </w:r>
      <w:r>
        <w:rPr>
          <w:sz w:val="24"/>
        </w:rPr>
        <w:t>structures and core values (Urbani et al., 2024).</w:t>
      </w:r>
    </w:p>
    <w:p>
      <w:pPr>
        <w:pStyle w:val="ListParagraph"/>
        <w:numPr>
          <w:ilvl w:val="0"/>
          <w:numId w:val="4"/>
        </w:numPr>
        <w:tabs>
          <w:tab w:pos="1346" w:val="left" w:leader="none"/>
        </w:tabs>
        <w:spacing w:line="271" w:lineRule="exact" w:before="0" w:after="0"/>
        <w:ind w:left="1346" w:right="0" w:hanging="255"/>
        <w:jc w:val="both"/>
        <w:rPr>
          <w:sz w:val="24"/>
        </w:rPr>
      </w:pPr>
      <w:r>
        <w:rPr>
          <w:sz w:val="24"/>
        </w:rPr>
        <w:t>Radical</w:t>
      </w:r>
      <w:r>
        <w:rPr>
          <w:spacing w:val="14"/>
          <w:sz w:val="24"/>
        </w:rPr>
        <w:t> </w:t>
      </w:r>
      <w:r>
        <w:rPr>
          <w:sz w:val="24"/>
        </w:rPr>
        <w:t>Transparency</w:t>
      </w:r>
      <w:r>
        <w:rPr>
          <w:spacing w:val="14"/>
          <w:sz w:val="24"/>
        </w:rPr>
        <w:t> </w:t>
      </w:r>
      <w:r>
        <w:rPr>
          <w:sz w:val="24"/>
        </w:rPr>
        <w:t>&amp;</w:t>
      </w:r>
      <w:r>
        <w:rPr>
          <w:spacing w:val="14"/>
          <w:sz w:val="24"/>
        </w:rPr>
        <w:t> </w:t>
      </w:r>
      <w:r>
        <w:rPr>
          <w:sz w:val="24"/>
        </w:rPr>
        <w:t>Privacy</w:t>
      </w:r>
      <w:r>
        <w:rPr>
          <w:spacing w:val="14"/>
          <w:sz w:val="24"/>
        </w:rPr>
        <w:t> </w:t>
      </w:r>
      <w:r>
        <w:rPr>
          <w:sz w:val="24"/>
        </w:rPr>
        <w:t>Protocols:</w:t>
      </w:r>
      <w:r>
        <w:rPr>
          <w:spacing w:val="14"/>
          <w:sz w:val="24"/>
        </w:rPr>
        <w:t> </w:t>
      </w:r>
      <w:r>
        <w:rPr>
          <w:sz w:val="24"/>
        </w:rPr>
        <w:t>Clear</w:t>
      </w:r>
      <w:r>
        <w:rPr>
          <w:spacing w:val="-1"/>
          <w:sz w:val="24"/>
        </w:rPr>
        <w:t> </w:t>
      </w:r>
      <w:r>
        <w:rPr>
          <w:sz w:val="24"/>
        </w:rPr>
        <w:t>communication</w:t>
      </w:r>
      <w:r>
        <w:rPr>
          <w:spacing w:val="-1"/>
          <w:sz w:val="24"/>
        </w:rPr>
        <w:t> </w:t>
      </w:r>
      <w:r>
        <w:rPr>
          <w:sz w:val="24"/>
        </w:rPr>
        <w:t>regarding</w:t>
      </w:r>
      <w:r>
        <w:rPr>
          <w:spacing w:val="-1"/>
          <w:sz w:val="24"/>
        </w:rPr>
        <w:t> </w:t>
      </w:r>
      <w:r>
        <w:rPr>
          <w:sz w:val="24"/>
        </w:rPr>
        <w:t>AI</w:t>
      </w:r>
      <w:r>
        <w:rPr>
          <w:spacing w:val="-1"/>
          <w:sz w:val="24"/>
        </w:rPr>
        <w:t> </w:t>
      </w:r>
      <w:r>
        <w:rPr>
          <w:sz w:val="24"/>
        </w:rPr>
        <w:t>data </w:t>
      </w:r>
      <w:r>
        <w:rPr>
          <w:spacing w:val="-2"/>
          <w:sz w:val="24"/>
        </w:rPr>
        <w:t>usage</w:t>
      </w:r>
    </w:p>
    <w:p>
      <w:pPr>
        <w:pStyle w:val="ListParagraph"/>
        <w:spacing w:after="0" w:line="271" w:lineRule="exact"/>
        <w:jc w:val="both"/>
        <w:rPr>
          <w:sz w:val="24"/>
        </w:rPr>
        <w:sectPr>
          <w:pgSz w:w="12240" w:h="15840"/>
          <w:pgMar w:header="0" w:footer="707" w:top="620" w:bottom="960" w:left="720" w:right="0"/>
        </w:sectPr>
      </w:pPr>
    </w:p>
    <w:p>
      <w:pPr>
        <w:pStyle w:val="BodyText"/>
        <w:spacing w:line="230" w:lineRule="auto" w:before="80"/>
        <w:ind w:left="1436" w:right="1448"/>
        <w:jc w:val="both"/>
      </w:pPr>
      <w:r>
        <w:rPr/>
        <w:t>to maintain employee trust and prevent the development of a "surveillance </w:t>
      </w:r>
      <w:r>
        <w:rPr/>
        <w:t>culture"</w:t>
      </w:r>
      <w:r>
        <w:rPr>
          <w:spacing w:val="40"/>
        </w:rPr>
        <w:t> </w:t>
      </w:r>
      <w:r>
        <w:rPr/>
        <w:t>(Wach et al., 2023).</w:t>
      </w:r>
    </w:p>
    <w:p>
      <w:pPr>
        <w:pStyle w:val="ListParagraph"/>
        <w:numPr>
          <w:ilvl w:val="0"/>
          <w:numId w:val="4"/>
        </w:numPr>
        <w:tabs>
          <w:tab w:pos="1361" w:val="left" w:leader="none"/>
          <w:tab w:pos="1451" w:val="left" w:leader="none"/>
        </w:tabs>
        <w:spacing w:line="230" w:lineRule="auto" w:before="5" w:after="0"/>
        <w:ind w:left="1451" w:right="1459" w:hanging="360"/>
        <w:jc w:val="both"/>
        <w:rPr>
          <w:sz w:val="24"/>
        </w:rPr>
      </w:pPr>
      <w:r>
        <w:rPr>
          <w:sz w:val="24"/>
        </w:rPr>
        <w:t>Qualitative Expert Validation: The use of human intuition and expert analysis to </w:t>
      </w:r>
      <w:r>
        <w:rPr>
          <w:sz w:val="24"/>
        </w:rPr>
        <w:t>"sense check" AI-generated patterns and scenarios against the actual business context (Jarrahi, </w:t>
      </w:r>
      <w:r>
        <w:rPr>
          <w:spacing w:val="-2"/>
          <w:sz w:val="24"/>
        </w:rPr>
        <w:t>2018).</w:t>
      </w:r>
    </w:p>
    <w:p>
      <w:pPr>
        <w:pStyle w:val="BodyText"/>
        <w:spacing w:line="232" w:lineRule="auto" w:before="241"/>
        <w:ind w:left="716" w:right="1191"/>
      </w:pPr>
      <w:r>
        <w:rPr/>
        <w:t>From</w:t>
      </w:r>
      <w:r>
        <w:rPr>
          <w:spacing w:val="-3"/>
        </w:rPr>
        <w:t> </w:t>
      </w:r>
      <w:r>
        <w:rPr/>
        <w:t>the</w:t>
      </w:r>
      <w:r>
        <w:rPr>
          <w:spacing w:val="-3"/>
        </w:rPr>
        <w:t> </w:t>
      </w:r>
      <w:r>
        <w:rPr/>
        <w:t>above</w:t>
      </w:r>
      <w:r>
        <w:rPr>
          <w:spacing w:val="-3"/>
        </w:rPr>
        <w:t> </w:t>
      </w:r>
      <w:r>
        <w:rPr/>
        <w:t>summaries</w:t>
      </w:r>
      <w:r>
        <w:rPr>
          <w:spacing w:val="-3"/>
        </w:rPr>
        <w:t> </w:t>
      </w:r>
      <w:r>
        <w:rPr/>
        <w:t>of</w:t>
      </w:r>
      <w:r>
        <w:rPr>
          <w:spacing w:val="-3"/>
        </w:rPr>
        <w:t> </w:t>
      </w:r>
      <w:r>
        <w:rPr/>
        <w:t>the</w:t>
      </w:r>
      <w:r>
        <w:rPr>
          <w:spacing w:val="-3"/>
        </w:rPr>
        <w:t> </w:t>
      </w:r>
      <w:r>
        <w:rPr/>
        <w:t>benefits</w:t>
      </w:r>
      <w:r>
        <w:rPr>
          <w:spacing w:val="-3"/>
        </w:rPr>
        <w:t> </w:t>
      </w:r>
      <w:r>
        <w:rPr/>
        <w:t>and</w:t>
      </w:r>
      <w:r>
        <w:rPr>
          <w:spacing w:val="-3"/>
        </w:rPr>
        <w:t> </w:t>
      </w:r>
      <w:r>
        <w:rPr/>
        <w:t>risks,</w:t>
      </w:r>
      <w:r>
        <w:rPr>
          <w:spacing w:val="-3"/>
        </w:rPr>
        <w:t> </w:t>
      </w:r>
      <w:r>
        <w:rPr/>
        <w:t>the</w:t>
      </w:r>
      <w:r>
        <w:rPr>
          <w:spacing w:val="-3"/>
        </w:rPr>
        <w:t> </w:t>
      </w:r>
      <w:r>
        <w:rPr/>
        <w:t>authors</w:t>
      </w:r>
      <w:r>
        <w:rPr>
          <w:spacing w:val="-3"/>
        </w:rPr>
        <w:t> </w:t>
      </w:r>
      <w:r>
        <w:rPr/>
        <w:t>prompted</w:t>
      </w:r>
      <w:r>
        <w:rPr>
          <w:spacing w:val="-3"/>
        </w:rPr>
        <w:t> </w:t>
      </w:r>
      <w:r>
        <w:rPr/>
        <w:t>AI</w:t>
      </w:r>
      <w:r>
        <w:rPr>
          <w:spacing w:val="-3"/>
        </w:rPr>
        <w:t> </w:t>
      </w:r>
      <w:r>
        <w:rPr/>
        <w:t>to</w:t>
      </w:r>
      <w:r>
        <w:rPr>
          <w:spacing w:val="-3"/>
        </w:rPr>
        <w:t> </w:t>
      </w:r>
      <w:r>
        <w:rPr/>
        <w:t>generate</w:t>
      </w:r>
      <w:r>
        <w:rPr>
          <w:spacing w:val="-3"/>
        </w:rPr>
        <w:t> </w:t>
      </w:r>
      <w:r>
        <w:rPr/>
        <w:t>a benefit/risk matrix with potential mitigation strategies (see Table. A1 in the Appendix).</w:t>
      </w:r>
    </w:p>
    <w:p>
      <w:pPr>
        <w:pStyle w:val="Heading4"/>
        <w:spacing w:before="241"/>
        <w:ind w:left="731"/>
      </w:pPr>
      <w:r>
        <w:rPr/>
        <w:t>Organizational Policy </w:t>
      </w:r>
      <w:r>
        <w:rPr>
          <w:spacing w:val="-2"/>
        </w:rPr>
        <w:t>Recommendations</w:t>
      </w:r>
    </w:p>
    <w:p>
      <w:pPr>
        <w:pStyle w:val="BodyText"/>
        <w:spacing w:line="230" w:lineRule="auto" w:before="236"/>
        <w:ind w:left="716" w:right="1376" w:firstLine="15"/>
        <w:jc w:val="both"/>
      </w:pPr>
      <w:r>
        <w:rPr/>
        <w:t>This paper suggests that to enhance the performance of AI aligned with the COSO (2017)</w:t>
      </w:r>
      <w:r>
        <w:rPr>
          <w:spacing w:val="-2"/>
        </w:rPr>
        <w:t> </w:t>
      </w:r>
      <w:r>
        <w:rPr/>
        <w:t>ERM standards a firm should strongly consider the following organizational policy </w:t>
      </w:r>
      <w:r>
        <w:rPr/>
        <w:t>recommendations. First, mandatory explainability and auditability standards can help to fulfill fiduciary oversight responsibilities</w:t>
      </w:r>
      <w:r>
        <w:rPr>
          <w:spacing w:val="80"/>
          <w:w w:val="150"/>
        </w:rPr>
        <w:t> </w:t>
      </w:r>
      <w:r>
        <w:rPr/>
        <w:t>(Principle</w:t>
      </w:r>
      <w:r>
        <w:rPr>
          <w:spacing w:val="80"/>
          <w:w w:val="150"/>
        </w:rPr>
        <w:t> </w:t>
      </w:r>
      <w:r>
        <w:rPr/>
        <w:t>1).</w:t>
      </w:r>
      <w:r>
        <w:rPr>
          <w:spacing w:val="80"/>
          <w:w w:val="150"/>
        </w:rPr>
        <w:t> </w:t>
      </w:r>
      <w:r>
        <w:rPr/>
        <w:t>The</w:t>
      </w:r>
      <w:r>
        <w:rPr>
          <w:spacing w:val="80"/>
          <w:w w:val="150"/>
        </w:rPr>
        <w:t> </w:t>
      </w:r>
      <w:r>
        <w:rPr/>
        <w:t>organization</w:t>
      </w:r>
      <w:r>
        <w:rPr>
          <w:spacing w:val="80"/>
          <w:w w:val="150"/>
        </w:rPr>
        <w:t> </w:t>
      </w:r>
      <w:r>
        <w:rPr/>
        <w:t>must</w:t>
      </w:r>
      <w:r>
        <w:rPr>
          <w:spacing w:val="80"/>
        </w:rPr>
        <w:t> </w:t>
      </w:r>
      <w:r>
        <w:rPr/>
        <w:t>implement</w:t>
      </w:r>
      <w:r>
        <w:rPr>
          <w:spacing w:val="80"/>
        </w:rPr>
        <w:t> </w:t>
      </w:r>
      <w:r>
        <w:rPr/>
        <w:t>a</w:t>
      </w:r>
      <w:r>
        <w:rPr>
          <w:spacing w:val="80"/>
        </w:rPr>
        <w:t> </w:t>
      </w:r>
      <w:r>
        <w:rPr/>
        <w:t>policy</w:t>
      </w:r>
      <w:r>
        <w:rPr>
          <w:spacing w:val="80"/>
        </w:rPr>
        <w:t> </w:t>
      </w:r>
      <w:r>
        <w:rPr/>
        <w:t>requiring</w:t>
      </w:r>
      <w:r>
        <w:rPr>
          <w:spacing w:val="80"/>
        </w:rPr>
        <w:t> </w:t>
      </w:r>
      <w:r>
        <w:rPr/>
        <w:t>all AI-generated</w:t>
      </w:r>
      <w:r>
        <w:rPr>
          <w:spacing w:val="80"/>
        </w:rPr>
        <w:t> </w:t>
      </w:r>
      <w:r>
        <w:rPr/>
        <w:t>recommendations to be explainable and auditable. No "black box" models should be utilized for</w:t>
      </w:r>
      <w:r>
        <w:rPr>
          <w:spacing w:val="40"/>
        </w:rPr>
        <w:t> </w:t>
      </w:r>
      <w:r>
        <w:rPr/>
        <w:t>high-stakes risk prioritization or strategic assessments, thus ensuring that senior management can</w:t>
      </w:r>
      <w:r>
        <w:rPr>
          <w:spacing w:val="40"/>
        </w:rPr>
        <w:t> </w:t>
      </w:r>
      <w:r>
        <w:rPr/>
        <w:t>clearly articulate the rationale behind AI-driven insights to stakeholders (Calagna et al., 2021).</w:t>
      </w:r>
    </w:p>
    <w:p>
      <w:pPr>
        <w:pStyle w:val="BodyText"/>
        <w:spacing w:line="230" w:lineRule="auto" w:before="242"/>
        <w:ind w:left="716" w:right="1374" w:firstLine="15"/>
        <w:jc w:val="both"/>
      </w:pPr>
      <w:r>
        <w:rPr/>
        <w:t>Second, formalized human-in-the-Loop (HITL) accountability is</w:t>
      </w:r>
      <w:r>
        <w:rPr>
          <w:spacing w:val="-4"/>
        </w:rPr>
        <w:t> </w:t>
      </w:r>
      <w:r>
        <w:rPr/>
        <w:t>deemed</w:t>
      </w:r>
      <w:r>
        <w:rPr>
          <w:spacing w:val="-4"/>
        </w:rPr>
        <w:t> </w:t>
      </w:r>
      <w:r>
        <w:rPr/>
        <w:t>necessary</w:t>
      </w:r>
      <w:r>
        <w:rPr>
          <w:spacing w:val="-4"/>
        </w:rPr>
        <w:t> </w:t>
      </w:r>
      <w:r>
        <w:rPr/>
        <w:t>to</w:t>
      </w:r>
      <w:r>
        <w:rPr>
          <w:spacing w:val="-4"/>
        </w:rPr>
        <w:t> </w:t>
      </w:r>
      <w:r>
        <w:rPr/>
        <w:t>protect</w:t>
      </w:r>
      <w:r>
        <w:rPr>
          <w:spacing w:val="-4"/>
        </w:rPr>
        <w:t> </w:t>
      </w:r>
      <w:r>
        <w:rPr/>
        <w:t>the integrity of operating structures (Principle 2) and strategic evaluation (Principle 8). Firm policy must mandate a "Human-in-the-Loop" framework. This prevents an attrition of human</w:t>
      </w:r>
      <w:r>
        <w:rPr>
          <w:spacing w:val="-3"/>
        </w:rPr>
        <w:t> </w:t>
      </w:r>
      <w:r>
        <w:rPr/>
        <w:t>judgment and ensures that qualitative nuances and moral considerations—which AI cannot process—are integrated</w:t>
      </w:r>
      <w:r>
        <w:rPr>
          <w:spacing w:val="-3"/>
        </w:rPr>
        <w:t> </w:t>
      </w:r>
      <w:r>
        <w:rPr/>
        <w:t>into</w:t>
      </w:r>
      <w:r>
        <w:rPr>
          <w:spacing w:val="-3"/>
        </w:rPr>
        <w:t> </w:t>
      </w:r>
      <w:r>
        <w:rPr/>
        <w:t>final</w:t>
      </w:r>
      <w:r>
        <w:rPr>
          <w:spacing w:val="-3"/>
        </w:rPr>
        <w:t> </w:t>
      </w:r>
      <w:r>
        <w:rPr/>
        <w:t>decisions,</w:t>
      </w:r>
      <w:r>
        <w:rPr>
          <w:spacing w:val="-3"/>
        </w:rPr>
        <w:t> </w:t>
      </w:r>
      <w:r>
        <w:rPr/>
        <w:t>particularly</w:t>
      </w:r>
      <w:r>
        <w:rPr>
          <w:spacing w:val="-3"/>
        </w:rPr>
        <w:t> </w:t>
      </w:r>
      <w:r>
        <w:rPr/>
        <w:t>in</w:t>
      </w:r>
      <w:r>
        <w:rPr>
          <w:spacing w:val="-3"/>
        </w:rPr>
        <w:t> </w:t>
      </w:r>
      <w:r>
        <w:rPr/>
        <w:t>areas</w:t>
      </w:r>
      <w:r>
        <w:rPr>
          <w:spacing w:val="-3"/>
        </w:rPr>
        <w:t> </w:t>
      </w:r>
      <w:r>
        <w:rPr/>
        <w:t>involving</w:t>
      </w:r>
      <w:r>
        <w:rPr>
          <w:spacing w:val="-3"/>
        </w:rPr>
        <w:t> </w:t>
      </w:r>
      <w:r>
        <w:rPr/>
        <w:t>soft</w:t>
      </w:r>
      <w:r>
        <w:rPr>
          <w:spacing w:val="-3"/>
        </w:rPr>
        <w:t> </w:t>
      </w:r>
      <w:r>
        <w:rPr/>
        <w:t>skills</w:t>
      </w:r>
      <w:r>
        <w:rPr>
          <w:spacing w:val="-3"/>
        </w:rPr>
        <w:t> </w:t>
      </w:r>
      <w:r>
        <w:rPr/>
        <w:t>or</w:t>
      </w:r>
      <w:r>
        <w:rPr>
          <w:spacing w:val="-3"/>
        </w:rPr>
        <w:t> </w:t>
      </w:r>
      <w:r>
        <w:rPr/>
        <w:t>cultural</w:t>
      </w:r>
      <w:r>
        <w:rPr>
          <w:spacing w:val="-3"/>
        </w:rPr>
        <w:t> </w:t>
      </w:r>
      <w:r>
        <w:rPr/>
        <w:t>fit</w:t>
      </w:r>
      <w:r>
        <w:rPr>
          <w:spacing w:val="-3"/>
        </w:rPr>
        <w:t> </w:t>
      </w:r>
      <w:r>
        <w:rPr/>
        <w:t>(Dell’Acqua et al., 2023).</w:t>
      </w:r>
    </w:p>
    <w:p>
      <w:pPr>
        <w:pStyle w:val="BodyText"/>
        <w:spacing w:line="230" w:lineRule="auto" w:before="246"/>
        <w:ind w:left="716" w:right="1375" w:firstLine="15"/>
        <w:jc w:val="both"/>
      </w:pPr>
      <w:r>
        <w:rPr/>
        <w:t>Third, algorithmic bias and data integrity protocols need to be established for identifying </w:t>
      </w:r>
      <w:r>
        <w:rPr/>
        <w:t>and mitigating biased or inaccurate AI outputs. This includes regular audits of the data used for simulations and risk appetite definitions (Principle 7) to ensure that AI-driven forecasts do not reinforce cognitive biases such as anchoring or groupthink (Collier et al., 2025; Sohrabi et al., </w:t>
      </w:r>
      <w:r>
        <w:rPr>
          <w:spacing w:val="-2"/>
        </w:rPr>
        <w:t>2018).</w:t>
      </w:r>
    </w:p>
    <w:p>
      <w:pPr>
        <w:pStyle w:val="BodyText"/>
        <w:spacing w:line="230" w:lineRule="auto" w:before="244"/>
        <w:ind w:left="716" w:right="1375"/>
        <w:jc w:val="both"/>
      </w:pPr>
      <w:r>
        <w:rPr/>
        <w:t>Fourth, an integrated risk governance framework as suggested throughout this research </w:t>
      </w:r>
      <w:r>
        <w:rPr/>
        <w:t>should require that AI risk management be embedded directly into the strategic planning and execution processes (Frigo &amp; Anderson, 2011). This requires risk ownership at all levels to better manage the organization’s</w:t>
      </w:r>
      <w:r>
        <w:rPr>
          <w:spacing w:val="-4"/>
        </w:rPr>
        <w:t> </w:t>
      </w:r>
      <w:r>
        <w:rPr/>
        <w:t>risk-return</w:t>
      </w:r>
      <w:r>
        <w:rPr>
          <w:spacing w:val="-4"/>
        </w:rPr>
        <w:t> </w:t>
      </w:r>
      <w:r>
        <w:rPr/>
        <w:t>tradeoffs</w:t>
      </w:r>
      <w:r>
        <w:rPr>
          <w:spacing w:val="-4"/>
        </w:rPr>
        <w:t> </w:t>
      </w:r>
      <w:r>
        <w:rPr/>
        <w:t>rather</w:t>
      </w:r>
      <w:r>
        <w:rPr>
          <w:spacing w:val="-4"/>
        </w:rPr>
        <w:t> </w:t>
      </w:r>
      <w:r>
        <w:rPr/>
        <w:t>than</w:t>
      </w:r>
      <w:r>
        <w:rPr>
          <w:spacing w:val="-4"/>
        </w:rPr>
        <w:t> </w:t>
      </w:r>
      <w:r>
        <w:rPr/>
        <w:t>treating</w:t>
      </w:r>
      <w:r>
        <w:rPr>
          <w:spacing w:val="-4"/>
        </w:rPr>
        <w:t> </w:t>
      </w:r>
      <w:r>
        <w:rPr/>
        <w:t>it</w:t>
      </w:r>
      <w:r>
        <w:rPr>
          <w:spacing w:val="-4"/>
        </w:rPr>
        <w:t> </w:t>
      </w:r>
      <w:r>
        <w:rPr/>
        <w:t>as</w:t>
      </w:r>
      <w:r>
        <w:rPr>
          <w:spacing w:val="-4"/>
        </w:rPr>
        <w:t> </w:t>
      </w:r>
      <w:r>
        <w:rPr/>
        <w:t>a</w:t>
      </w:r>
      <w:r>
        <w:rPr>
          <w:spacing w:val="-4"/>
        </w:rPr>
        <w:t> </w:t>
      </w:r>
      <w:r>
        <w:rPr/>
        <w:t>standalone</w:t>
      </w:r>
      <w:r>
        <w:rPr>
          <w:spacing w:val="-4"/>
        </w:rPr>
        <w:t> </w:t>
      </w:r>
      <w:r>
        <w:rPr/>
        <w:t>IT</w:t>
      </w:r>
      <w:r>
        <w:rPr>
          <w:spacing w:val="-4"/>
        </w:rPr>
        <w:t> </w:t>
      </w:r>
      <w:r>
        <w:rPr/>
        <w:t>concern</w:t>
      </w:r>
      <w:r>
        <w:rPr>
          <w:spacing w:val="-4"/>
        </w:rPr>
        <w:t> </w:t>
      </w:r>
      <w:r>
        <w:rPr/>
        <w:t>(Nocco</w:t>
      </w:r>
      <w:r>
        <w:rPr>
          <w:spacing w:val="-4"/>
        </w:rPr>
        <w:t> </w:t>
      </w:r>
      <w:r>
        <w:rPr/>
        <w:t>&amp; Stulz, 2006).</w:t>
      </w:r>
    </w:p>
    <w:p>
      <w:pPr>
        <w:pStyle w:val="Heading4"/>
        <w:spacing w:before="243"/>
        <w:ind w:left="731"/>
        <w:jc w:val="both"/>
      </w:pPr>
      <w:r>
        <w:rPr/>
        <w:t>Improved</w:t>
      </w:r>
      <w:r>
        <w:rPr>
          <w:spacing w:val="-2"/>
        </w:rPr>
        <w:t> </w:t>
      </w:r>
      <w:r>
        <w:rPr/>
        <w:t>Manager</w:t>
      </w:r>
      <w:r>
        <w:rPr>
          <w:spacing w:val="-2"/>
        </w:rPr>
        <w:t> </w:t>
      </w:r>
      <w:r>
        <w:rPr/>
        <w:t>Decision</w:t>
      </w:r>
      <w:r>
        <w:rPr>
          <w:spacing w:val="-1"/>
        </w:rPr>
        <w:t> </w:t>
      </w:r>
      <w:r>
        <w:rPr>
          <w:spacing w:val="-2"/>
        </w:rPr>
        <w:t>Making</w:t>
      </w:r>
    </w:p>
    <w:p>
      <w:pPr>
        <w:pStyle w:val="BodyText"/>
        <w:spacing w:line="230" w:lineRule="auto" w:before="236"/>
        <w:ind w:left="716" w:right="1374" w:firstLine="15"/>
        <w:jc w:val="both"/>
      </w:pPr>
      <w:r>
        <w:rPr/>
        <w:t>Gen-AI</w:t>
      </w:r>
      <w:r>
        <w:rPr>
          <w:spacing w:val="40"/>
        </w:rPr>
        <w:t> </w:t>
      </w:r>
      <w:r>
        <w:rPr/>
        <w:t>continues to evolve at a rapid pace, and with it new opportunities for firms. But with these</w:t>
      </w:r>
      <w:r>
        <w:rPr>
          <w:spacing w:val="40"/>
        </w:rPr>
        <w:t> </w:t>
      </w:r>
      <w:r>
        <w:rPr/>
        <w:t>new opportunities also come new risks. The decision to</w:t>
      </w:r>
      <w:r>
        <w:rPr>
          <w:spacing w:val="-2"/>
        </w:rPr>
        <w:t> </w:t>
      </w:r>
      <w:r>
        <w:rPr/>
        <w:t>adopt</w:t>
      </w:r>
      <w:r>
        <w:rPr>
          <w:spacing w:val="-2"/>
        </w:rPr>
        <w:t> </w:t>
      </w:r>
      <w:r>
        <w:rPr/>
        <w:t>new</w:t>
      </w:r>
      <w:r>
        <w:rPr>
          <w:spacing w:val="-2"/>
        </w:rPr>
        <w:t> </w:t>
      </w:r>
      <w:r>
        <w:rPr/>
        <w:t>technologies</w:t>
      </w:r>
      <w:r>
        <w:rPr>
          <w:spacing w:val="-2"/>
        </w:rPr>
        <w:t> </w:t>
      </w:r>
      <w:r>
        <w:rPr/>
        <w:t>requires</w:t>
      </w:r>
      <w:r>
        <w:rPr>
          <w:spacing w:val="-2"/>
        </w:rPr>
        <w:t> </w:t>
      </w:r>
      <w:r>
        <w:rPr/>
        <w:t>a balancing of uncertain benefits on one hand, with uncertain costs on the other (Hall &amp; </w:t>
      </w:r>
      <w:r>
        <w:rPr/>
        <w:t>Khan, 2003).</w:t>
      </w:r>
      <w:r>
        <w:rPr>
          <w:spacing w:val="80"/>
        </w:rPr>
        <w:t> </w:t>
      </w:r>
      <w:r>
        <w:rPr/>
        <w:t>Beyond the choice of adoption or non-adoption, many businesses, uncertain of the benefits and</w:t>
      </w:r>
      <w:r>
        <w:rPr>
          <w:spacing w:val="80"/>
        </w:rPr>
        <w:t> </w:t>
      </w:r>
      <w:r>
        <w:rPr/>
        <w:t>costs, choose to delay the decision to invest significant costs to adopt it, finding value in the</w:t>
      </w:r>
      <w:r>
        <w:rPr>
          <w:spacing w:val="40"/>
        </w:rPr>
        <w:t> </w:t>
      </w:r>
      <w:r>
        <w:rPr/>
        <w:t>optionality to defer adoption until the technology’s benefits</w:t>
      </w:r>
      <w:r>
        <w:rPr>
          <w:spacing w:val="-3"/>
        </w:rPr>
        <w:t> </w:t>
      </w:r>
      <w:r>
        <w:rPr/>
        <w:t>become</w:t>
      </w:r>
      <w:r>
        <w:rPr>
          <w:spacing w:val="-3"/>
        </w:rPr>
        <w:t> </w:t>
      </w:r>
      <w:r>
        <w:rPr/>
        <w:t>clearer</w:t>
      </w:r>
      <w:r>
        <w:rPr>
          <w:spacing w:val="-3"/>
        </w:rPr>
        <w:t> </w:t>
      </w:r>
      <w:r>
        <w:rPr/>
        <w:t>(Hall</w:t>
      </w:r>
      <w:r>
        <w:rPr>
          <w:spacing w:val="-3"/>
        </w:rPr>
        <w:t> </w:t>
      </w:r>
      <w:r>
        <w:rPr/>
        <w:t>&amp; Khan,</w:t>
      </w:r>
      <w:r>
        <w:rPr>
          <w:spacing w:val="40"/>
        </w:rPr>
        <w:t> </w:t>
      </w:r>
      <w:r>
        <w:rPr/>
        <w:t>2003).</w:t>
      </w:r>
      <w:r>
        <w:rPr>
          <w:spacing w:val="80"/>
        </w:rPr>
        <w:t> </w:t>
      </w:r>
      <w:r>
        <w:rPr/>
        <w:t>This</w:t>
      </w:r>
      <w:r>
        <w:rPr>
          <w:spacing w:val="40"/>
        </w:rPr>
        <w:t> </w:t>
      </w:r>
      <w:r>
        <w:rPr/>
        <w:t>makes</w:t>
      </w:r>
      <w:r>
        <w:rPr>
          <w:spacing w:val="40"/>
        </w:rPr>
        <w:t> </w:t>
      </w:r>
      <w:r>
        <w:rPr/>
        <w:t>it</w:t>
      </w:r>
      <w:r>
        <w:rPr>
          <w:spacing w:val="40"/>
        </w:rPr>
        <w:t> </w:t>
      </w:r>
      <w:r>
        <w:rPr/>
        <w:t>necessary</w:t>
      </w:r>
      <w:r>
        <w:rPr>
          <w:spacing w:val="40"/>
        </w:rPr>
        <w:t> </w:t>
      </w:r>
      <w:r>
        <w:rPr/>
        <w:t>to</w:t>
      </w:r>
      <w:r>
        <w:rPr>
          <w:spacing w:val="40"/>
        </w:rPr>
        <w:t> </w:t>
      </w:r>
      <w:r>
        <w:rPr/>
        <w:t>clearly</w:t>
      </w:r>
      <w:r>
        <w:rPr>
          <w:spacing w:val="40"/>
        </w:rPr>
        <w:t> </w:t>
      </w:r>
      <w:r>
        <w:rPr/>
        <w:t>present</w:t>
      </w:r>
      <w:r>
        <w:rPr>
          <w:spacing w:val="40"/>
        </w:rPr>
        <w:t> </w:t>
      </w:r>
      <w:r>
        <w:rPr/>
        <w:t>the</w:t>
      </w:r>
      <w:r>
        <w:rPr>
          <w:spacing w:val="40"/>
        </w:rPr>
        <w:t> </w:t>
      </w:r>
      <w:r>
        <w:rPr/>
        <w:t>business</w:t>
      </w:r>
      <w:r>
        <w:rPr>
          <w:spacing w:val="40"/>
        </w:rPr>
        <w:t> </w:t>
      </w:r>
      <w:r>
        <w:rPr/>
        <w:t>case</w:t>
      </w:r>
      <w:r>
        <w:rPr>
          <w:spacing w:val="40"/>
        </w:rPr>
        <w:t> </w:t>
      </w:r>
      <w:r>
        <w:rPr/>
        <w:t>for investment in gen-AI tools by</w:t>
      </w:r>
      <w:r>
        <w:rPr>
          <w:spacing w:val="40"/>
        </w:rPr>
        <w:t> </w:t>
      </w:r>
      <w:r>
        <w:rPr/>
        <w:t>clearly aligning the tool with strategic organizational priorities, measuring the benefits in terms of</w:t>
      </w:r>
      <w:r>
        <w:rPr>
          <w:spacing w:val="40"/>
        </w:rPr>
        <w:t> </w:t>
      </w:r>
      <w:r>
        <w:rPr/>
        <w:t>key performance metrics, and clearly documenting and communicating the total cost of ownership,</w:t>
      </w:r>
      <w:r>
        <w:rPr>
          <w:spacing w:val="40"/>
        </w:rPr>
        <w:t> </w:t>
      </w:r>
      <w:r>
        <w:rPr/>
        <w:t>risks, and return on investment (Reid, 2022).</w:t>
      </w:r>
    </w:p>
    <w:p>
      <w:pPr>
        <w:pStyle w:val="BodyText"/>
        <w:spacing w:line="230" w:lineRule="auto" w:before="238"/>
        <w:ind w:left="716" w:right="1388"/>
        <w:jc w:val="both"/>
      </w:pPr>
      <w:r>
        <w:rPr/>
        <w:t>Removing or reducing barriers to adoption is another way for firms to more quickly realize </w:t>
      </w:r>
      <w:r>
        <w:rPr/>
        <w:t>the benefits</w:t>
      </w:r>
      <w:r>
        <w:rPr>
          <w:spacing w:val="75"/>
        </w:rPr>
        <w:t> </w:t>
      </w:r>
      <w:r>
        <w:rPr/>
        <w:t>of</w:t>
      </w:r>
      <w:r>
        <w:rPr>
          <w:spacing w:val="60"/>
        </w:rPr>
        <w:t> </w:t>
      </w:r>
      <w:r>
        <w:rPr/>
        <w:t>gen-AI</w:t>
      </w:r>
      <w:r>
        <w:rPr>
          <w:spacing w:val="60"/>
        </w:rPr>
        <w:t> </w:t>
      </w:r>
      <w:r>
        <w:rPr/>
        <w:t>while</w:t>
      </w:r>
      <w:r>
        <w:rPr>
          <w:spacing w:val="60"/>
        </w:rPr>
        <w:t> </w:t>
      </w:r>
      <w:r>
        <w:rPr/>
        <w:t>also</w:t>
      </w:r>
      <w:r>
        <w:rPr>
          <w:spacing w:val="60"/>
        </w:rPr>
        <w:t> </w:t>
      </w:r>
      <w:r>
        <w:rPr/>
        <w:t>reducing</w:t>
      </w:r>
      <w:r>
        <w:rPr>
          <w:spacing w:val="60"/>
        </w:rPr>
        <w:t> </w:t>
      </w:r>
      <w:r>
        <w:rPr/>
        <w:t>the</w:t>
      </w:r>
      <w:r>
        <w:rPr>
          <w:spacing w:val="60"/>
        </w:rPr>
        <w:t> </w:t>
      </w:r>
      <w:r>
        <w:rPr/>
        <w:t>potential</w:t>
      </w:r>
      <w:r>
        <w:rPr>
          <w:spacing w:val="60"/>
        </w:rPr>
        <w:t> </w:t>
      </w:r>
      <w:r>
        <w:rPr/>
        <w:t>risks.</w:t>
      </w:r>
      <w:r>
        <w:rPr>
          <w:spacing w:val="60"/>
        </w:rPr>
        <w:t> </w:t>
      </w:r>
      <w:r>
        <w:rPr/>
        <w:t>Urbani</w:t>
      </w:r>
      <w:r>
        <w:rPr>
          <w:spacing w:val="60"/>
        </w:rPr>
        <w:t> </w:t>
      </w:r>
      <w:r>
        <w:rPr/>
        <w:t>et</w:t>
      </w:r>
      <w:r>
        <w:rPr>
          <w:spacing w:val="60"/>
        </w:rPr>
        <w:t> </w:t>
      </w:r>
      <w:r>
        <w:rPr/>
        <w:t>al.</w:t>
      </w:r>
      <w:r>
        <w:rPr>
          <w:spacing w:val="60"/>
        </w:rPr>
        <w:t> </w:t>
      </w:r>
      <w:r>
        <w:rPr/>
        <w:t>(2024)</w:t>
      </w:r>
      <w:r>
        <w:rPr>
          <w:spacing w:val="60"/>
        </w:rPr>
        <w:t> </w:t>
      </w:r>
      <w:r>
        <w:rPr/>
        <w:t>provided</w:t>
      </w:r>
      <w:r>
        <w:rPr>
          <w:spacing w:val="60"/>
        </w:rPr>
        <w:t> </w:t>
      </w:r>
      <w:r>
        <w:rPr>
          <w:spacing w:val="-10"/>
        </w:rPr>
        <w:t>a</w:t>
      </w:r>
    </w:p>
    <w:p>
      <w:pPr>
        <w:pStyle w:val="BodyText"/>
        <w:spacing w:after="0" w:line="230" w:lineRule="auto"/>
        <w:jc w:val="both"/>
        <w:sectPr>
          <w:pgSz w:w="12240" w:h="15840"/>
          <w:pgMar w:header="0" w:footer="707" w:top="620" w:bottom="920" w:left="720" w:right="0"/>
        </w:sectPr>
      </w:pPr>
    </w:p>
    <w:p>
      <w:pPr>
        <w:pStyle w:val="BodyText"/>
        <w:spacing w:line="230" w:lineRule="auto" w:before="80"/>
        <w:ind w:left="716" w:right="1375"/>
        <w:jc w:val="both"/>
      </w:pPr>
      <w:r>
        <w:rPr/>
        <w:t>summary</w:t>
      </w:r>
      <w:r>
        <w:rPr>
          <w:spacing w:val="40"/>
        </w:rPr>
        <w:t> </w:t>
      </w:r>
      <w:r>
        <w:rPr/>
        <w:t>of readiness factors for AI adoption, among them include the perceived ease</w:t>
      </w:r>
      <w:r>
        <w:rPr>
          <w:spacing w:val="-2"/>
        </w:rPr>
        <w:t> </w:t>
      </w:r>
      <w:r>
        <w:rPr/>
        <w:t>of</w:t>
      </w:r>
      <w:r>
        <w:rPr>
          <w:spacing w:val="-2"/>
        </w:rPr>
        <w:t> </w:t>
      </w:r>
      <w:r>
        <w:rPr/>
        <w:t>use</w:t>
      </w:r>
      <w:r>
        <w:rPr>
          <w:spacing w:val="-2"/>
        </w:rPr>
        <w:t> </w:t>
      </w:r>
      <w:r>
        <w:rPr/>
        <w:t>of the tools</w:t>
      </w:r>
      <w:r>
        <w:rPr>
          <w:spacing w:val="40"/>
        </w:rPr>
        <w:t> </w:t>
      </w:r>
      <w:r>
        <w:rPr/>
        <w:t>(employees are more likely to adopt easy to use tools) and a clear articulation of the benefits</w:t>
      </w:r>
      <w:r>
        <w:rPr>
          <w:spacing w:val="40"/>
        </w:rPr>
        <w:t> </w:t>
      </w:r>
      <w:r>
        <w:rPr/>
        <w:t>(reduced time on repetitive tasks, production of value-adding insights, task efficiency). Other</w:t>
      </w:r>
      <w:r>
        <w:rPr>
          <w:spacing w:val="40"/>
        </w:rPr>
        <w:t> </w:t>
      </w:r>
      <w:r>
        <w:rPr/>
        <w:t>considerations, like compatibility with existing IT systems, alignment with</w:t>
      </w:r>
      <w:r>
        <w:rPr>
          <w:spacing w:val="-3"/>
        </w:rPr>
        <w:t> </w:t>
      </w:r>
      <w:r>
        <w:rPr/>
        <w:t>ethical</w:t>
      </w:r>
      <w:r>
        <w:rPr>
          <w:spacing w:val="-3"/>
        </w:rPr>
        <w:t> </w:t>
      </w:r>
      <w:r>
        <w:rPr/>
        <w:t>norms, privacy</w:t>
      </w:r>
      <w:r>
        <w:rPr>
          <w:spacing w:val="80"/>
        </w:rPr>
        <w:t> </w:t>
      </w:r>
      <w:r>
        <w:rPr/>
        <w:t>and</w:t>
      </w:r>
      <w:r>
        <w:rPr>
          <w:spacing w:val="40"/>
        </w:rPr>
        <w:t> </w:t>
      </w:r>
      <w:r>
        <w:rPr/>
        <w:t>security</w:t>
      </w:r>
      <w:r>
        <w:rPr>
          <w:spacing w:val="40"/>
        </w:rPr>
        <w:t> </w:t>
      </w:r>
      <w:r>
        <w:rPr/>
        <w:t>policies,</w:t>
      </w:r>
      <w:r>
        <w:rPr>
          <w:spacing w:val="40"/>
        </w:rPr>
        <w:t> </w:t>
      </w:r>
      <w:r>
        <w:rPr/>
        <w:t>and</w:t>
      </w:r>
      <w:r>
        <w:rPr>
          <w:spacing w:val="40"/>
        </w:rPr>
        <w:t> </w:t>
      </w:r>
      <w:r>
        <w:rPr/>
        <w:t>quality</w:t>
      </w:r>
      <w:r>
        <w:rPr>
          <w:spacing w:val="40"/>
        </w:rPr>
        <w:t> </w:t>
      </w:r>
      <w:r>
        <w:rPr/>
        <w:t>testing</w:t>
      </w:r>
      <w:r>
        <w:rPr>
          <w:spacing w:val="40"/>
        </w:rPr>
        <w:t> </w:t>
      </w:r>
      <w:r>
        <w:rPr/>
        <w:t>of</w:t>
      </w:r>
      <w:r>
        <w:rPr>
          <w:spacing w:val="40"/>
        </w:rPr>
        <w:t> </w:t>
      </w:r>
      <w:r>
        <w:rPr/>
        <w:t>outputs can reduce risks associated with gen-AI</w:t>
      </w:r>
      <w:r>
        <w:rPr>
          <w:spacing w:val="40"/>
        </w:rPr>
        <w:t> </w:t>
      </w:r>
      <w:r>
        <w:rPr/>
        <w:t>adoption (Urbani et al., 2024).</w:t>
      </w:r>
    </w:p>
    <w:p>
      <w:pPr>
        <w:pStyle w:val="BodyText"/>
        <w:spacing w:line="230" w:lineRule="auto" w:before="242"/>
        <w:ind w:left="716" w:right="1375"/>
        <w:jc w:val="both"/>
      </w:pPr>
      <w:r>
        <w:rPr/>
        <w:t>Managers should leverage AI as a sophisticated tool to sharply enhance environmental scanning and identify non-traditional strategic alternatives that might otherwise be overlooked due </w:t>
      </w:r>
      <w:r>
        <w:rPr/>
        <w:t>to human</w:t>
      </w:r>
      <w:r>
        <w:rPr>
          <w:spacing w:val="80"/>
        </w:rPr>
        <w:t> </w:t>
      </w:r>
      <w:r>
        <w:rPr/>
        <w:t>cognitive limitations (Collier et al., 2025). By utilizing AI for complex scenario generation and</w:t>
      </w:r>
      <w:r>
        <w:rPr>
          <w:spacing w:val="40"/>
        </w:rPr>
        <w:t> </w:t>
      </w:r>
      <w:r>
        <w:rPr/>
        <w:t>revenue forecasting, managers can visualize the consequences of different risk appetite levels with</w:t>
      </w:r>
      <w:r>
        <w:rPr>
          <w:spacing w:val="40"/>
        </w:rPr>
        <w:t> </w:t>
      </w:r>
      <w:r>
        <w:rPr/>
        <w:t>greater precision</w:t>
      </w:r>
      <w:r>
        <w:rPr>
          <w:spacing w:val="-2"/>
        </w:rPr>
        <w:t> </w:t>
      </w:r>
      <w:r>
        <w:rPr/>
        <w:t>(Sohrabi</w:t>
      </w:r>
      <w:r>
        <w:rPr>
          <w:spacing w:val="-2"/>
        </w:rPr>
        <w:t> </w:t>
      </w:r>
      <w:r>
        <w:rPr/>
        <w:t>et</w:t>
      </w:r>
      <w:r>
        <w:rPr>
          <w:spacing w:val="-2"/>
        </w:rPr>
        <w:t> </w:t>
      </w:r>
      <w:r>
        <w:rPr/>
        <w:t>al.,</w:t>
      </w:r>
      <w:r>
        <w:rPr>
          <w:spacing w:val="-2"/>
        </w:rPr>
        <w:t> </w:t>
      </w:r>
      <w:r>
        <w:rPr/>
        <w:t>2018;</w:t>
      </w:r>
      <w:r>
        <w:rPr>
          <w:spacing w:val="-2"/>
        </w:rPr>
        <w:t> </w:t>
      </w:r>
      <w:r>
        <w:rPr/>
        <w:t>Boillet,</w:t>
      </w:r>
      <w:r>
        <w:rPr>
          <w:spacing w:val="-2"/>
        </w:rPr>
        <w:t> </w:t>
      </w:r>
      <w:r>
        <w:rPr/>
        <w:t>2018).</w:t>
      </w:r>
      <w:r>
        <w:rPr>
          <w:spacing w:val="-2"/>
        </w:rPr>
        <w:t> </w:t>
      </w:r>
      <w:r>
        <w:rPr/>
        <w:t>Furthermore,</w:t>
      </w:r>
      <w:r>
        <w:rPr>
          <w:spacing w:val="-2"/>
        </w:rPr>
        <w:t> </w:t>
      </w:r>
      <w:r>
        <w:rPr/>
        <w:t>it</w:t>
      </w:r>
      <w:r>
        <w:rPr>
          <w:spacing w:val="-2"/>
        </w:rPr>
        <w:t> </w:t>
      </w:r>
      <w:r>
        <w:rPr/>
        <w:t>should be noted that a</w:t>
      </w:r>
      <w:r>
        <w:rPr>
          <w:spacing w:val="40"/>
        </w:rPr>
        <w:t> </w:t>
      </w:r>
      <w:r>
        <w:rPr/>
        <w:t>manager’s true value-added shifts from data processing to</w:t>
      </w:r>
      <w:r>
        <w:rPr>
          <w:spacing w:val="-3"/>
        </w:rPr>
        <w:t> </w:t>
      </w:r>
      <w:r>
        <w:rPr/>
        <w:t>qualitative</w:t>
      </w:r>
      <w:r>
        <w:rPr>
          <w:spacing w:val="-3"/>
        </w:rPr>
        <w:t> </w:t>
      </w:r>
      <w:r>
        <w:rPr/>
        <w:t>validation. Managers must</w:t>
      </w:r>
      <w:r>
        <w:rPr>
          <w:spacing w:val="40"/>
        </w:rPr>
        <w:t> </w:t>
      </w:r>
      <w:r>
        <w:rPr/>
        <w:t>act as a quality gatekeeper,</w:t>
      </w:r>
      <w:r>
        <w:rPr>
          <w:spacing w:val="-3"/>
        </w:rPr>
        <w:t> </w:t>
      </w:r>
      <w:r>
        <w:rPr/>
        <w:t>applying</w:t>
      </w:r>
      <w:r>
        <w:rPr>
          <w:spacing w:val="-3"/>
        </w:rPr>
        <w:t> </w:t>
      </w:r>
      <w:r>
        <w:rPr/>
        <w:t>strategic,</w:t>
      </w:r>
      <w:r>
        <w:rPr>
          <w:spacing w:val="-3"/>
        </w:rPr>
        <w:t> </w:t>
      </w:r>
      <w:r>
        <w:rPr/>
        <w:t>ethical,</w:t>
      </w:r>
      <w:r>
        <w:rPr>
          <w:spacing w:val="-3"/>
        </w:rPr>
        <w:t> </w:t>
      </w:r>
      <w:r>
        <w:rPr/>
        <w:t>and</w:t>
      </w:r>
      <w:r>
        <w:rPr>
          <w:spacing w:val="-3"/>
        </w:rPr>
        <w:t> </w:t>
      </w:r>
      <w:r>
        <w:rPr/>
        <w:t>moral</w:t>
      </w:r>
      <w:r>
        <w:rPr>
          <w:spacing w:val="-3"/>
        </w:rPr>
        <w:t> </w:t>
      </w:r>
      <w:r>
        <w:rPr/>
        <w:t>judgment</w:t>
      </w:r>
      <w:r>
        <w:rPr>
          <w:spacing w:val="-3"/>
        </w:rPr>
        <w:t> </w:t>
      </w:r>
      <w:r>
        <w:rPr/>
        <w:t>to</w:t>
      </w:r>
      <w:r>
        <w:rPr>
          <w:spacing w:val="-3"/>
        </w:rPr>
        <w:t> </w:t>
      </w:r>
      <w:r>
        <w:rPr/>
        <w:t>AI outputs ensuring</w:t>
      </w:r>
      <w:r>
        <w:rPr>
          <w:spacing w:val="40"/>
        </w:rPr>
        <w:t> </w:t>
      </w:r>
      <w:r>
        <w:rPr/>
        <w:t>the final route taken aligns with the organization’s intrinsic value and core objectives (Jarrahi,</w:t>
      </w:r>
      <w:r>
        <w:rPr>
          <w:spacing w:val="40"/>
        </w:rPr>
        <w:t> </w:t>
      </w:r>
      <w:r>
        <w:rPr/>
        <w:t>2018; Lam, 2017).</w:t>
      </w:r>
    </w:p>
    <w:p>
      <w:pPr>
        <w:pStyle w:val="Heading4"/>
        <w:spacing w:before="274"/>
        <w:ind w:left="731"/>
      </w:pPr>
      <w:r>
        <w:rPr>
          <w:spacing w:val="-2"/>
        </w:rPr>
        <w:t>References</w:t>
      </w:r>
    </w:p>
    <w:p>
      <w:pPr>
        <w:pStyle w:val="BodyText"/>
        <w:spacing w:line="230" w:lineRule="auto" w:before="235"/>
        <w:ind w:left="716" w:right="1728"/>
      </w:pPr>
      <w:r>
        <w:rPr/>
        <w:t>Boillet, J. (2018). Why AI is both a risk and a way to manage risk. Ernst &amp; Young, </w:t>
      </w:r>
      <w:hyperlink r:id="rId56">
        <w:r>
          <w:rPr>
            <w:spacing w:val="-2"/>
            <w:u w:val="thick"/>
          </w:rPr>
          <w:t>https://www.ey.com/en_ro/insights/assurance/why-ai-is-both-a-risk-and-a-way-to-manage-</w:t>
        </w:r>
        <w:r>
          <w:rPr>
            <w:spacing w:val="-2"/>
            <w:u w:val="thick"/>
          </w:rPr>
          <w:t>risk</w:t>
        </w:r>
      </w:hyperlink>
    </w:p>
    <w:p>
      <w:pPr>
        <w:pStyle w:val="BodyText"/>
        <w:spacing w:line="230" w:lineRule="auto" w:before="245"/>
        <w:ind w:left="716" w:right="1375" w:firstLine="15"/>
        <w:jc w:val="both"/>
      </w:pPr>
      <w:r>
        <w:rPr/>
        <w:t>Calagna, K., Cassidy, B., &amp; Park, A. (2021). Realize the full potential of artificial intelligence: Applying the COSO framework and principles</w:t>
      </w:r>
      <w:r>
        <w:rPr>
          <w:spacing w:val="-3"/>
        </w:rPr>
        <w:t> </w:t>
      </w:r>
      <w:r>
        <w:rPr/>
        <w:t>to</w:t>
      </w:r>
      <w:r>
        <w:rPr>
          <w:spacing w:val="-3"/>
        </w:rPr>
        <w:t> </w:t>
      </w:r>
      <w:r>
        <w:rPr/>
        <w:t>help</w:t>
      </w:r>
      <w:r>
        <w:rPr>
          <w:spacing w:val="-3"/>
        </w:rPr>
        <w:t> </w:t>
      </w:r>
      <w:r>
        <w:rPr/>
        <w:t>implement</w:t>
      </w:r>
      <w:r>
        <w:rPr>
          <w:spacing w:val="-3"/>
        </w:rPr>
        <w:t> </w:t>
      </w:r>
      <w:r>
        <w:rPr/>
        <w:t>and</w:t>
      </w:r>
      <w:r>
        <w:rPr>
          <w:spacing w:val="-3"/>
        </w:rPr>
        <w:t> </w:t>
      </w:r>
      <w:r>
        <w:rPr/>
        <w:t>scale</w:t>
      </w:r>
      <w:r>
        <w:rPr>
          <w:spacing w:val="-3"/>
        </w:rPr>
        <w:t> </w:t>
      </w:r>
      <w:r>
        <w:rPr/>
        <w:t>artificial</w:t>
      </w:r>
      <w:r>
        <w:rPr>
          <w:spacing w:val="-3"/>
        </w:rPr>
        <w:t> </w:t>
      </w:r>
      <w:r>
        <w:rPr/>
        <w:t>intelligence. COSO, </w:t>
      </w:r>
      <w:hyperlink r:id="rId57">
        <w:r>
          <w:rPr>
            <w:u w:val="thick"/>
          </w:rPr>
          <w:t>https://www.coso.org/artificial-intelligence</w:t>
        </w:r>
      </w:hyperlink>
    </w:p>
    <w:p>
      <w:pPr>
        <w:pStyle w:val="BodyText"/>
        <w:spacing w:line="230" w:lineRule="auto" w:before="245"/>
        <w:ind w:left="716" w:right="1381" w:firstLine="15"/>
      </w:pPr>
      <w:r>
        <w:rPr/>
        <w:t>Collier,</w:t>
      </w:r>
      <w:r>
        <w:rPr>
          <w:spacing w:val="-4"/>
        </w:rPr>
        <w:t> </w:t>
      </w:r>
      <w:r>
        <w:rPr/>
        <w:t>Z.A.,</w:t>
      </w:r>
      <w:r>
        <w:rPr>
          <w:spacing w:val="-4"/>
        </w:rPr>
        <w:t> </w:t>
      </w:r>
      <w:r>
        <w:rPr/>
        <w:t>Gruss,</w:t>
      </w:r>
      <w:r>
        <w:rPr>
          <w:spacing w:val="-4"/>
        </w:rPr>
        <w:t> </w:t>
      </w:r>
      <w:r>
        <w:rPr/>
        <w:t>R.J.,</w:t>
      </w:r>
      <w:r>
        <w:rPr>
          <w:spacing w:val="-4"/>
        </w:rPr>
        <w:t> </w:t>
      </w:r>
      <w:r>
        <w:rPr/>
        <w:t>&amp;</w:t>
      </w:r>
      <w:r>
        <w:rPr>
          <w:spacing w:val="-4"/>
        </w:rPr>
        <w:t> </w:t>
      </w:r>
      <w:r>
        <w:rPr/>
        <w:t>Abrahams,</w:t>
      </w:r>
      <w:r>
        <w:rPr>
          <w:spacing w:val="-4"/>
        </w:rPr>
        <w:t> </w:t>
      </w:r>
      <w:r>
        <w:rPr/>
        <w:t>A.S.</w:t>
      </w:r>
      <w:r>
        <w:rPr>
          <w:spacing w:val="-4"/>
        </w:rPr>
        <w:t> </w:t>
      </w:r>
      <w:r>
        <w:rPr/>
        <w:t>(2025).</w:t>
      </w:r>
      <w:r>
        <w:rPr>
          <w:spacing w:val="-4"/>
        </w:rPr>
        <w:t> </w:t>
      </w:r>
      <w:r>
        <w:rPr/>
        <w:t>How</w:t>
      </w:r>
      <w:r>
        <w:rPr>
          <w:spacing w:val="-4"/>
        </w:rPr>
        <w:t> </w:t>
      </w:r>
      <w:r>
        <w:rPr/>
        <w:t>good</w:t>
      </w:r>
      <w:r>
        <w:rPr>
          <w:spacing w:val="-4"/>
        </w:rPr>
        <w:t> </w:t>
      </w:r>
      <w:r>
        <w:rPr/>
        <w:t>are</w:t>
      </w:r>
      <w:r>
        <w:rPr>
          <w:spacing w:val="-4"/>
        </w:rPr>
        <w:t> </w:t>
      </w:r>
      <w:r>
        <w:rPr/>
        <w:t>large</w:t>
      </w:r>
      <w:r>
        <w:rPr>
          <w:spacing w:val="-4"/>
        </w:rPr>
        <w:t> </w:t>
      </w:r>
      <w:r>
        <w:rPr/>
        <w:t>language</w:t>
      </w:r>
      <w:r>
        <w:rPr>
          <w:spacing w:val="-4"/>
        </w:rPr>
        <w:t> </w:t>
      </w:r>
      <w:r>
        <w:rPr/>
        <w:t>models</w:t>
      </w:r>
      <w:r>
        <w:rPr>
          <w:spacing w:val="-4"/>
        </w:rPr>
        <w:t> </w:t>
      </w:r>
      <w:r>
        <w:rPr/>
        <w:t>at product risk assessment? </w:t>
      </w:r>
      <w:r>
        <w:rPr>
          <w:i/>
        </w:rPr>
        <w:t>Risk Analysis</w:t>
      </w:r>
      <w:r>
        <w:rPr/>
        <w:t>, 45(4), 766-789.</w:t>
      </w:r>
    </w:p>
    <w:p>
      <w:pPr>
        <w:spacing w:line="230" w:lineRule="auto" w:before="244"/>
        <w:ind w:left="716" w:right="2240" w:firstLine="15"/>
        <w:jc w:val="left"/>
        <w:rPr>
          <w:sz w:val="24"/>
        </w:rPr>
      </w:pPr>
      <w:r>
        <w:rPr>
          <w:sz w:val="24"/>
        </w:rPr>
        <w:t>COSO</w:t>
      </w:r>
      <w:r>
        <w:rPr>
          <w:spacing w:val="-5"/>
          <w:sz w:val="24"/>
        </w:rPr>
        <w:t> </w:t>
      </w:r>
      <w:r>
        <w:rPr>
          <w:sz w:val="24"/>
        </w:rPr>
        <w:t>(2017).</w:t>
      </w:r>
      <w:r>
        <w:rPr>
          <w:spacing w:val="-5"/>
          <w:sz w:val="24"/>
        </w:rPr>
        <w:t> </w:t>
      </w:r>
      <w:r>
        <w:rPr>
          <w:i/>
          <w:sz w:val="24"/>
        </w:rPr>
        <w:t>Enterprise</w:t>
      </w:r>
      <w:r>
        <w:rPr>
          <w:i/>
          <w:spacing w:val="-5"/>
          <w:sz w:val="24"/>
        </w:rPr>
        <w:t> </w:t>
      </w:r>
      <w:r>
        <w:rPr>
          <w:i/>
          <w:sz w:val="24"/>
        </w:rPr>
        <w:t>Risk</w:t>
      </w:r>
      <w:r>
        <w:rPr>
          <w:i/>
          <w:spacing w:val="-5"/>
          <w:sz w:val="24"/>
        </w:rPr>
        <w:t> </w:t>
      </w:r>
      <w:r>
        <w:rPr>
          <w:i/>
          <w:sz w:val="24"/>
        </w:rPr>
        <w:t>Management-Integrating</w:t>
      </w:r>
      <w:r>
        <w:rPr>
          <w:i/>
          <w:spacing w:val="-5"/>
          <w:sz w:val="24"/>
        </w:rPr>
        <w:t> </w:t>
      </w:r>
      <w:r>
        <w:rPr>
          <w:i/>
          <w:sz w:val="24"/>
        </w:rPr>
        <w:t>with</w:t>
      </w:r>
      <w:r>
        <w:rPr>
          <w:i/>
          <w:spacing w:val="-5"/>
          <w:sz w:val="24"/>
        </w:rPr>
        <w:t> </w:t>
      </w:r>
      <w:r>
        <w:rPr>
          <w:i/>
          <w:sz w:val="24"/>
        </w:rPr>
        <w:t>Strategy</w:t>
      </w:r>
      <w:r>
        <w:rPr>
          <w:i/>
          <w:spacing w:val="-5"/>
          <w:sz w:val="24"/>
        </w:rPr>
        <w:t> </w:t>
      </w:r>
      <w:r>
        <w:rPr>
          <w:i/>
          <w:sz w:val="24"/>
        </w:rPr>
        <w:t>and</w:t>
      </w:r>
      <w:r>
        <w:rPr>
          <w:i/>
          <w:spacing w:val="-5"/>
          <w:sz w:val="24"/>
        </w:rPr>
        <w:t> </w:t>
      </w:r>
      <w:r>
        <w:rPr>
          <w:i/>
          <w:sz w:val="24"/>
        </w:rPr>
        <w:t>Performance.</w:t>
      </w:r>
      <w:r>
        <w:rPr>
          <w:i/>
          <w:sz w:val="24"/>
        </w:rPr>
        <w:t> </w:t>
      </w:r>
      <w:r>
        <w:rPr>
          <w:sz w:val="24"/>
        </w:rPr>
        <w:t>Committee of Sponsoring Organizations of the Treadway Commission (COSO), </w:t>
      </w:r>
      <w:hyperlink r:id="rId58">
        <w:r>
          <w:rPr>
            <w:spacing w:val="-2"/>
            <w:sz w:val="24"/>
            <w:u w:val="thick"/>
          </w:rPr>
          <w:t>https://www.coso.org/guidance-erm</w:t>
        </w:r>
      </w:hyperlink>
    </w:p>
    <w:p>
      <w:pPr>
        <w:pStyle w:val="BodyText"/>
        <w:spacing w:line="230" w:lineRule="auto" w:before="245"/>
        <w:ind w:left="716" w:right="1378"/>
        <w:jc w:val="both"/>
      </w:pPr>
      <w:r>
        <w:rPr/>
        <w:t>Dell’Aqua, F., McFowland III, E., Mollick, E., Lifshitz-Assaf, H., Kellogg, K.</w:t>
      </w:r>
      <w:r>
        <w:rPr>
          <w:spacing w:val="-4"/>
        </w:rPr>
        <w:t> </w:t>
      </w:r>
      <w:r>
        <w:rPr/>
        <w:t>C.,</w:t>
      </w:r>
      <w:r>
        <w:rPr>
          <w:spacing w:val="-4"/>
        </w:rPr>
        <w:t> </w:t>
      </w:r>
      <w:r>
        <w:rPr/>
        <w:t>Rajendran,</w:t>
      </w:r>
      <w:r>
        <w:rPr>
          <w:spacing w:val="-4"/>
        </w:rPr>
        <w:t> </w:t>
      </w:r>
      <w:r>
        <w:rPr/>
        <w:t>S., Krayer, L., Candelon, F., &amp; Lakhami, K. R.</w:t>
      </w:r>
      <w:r>
        <w:rPr>
          <w:spacing w:val="-4"/>
        </w:rPr>
        <w:t> </w:t>
      </w:r>
      <w:r>
        <w:rPr/>
        <w:t>(2023).</w:t>
      </w:r>
      <w:r>
        <w:rPr>
          <w:spacing w:val="-4"/>
        </w:rPr>
        <w:t> </w:t>
      </w:r>
      <w:r>
        <w:rPr/>
        <w:t>Navigating</w:t>
      </w:r>
      <w:r>
        <w:rPr>
          <w:spacing w:val="-4"/>
        </w:rPr>
        <w:t> </w:t>
      </w:r>
      <w:r>
        <w:rPr/>
        <w:t>the</w:t>
      </w:r>
      <w:r>
        <w:rPr>
          <w:spacing w:val="-4"/>
        </w:rPr>
        <w:t> </w:t>
      </w:r>
      <w:r>
        <w:rPr/>
        <w:t>jagged</w:t>
      </w:r>
      <w:r>
        <w:rPr>
          <w:spacing w:val="-4"/>
        </w:rPr>
        <w:t> </w:t>
      </w:r>
      <w:r>
        <w:rPr/>
        <w:t>technological</w:t>
      </w:r>
      <w:r>
        <w:rPr>
          <w:spacing w:val="-4"/>
        </w:rPr>
        <w:t> </w:t>
      </w:r>
      <w:r>
        <w:rPr/>
        <w:t>frontier: Field experimental evidence of the effects of AI on knowledge worker productivity and quality. Harvard Business School, working paper 24-013.</w:t>
      </w:r>
    </w:p>
    <w:p>
      <w:pPr>
        <w:spacing w:line="230" w:lineRule="auto" w:before="243"/>
        <w:ind w:left="731" w:right="1382" w:hanging="15"/>
        <w:jc w:val="both"/>
        <w:rPr>
          <w:sz w:val="24"/>
        </w:rPr>
      </w:pPr>
      <w:r>
        <w:rPr>
          <w:sz w:val="24"/>
        </w:rPr>
        <w:t>Frigo, M.L., &amp; Anderson, R.J. (2011). Strategic risk management: A foundation for </w:t>
      </w:r>
      <w:r>
        <w:rPr>
          <w:sz w:val="24"/>
        </w:rPr>
        <w:t>improving enterprise risk management and governance.</w:t>
      </w:r>
      <w:r>
        <w:rPr>
          <w:spacing w:val="-4"/>
          <w:sz w:val="24"/>
        </w:rPr>
        <w:t> </w:t>
      </w:r>
      <w:r>
        <w:rPr>
          <w:i/>
          <w:sz w:val="24"/>
        </w:rPr>
        <w:t>Journal</w:t>
      </w:r>
      <w:r>
        <w:rPr>
          <w:i/>
          <w:spacing w:val="-4"/>
          <w:sz w:val="24"/>
        </w:rPr>
        <w:t> </w:t>
      </w:r>
      <w:r>
        <w:rPr>
          <w:i/>
          <w:sz w:val="24"/>
        </w:rPr>
        <w:t>of</w:t>
      </w:r>
      <w:r>
        <w:rPr>
          <w:i/>
          <w:spacing w:val="-4"/>
          <w:sz w:val="24"/>
        </w:rPr>
        <w:t> </w:t>
      </w:r>
      <w:r>
        <w:rPr>
          <w:i/>
          <w:sz w:val="24"/>
        </w:rPr>
        <w:t>Corporate</w:t>
      </w:r>
      <w:r>
        <w:rPr>
          <w:i/>
          <w:spacing w:val="-4"/>
          <w:sz w:val="24"/>
        </w:rPr>
        <w:t> </w:t>
      </w:r>
      <w:r>
        <w:rPr>
          <w:i/>
          <w:sz w:val="24"/>
        </w:rPr>
        <w:t>Accounting</w:t>
      </w:r>
      <w:r>
        <w:rPr>
          <w:i/>
          <w:spacing w:val="-4"/>
          <w:sz w:val="24"/>
        </w:rPr>
        <w:t> </w:t>
      </w:r>
      <w:r>
        <w:rPr>
          <w:i/>
          <w:sz w:val="24"/>
        </w:rPr>
        <w:t>&amp;</w:t>
      </w:r>
      <w:r>
        <w:rPr>
          <w:i/>
          <w:spacing w:val="-4"/>
          <w:sz w:val="24"/>
        </w:rPr>
        <w:t> </w:t>
      </w:r>
      <w:r>
        <w:rPr>
          <w:i/>
          <w:sz w:val="24"/>
        </w:rPr>
        <w:t>Finance</w:t>
      </w:r>
      <w:r>
        <w:rPr>
          <w:sz w:val="24"/>
        </w:rPr>
        <w:t>,</w:t>
      </w:r>
      <w:r>
        <w:rPr>
          <w:spacing w:val="-4"/>
          <w:sz w:val="24"/>
        </w:rPr>
        <w:t> </w:t>
      </w:r>
      <w:r>
        <w:rPr>
          <w:sz w:val="24"/>
        </w:rPr>
        <w:t>22(3), </w:t>
      </w:r>
      <w:r>
        <w:rPr>
          <w:spacing w:val="-2"/>
          <w:sz w:val="24"/>
        </w:rPr>
        <w:t>81-88.</w:t>
      </w:r>
    </w:p>
    <w:p>
      <w:pPr>
        <w:spacing w:line="232" w:lineRule="auto" w:before="242"/>
        <w:ind w:left="731" w:right="1381" w:firstLine="0"/>
        <w:jc w:val="left"/>
        <w:rPr>
          <w:sz w:val="24"/>
        </w:rPr>
      </w:pPr>
      <w:r>
        <w:rPr>
          <w:sz w:val="24"/>
        </w:rPr>
        <w:t>Greifer,</w:t>
      </w:r>
      <w:r>
        <w:rPr>
          <w:spacing w:val="-7"/>
          <w:sz w:val="24"/>
        </w:rPr>
        <w:t> </w:t>
      </w:r>
      <w:r>
        <w:rPr>
          <w:sz w:val="24"/>
        </w:rPr>
        <w:t>N.,</w:t>
      </w:r>
      <w:r>
        <w:rPr>
          <w:spacing w:val="-7"/>
          <w:sz w:val="24"/>
        </w:rPr>
        <w:t> </w:t>
      </w:r>
      <w:r>
        <w:rPr>
          <w:sz w:val="24"/>
        </w:rPr>
        <w:t>&amp;</w:t>
      </w:r>
      <w:r>
        <w:rPr>
          <w:spacing w:val="-7"/>
          <w:sz w:val="24"/>
        </w:rPr>
        <w:t> </w:t>
      </w:r>
      <w:r>
        <w:rPr>
          <w:sz w:val="24"/>
        </w:rPr>
        <w:t>Schwarz,</w:t>
      </w:r>
      <w:r>
        <w:rPr>
          <w:spacing w:val="-7"/>
          <w:sz w:val="24"/>
        </w:rPr>
        <w:t> </w:t>
      </w:r>
      <w:r>
        <w:rPr>
          <w:sz w:val="24"/>
        </w:rPr>
        <w:t>B.L.</w:t>
      </w:r>
      <w:r>
        <w:rPr>
          <w:spacing w:val="-7"/>
          <w:sz w:val="24"/>
        </w:rPr>
        <w:t> </w:t>
      </w:r>
      <w:r>
        <w:rPr>
          <w:sz w:val="24"/>
        </w:rPr>
        <w:t>(2001).</w:t>
      </w:r>
      <w:r>
        <w:rPr>
          <w:spacing w:val="-7"/>
          <w:sz w:val="24"/>
        </w:rPr>
        <w:t> </w:t>
      </w:r>
      <w:r>
        <w:rPr>
          <w:i/>
          <w:sz w:val="24"/>
        </w:rPr>
        <w:t>An</w:t>
      </w:r>
      <w:r>
        <w:rPr>
          <w:i/>
          <w:spacing w:val="-7"/>
          <w:sz w:val="24"/>
        </w:rPr>
        <w:t> </w:t>
      </w:r>
      <w:r>
        <w:rPr>
          <w:i/>
          <w:sz w:val="24"/>
        </w:rPr>
        <w:t>Elected</w:t>
      </w:r>
      <w:r>
        <w:rPr>
          <w:i/>
          <w:spacing w:val="-7"/>
          <w:sz w:val="24"/>
        </w:rPr>
        <w:t> </w:t>
      </w:r>
      <w:r>
        <w:rPr>
          <w:i/>
          <w:sz w:val="24"/>
        </w:rPr>
        <w:t>Official’s</w:t>
      </w:r>
      <w:r>
        <w:rPr>
          <w:i/>
          <w:spacing w:val="-7"/>
          <w:sz w:val="24"/>
        </w:rPr>
        <w:t> </w:t>
      </w:r>
      <w:r>
        <w:rPr>
          <w:i/>
          <w:sz w:val="24"/>
        </w:rPr>
        <w:t>Guide</w:t>
      </w:r>
      <w:r>
        <w:rPr>
          <w:i/>
          <w:spacing w:val="-7"/>
          <w:sz w:val="24"/>
        </w:rPr>
        <w:t> </w:t>
      </w:r>
      <w:r>
        <w:rPr>
          <w:i/>
          <w:sz w:val="24"/>
        </w:rPr>
        <w:t>to</w:t>
      </w:r>
      <w:r>
        <w:rPr>
          <w:i/>
          <w:spacing w:val="-7"/>
          <w:sz w:val="24"/>
        </w:rPr>
        <w:t> </w:t>
      </w:r>
      <w:r>
        <w:rPr>
          <w:i/>
          <w:sz w:val="24"/>
        </w:rPr>
        <w:t>Risk</w:t>
      </w:r>
      <w:r>
        <w:rPr>
          <w:i/>
          <w:spacing w:val="-7"/>
          <w:sz w:val="24"/>
        </w:rPr>
        <w:t> </w:t>
      </w:r>
      <w:r>
        <w:rPr>
          <w:i/>
          <w:sz w:val="24"/>
        </w:rPr>
        <w:t>Management</w:t>
      </w:r>
      <w:r>
        <w:rPr>
          <w:sz w:val="24"/>
        </w:rPr>
        <w:t>. Government Finance Officers Association, Chicago, IL.</w:t>
      </w:r>
    </w:p>
    <w:p>
      <w:pPr>
        <w:pStyle w:val="BodyText"/>
        <w:spacing w:line="232" w:lineRule="auto" w:before="240"/>
        <w:ind w:left="716" w:right="1381"/>
      </w:pPr>
      <w:r>
        <w:rPr/>
        <w:t>Hall,</w:t>
      </w:r>
      <w:r>
        <w:rPr>
          <w:spacing w:val="-6"/>
        </w:rPr>
        <w:t> </w:t>
      </w:r>
      <w:r>
        <w:rPr/>
        <w:t>B.H.,</w:t>
      </w:r>
      <w:r>
        <w:rPr>
          <w:spacing w:val="-6"/>
        </w:rPr>
        <w:t> </w:t>
      </w:r>
      <w:r>
        <w:rPr/>
        <w:t>&amp;</w:t>
      </w:r>
      <w:r>
        <w:rPr>
          <w:spacing w:val="-6"/>
        </w:rPr>
        <w:t> </w:t>
      </w:r>
      <w:r>
        <w:rPr/>
        <w:t>Khan,</w:t>
      </w:r>
      <w:r>
        <w:rPr>
          <w:spacing w:val="-6"/>
        </w:rPr>
        <w:t> </w:t>
      </w:r>
      <w:r>
        <w:rPr/>
        <w:t>B.</w:t>
      </w:r>
      <w:r>
        <w:rPr>
          <w:spacing w:val="-6"/>
        </w:rPr>
        <w:t> </w:t>
      </w:r>
      <w:r>
        <w:rPr/>
        <w:t>(2003).</w:t>
      </w:r>
      <w:r>
        <w:rPr>
          <w:spacing w:val="-6"/>
        </w:rPr>
        <w:t> </w:t>
      </w:r>
      <w:r>
        <w:rPr/>
        <w:t>Adoption</w:t>
      </w:r>
      <w:r>
        <w:rPr>
          <w:spacing w:val="-6"/>
        </w:rPr>
        <w:t> </w:t>
      </w:r>
      <w:r>
        <w:rPr/>
        <w:t>of</w:t>
      </w:r>
      <w:r>
        <w:rPr>
          <w:spacing w:val="-6"/>
        </w:rPr>
        <w:t> </w:t>
      </w:r>
      <w:r>
        <w:rPr/>
        <w:t>new</w:t>
      </w:r>
      <w:r>
        <w:rPr>
          <w:spacing w:val="-6"/>
        </w:rPr>
        <w:t> </w:t>
      </w:r>
      <w:r>
        <w:rPr/>
        <w:t>technology.</w:t>
      </w:r>
      <w:r>
        <w:rPr>
          <w:spacing w:val="-6"/>
        </w:rPr>
        <w:t> </w:t>
      </w:r>
      <w:r>
        <w:rPr/>
        <w:t>Working</w:t>
      </w:r>
      <w:r>
        <w:rPr>
          <w:spacing w:val="-6"/>
        </w:rPr>
        <w:t> </w:t>
      </w:r>
      <w:r>
        <w:rPr/>
        <w:t>Paper</w:t>
      </w:r>
      <w:r>
        <w:rPr>
          <w:spacing w:val="-6"/>
        </w:rPr>
        <w:t> </w:t>
      </w:r>
      <w:r>
        <w:rPr/>
        <w:t>9730.</w:t>
      </w:r>
      <w:r>
        <w:rPr>
          <w:spacing w:val="-6"/>
        </w:rPr>
        <w:t> </w:t>
      </w:r>
      <w:r>
        <w:rPr/>
        <w:t>National Bureau of Economic Research, Cambridge, MA.</w:t>
      </w:r>
    </w:p>
    <w:p>
      <w:pPr>
        <w:pStyle w:val="BodyText"/>
        <w:spacing w:line="230" w:lineRule="auto" w:before="240"/>
        <w:ind w:left="716" w:right="1379"/>
        <w:jc w:val="both"/>
      </w:pPr>
      <w:r>
        <w:rPr/>
        <w:t>Hubert, K. F., Awa, K. N., &amp; Zabelina, D. L. (2024). The current state of artificial intelligence generative language models is more creative than humans on divergent thinking tasks. </w:t>
      </w:r>
      <w:r>
        <w:rPr>
          <w:i/>
        </w:rPr>
        <w:t>Scientific</w:t>
      </w:r>
      <w:r>
        <w:rPr>
          <w:i/>
        </w:rPr>
        <w:t> Reports</w:t>
      </w:r>
      <w:r>
        <w:rPr/>
        <w:t>, 14, 3440.</w:t>
      </w:r>
    </w:p>
    <w:p>
      <w:pPr>
        <w:pStyle w:val="BodyText"/>
        <w:spacing w:line="232" w:lineRule="auto" w:before="244"/>
        <w:ind w:left="716" w:right="1191"/>
      </w:pPr>
      <w:r>
        <w:rPr/>
        <w:t>Humpreys,</w:t>
      </w:r>
      <w:r>
        <w:rPr>
          <w:spacing w:val="-4"/>
        </w:rPr>
        <w:t> </w:t>
      </w:r>
      <w:r>
        <w:rPr/>
        <w:t>D.,</w:t>
      </w:r>
      <w:r>
        <w:rPr>
          <w:spacing w:val="-4"/>
        </w:rPr>
        <w:t> </w:t>
      </w:r>
      <w:r>
        <w:rPr/>
        <w:t>Koay,</w:t>
      </w:r>
      <w:r>
        <w:rPr>
          <w:spacing w:val="-4"/>
        </w:rPr>
        <w:t> </w:t>
      </w:r>
      <w:r>
        <w:rPr/>
        <w:t>A.,</w:t>
      </w:r>
      <w:r>
        <w:rPr>
          <w:spacing w:val="-4"/>
        </w:rPr>
        <w:t> </w:t>
      </w:r>
      <w:r>
        <w:rPr/>
        <w:t>Desmond,</w:t>
      </w:r>
      <w:r>
        <w:rPr>
          <w:spacing w:val="-4"/>
        </w:rPr>
        <w:t> </w:t>
      </w:r>
      <w:r>
        <w:rPr/>
        <w:t>D.,</w:t>
      </w:r>
      <w:r>
        <w:rPr>
          <w:spacing w:val="-4"/>
        </w:rPr>
        <w:t> </w:t>
      </w:r>
      <w:r>
        <w:rPr/>
        <w:t>&amp;</w:t>
      </w:r>
      <w:r>
        <w:rPr>
          <w:spacing w:val="-4"/>
        </w:rPr>
        <w:t> </w:t>
      </w:r>
      <w:r>
        <w:rPr/>
        <w:t>Mealy,</w:t>
      </w:r>
      <w:r>
        <w:rPr>
          <w:spacing w:val="-4"/>
        </w:rPr>
        <w:t> </w:t>
      </w:r>
      <w:r>
        <w:rPr/>
        <w:t>E.</w:t>
      </w:r>
      <w:r>
        <w:rPr>
          <w:spacing w:val="-4"/>
        </w:rPr>
        <w:t> </w:t>
      </w:r>
      <w:r>
        <w:rPr/>
        <w:t>(2024).</w:t>
      </w:r>
      <w:r>
        <w:rPr>
          <w:spacing w:val="-4"/>
        </w:rPr>
        <w:t> </w:t>
      </w:r>
      <w:r>
        <w:rPr/>
        <w:t>AI</w:t>
      </w:r>
      <w:r>
        <w:rPr>
          <w:spacing w:val="-4"/>
        </w:rPr>
        <w:t> </w:t>
      </w:r>
      <w:r>
        <w:rPr/>
        <w:t>hype</w:t>
      </w:r>
      <w:r>
        <w:rPr>
          <w:spacing w:val="-4"/>
        </w:rPr>
        <w:t> </w:t>
      </w:r>
      <w:r>
        <w:rPr/>
        <w:t>as</w:t>
      </w:r>
      <w:r>
        <w:rPr>
          <w:spacing w:val="-4"/>
        </w:rPr>
        <w:t> </w:t>
      </w:r>
      <w:r>
        <w:rPr/>
        <w:t>a</w:t>
      </w:r>
      <w:r>
        <w:rPr>
          <w:spacing w:val="-4"/>
        </w:rPr>
        <w:t> </w:t>
      </w:r>
      <w:r>
        <w:rPr/>
        <w:t>cyber</w:t>
      </w:r>
      <w:r>
        <w:rPr>
          <w:spacing w:val="-4"/>
        </w:rPr>
        <w:t> </w:t>
      </w:r>
      <w:r>
        <w:rPr/>
        <w:t>security</w:t>
      </w:r>
      <w:r>
        <w:rPr>
          <w:spacing w:val="-4"/>
        </w:rPr>
        <w:t> </w:t>
      </w:r>
      <w:r>
        <w:rPr/>
        <w:t>risk:</w:t>
      </w:r>
      <w:r>
        <w:rPr>
          <w:spacing w:val="-4"/>
        </w:rPr>
        <w:t> </w:t>
      </w:r>
      <w:r>
        <w:rPr/>
        <w:t>The moral responsibility of implementing generative AI in business. </w:t>
      </w:r>
      <w:r>
        <w:rPr>
          <w:i/>
        </w:rPr>
        <w:t>AI and Ethics</w:t>
      </w:r>
      <w:r>
        <w:rPr/>
        <w:t>, 4, 791-804.</w:t>
      </w:r>
    </w:p>
    <w:p>
      <w:pPr>
        <w:pStyle w:val="BodyText"/>
        <w:spacing w:after="0" w:line="232" w:lineRule="auto"/>
        <w:sectPr>
          <w:pgSz w:w="12240" w:h="15840"/>
          <w:pgMar w:header="0" w:footer="707" w:top="620" w:bottom="960" w:left="720" w:right="0"/>
        </w:sectPr>
      </w:pPr>
    </w:p>
    <w:p>
      <w:pPr>
        <w:pStyle w:val="BodyText"/>
        <w:spacing w:line="232" w:lineRule="auto" w:before="80"/>
        <w:ind w:left="731" w:right="1191"/>
      </w:pPr>
      <w:r>
        <w:rPr/>
        <w:t>Jarrahi,</w:t>
      </w:r>
      <w:r>
        <w:rPr>
          <w:spacing w:val="-4"/>
        </w:rPr>
        <w:t> </w:t>
      </w:r>
      <w:r>
        <w:rPr/>
        <w:t>M.H.</w:t>
      </w:r>
      <w:r>
        <w:rPr>
          <w:spacing w:val="-4"/>
        </w:rPr>
        <w:t> </w:t>
      </w:r>
      <w:r>
        <w:rPr/>
        <w:t>(2018).</w:t>
      </w:r>
      <w:r>
        <w:rPr>
          <w:spacing w:val="-4"/>
        </w:rPr>
        <w:t> </w:t>
      </w:r>
      <w:r>
        <w:rPr/>
        <w:t>Artificial</w:t>
      </w:r>
      <w:r>
        <w:rPr>
          <w:spacing w:val="-4"/>
        </w:rPr>
        <w:t> </w:t>
      </w:r>
      <w:r>
        <w:rPr/>
        <w:t>intelligence</w:t>
      </w:r>
      <w:r>
        <w:rPr>
          <w:spacing w:val="-4"/>
        </w:rPr>
        <w:t> </w:t>
      </w:r>
      <w:r>
        <w:rPr/>
        <w:t>and</w:t>
      </w:r>
      <w:r>
        <w:rPr>
          <w:spacing w:val="-4"/>
        </w:rPr>
        <w:t> </w:t>
      </w:r>
      <w:r>
        <w:rPr/>
        <w:t>the</w:t>
      </w:r>
      <w:r>
        <w:rPr>
          <w:spacing w:val="-4"/>
        </w:rPr>
        <w:t> </w:t>
      </w:r>
      <w:r>
        <w:rPr/>
        <w:t>future</w:t>
      </w:r>
      <w:r>
        <w:rPr>
          <w:spacing w:val="-4"/>
        </w:rPr>
        <w:t> </w:t>
      </w:r>
      <w:r>
        <w:rPr/>
        <w:t>of</w:t>
      </w:r>
      <w:r>
        <w:rPr>
          <w:spacing w:val="-4"/>
        </w:rPr>
        <w:t> </w:t>
      </w:r>
      <w:r>
        <w:rPr/>
        <w:t>work:</w:t>
      </w:r>
      <w:r>
        <w:rPr>
          <w:spacing w:val="-4"/>
        </w:rPr>
        <w:t> </w:t>
      </w:r>
      <w:r>
        <w:rPr/>
        <w:t>Human-AI</w:t>
      </w:r>
      <w:r>
        <w:rPr>
          <w:spacing w:val="-4"/>
        </w:rPr>
        <w:t> </w:t>
      </w:r>
      <w:r>
        <w:rPr/>
        <w:t>symbiosis</w:t>
      </w:r>
      <w:r>
        <w:rPr>
          <w:spacing w:val="-4"/>
        </w:rPr>
        <w:t> </w:t>
      </w:r>
      <w:r>
        <w:rPr/>
        <w:t>in organizational decision making. </w:t>
      </w:r>
      <w:r>
        <w:rPr>
          <w:i/>
        </w:rPr>
        <w:t>Business Horizons</w:t>
      </w:r>
      <w:r>
        <w:rPr/>
        <w:t>, 61, 577–586.</w:t>
      </w:r>
    </w:p>
    <w:p>
      <w:pPr>
        <w:spacing w:line="232" w:lineRule="auto" w:before="239"/>
        <w:ind w:left="716" w:right="1191" w:firstLine="15"/>
        <w:jc w:val="left"/>
        <w:rPr>
          <w:sz w:val="24"/>
        </w:rPr>
      </w:pPr>
      <w:r>
        <w:rPr>
          <w:sz w:val="24"/>
        </w:rPr>
        <w:t>Lam,</w:t>
      </w:r>
      <w:r>
        <w:rPr>
          <w:spacing w:val="-5"/>
          <w:sz w:val="24"/>
        </w:rPr>
        <w:t> </w:t>
      </w:r>
      <w:r>
        <w:rPr>
          <w:sz w:val="24"/>
        </w:rPr>
        <w:t>J.</w:t>
      </w:r>
      <w:r>
        <w:rPr>
          <w:spacing w:val="-5"/>
          <w:sz w:val="24"/>
        </w:rPr>
        <w:t> </w:t>
      </w:r>
      <w:r>
        <w:rPr>
          <w:sz w:val="24"/>
        </w:rPr>
        <w:t>(2017).</w:t>
      </w:r>
      <w:r>
        <w:rPr>
          <w:spacing w:val="-5"/>
          <w:sz w:val="24"/>
        </w:rPr>
        <w:t> </w:t>
      </w:r>
      <w:r>
        <w:rPr>
          <w:i/>
          <w:sz w:val="24"/>
        </w:rPr>
        <w:t>Implementing</w:t>
      </w:r>
      <w:r>
        <w:rPr>
          <w:i/>
          <w:spacing w:val="-5"/>
          <w:sz w:val="24"/>
        </w:rPr>
        <w:t> </w:t>
      </w:r>
      <w:r>
        <w:rPr>
          <w:i/>
          <w:sz w:val="24"/>
        </w:rPr>
        <w:t>Enterprise</w:t>
      </w:r>
      <w:r>
        <w:rPr>
          <w:i/>
          <w:spacing w:val="-5"/>
          <w:sz w:val="24"/>
        </w:rPr>
        <w:t> </w:t>
      </w:r>
      <w:r>
        <w:rPr>
          <w:i/>
          <w:sz w:val="24"/>
        </w:rPr>
        <w:t>Risk</w:t>
      </w:r>
      <w:r>
        <w:rPr>
          <w:i/>
          <w:spacing w:val="-5"/>
          <w:sz w:val="24"/>
        </w:rPr>
        <w:t> </w:t>
      </w:r>
      <w:r>
        <w:rPr>
          <w:i/>
          <w:sz w:val="24"/>
        </w:rPr>
        <w:t>Management:</w:t>
      </w:r>
      <w:r>
        <w:rPr>
          <w:i/>
          <w:spacing w:val="-5"/>
          <w:sz w:val="24"/>
        </w:rPr>
        <w:t> </w:t>
      </w:r>
      <w:r>
        <w:rPr>
          <w:i/>
          <w:sz w:val="24"/>
        </w:rPr>
        <w:t>From</w:t>
      </w:r>
      <w:r>
        <w:rPr>
          <w:i/>
          <w:spacing w:val="-5"/>
          <w:sz w:val="24"/>
        </w:rPr>
        <w:t> </w:t>
      </w:r>
      <w:r>
        <w:rPr>
          <w:i/>
          <w:sz w:val="24"/>
        </w:rPr>
        <w:t>Methods</w:t>
      </w:r>
      <w:r>
        <w:rPr>
          <w:i/>
          <w:spacing w:val="-5"/>
          <w:sz w:val="24"/>
        </w:rPr>
        <w:t> </w:t>
      </w:r>
      <w:r>
        <w:rPr>
          <w:i/>
          <w:sz w:val="24"/>
        </w:rPr>
        <w:t>to</w:t>
      </w:r>
      <w:r>
        <w:rPr>
          <w:i/>
          <w:spacing w:val="-5"/>
          <w:sz w:val="24"/>
        </w:rPr>
        <w:t> </w:t>
      </w:r>
      <w:r>
        <w:rPr>
          <w:i/>
          <w:sz w:val="24"/>
        </w:rPr>
        <w:t>Applications</w:t>
      </w:r>
      <w:r>
        <w:rPr>
          <w:sz w:val="24"/>
        </w:rPr>
        <w:t>.</w:t>
      </w:r>
      <w:r>
        <w:rPr>
          <w:spacing w:val="-5"/>
          <w:sz w:val="24"/>
        </w:rPr>
        <w:t> </w:t>
      </w:r>
      <w:r>
        <w:rPr>
          <w:sz w:val="24"/>
        </w:rPr>
        <w:t>John Wiley &amp; Sons, Inc., Hoboken, New Jersey.</w:t>
      </w:r>
    </w:p>
    <w:p>
      <w:pPr>
        <w:pStyle w:val="BodyText"/>
        <w:spacing w:line="230" w:lineRule="auto" w:before="241"/>
        <w:ind w:left="716" w:right="1377"/>
        <w:jc w:val="both"/>
      </w:pPr>
      <w:r>
        <w:rPr/>
        <w:t>Niederhoffer, K., Kellerman, G.R., Lee, A., Liebscher, A., Rapuano,</w:t>
      </w:r>
      <w:r>
        <w:rPr>
          <w:spacing w:val="-5"/>
        </w:rPr>
        <w:t> </w:t>
      </w:r>
      <w:r>
        <w:rPr/>
        <w:t>K.,</w:t>
      </w:r>
      <w:r>
        <w:rPr>
          <w:spacing w:val="-5"/>
        </w:rPr>
        <w:t> </w:t>
      </w:r>
      <w:r>
        <w:rPr/>
        <w:t>&amp;</w:t>
      </w:r>
      <w:r>
        <w:rPr>
          <w:spacing w:val="-5"/>
        </w:rPr>
        <w:t> </w:t>
      </w:r>
      <w:r>
        <w:rPr/>
        <w:t>Hancock,</w:t>
      </w:r>
      <w:r>
        <w:rPr>
          <w:spacing w:val="-5"/>
        </w:rPr>
        <w:t> </w:t>
      </w:r>
      <w:r>
        <w:rPr/>
        <w:t>J.T.</w:t>
      </w:r>
      <w:r>
        <w:rPr>
          <w:spacing w:val="-5"/>
        </w:rPr>
        <w:t> </w:t>
      </w:r>
      <w:r>
        <w:rPr/>
        <w:t>(2025). AI-generated “workslop” is destroying productivity. </w:t>
      </w:r>
      <w:r>
        <w:rPr>
          <w:i/>
        </w:rPr>
        <w:t>Harvard Business </w:t>
      </w:r>
      <w:r>
        <w:rPr>
          <w:i/>
        </w:rPr>
        <w:t>Review</w:t>
      </w:r>
      <w:r>
        <w:rPr/>
        <w:t>, </w:t>
      </w:r>
      <w:hyperlink r:id="rId59">
        <w:r>
          <w:rPr>
            <w:spacing w:val="-2"/>
            <w:u w:val="thick"/>
          </w:rPr>
          <w:t>https://hbr.org/2025/09/ai-generated-workslop-is-destroying-productivity</w:t>
        </w:r>
      </w:hyperlink>
    </w:p>
    <w:p>
      <w:pPr>
        <w:spacing w:line="230" w:lineRule="auto" w:before="265"/>
        <w:ind w:left="701" w:right="1425" w:firstLine="15"/>
        <w:jc w:val="both"/>
        <w:rPr>
          <w:sz w:val="24"/>
        </w:rPr>
      </w:pPr>
      <w:r>
        <w:rPr>
          <w:sz w:val="24"/>
        </w:rPr>
        <w:t>Nocco,</w:t>
      </w:r>
      <w:r>
        <w:rPr>
          <w:spacing w:val="-5"/>
          <w:sz w:val="24"/>
        </w:rPr>
        <w:t> </w:t>
      </w:r>
      <w:r>
        <w:rPr>
          <w:sz w:val="24"/>
        </w:rPr>
        <w:t>B.W.,</w:t>
      </w:r>
      <w:r>
        <w:rPr>
          <w:spacing w:val="-5"/>
          <w:sz w:val="24"/>
        </w:rPr>
        <w:t> </w:t>
      </w:r>
      <w:r>
        <w:rPr>
          <w:sz w:val="24"/>
        </w:rPr>
        <w:t>&amp;</w:t>
      </w:r>
      <w:r>
        <w:rPr>
          <w:spacing w:val="-5"/>
          <w:sz w:val="24"/>
        </w:rPr>
        <w:t> </w:t>
      </w:r>
      <w:r>
        <w:rPr>
          <w:sz w:val="24"/>
        </w:rPr>
        <w:t>Stulz,</w:t>
      </w:r>
      <w:r>
        <w:rPr>
          <w:spacing w:val="-5"/>
          <w:sz w:val="24"/>
        </w:rPr>
        <w:t> </w:t>
      </w:r>
      <w:r>
        <w:rPr>
          <w:sz w:val="24"/>
        </w:rPr>
        <w:t>R.M.</w:t>
      </w:r>
      <w:r>
        <w:rPr>
          <w:spacing w:val="-5"/>
          <w:sz w:val="24"/>
        </w:rPr>
        <w:t> </w:t>
      </w:r>
      <w:r>
        <w:rPr>
          <w:sz w:val="24"/>
        </w:rPr>
        <w:t>(2006).</w:t>
      </w:r>
      <w:r>
        <w:rPr>
          <w:spacing w:val="-5"/>
          <w:sz w:val="24"/>
        </w:rPr>
        <w:t> </w:t>
      </w:r>
      <w:r>
        <w:rPr>
          <w:sz w:val="24"/>
        </w:rPr>
        <w:t>Enterprise</w:t>
      </w:r>
      <w:r>
        <w:rPr>
          <w:spacing w:val="-5"/>
          <w:sz w:val="24"/>
        </w:rPr>
        <w:t> </w:t>
      </w:r>
      <w:r>
        <w:rPr>
          <w:sz w:val="24"/>
        </w:rPr>
        <w:t>risk</w:t>
      </w:r>
      <w:r>
        <w:rPr>
          <w:spacing w:val="-5"/>
          <w:sz w:val="24"/>
        </w:rPr>
        <w:t> </w:t>
      </w:r>
      <w:r>
        <w:rPr>
          <w:sz w:val="24"/>
        </w:rPr>
        <w:t>management:</w:t>
      </w:r>
      <w:r>
        <w:rPr>
          <w:spacing w:val="-5"/>
          <w:sz w:val="24"/>
        </w:rPr>
        <w:t> </w:t>
      </w:r>
      <w:r>
        <w:rPr>
          <w:sz w:val="24"/>
        </w:rPr>
        <w:t>Theory</w:t>
      </w:r>
      <w:r>
        <w:rPr>
          <w:spacing w:val="-5"/>
          <w:sz w:val="24"/>
        </w:rPr>
        <w:t> </w:t>
      </w:r>
      <w:r>
        <w:rPr>
          <w:sz w:val="24"/>
        </w:rPr>
        <w:t>and</w:t>
      </w:r>
      <w:r>
        <w:rPr>
          <w:spacing w:val="-5"/>
          <w:sz w:val="24"/>
        </w:rPr>
        <w:t> </w:t>
      </w:r>
      <w:r>
        <w:rPr>
          <w:sz w:val="24"/>
        </w:rPr>
        <w:t>practice.</w:t>
      </w:r>
      <w:r>
        <w:rPr>
          <w:spacing w:val="-5"/>
          <w:sz w:val="24"/>
        </w:rPr>
        <w:t> </w:t>
      </w:r>
      <w:r>
        <w:rPr>
          <w:i/>
          <w:sz w:val="24"/>
        </w:rPr>
        <w:t>Journal</w:t>
      </w:r>
      <w:r>
        <w:rPr>
          <w:i/>
          <w:spacing w:val="-5"/>
          <w:sz w:val="24"/>
        </w:rPr>
        <w:t> </w:t>
      </w:r>
      <w:r>
        <w:rPr>
          <w:i/>
          <w:sz w:val="24"/>
        </w:rPr>
        <w:t>of</w:t>
      </w:r>
      <w:r>
        <w:rPr>
          <w:i/>
          <w:sz w:val="24"/>
        </w:rPr>
        <w:t> Applied Corporate Finance</w:t>
      </w:r>
      <w:r>
        <w:rPr>
          <w:sz w:val="24"/>
        </w:rPr>
        <w:t>, 18(4), 8-20.</w:t>
      </w:r>
    </w:p>
    <w:p>
      <w:pPr>
        <w:pStyle w:val="BodyText"/>
        <w:spacing w:line="230" w:lineRule="auto" w:before="245"/>
        <w:ind w:left="731" w:right="1619"/>
      </w:pPr>
      <w:r>
        <w:rPr/>
        <w:t>Obsidian</w:t>
      </w:r>
      <w:r>
        <w:rPr>
          <w:spacing w:val="-6"/>
        </w:rPr>
        <w:t> </w:t>
      </w:r>
      <w:r>
        <w:rPr/>
        <w:t>Security.</w:t>
      </w:r>
      <w:r>
        <w:rPr>
          <w:spacing w:val="-6"/>
        </w:rPr>
        <w:t> </w:t>
      </w:r>
      <w:r>
        <w:rPr/>
        <w:t>(2025).</w:t>
      </w:r>
      <w:r>
        <w:rPr>
          <w:spacing w:val="-6"/>
        </w:rPr>
        <w:t> </w:t>
      </w:r>
      <w:r>
        <w:rPr/>
        <w:t>The</w:t>
      </w:r>
      <w:r>
        <w:rPr>
          <w:spacing w:val="-6"/>
        </w:rPr>
        <w:t> </w:t>
      </w:r>
      <w:r>
        <w:rPr/>
        <w:t>Top</w:t>
      </w:r>
      <w:r>
        <w:rPr>
          <w:spacing w:val="-6"/>
        </w:rPr>
        <w:t> </w:t>
      </w:r>
      <w:r>
        <w:rPr/>
        <w:t>AI</w:t>
      </w:r>
      <w:r>
        <w:rPr>
          <w:spacing w:val="-6"/>
        </w:rPr>
        <w:t> </w:t>
      </w:r>
      <w:r>
        <w:rPr/>
        <w:t>Security</w:t>
      </w:r>
      <w:r>
        <w:rPr>
          <w:spacing w:val="-6"/>
        </w:rPr>
        <w:t> </w:t>
      </w:r>
      <w:r>
        <w:rPr/>
        <w:t>Risks</w:t>
      </w:r>
      <w:r>
        <w:rPr>
          <w:spacing w:val="-6"/>
        </w:rPr>
        <w:t> </w:t>
      </w:r>
      <w:r>
        <w:rPr/>
        <w:t>Facing</w:t>
      </w:r>
      <w:r>
        <w:rPr>
          <w:spacing w:val="-6"/>
        </w:rPr>
        <w:t> </w:t>
      </w:r>
      <w:r>
        <w:rPr/>
        <w:t>Enterprises</w:t>
      </w:r>
      <w:r>
        <w:rPr>
          <w:spacing w:val="-6"/>
        </w:rPr>
        <w:t> </w:t>
      </w:r>
      <w:r>
        <w:rPr/>
        <w:t>in</w:t>
      </w:r>
      <w:r>
        <w:rPr>
          <w:spacing w:val="-6"/>
        </w:rPr>
        <w:t> </w:t>
      </w:r>
      <w:r>
        <w:rPr/>
        <w:t>2025.</w:t>
      </w:r>
      <w:r>
        <w:rPr>
          <w:spacing w:val="-6"/>
        </w:rPr>
        <w:t> </w:t>
      </w:r>
      <w:r>
        <w:rPr/>
        <w:t>Newport Beach,</w:t>
      </w:r>
      <w:r>
        <w:rPr>
          <w:spacing w:val="40"/>
        </w:rPr>
        <w:t> </w:t>
      </w:r>
      <w:r>
        <w:rPr/>
        <w:t>CA: Obsidian Security. </w:t>
      </w:r>
      <w:hyperlink r:id="rId60">
        <w:r>
          <w:rPr>
            <w:u w:val="thick"/>
          </w:rPr>
          <w:t>https://www.obsidiansecurity.com/blog/ai-security-risks</w:t>
        </w:r>
      </w:hyperlink>
    </w:p>
    <w:p>
      <w:pPr>
        <w:pStyle w:val="BodyText"/>
        <w:spacing w:line="270" w:lineRule="exact" w:before="236"/>
        <w:ind w:left="716"/>
      </w:pPr>
      <w:r>
        <w:rPr/>
        <w:t>Reid, C. (2022). 4 key steps to build a strong business case to fund your enterprise tech </w:t>
      </w:r>
      <w:r>
        <w:rPr>
          <w:spacing w:val="-2"/>
        </w:rPr>
        <w:t>purchase.</w:t>
      </w:r>
    </w:p>
    <w:p>
      <w:pPr>
        <w:pStyle w:val="BodyText"/>
        <w:spacing w:line="230" w:lineRule="auto" w:before="3"/>
        <w:ind w:left="731" w:right="1990"/>
      </w:pPr>
      <w:r>
        <w:rPr>
          <w:spacing w:val="-2"/>
        </w:rPr>
        <w:t>Gartner. </w:t>
      </w:r>
      <w:hyperlink r:id="rId61">
        <w:r>
          <w:rPr>
            <w:spacing w:val="-2"/>
            <w:u w:val="thick"/>
          </w:rPr>
          <w:t>https://www.gartner.com/en/articles/4-key-steps-to-build-a-strong-business-case-</w:t>
        </w:r>
        <w:r>
          <w:rPr>
            <w:spacing w:val="-2"/>
            <w:u w:val="thick"/>
          </w:rPr>
          <w:t>to</w:t>
        </w:r>
      </w:hyperlink>
      <w:r>
        <w:rPr>
          <w:spacing w:val="-2"/>
          <w:u w:val="none"/>
        </w:rPr>
        <w:t> </w:t>
      </w:r>
      <w:r>
        <w:rPr>
          <w:spacing w:val="-2"/>
          <w:u w:val="thick"/>
        </w:rPr>
        <w:t>fund-your-enterprise-tech-purchase</w:t>
      </w:r>
    </w:p>
    <w:p>
      <w:pPr>
        <w:pStyle w:val="BodyText"/>
        <w:spacing w:line="230" w:lineRule="auto" w:before="245"/>
        <w:ind w:left="716" w:right="1374" w:firstLine="15"/>
        <w:jc w:val="both"/>
      </w:pPr>
      <w:r>
        <w:rPr/>
        <w:t>Singla, A., Sukharevsky, A., Yee, L., Chui, M., &amp; Hall, B. (2024).</w:t>
      </w:r>
      <w:r>
        <w:rPr>
          <w:spacing w:val="-3"/>
        </w:rPr>
        <w:t> </w:t>
      </w:r>
      <w:r>
        <w:rPr/>
        <w:t>The</w:t>
      </w:r>
      <w:r>
        <w:rPr>
          <w:spacing w:val="-3"/>
        </w:rPr>
        <w:t> </w:t>
      </w:r>
      <w:r>
        <w:rPr/>
        <w:t>state</w:t>
      </w:r>
      <w:r>
        <w:rPr>
          <w:spacing w:val="-3"/>
        </w:rPr>
        <w:t> </w:t>
      </w:r>
      <w:r>
        <w:rPr/>
        <w:t>of</w:t>
      </w:r>
      <w:r>
        <w:rPr>
          <w:spacing w:val="-3"/>
        </w:rPr>
        <w:t> </w:t>
      </w:r>
      <w:r>
        <w:rPr/>
        <w:t>AI</w:t>
      </w:r>
      <w:r>
        <w:rPr>
          <w:spacing w:val="-3"/>
        </w:rPr>
        <w:t> </w:t>
      </w:r>
      <w:r>
        <w:rPr/>
        <w:t>in</w:t>
      </w:r>
      <w:r>
        <w:rPr>
          <w:spacing w:val="-3"/>
        </w:rPr>
        <w:t> </w:t>
      </w:r>
      <w:r>
        <w:rPr/>
        <w:t>early</w:t>
      </w:r>
      <w:r>
        <w:rPr>
          <w:spacing w:val="-3"/>
        </w:rPr>
        <w:t> </w:t>
      </w:r>
      <w:r>
        <w:rPr/>
        <w:t>2024: Gen AI adoption spikes and starts to generate value. McKinsey &amp; </w:t>
      </w:r>
      <w:r>
        <w:rPr/>
        <w:t>Co., </w:t>
      </w:r>
      <w:hyperlink r:id="rId62">
        <w:r>
          <w:rPr>
            <w:spacing w:val="-2"/>
            <w:u w:val="thick"/>
          </w:rPr>
          <w:t>https://www.mckinsey.com/capabilities/quantumblack/our-insights/the-state-of-ai</w:t>
        </w:r>
      </w:hyperlink>
    </w:p>
    <w:p>
      <w:pPr>
        <w:spacing w:line="230" w:lineRule="auto" w:before="244"/>
        <w:ind w:left="716" w:right="1377" w:firstLine="15"/>
        <w:jc w:val="both"/>
        <w:rPr>
          <w:i/>
          <w:sz w:val="24"/>
        </w:rPr>
      </w:pPr>
      <w:r>
        <w:rPr>
          <w:sz w:val="24"/>
        </w:rPr>
        <w:t>Sohrabi, S., Riabov, A.V., Katz, M., &amp; Udrea, O. (2018). An AI planning solution to scenario generation for enterprise risk management. </w:t>
      </w:r>
      <w:r>
        <w:rPr>
          <w:i/>
          <w:sz w:val="24"/>
        </w:rPr>
        <w:t>The Thirty-Second AAAI Conference on </w:t>
      </w:r>
      <w:r>
        <w:rPr>
          <w:i/>
          <w:sz w:val="24"/>
        </w:rPr>
        <w:t>Artificial</w:t>
      </w:r>
      <w:r>
        <w:rPr>
          <w:i/>
          <w:sz w:val="24"/>
        </w:rPr>
        <w:t> Intelligence (AAAI-18).</w:t>
      </w:r>
    </w:p>
    <w:p>
      <w:pPr>
        <w:pStyle w:val="BodyText"/>
        <w:spacing w:line="230" w:lineRule="auto" w:before="245"/>
        <w:ind w:left="731" w:right="1385"/>
        <w:jc w:val="both"/>
      </w:pPr>
      <w:r>
        <w:rPr/>
        <w:t>Soltanizadeh, S., Rasid, S.Z.A., Golshan, N.M., &amp; Ismail, W.K.W. (2016). Business </w:t>
      </w:r>
      <w:r>
        <w:rPr/>
        <w:t>strategy, enterprise risk management and organizational performance. </w:t>
      </w:r>
      <w:r>
        <w:rPr>
          <w:i/>
        </w:rPr>
        <w:t>Management Research Review</w:t>
      </w:r>
      <w:r>
        <w:rPr/>
        <w:t>, 39 (9), 1016-1033.</w:t>
      </w:r>
    </w:p>
    <w:p>
      <w:pPr>
        <w:pStyle w:val="BodyText"/>
        <w:spacing w:line="230" w:lineRule="auto" w:before="244"/>
        <w:ind w:left="731" w:right="1375" w:hanging="15"/>
        <w:jc w:val="both"/>
      </w:pPr>
      <w:r>
        <w:rPr/>
        <w:t>Urbani, R., Ferreira, C., &amp; Lam, J. (2024). Managerial framework for evaluating AI </w:t>
      </w:r>
      <w:r>
        <w:rPr/>
        <w:t>chatbot integration: Bridging organizational readiness and technological challenges. </w:t>
      </w:r>
      <w:r>
        <w:rPr>
          <w:i/>
        </w:rPr>
        <w:t>Business Horizons</w:t>
      </w:r>
      <w:r>
        <w:rPr/>
        <w:t>, 67, 595-606.</w:t>
      </w:r>
    </w:p>
    <w:p>
      <w:pPr>
        <w:pStyle w:val="BodyText"/>
        <w:spacing w:line="230" w:lineRule="auto" w:before="243"/>
        <w:ind w:left="731" w:right="1384" w:hanging="15"/>
        <w:jc w:val="both"/>
      </w:pPr>
      <w:r>
        <w:rPr/>
        <w:t>Wach, K., Duong,</w:t>
      </w:r>
      <w:r>
        <w:rPr>
          <w:spacing w:val="-7"/>
        </w:rPr>
        <w:t> </w:t>
      </w:r>
      <w:r>
        <w:rPr/>
        <w:t>C.D.,</w:t>
      </w:r>
      <w:r>
        <w:rPr>
          <w:spacing w:val="-7"/>
        </w:rPr>
        <w:t> </w:t>
      </w:r>
      <w:r>
        <w:rPr/>
        <w:t>Ejdys,</w:t>
      </w:r>
      <w:r>
        <w:rPr>
          <w:spacing w:val="-7"/>
        </w:rPr>
        <w:t> </w:t>
      </w:r>
      <w:r>
        <w:rPr/>
        <w:t>J.,</w:t>
      </w:r>
      <w:r>
        <w:rPr>
          <w:spacing w:val="-7"/>
        </w:rPr>
        <w:t> </w:t>
      </w:r>
      <w:r>
        <w:rPr/>
        <w:t>Kazlauskaite,</w:t>
      </w:r>
      <w:r>
        <w:rPr>
          <w:spacing w:val="-7"/>
        </w:rPr>
        <w:t> </w:t>
      </w:r>
      <w:r>
        <w:rPr/>
        <w:t>R.,</w:t>
      </w:r>
      <w:r>
        <w:rPr>
          <w:spacing w:val="-7"/>
        </w:rPr>
        <w:t> </w:t>
      </w:r>
      <w:r>
        <w:rPr/>
        <w:t>Korzynski,</w:t>
      </w:r>
      <w:r>
        <w:rPr>
          <w:spacing w:val="-7"/>
        </w:rPr>
        <w:t> </w:t>
      </w:r>
      <w:r>
        <w:rPr/>
        <w:t>P.,</w:t>
      </w:r>
      <w:r>
        <w:rPr>
          <w:spacing w:val="-7"/>
        </w:rPr>
        <w:t> </w:t>
      </w:r>
      <w:r>
        <w:rPr/>
        <w:t>Mazurek,</w:t>
      </w:r>
      <w:r>
        <w:rPr>
          <w:spacing w:val="-7"/>
        </w:rPr>
        <w:t> </w:t>
      </w:r>
      <w:r>
        <w:rPr/>
        <w:t>G.,</w:t>
      </w:r>
      <w:r>
        <w:rPr>
          <w:spacing w:val="-7"/>
        </w:rPr>
        <w:t> </w:t>
      </w:r>
      <w:r>
        <w:rPr/>
        <w:t>Paliszkiewicz,</w:t>
      </w:r>
      <w:r>
        <w:rPr>
          <w:spacing w:val="-7"/>
        </w:rPr>
        <w:t> </w:t>
      </w:r>
      <w:r>
        <w:rPr/>
        <w:t>J., &amp; Ziemba, E. (2023). The dark side of generative artificial intelligence: A critical analysis of controversies and risks of ChatGPT. </w:t>
      </w:r>
      <w:r>
        <w:rPr>
          <w:i/>
        </w:rPr>
        <w:t>Entrepreneurial Business and Economics Review</w:t>
      </w:r>
      <w:r>
        <w:rPr/>
        <w:t>, 11(2), 7.</w:t>
      </w:r>
    </w:p>
    <w:p>
      <w:pPr>
        <w:pStyle w:val="BodyText"/>
        <w:spacing w:line="232" w:lineRule="auto" w:before="243"/>
        <w:ind w:left="716" w:right="1637"/>
      </w:pPr>
      <w:r>
        <w:rPr/>
        <w:t>Workday.</w:t>
      </w:r>
      <w:r>
        <w:rPr>
          <w:spacing w:val="-8"/>
        </w:rPr>
        <w:t> </w:t>
      </w:r>
      <w:r>
        <w:rPr/>
        <w:t>(2025).</w:t>
      </w:r>
      <w:r>
        <w:rPr>
          <w:spacing w:val="-8"/>
        </w:rPr>
        <w:t> </w:t>
      </w:r>
      <w:r>
        <w:rPr/>
        <w:t>AI</w:t>
      </w:r>
      <w:r>
        <w:rPr>
          <w:spacing w:val="-8"/>
        </w:rPr>
        <w:t> </w:t>
      </w:r>
      <w:r>
        <w:rPr/>
        <w:t>and</w:t>
      </w:r>
      <w:r>
        <w:rPr>
          <w:spacing w:val="-8"/>
        </w:rPr>
        <w:t> </w:t>
      </w:r>
      <w:r>
        <w:rPr/>
        <w:t>Enterprise</w:t>
      </w:r>
      <w:r>
        <w:rPr>
          <w:spacing w:val="-8"/>
        </w:rPr>
        <w:t> </w:t>
      </w:r>
      <w:r>
        <w:rPr/>
        <w:t>Risk</w:t>
      </w:r>
      <w:r>
        <w:rPr>
          <w:spacing w:val="-8"/>
        </w:rPr>
        <w:t> </w:t>
      </w:r>
      <w:r>
        <w:rPr/>
        <w:t>Management:</w:t>
      </w:r>
      <w:r>
        <w:rPr>
          <w:spacing w:val="-8"/>
        </w:rPr>
        <w:t> </w:t>
      </w:r>
      <w:r>
        <w:rPr/>
        <w:t>What</w:t>
      </w:r>
      <w:r>
        <w:rPr>
          <w:spacing w:val="-8"/>
        </w:rPr>
        <w:t> </w:t>
      </w:r>
      <w:r>
        <w:rPr/>
        <w:t>to</w:t>
      </w:r>
      <w:r>
        <w:rPr>
          <w:spacing w:val="-8"/>
        </w:rPr>
        <w:t> </w:t>
      </w:r>
      <w:r>
        <w:rPr/>
        <w:t>Know</w:t>
      </w:r>
      <w:r>
        <w:rPr>
          <w:spacing w:val="-8"/>
        </w:rPr>
        <w:t> </w:t>
      </w:r>
      <w:r>
        <w:rPr/>
        <w:t>in</w:t>
      </w:r>
      <w:r>
        <w:rPr>
          <w:spacing w:val="-8"/>
        </w:rPr>
        <w:t> </w:t>
      </w:r>
      <w:r>
        <w:rPr/>
        <w:t>2025.</w:t>
      </w:r>
      <w:r>
        <w:rPr>
          <w:spacing w:val="-8"/>
        </w:rPr>
        <w:t> </w:t>
      </w:r>
      <w:r>
        <w:rPr/>
        <w:t>Workday</w:t>
      </w:r>
      <w:r>
        <w:rPr>
          <w:spacing w:val="-8"/>
        </w:rPr>
        <w:t> </w:t>
      </w:r>
      <w:r>
        <w:rPr/>
        <w:t>Blog. </w:t>
      </w:r>
      <w:hyperlink r:id="rId63">
        <w:r>
          <w:rPr>
            <w:spacing w:val="-2"/>
            <w:u w:val="thick"/>
          </w:rPr>
          <w:t>https://blog.workday.com/en-us/ai-enterprise-risk-management-what-know-2025.html</w:t>
        </w:r>
      </w:hyperlink>
    </w:p>
    <w:p>
      <w:pPr>
        <w:pStyle w:val="BodyText"/>
        <w:spacing w:after="0" w:line="232" w:lineRule="auto"/>
        <w:sectPr>
          <w:pgSz w:w="12240" w:h="15840"/>
          <w:pgMar w:header="0" w:footer="707" w:top="620" w:bottom="960" w:left="720" w:right="0"/>
        </w:sectPr>
      </w:pPr>
    </w:p>
    <w:p>
      <w:pPr>
        <w:pStyle w:val="Heading4"/>
        <w:spacing w:before="73"/>
        <w:ind w:left="701"/>
      </w:pPr>
      <w:r>
        <w:rPr>
          <w:spacing w:val="-2"/>
        </w:rPr>
        <w:t>APPENDIX</w:t>
      </w:r>
    </w:p>
    <w:p>
      <w:pPr>
        <w:spacing w:before="155"/>
        <w:ind w:left="2816" w:right="0" w:firstLine="0"/>
        <w:jc w:val="left"/>
        <w:rPr>
          <w:b/>
          <w:sz w:val="22"/>
        </w:rPr>
      </w:pPr>
      <w:r>
        <w:rPr>
          <w:b/>
          <w:sz w:val="24"/>
        </w:rPr>
        <w:t>Table</w:t>
      </w:r>
      <w:r>
        <w:rPr>
          <w:b/>
          <w:spacing w:val="-7"/>
          <w:sz w:val="24"/>
        </w:rPr>
        <w:t> </w:t>
      </w:r>
      <w:r>
        <w:rPr>
          <w:b/>
          <w:sz w:val="24"/>
        </w:rPr>
        <w:t>A1.</w:t>
      </w:r>
      <w:r>
        <w:rPr>
          <w:b/>
          <w:spacing w:val="-5"/>
          <w:sz w:val="24"/>
        </w:rPr>
        <w:t> </w:t>
      </w:r>
      <w:r>
        <w:rPr>
          <w:b/>
          <w:sz w:val="22"/>
        </w:rPr>
        <w:t>AI</w:t>
      </w:r>
      <w:r>
        <w:rPr>
          <w:b/>
          <w:spacing w:val="-5"/>
          <w:sz w:val="22"/>
        </w:rPr>
        <w:t> </w:t>
      </w:r>
      <w:r>
        <w:rPr>
          <w:b/>
          <w:sz w:val="22"/>
        </w:rPr>
        <w:t>in</w:t>
      </w:r>
      <w:r>
        <w:rPr>
          <w:b/>
          <w:spacing w:val="-4"/>
          <w:sz w:val="22"/>
        </w:rPr>
        <w:t> </w:t>
      </w:r>
      <w:r>
        <w:rPr>
          <w:b/>
          <w:sz w:val="22"/>
        </w:rPr>
        <w:t>ERM:</w:t>
      </w:r>
      <w:r>
        <w:rPr>
          <w:b/>
          <w:spacing w:val="-5"/>
          <w:sz w:val="22"/>
        </w:rPr>
        <w:t> </w:t>
      </w:r>
      <w:r>
        <w:rPr>
          <w:b/>
          <w:sz w:val="22"/>
        </w:rPr>
        <w:t>Risk-Benefit</w:t>
      </w:r>
      <w:r>
        <w:rPr>
          <w:b/>
          <w:spacing w:val="-4"/>
          <w:sz w:val="22"/>
        </w:rPr>
        <w:t> </w:t>
      </w:r>
      <w:r>
        <w:rPr>
          <w:b/>
          <w:sz w:val="22"/>
        </w:rPr>
        <w:t>Mitigation</w:t>
      </w:r>
      <w:r>
        <w:rPr>
          <w:b/>
          <w:spacing w:val="-4"/>
          <w:sz w:val="22"/>
        </w:rPr>
        <w:t> </w:t>
      </w:r>
      <w:r>
        <w:rPr>
          <w:b/>
          <w:spacing w:val="-2"/>
          <w:sz w:val="22"/>
        </w:rPr>
        <w:t>Matrix</w:t>
      </w:r>
    </w:p>
    <w:tbl>
      <w:tblPr>
        <w:tblW w:w="0" w:type="auto"/>
        <w:jc w:val="left"/>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00"/>
        <w:gridCol w:w="1920"/>
        <w:gridCol w:w="1920"/>
        <w:gridCol w:w="1920"/>
        <w:gridCol w:w="1920"/>
      </w:tblGrid>
      <w:tr>
        <w:trPr>
          <w:trHeight w:val="440" w:hRule="atLeast"/>
        </w:trPr>
        <w:tc>
          <w:tcPr>
            <w:tcW w:w="9380" w:type="dxa"/>
            <w:gridSpan w:val="5"/>
            <w:shd w:val="clear" w:color="auto" w:fill="F1F1F1"/>
          </w:tcPr>
          <w:p>
            <w:pPr>
              <w:pStyle w:val="TableParagraph"/>
              <w:spacing w:before="101"/>
              <w:ind w:left="28"/>
              <w:jc w:val="center"/>
              <w:rPr>
                <w:b/>
                <w:i/>
                <w:sz w:val="22"/>
              </w:rPr>
            </w:pPr>
            <w:r>
              <w:rPr>
                <w:b/>
                <w:i/>
                <w:sz w:val="22"/>
              </w:rPr>
              <w:t>Mapping</w:t>
            </w:r>
            <w:r>
              <w:rPr>
                <w:b/>
                <w:i/>
                <w:spacing w:val="-4"/>
                <w:sz w:val="22"/>
              </w:rPr>
              <w:t> </w:t>
            </w:r>
            <w:r>
              <w:rPr>
                <w:b/>
                <w:i/>
                <w:sz w:val="22"/>
              </w:rPr>
              <w:t>Four</w:t>
            </w:r>
            <w:r>
              <w:rPr>
                <w:b/>
                <w:i/>
                <w:spacing w:val="-2"/>
                <w:sz w:val="22"/>
              </w:rPr>
              <w:t> </w:t>
            </w:r>
            <w:r>
              <w:rPr>
                <w:b/>
                <w:i/>
                <w:sz w:val="22"/>
              </w:rPr>
              <w:t>Benefits</w:t>
            </w:r>
            <w:r>
              <w:rPr>
                <w:b/>
                <w:i/>
                <w:spacing w:val="-1"/>
                <w:sz w:val="22"/>
              </w:rPr>
              <w:t> </w:t>
            </w:r>
            <w:r>
              <w:rPr>
                <w:b/>
                <w:i/>
                <w:sz w:val="22"/>
              </w:rPr>
              <w:t>Against</w:t>
            </w:r>
            <w:r>
              <w:rPr>
                <w:b/>
                <w:i/>
                <w:spacing w:val="-2"/>
                <w:sz w:val="22"/>
              </w:rPr>
              <w:t> </w:t>
            </w:r>
            <w:r>
              <w:rPr>
                <w:b/>
                <w:i/>
                <w:sz w:val="22"/>
              </w:rPr>
              <w:t>Four</w:t>
            </w:r>
            <w:r>
              <w:rPr>
                <w:b/>
                <w:i/>
                <w:spacing w:val="-2"/>
                <w:sz w:val="22"/>
              </w:rPr>
              <w:t> </w:t>
            </w:r>
            <w:r>
              <w:rPr>
                <w:b/>
                <w:i/>
                <w:sz w:val="22"/>
              </w:rPr>
              <w:t>Risks</w:t>
            </w:r>
            <w:r>
              <w:rPr>
                <w:b/>
                <w:i/>
                <w:spacing w:val="-1"/>
                <w:sz w:val="22"/>
              </w:rPr>
              <w:t> </w:t>
            </w:r>
            <w:r>
              <w:rPr>
                <w:b/>
                <w:i/>
                <w:sz w:val="22"/>
              </w:rPr>
              <w:t>with</w:t>
            </w:r>
            <w:r>
              <w:rPr>
                <w:b/>
                <w:i/>
                <w:spacing w:val="-2"/>
                <w:sz w:val="22"/>
              </w:rPr>
              <w:t> </w:t>
            </w:r>
            <w:r>
              <w:rPr>
                <w:b/>
                <w:i/>
                <w:sz w:val="22"/>
              </w:rPr>
              <w:t>Best</w:t>
            </w:r>
            <w:r>
              <w:rPr>
                <w:b/>
                <w:i/>
                <w:spacing w:val="-2"/>
                <w:sz w:val="22"/>
              </w:rPr>
              <w:t> </w:t>
            </w:r>
            <w:r>
              <w:rPr>
                <w:b/>
                <w:i/>
                <w:sz w:val="22"/>
              </w:rPr>
              <w:t>Mitigating</w:t>
            </w:r>
            <w:r>
              <w:rPr>
                <w:b/>
                <w:i/>
                <w:spacing w:val="-1"/>
                <w:sz w:val="22"/>
              </w:rPr>
              <w:t> </w:t>
            </w:r>
            <w:r>
              <w:rPr>
                <w:b/>
                <w:i/>
                <w:spacing w:val="-2"/>
                <w:sz w:val="22"/>
              </w:rPr>
              <w:t>Strategies</w:t>
            </w:r>
          </w:p>
        </w:tc>
      </w:tr>
      <w:tr>
        <w:trPr>
          <w:trHeight w:val="1960" w:hRule="atLeast"/>
        </w:trPr>
        <w:tc>
          <w:tcPr>
            <w:tcW w:w="1700" w:type="dxa"/>
            <w:shd w:val="clear" w:color="auto" w:fill="F1F1F1"/>
          </w:tcPr>
          <w:p>
            <w:pPr>
              <w:pStyle w:val="TableParagraph"/>
              <w:spacing w:before="120"/>
              <w:ind w:left="231"/>
              <w:rPr>
                <w:b/>
                <w:sz w:val="22"/>
              </w:rPr>
            </w:pPr>
            <w:r>
              <w:rPr>
                <w:b/>
                <w:sz w:val="22"/>
              </w:rPr>
              <w:t>BENEFIT</w:t>
            </w:r>
            <w:r>
              <w:rPr>
                <w:b/>
                <w:spacing w:val="-14"/>
                <w:sz w:val="22"/>
              </w:rPr>
              <w:t> </w:t>
            </w:r>
            <w:r>
              <w:rPr>
                <w:b/>
                <w:sz w:val="22"/>
              </w:rPr>
              <w:t>\ </w:t>
            </w:r>
            <w:r>
              <w:rPr>
                <w:b/>
                <w:spacing w:val="-4"/>
                <w:sz w:val="22"/>
              </w:rPr>
              <w:t>RISK</w:t>
            </w:r>
          </w:p>
        </w:tc>
        <w:tc>
          <w:tcPr>
            <w:tcW w:w="1920" w:type="dxa"/>
            <w:shd w:val="clear" w:color="auto" w:fill="F1F1F1"/>
          </w:tcPr>
          <w:p>
            <w:pPr>
              <w:pStyle w:val="TableParagraph"/>
              <w:spacing w:before="120"/>
              <w:ind w:left="226" w:right="226"/>
              <w:rPr>
                <w:b/>
                <w:sz w:val="22"/>
              </w:rPr>
            </w:pPr>
            <w:r>
              <w:rPr>
                <w:b/>
                <w:sz w:val="22"/>
              </w:rPr>
              <w:t>1.</w:t>
            </w:r>
            <w:r>
              <w:rPr>
                <w:b/>
                <w:spacing w:val="-14"/>
                <w:sz w:val="22"/>
              </w:rPr>
              <w:t> </w:t>
            </w:r>
            <w:r>
              <w:rPr>
                <w:b/>
                <w:sz w:val="22"/>
              </w:rPr>
              <w:t>Algorithmic Bias &amp; </w:t>
            </w:r>
            <w:r>
              <w:rPr>
                <w:b/>
                <w:spacing w:val="-2"/>
                <w:sz w:val="22"/>
              </w:rPr>
              <w:t>Inaccuracy </w:t>
            </w:r>
            <w:r>
              <w:rPr>
                <w:b/>
                <w:sz w:val="22"/>
              </w:rPr>
              <w:t>(Singla et al., 2024; Urbani</w:t>
            </w:r>
          </w:p>
          <w:p>
            <w:pPr>
              <w:pStyle w:val="TableParagraph"/>
              <w:spacing w:line="239" w:lineRule="exact"/>
              <w:ind w:left="226"/>
              <w:rPr>
                <w:b/>
                <w:sz w:val="22"/>
              </w:rPr>
            </w:pPr>
            <w:r>
              <w:rPr>
                <w:b/>
                <w:sz w:val="22"/>
              </w:rPr>
              <w:t>et al., </w:t>
            </w:r>
            <w:r>
              <w:rPr>
                <w:b/>
                <w:spacing w:val="-2"/>
                <w:sz w:val="22"/>
              </w:rPr>
              <w:t>2024)</w:t>
            </w:r>
          </w:p>
        </w:tc>
        <w:tc>
          <w:tcPr>
            <w:tcW w:w="1920" w:type="dxa"/>
            <w:shd w:val="clear" w:color="auto" w:fill="F1F1F1"/>
          </w:tcPr>
          <w:p>
            <w:pPr>
              <w:pStyle w:val="TableParagraph"/>
              <w:spacing w:line="248" w:lineRule="exact" w:before="111"/>
              <w:ind w:left="226"/>
              <w:rPr>
                <w:b/>
                <w:sz w:val="22"/>
              </w:rPr>
            </w:pPr>
            <w:r>
              <w:rPr>
                <w:b/>
                <w:spacing w:val="-5"/>
                <w:sz w:val="22"/>
              </w:rPr>
              <w:t>2.</w:t>
            </w:r>
          </w:p>
          <w:p>
            <w:pPr>
              <w:pStyle w:val="TableParagraph"/>
              <w:spacing w:line="230" w:lineRule="auto" w:before="4"/>
              <w:ind w:left="226" w:right="390"/>
              <w:rPr>
                <w:b/>
                <w:sz w:val="22"/>
              </w:rPr>
            </w:pPr>
            <w:r>
              <w:rPr>
                <w:b/>
                <w:spacing w:val="-2"/>
                <w:sz w:val="22"/>
              </w:rPr>
              <w:t>Explainabilit </w:t>
            </w:r>
            <w:r>
              <w:rPr>
                <w:b/>
                <w:sz w:val="22"/>
              </w:rPr>
              <w:t>y &amp; 'Black </w:t>
            </w:r>
            <w:r>
              <w:rPr>
                <w:b/>
                <w:spacing w:val="-4"/>
                <w:sz w:val="22"/>
              </w:rPr>
              <w:t>Box'</w:t>
            </w:r>
          </w:p>
          <w:p>
            <w:pPr>
              <w:pStyle w:val="TableParagraph"/>
              <w:spacing w:before="6"/>
              <w:ind w:left="226" w:right="248"/>
              <w:rPr>
                <w:b/>
                <w:sz w:val="22"/>
              </w:rPr>
            </w:pPr>
            <w:r>
              <w:rPr>
                <w:b/>
                <w:spacing w:val="-2"/>
                <w:sz w:val="22"/>
              </w:rPr>
              <w:t>Issues</w:t>
            </w:r>
            <w:r>
              <w:rPr>
                <w:b/>
                <w:spacing w:val="40"/>
                <w:sz w:val="22"/>
              </w:rPr>
              <w:t> </w:t>
            </w:r>
            <w:r>
              <w:rPr>
                <w:b/>
                <w:sz w:val="22"/>
              </w:rPr>
              <w:t>(Calagna</w:t>
            </w:r>
            <w:r>
              <w:rPr>
                <w:b/>
                <w:spacing w:val="-14"/>
                <w:sz w:val="22"/>
              </w:rPr>
              <w:t> </w:t>
            </w:r>
            <w:r>
              <w:rPr>
                <w:b/>
                <w:sz w:val="22"/>
              </w:rPr>
              <w:t>et</w:t>
            </w:r>
            <w:r>
              <w:rPr>
                <w:b/>
                <w:spacing w:val="-14"/>
                <w:sz w:val="22"/>
              </w:rPr>
              <w:t> </w:t>
            </w:r>
            <w:r>
              <w:rPr>
                <w:b/>
                <w:sz w:val="22"/>
              </w:rPr>
              <w:t>al., </w:t>
            </w:r>
            <w:r>
              <w:rPr>
                <w:b/>
                <w:spacing w:val="-2"/>
                <w:sz w:val="22"/>
              </w:rPr>
              <w:t>2021)</w:t>
            </w:r>
          </w:p>
        </w:tc>
        <w:tc>
          <w:tcPr>
            <w:tcW w:w="1920" w:type="dxa"/>
            <w:shd w:val="clear" w:color="auto" w:fill="F1F1F1"/>
          </w:tcPr>
          <w:p>
            <w:pPr>
              <w:pStyle w:val="TableParagraph"/>
              <w:spacing w:line="232" w:lineRule="auto" w:before="117"/>
              <w:ind w:left="226" w:right="226"/>
              <w:rPr>
                <w:b/>
                <w:sz w:val="22"/>
              </w:rPr>
            </w:pPr>
            <w:r>
              <w:rPr>
                <w:b/>
                <w:sz w:val="22"/>
              </w:rPr>
              <w:t>3.</w:t>
            </w:r>
            <w:r>
              <w:rPr>
                <w:b/>
                <w:spacing w:val="-14"/>
                <w:sz w:val="22"/>
              </w:rPr>
              <w:t> </w:t>
            </w:r>
            <w:r>
              <w:rPr>
                <w:b/>
                <w:sz w:val="22"/>
              </w:rPr>
              <w:t>Overreliance &amp; Erosion of </w:t>
            </w:r>
            <w:r>
              <w:rPr>
                <w:b/>
                <w:spacing w:val="-2"/>
                <w:sz w:val="22"/>
              </w:rPr>
              <w:t>Judgment </w:t>
            </w:r>
            <w:r>
              <w:rPr>
                <w:b/>
                <w:sz w:val="22"/>
              </w:rPr>
              <w:t>(Dell'Acqua et al., 2023)</w:t>
            </w:r>
          </w:p>
        </w:tc>
        <w:tc>
          <w:tcPr>
            <w:tcW w:w="1920" w:type="dxa"/>
            <w:shd w:val="clear" w:color="auto" w:fill="F1F1F1"/>
          </w:tcPr>
          <w:p>
            <w:pPr>
              <w:pStyle w:val="TableParagraph"/>
              <w:spacing w:line="230" w:lineRule="auto" w:before="128"/>
              <w:ind w:left="226" w:right="274"/>
              <w:rPr>
                <w:b/>
                <w:sz w:val="22"/>
              </w:rPr>
            </w:pPr>
            <w:r>
              <w:rPr>
                <w:b/>
                <w:sz w:val="22"/>
              </w:rPr>
              <w:t>4.</w:t>
            </w:r>
            <w:r>
              <w:rPr>
                <w:b/>
                <w:spacing w:val="-14"/>
                <w:sz w:val="22"/>
              </w:rPr>
              <w:t> </w:t>
            </w:r>
            <w:r>
              <w:rPr>
                <w:b/>
                <w:sz w:val="22"/>
              </w:rPr>
              <w:t>Productivity </w:t>
            </w:r>
            <w:r>
              <w:rPr>
                <w:b/>
                <w:spacing w:val="-4"/>
                <w:sz w:val="22"/>
              </w:rPr>
              <w:t>Loss </w:t>
            </w:r>
            <w:r>
              <w:rPr>
                <w:b/>
                <w:spacing w:val="-2"/>
                <w:sz w:val="22"/>
              </w:rPr>
              <w:t>('Workslop') (Niederhoffer </w:t>
            </w:r>
            <w:r>
              <w:rPr>
                <w:b/>
                <w:sz w:val="22"/>
              </w:rPr>
              <w:t>et al., 2025)</w:t>
            </w:r>
          </w:p>
        </w:tc>
      </w:tr>
      <w:tr>
        <w:trPr>
          <w:trHeight w:val="1440" w:hRule="atLeast"/>
        </w:trPr>
        <w:tc>
          <w:tcPr>
            <w:tcW w:w="1700" w:type="dxa"/>
            <w:shd w:val="clear" w:color="auto" w:fill="F1F1F1"/>
          </w:tcPr>
          <w:p>
            <w:pPr>
              <w:pStyle w:val="TableParagraph"/>
              <w:spacing w:line="248" w:lineRule="exact" w:before="96"/>
              <w:ind w:left="231"/>
              <w:rPr>
                <w:b/>
                <w:sz w:val="22"/>
              </w:rPr>
            </w:pPr>
            <w:r>
              <w:rPr>
                <w:b/>
                <w:spacing w:val="-5"/>
                <w:sz w:val="22"/>
              </w:rPr>
              <w:t>1.</w:t>
            </w:r>
          </w:p>
          <w:p>
            <w:pPr>
              <w:pStyle w:val="TableParagraph"/>
              <w:spacing w:line="237" w:lineRule="auto"/>
              <w:ind w:left="149" w:right="118" w:firstLine="82"/>
              <w:rPr>
                <w:b/>
                <w:sz w:val="22"/>
              </w:rPr>
            </w:pPr>
            <w:r>
              <w:rPr>
                <w:b/>
                <w:spacing w:val="-2"/>
                <w:sz w:val="22"/>
              </w:rPr>
              <w:t>Brute-Force </w:t>
            </w:r>
            <w:r>
              <w:rPr>
                <w:b/>
                <w:spacing w:val="-4"/>
                <w:sz w:val="22"/>
              </w:rPr>
              <w:t>Data </w:t>
            </w:r>
            <w:r>
              <w:rPr>
                <w:b/>
                <w:spacing w:val="-2"/>
                <w:sz w:val="22"/>
              </w:rPr>
              <w:t>Processing </w:t>
            </w:r>
            <w:r>
              <w:rPr>
                <w:b/>
                <w:sz w:val="22"/>
              </w:rPr>
              <w:t>(Jarrahi,</w:t>
            </w:r>
            <w:r>
              <w:rPr>
                <w:b/>
                <w:spacing w:val="-14"/>
                <w:sz w:val="22"/>
              </w:rPr>
              <w:t> </w:t>
            </w:r>
            <w:r>
              <w:rPr>
                <w:b/>
                <w:sz w:val="22"/>
              </w:rPr>
              <w:t>2018)</w:t>
            </w:r>
          </w:p>
        </w:tc>
        <w:tc>
          <w:tcPr>
            <w:tcW w:w="1920" w:type="dxa"/>
          </w:tcPr>
          <w:p>
            <w:pPr>
              <w:pStyle w:val="TableParagraph"/>
              <w:numPr>
                <w:ilvl w:val="0"/>
                <w:numId w:val="5"/>
              </w:numPr>
              <w:tabs>
                <w:tab w:pos="438" w:val="left" w:leader="none"/>
              </w:tabs>
              <w:spacing w:line="240" w:lineRule="auto" w:before="103" w:after="0"/>
              <w:ind w:left="226" w:right="423" w:firstLine="15"/>
              <w:jc w:val="left"/>
              <w:rPr>
                <w:sz w:val="20"/>
              </w:rPr>
            </w:pPr>
            <w:r>
              <w:rPr>
                <w:sz w:val="20"/>
              </w:rPr>
              <w:t>Regular</w:t>
            </w:r>
            <w:r>
              <w:rPr>
                <w:spacing w:val="-13"/>
                <w:sz w:val="20"/>
              </w:rPr>
              <w:t> </w:t>
            </w:r>
            <w:r>
              <w:rPr>
                <w:sz w:val="20"/>
              </w:rPr>
              <w:t>Bias </w:t>
            </w:r>
            <w:r>
              <w:rPr>
                <w:spacing w:val="-2"/>
                <w:sz w:val="20"/>
              </w:rPr>
              <w:t>Audits</w:t>
            </w:r>
          </w:p>
          <w:p>
            <w:pPr>
              <w:pStyle w:val="TableParagraph"/>
              <w:numPr>
                <w:ilvl w:val="0"/>
                <w:numId w:val="5"/>
              </w:numPr>
              <w:tabs>
                <w:tab w:pos="374" w:val="left" w:leader="none"/>
              </w:tabs>
              <w:spacing w:line="214" w:lineRule="exact" w:before="0" w:after="0"/>
              <w:ind w:left="374" w:right="0" w:hanging="148"/>
              <w:jc w:val="left"/>
              <w:rPr>
                <w:sz w:val="20"/>
              </w:rPr>
            </w:pPr>
          </w:p>
          <w:p>
            <w:pPr>
              <w:pStyle w:val="TableParagraph"/>
              <w:spacing w:line="228" w:lineRule="auto" w:before="3"/>
              <w:ind w:left="226" w:right="390"/>
              <w:rPr>
                <w:sz w:val="20"/>
              </w:rPr>
            </w:pPr>
            <w:r>
              <w:rPr>
                <w:spacing w:val="-2"/>
                <w:sz w:val="20"/>
              </w:rPr>
              <w:t>Cross-functiona </w:t>
            </w:r>
            <w:r>
              <w:rPr>
                <w:sz w:val="20"/>
              </w:rPr>
              <w:t>l Governance</w:t>
            </w:r>
          </w:p>
        </w:tc>
        <w:tc>
          <w:tcPr>
            <w:tcW w:w="1920" w:type="dxa"/>
          </w:tcPr>
          <w:p>
            <w:pPr>
              <w:pStyle w:val="TableParagraph"/>
              <w:numPr>
                <w:ilvl w:val="0"/>
                <w:numId w:val="6"/>
              </w:numPr>
              <w:tabs>
                <w:tab w:pos="438" w:val="left" w:leader="none"/>
              </w:tabs>
              <w:spacing w:line="240" w:lineRule="auto" w:before="103" w:after="0"/>
              <w:ind w:left="226" w:right="247" w:firstLine="15"/>
              <w:jc w:val="left"/>
              <w:rPr>
                <w:sz w:val="20"/>
              </w:rPr>
            </w:pPr>
            <w:r>
              <w:rPr>
                <w:sz w:val="20"/>
              </w:rPr>
              <w:t>Explainable</w:t>
            </w:r>
            <w:r>
              <w:rPr>
                <w:spacing w:val="-13"/>
                <w:sz w:val="20"/>
              </w:rPr>
              <w:t> </w:t>
            </w:r>
            <w:r>
              <w:rPr>
                <w:sz w:val="20"/>
              </w:rPr>
              <w:t>AI (XAI) Standards</w:t>
            </w:r>
          </w:p>
          <w:p>
            <w:pPr>
              <w:pStyle w:val="TableParagraph"/>
              <w:numPr>
                <w:ilvl w:val="0"/>
                <w:numId w:val="6"/>
              </w:numPr>
              <w:tabs>
                <w:tab w:pos="423" w:val="left" w:leader="none"/>
              </w:tabs>
              <w:spacing w:line="240" w:lineRule="auto" w:before="0" w:after="0"/>
              <w:ind w:left="226" w:right="537" w:firstLine="0"/>
              <w:jc w:val="left"/>
              <w:rPr>
                <w:sz w:val="20"/>
              </w:rPr>
            </w:pPr>
            <w:r>
              <w:rPr>
                <w:sz w:val="20"/>
              </w:rPr>
              <w:t>Model</w:t>
            </w:r>
            <w:r>
              <w:rPr>
                <w:spacing w:val="-13"/>
                <w:sz w:val="20"/>
              </w:rPr>
              <w:t> </w:t>
            </w:r>
            <w:r>
              <w:rPr>
                <w:sz w:val="20"/>
              </w:rPr>
              <w:t>Risk </w:t>
            </w:r>
            <w:r>
              <w:rPr>
                <w:spacing w:val="-2"/>
                <w:sz w:val="20"/>
              </w:rPr>
              <w:t>Management (MRM)</w:t>
            </w:r>
          </w:p>
        </w:tc>
        <w:tc>
          <w:tcPr>
            <w:tcW w:w="1920" w:type="dxa"/>
          </w:tcPr>
          <w:p>
            <w:pPr>
              <w:pStyle w:val="TableParagraph"/>
              <w:numPr>
                <w:ilvl w:val="0"/>
                <w:numId w:val="7"/>
              </w:numPr>
              <w:tabs>
                <w:tab w:pos="438" w:val="left" w:leader="none"/>
              </w:tabs>
              <w:spacing w:line="240" w:lineRule="auto" w:before="103" w:after="0"/>
              <w:ind w:left="226" w:right="340" w:firstLine="15"/>
              <w:jc w:val="left"/>
              <w:rPr>
                <w:sz w:val="20"/>
              </w:rPr>
            </w:pPr>
            <w:r>
              <w:rPr>
                <w:spacing w:val="-2"/>
                <w:sz w:val="20"/>
              </w:rPr>
              <w:t>Human-in-the </w:t>
            </w:r>
            <w:r>
              <w:rPr>
                <w:sz w:val="20"/>
              </w:rPr>
              <w:t>Loop (HITL) </w:t>
            </w:r>
            <w:r>
              <w:rPr>
                <w:spacing w:val="-2"/>
                <w:sz w:val="20"/>
              </w:rPr>
              <w:t>Oversight</w:t>
            </w:r>
          </w:p>
          <w:p>
            <w:pPr>
              <w:pStyle w:val="TableParagraph"/>
              <w:numPr>
                <w:ilvl w:val="0"/>
                <w:numId w:val="7"/>
              </w:numPr>
              <w:tabs>
                <w:tab w:pos="423" w:val="left" w:leader="none"/>
              </w:tabs>
              <w:spacing w:line="240" w:lineRule="auto" w:before="0" w:after="0"/>
              <w:ind w:left="226" w:right="306" w:firstLine="0"/>
              <w:jc w:val="left"/>
              <w:rPr>
                <w:sz w:val="20"/>
              </w:rPr>
            </w:pPr>
            <w:r>
              <w:rPr>
                <w:spacing w:val="-2"/>
                <w:sz w:val="20"/>
              </w:rPr>
              <w:t>Decision Authority</w:t>
            </w:r>
            <w:r>
              <w:rPr>
                <w:spacing w:val="-11"/>
                <w:sz w:val="20"/>
              </w:rPr>
              <w:t> </w:t>
            </w:r>
            <w:r>
              <w:rPr>
                <w:spacing w:val="-2"/>
                <w:sz w:val="20"/>
              </w:rPr>
              <w:t>Matrix</w:t>
            </w:r>
          </w:p>
        </w:tc>
        <w:tc>
          <w:tcPr>
            <w:tcW w:w="1920" w:type="dxa"/>
          </w:tcPr>
          <w:p>
            <w:pPr>
              <w:pStyle w:val="TableParagraph"/>
              <w:numPr>
                <w:ilvl w:val="0"/>
                <w:numId w:val="8"/>
              </w:numPr>
              <w:tabs>
                <w:tab w:pos="438" w:val="left" w:leader="none"/>
              </w:tabs>
              <w:spacing w:line="240" w:lineRule="auto" w:before="103" w:after="0"/>
              <w:ind w:left="226" w:right="350" w:firstLine="15"/>
              <w:jc w:val="left"/>
              <w:rPr>
                <w:sz w:val="20"/>
              </w:rPr>
            </w:pPr>
            <w:r>
              <w:rPr>
                <w:spacing w:val="-2"/>
                <w:sz w:val="20"/>
              </w:rPr>
              <w:t>Standardized Validation</w:t>
            </w:r>
            <w:r>
              <w:rPr>
                <w:spacing w:val="-11"/>
                <w:sz w:val="20"/>
              </w:rPr>
              <w:t> </w:t>
            </w:r>
            <w:r>
              <w:rPr>
                <w:spacing w:val="-2"/>
                <w:sz w:val="20"/>
              </w:rPr>
              <w:t>Gates</w:t>
            </w:r>
          </w:p>
          <w:p>
            <w:pPr>
              <w:pStyle w:val="TableParagraph"/>
              <w:numPr>
                <w:ilvl w:val="0"/>
                <w:numId w:val="8"/>
              </w:numPr>
              <w:tabs>
                <w:tab w:pos="423" w:val="left" w:leader="none"/>
              </w:tabs>
              <w:spacing w:line="228" w:lineRule="auto" w:before="0" w:after="0"/>
              <w:ind w:left="226" w:right="875" w:firstLine="0"/>
              <w:jc w:val="left"/>
              <w:rPr>
                <w:sz w:val="20"/>
              </w:rPr>
            </w:pPr>
            <w:r>
              <w:rPr>
                <w:spacing w:val="-2"/>
                <w:sz w:val="20"/>
              </w:rPr>
              <w:t>Quality Control Protocols</w:t>
            </w:r>
          </w:p>
        </w:tc>
      </w:tr>
      <w:tr>
        <w:trPr>
          <w:trHeight w:val="1439" w:hRule="atLeast"/>
        </w:trPr>
        <w:tc>
          <w:tcPr>
            <w:tcW w:w="1700" w:type="dxa"/>
            <w:shd w:val="clear" w:color="auto" w:fill="F1F1F1"/>
          </w:tcPr>
          <w:p>
            <w:pPr>
              <w:pStyle w:val="TableParagraph"/>
              <w:spacing w:line="248" w:lineRule="exact" w:before="103"/>
              <w:ind w:left="231"/>
              <w:rPr>
                <w:b/>
                <w:sz w:val="22"/>
              </w:rPr>
            </w:pPr>
            <w:r>
              <w:rPr>
                <w:b/>
                <w:spacing w:val="-5"/>
                <w:sz w:val="22"/>
              </w:rPr>
              <w:t>2.</w:t>
            </w:r>
          </w:p>
          <w:p>
            <w:pPr>
              <w:pStyle w:val="TableParagraph"/>
              <w:spacing w:line="237" w:lineRule="auto"/>
              <w:ind w:left="231" w:right="118"/>
              <w:rPr>
                <w:b/>
                <w:sz w:val="22"/>
              </w:rPr>
            </w:pPr>
            <w:r>
              <w:rPr>
                <w:b/>
                <w:spacing w:val="-2"/>
                <w:sz w:val="22"/>
              </w:rPr>
              <w:t>Uncovering Hidden Patterns </w:t>
            </w:r>
            <w:r>
              <w:rPr>
                <w:b/>
                <w:sz w:val="22"/>
              </w:rPr>
              <w:t>(COSO,</w:t>
            </w:r>
            <w:r>
              <w:rPr>
                <w:b/>
                <w:spacing w:val="-14"/>
                <w:sz w:val="22"/>
              </w:rPr>
              <w:t> </w:t>
            </w:r>
            <w:r>
              <w:rPr>
                <w:b/>
                <w:sz w:val="22"/>
              </w:rPr>
              <w:t>2017)</w:t>
            </w:r>
          </w:p>
        </w:tc>
        <w:tc>
          <w:tcPr>
            <w:tcW w:w="1920" w:type="dxa"/>
          </w:tcPr>
          <w:p>
            <w:pPr>
              <w:pStyle w:val="TableParagraph"/>
              <w:numPr>
                <w:ilvl w:val="0"/>
                <w:numId w:val="9"/>
              </w:numPr>
              <w:tabs>
                <w:tab w:pos="438" w:val="left" w:leader="none"/>
              </w:tabs>
              <w:spacing w:line="240" w:lineRule="auto" w:before="110" w:after="0"/>
              <w:ind w:left="226" w:right="302" w:firstLine="15"/>
              <w:jc w:val="left"/>
              <w:rPr>
                <w:sz w:val="20"/>
              </w:rPr>
            </w:pPr>
            <w:r>
              <w:rPr>
                <w:sz w:val="20"/>
              </w:rPr>
              <w:t>Inclusive</w:t>
            </w:r>
            <w:r>
              <w:rPr>
                <w:spacing w:val="-13"/>
                <w:sz w:val="20"/>
              </w:rPr>
              <w:t> </w:t>
            </w:r>
            <w:r>
              <w:rPr>
                <w:sz w:val="20"/>
              </w:rPr>
              <w:t>Data </w:t>
            </w:r>
            <w:r>
              <w:rPr>
                <w:spacing w:val="-2"/>
                <w:sz w:val="20"/>
              </w:rPr>
              <w:t>Governance</w:t>
            </w:r>
          </w:p>
          <w:p>
            <w:pPr>
              <w:pStyle w:val="TableParagraph"/>
              <w:numPr>
                <w:ilvl w:val="0"/>
                <w:numId w:val="9"/>
              </w:numPr>
              <w:tabs>
                <w:tab w:pos="423" w:val="left" w:leader="none"/>
              </w:tabs>
              <w:spacing w:line="240" w:lineRule="auto" w:before="0" w:after="0"/>
              <w:ind w:left="226" w:right="488" w:firstLine="0"/>
              <w:jc w:val="left"/>
              <w:rPr>
                <w:sz w:val="20"/>
              </w:rPr>
            </w:pPr>
            <w:r>
              <w:rPr>
                <w:spacing w:val="-2"/>
                <w:sz w:val="20"/>
              </w:rPr>
              <w:t>Independent </w:t>
            </w:r>
            <w:r>
              <w:rPr>
                <w:sz w:val="20"/>
              </w:rPr>
              <w:t>Ethics</w:t>
            </w:r>
            <w:r>
              <w:rPr>
                <w:spacing w:val="-13"/>
                <w:sz w:val="20"/>
              </w:rPr>
              <w:t> </w:t>
            </w:r>
            <w:r>
              <w:rPr>
                <w:sz w:val="20"/>
              </w:rPr>
              <w:t>Review</w:t>
            </w:r>
          </w:p>
        </w:tc>
        <w:tc>
          <w:tcPr>
            <w:tcW w:w="1920" w:type="dxa"/>
          </w:tcPr>
          <w:p>
            <w:pPr>
              <w:pStyle w:val="TableParagraph"/>
              <w:numPr>
                <w:ilvl w:val="0"/>
                <w:numId w:val="10"/>
              </w:numPr>
              <w:tabs>
                <w:tab w:pos="438" w:val="left" w:leader="none"/>
              </w:tabs>
              <w:spacing w:line="226" w:lineRule="exact" w:before="110" w:after="0"/>
              <w:ind w:left="438" w:right="0" w:hanging="197"/>
              <w:jc w:val="left"/>
              <w:rPr>
                <w:sz w:val="20"/>
              </w:rPr>
            </w:pPr>
            <w:r>
              <w:rPr>
                <w:sz w:val="20"/>
              </w:rPr>
              <w:t>XAI</w:t>
            </w:r>
            <w:r>
              <w:rPr>
                <w:spacing w:val="-7"/>
                <w:sz w:val="20"/>
              </w:rPr>
              <w:t> </w:t>
            </w:r>
            <w:r>
              <w:rPr>
                <w:spacing w:val="-2"/>
                <w:sz w:val="20"/>
              </w:rPr>
              <w:t>Standards</w:t>
            </w:r>
          </w:p>
          <w:p>
            <w:pPr>
              <w:pStyle w:val="TableParagraph"/>
              <w:numPr>
                <w:ilvl w:val="0"/>
                <w:numId w:val="10"/>
              </w:numPr>
              <w:tabs>
                <w:tab w:pos="423" w:val="left" w:leader="none"/>
              </w:tabs>
              <w:spacing w:line="230" w:lineRule="auto" w:before="3" w:after="0"/>
              <w:ind w:left="226" w:right="875" w:firstLine="0"/>
              <w:jc w:val="left"/>
              <w:rPr>
                <w:sz w:val="20"/>
              </w:rPr>
            </w:pPr>
            <w:r>
              <w:rPr>
                <w:spacing w:val="-2"/>
                <w:sz w:val="20"/>
              </w:rPr>
              <w:t>Board Rationale Reporting</w:t>
            </w:r>
          </w:p>
        </w:tc>
        <w:tc>
          <w:tcPr>
            <w:tcW w:w="1920" w:type="dxa"/>
          </w:tcPr>
          <w:p>
            <w:pPr>
              <w:pStyle w:val="TableParagraph"/>
              <w:numPr>
                <w:ilvl w:val="0"/>
                <w:numId w:val="11"/>
              </w:numPr>
              <w:tabs>
                <w:tab w:pos="438" w:val="left" w:leader="none"/>
              </w:tabs>
              <w:spacing w:line="230" w:lineRule="auto" w:before="110" w:after="0"/>
              <w:ind w:left="226" w:right="273" w:firstLine="15"/>
              <w:jc w:val="left"/>
              <w:rPr>
                <w:sz w:val="20"/>
              </w:rPr>
            </w:pPr>
            <w:r>
              <w:rPr>
                <w:spacing w:val="-2"/>
                <w:sz w:val="20"/>
              </w:rPr>
              <w:t>Qualitative Expert</w:t>
            </w:r>
            <w:r>
              <w:rPr>
                <w:spacing w:val="-11"/>
                <w:sz w:val="20"/>
              </w:rPr>
              <w:t> </w:t>
            </w:r>
            <w:r>
              <w:rPr>
                <w:spacing w:val="-2"/>
                <w:sz w:val="20"/>
              </w:rPr>
              <w:t>Validation</w:t>
            </w:r>
          </w:p>
          <w:p>
            <w:pPr>
              <w:pStyle w:val="TableParagraph"/>
              <w:numPr>
                <w:ilvl w:val="0"/>
                <w:numId w:val="11"/>
              </w:numPr>
              <w:tabs>
                <w:tab w:pos="423" w:val="left" w:leader="none"/>
              </w:tabs>
              <w:spacing w:line="240" w:lineRule="auto" w:before="5" w:after="0"/>
              <w:ind w:left="226" w:right="577" w:firstLine="0"/>
              <w:jc w:val="left"/>
              <w:rPr>
                <w:sz w:val="20"/>
              </w:rPr>
            </w:pPr>
            <w:r>
              <w:rPr>
                <w:spacing w:val="-2"/>
                <w:sz w:val="20"/>
              </w:rPr>
              <w:t>Human-led Strategic Affirmation</w:t>
            </w:r>
          </w:p>
        </w:tc>
        <w:tc>
          <w:tcPr>
            <w:tcW w:w="1920" w:type="dxa"/>
          </w:tcPr>
          <w:p>
            <w:pPr>
              <w:pStyle w:val="TableParagraph"/>
              <w:numPr>
                <w:ilvl w:val="0"/>
                <w:numId w:val="12"/>
              </w:numPr>
              <w:tabs>
                <w:tab w:pos="438" w:val="left" w:leader="none"/>
              </w:tabs>
              <w:spacing w:line="230" w:lineRule="auto" w:before="117" w:after="0"/>
              <w:ind w:left="226" w:right="330" w:firstLine="15"/>
              <w:jc w:val="left"/>
              <w:rPr>
                <w:sz w:val="20"/>
              </w:rPr>
            </w:pPr>
            <w:r>
              <w:rPr>
                <w:spacing w:val="-2"/>
                <w:sz w:val="20"/>
              </w:rPr>
              <w:t>Fact-checking </w:t>
            </w:r>
            <w:r>
              <w:rPr>
                <w:sz w:val="20"/>
              </w:rPr>
              <w:t>against Source Data 2. Error </w:t>
            </w:r>
            <w:r>
              <w:rPr>
                <w:spacing w:val="-4"/>
                <w:sz w:val="20"/>
              </w:rPr>
              <w:t>Rate</w:t>
            </w:r>
          </w:p>
          <w:p>
            <w:pPr>
              <w:pStyle w:val="TableParagraph"/>
              <w:spacing w:before="6"/>
              <w:ind w:left="226"/>
              <w:rPr>
                <w:sz w:val="20"/>
              </w:rPr>
            </w:pPr>
            <w:r>
              <w:rPr>
                <w:spacing w:val="-2"/>
                <w:sz w:val="20"/>
              </w:rPr>
              <w:t>Monitoring</w:t>
            </w:r>
            <w:r>
              <w:rPr>
                <w:sz w:val="20"/>
              </w:rPr>
              <w:t> </w:t>
            </w:r>
            <w:r>
              <w:rPr>
                <w:spacing w:val="-2"/>
                <w:sz w:val="20"/>
              </w:rPr>
              <w:t>(KRIs)</w:t>
            </w:r>
          </w:p>
        </w:tc>
      </w:tr>
      <w:tr>
        <w:trPr>
          <w:trHeight w:val="1680" w:hRule="atLeast"/>
        </w:trPr>
        <w:tc>
          <w:tcPr>
            <w:tcW w:w="1700" w:type="dxa"/>
            <w:shd w:val="clear" w:color="auto" w:fill="F1F1F1"/>
          </w:tcPr>
          <w:p>
            <w:pPr>
              <w:pStyle w:val="TableParagraph"/>
              <w:spacing w:line="232" w:lineRule="auto" w:before="114"/>
              <w:ind w:left="231" w:right="289"/>
              <w:rPr>
                <w:b/>
                <w:sz w:val="22"/>
              </w:rPr>
            </w:pPr>
            <w:r>
              <w:rPr>
                <w:b/>
                <w:sz w:val="22"/>
              </w:rPr>
              <w:t>3.</w:t>
            </w:r>
            <w:r>
              <w:rPr>
                <w:b/>
                <w:spacing w:val="-14"/>
                <w:sz w:val="22"/>
              </w:rPr>
              <w:t> </w:t>
            </w:r>
            <w:r>
              <w:rPr>
                <w:b/>
                <w:sz w:val="22"/>
              </w:rPr>
              <w:t>Support </w:t>
            </w:r>
            <w:r>
              <w:rPr>
                <w:b/>
                <w:spacing w:val="-4"/>
                <w:sz w:val="22"/>
              </w:rPr>
              <w:t>for </w:t>
            </w:r>
            <w:r>
              <w:rPr>
                <w:b/>
                <w:spacing w:val="-2"/>
                <w:sz w:val="22"/>
              </w:rPr>
              <w:t>Divergent Thinking </w:t>
            </w:r>
            <w:r>
              <w:rPr>
                <w:b/>
                <w:sz w:val="22"/>
              </w:rPr>
              <w:t>(Hubert</w:t>
            </w:r>
            <w:r>
              <w:rPr>
                <w:b/>
                <w:spacing w:val="-14"/>
                <w:sz w:val="22"/>
              </w:rPr>
              <w:t> </w:t>
            </w:r>
            <w:r>
              <w:rPr>
                <w:b/>
                <w:sz w:val="22"/>
              </w:rPr>
              <w:t>et al., 2024)</w:t>
            </w:r>
          </w:p>
        </w:tc>
        <w:tc>
          <w:tcPr>
            <w:tcW w:w="1920" w:type="dxa"/>
          </w:tcPr>
          <w:p>
            <w:pPr>
              <w:pStyle w:val="TableParagraph"/>
              <w:numPr>
                <w:ilvl w:val="0"/>
                <w:numId w:val="13"/>
              </w:numPr>
              <w:tabs>
                <w:tab w:pos="438" w:val="left" w:leader="none"/>
              </w:tabs>
              <w:spacing w:line="228" w:lineRule="auto" w:before="117" w:after="0"/>
              <w:ind w:left="226" w:right="838" w:firstLine="15"/>
              <w:jc w:val="left"/>
              <w:rPr>
                <w:sz w:val="20"/>
              </w:rPr>
            </w:pPr>
            <w:r>
              <w:rPr>
                <w:spacing w:val="-2"/>
                <w:sz w:val="20"/>
              </w:rPr>
              <w:t>Diverse Training Datasets</w:t>
            </w:r>
          </w:p>
          <w:p>
            <w:pPr>
              <w:pStyle w:val="TableParagraph"/>
              <w:numPr>
                <w:ilvl w:val="0"/>
                <w:numId w:val="13"/>
              </w:numPr>
              <w:tabs>
                <w:tab w:pos="423" w:val="left" w:leader="none"/>
              </w:tabs>
              <w:spacing w:line="240" w:lineRule="auto" w:before="7" w:after="0"/>
              <w:ind w:left="226" w:right="295" w:firstLine="0"/>
              <w:jc w:val="left"/>
              <w:rPr>
                <w:sz w:val="20"/>
              </w:rPr>
            </w:pPr>
            <w:r>
              <w:rPr>
                <w:sz w:val="20"/>
              </w:rPr>
              <w:t>Bias</w:t>
            </w:r>
            <w:r>
              <w:rPr>
                <w:spacing w:val="-13"/>
                <w:sz w:val="20"/>
              </w:rPr>
              <w:t> </w:t>
            </w:r>
            <w:r>
              <w:rPr>
                <w:sz w:val="20"/>
              </w:rPr>
              <w:t>Detection </w:t>
            </w:r>
            <w:r>
              <w:rPr>
                <w:spacing w:val="-2"/>
                <w:sz w:val="20"/>
              </w:rPr>
              <w:t>Metrics</w:t>
            </w:r>
          </w:p>
        </w:tc>
        <w:tc>
          <w:tcPr>
            <w:tcW w:w="1920" w:type="dxa"/>
          </w:tcPr>
          <w:p>
            <w:pPr>
              <w:pStyle w:val="TableParagraph"/>
              <w:numPr>
                <w:ilvl w:val="0"/>
                <w:numId w:val="14"/>
              </w:numPr>
              <w:tabs>
                <w:tab w:pos="438" w:val="left" w:leader="none"/>
              </w:tabs>
              <w:spacing w:line="240" w:lineRule="auto" w:before="117" w:after="0"/>
              <w:ind w:left="226" w:right="444" w:firstLine="15"/>
              <w:jc w:val="left"/>
              <w:rPr>
                <w:sz w:val="20"/>
              </w:rPr>
            </w:pPr>
            <w:r>
              <w:rPr>
                <w:spacing w:val="-2"/>
                <w:sz w:val="20"/>
              </w:rPr>
              <w:t>Logic Documentation</w:t>
            </w:r>
          </w:p>
          <w:p>
            <w:pPr>
              <w:pStyle w:val="TableParagraph"/>
              <w:numPr>
                <w:ilvl w:val="0"/>
                <w:numId w:val="14"/>
              </w:numPr>
              <w:tabs>
                <w:tab w:pos="423" w:val="left" w:leader="none"/>
              </w:tabs>
              <w:spacing w:line="228" w:lineRule="exact" w:before="0" w:after="0"/>
              <w:ind w:left="423" w:right="0" w:hanging="197"/>
              <w:jc w:val="left"/>
              <w:rPr>
                <w:sz w:val="20"/>
              </w:rPr>
            </w:pPr>
            <w:r>
              <w:rPr>
                <w:spacing w:val="-5"/>
                <w:sz w:val="20"/>
              </w:rPr>
              <w:t>XAI</w:t>
            </w:r>
          </w:p>
          <w:p>
            <w:pPr>
              <w:pStyle w:val="TableParagraph"/>
              <w:ind w:left="226" w:right="226"/>
              <w:rPr>
                <w:sz w:val="20"/>
              </w:rPr>
            </w:pPr>
            <w:r>
              <w:rPr>
                <w:spacing w:val="-2"/>
                <w:sz w:val="20"/>
              </w:rPr>
              <w:t>Interpretability Reviews</w:t>
            </w:r>
          </w:p>
        </w:tc>
        <w:tc>
          <w:tcPr>
            <w:tcW w:w="1920" w:type="dxa"/>
          </w:tcPr>
          <w:p>
            <w:pPr>
              <w:pStyle w:val="TableParagraph"/>
              <w:numPr>
                <w:ilvl w:val="0"/>
                <w:numId w:val="15"/>
              </w:numPr>
              <w:tabs>
                <w:tab w:pos="438" w:val="left" w:leader="none"/>
              </w:tabs>
              <w:spacing w:line="240" w:lineRule="auto" w:before="117" w:after="0"/>
              <w:ind w:left="226" w:right="274" w:firstLine="15"/>
              <w:jc w:val="left"/>
              <w:rPr>
                <w:sz w:val="20"/>
              </w:rPr>
            </w:pPr>
            <w:r>
              <w:rPr>
                <w:sz w:val="20"/>
              </w:rPr>
              <w:t>HITL</w:t>
            </w:r>
            <w:r>
              <w:rPr>
                <w:spacing w:val="-15"/>
                <w:sz w:val="20"/>
              </w:rPr>
              <w:t> </w:t>
            </w:r>
            <w:r>
              <w:rPr>
                <w:sz w:val="20"/>
              </w:rPr>
              <w:t>for</w:t>
            </w:r>
            <w:r>
              <w:rPr>
                <w:spacing w:val="-12"/>
                <w:sz w:val="20"/>
              </w:rPr>
              <w:t> </w:t>
            </w:r>
            <w:r>
              <w:rPr>
                <w:sz w:val="20"/>
              </w:rPr>
              <w:t>High Stakes</w:t>
            </w:r>
            <w:r>
              <w:rPr>
                <w:spacing w:val="-2"/>
                <w:sz w:val="20"/>
              </w:rPr>
              <w:t> </w:t>
            </w:r>
            <w:r>
              <w:rPr>
                <w:sz w:val="20"/>
              </w:rPr>
              <w:t>Decisions</w:t>
            </w:r>
          </w:p>
          <w:p>
            <w:pPr>
              <w:pStyle w:val="TableParagraph"/>
              <w:numPr>
                <w:ilvl w:val="0"/>
                <w:numId w:val="15"/>
              </w:numPr>
              <w:tabs>
                <w:tab w:pos="423" w:val="left" w:leader="none"/>
              </w:tabs>
              <w:spacing w:line="240" w:lineRule="auto" w:before="0" w:after="0"/>
              <w:ind w:left="226" w:right="643" w:firstLine="0"/>
              <w:jc w:val="left"/>
              <w:rPr>
                <w:sz w:val="20"/>
              </w:rPr>
            </w:pPr>
            <w:r>
              <w:rPr>
                <w:spacing w:val="-2"/>
                <w:sz w:val="20"/>
              </w:rPr>
              <w:t>Escalation Protocols</w:t>
            </w:r>
          </w:p>
        </w:tc>
        <w:tc>
          <w:tcPr>
            <w:tcW w:w="1920" w:type="dxa"/>
          </w:tcPr>
          <w:p>
            <w:pPr>
              <w:pStyle w:val="TableParagraph"/>
              <w:numPr>
                <w:ilvl w:val="0"/>
                <w:numId w:val="16"/>
              </w:numPr>
              <w:tabs>
                <w:tab w:pos="438" w:val="left" w:leader="none"/>
              </w:tabs>
              <w:spacing w:line="228" w:lineRule="auto" w:before="117" w:after="0"/>
              <w:ind w:left="226" w:right="787" w:firstLine="15"/>
              <w:jc w:val="left"/>
              <w:rPr>
                <w:sz w:val="20"/>
              </w:rPr>
            </w:pPr>
            <w:r>
              <w:rPr>
                <w:spacing w:val="-2"/>
                <w:sz w:val="20"/>
              </w:rPr>
              <w:t>Expert Qualitative Review</w:t>
            </w:r>
          </w:p>
          <w:p>
            <w:pPr>
              <w:pStyle w:val="TableParagraph"/>
              <w:numPr>
                <w:ilvl w:val="0"/>
                <w:numId w:val="16"/>
              </w:numPr>
              <w:tabs>
                <w:tab w:pos="423" w:val="left" w:leader="none"/>
              </w:tabs>
              <w:spacing w:line="240" w:lineRule="auto" w:before="7" w:after="0"/>
              <w:ind w:left="226" w:right="253" w:firstLine="0"/>
              <w:jc w:val="left"/>
              <w:rPr>
                <w:sz w:val="20"/>
              </w:rPr>
            </w:pPr>
            <w:r>
              <w:rPr>
                <w:spacing w:val="-2"/>
                <w:sz w:val="20"/>
              </w:rPr>
              <w:t>Standardized Output</w:t>
            </w:r>
            <w:r>
              <w:rPr>
                <w:spacing w:val="-11"/>
                <w:sz w:val="20"/>
              </w:rPr>
              <w:t> </w:t>
            </w:r>
            <w:r>
              <w:rPr>
                <w:spacing w:val="-2"/>
                <w:sz w:val="20"/>
              </w:rPr>
              <w:t>Templates</w:t>
            </w:r>
          </w:p>
        </w:tc>
      </w:tr>
      <w:tr>
        <w:trPr>
          <w:trHeight w:val="1559" w:hRule="atLeast"/>
        </w:trPr>
        <w:tc>
          <w:tcPr>
            <w:tcW w:w="1700" w:type="dxa"/>
            <w:shd w:val="clear" w:color="auto" w:fill="F1F1F1"/>
          </w:tcPr>
          <w:p>
            <w:pPr>
              <w:pStyle w:val="TableParagraph"/>
              <w:spacing w:line="237" w:lineRule="auto" w:before="111"/>
              <w:ind w:left="231" w:right="142"/>
              <w:rPr>
                <w:b/>
                <w:sz w:val="22"/>
              </w:rPr>
            </w:pPr>
            <w:r>
              <w:rPr>
                <w:b/>
                <w:sz w:val="22"/>
              </w:rPr>
              <w:t>4.</w:t>
            </w:r>
            <w:r>
              <w:rPr>
                <w:b/>
                <w:spacing w:val="-14"/>
                <w:sz w:val="22"/>
              </w:rPr>
              <w:t> </w:t>
            </w:r>
            <w:r>
              <w:rPr>
                <w:b/>
                <w:sz w:val="22"/>
              </w:rPr>
              <w:t>Advanced </w:t>
            </w:r>
            <w:r>
              <w:rPr>
                <w:b/>
                <w:spacing w:val="-2"/>
                <w:sz w:val="22"/>
              </w:rPr>
              <w:t>Scenario Modeling </w:t>
            </w:r>
            <w:r>
              <w:rPr>
                <w:b/>
                <w:sz w:val="22"/>
              </w:rPr>
              <w:t>(Sohrabi et al., 2018)</w:t>
            </w:r>
          </w:p>
        </w:tc>
        <w:tc>
          <w:tcPr>
            <w:tcW w:w="1920" w:type="dxa"/>
          </w:tcPr>
          <w:p>
            <w:pPr>
              <w:pStyle w:val="TableParagraph"/>
              <w:numPr>
                <w:ilvl w:val="0"/>
                <w:numId w:val="17"/>
              </w:numPr>
              <w:tabs>
                <w:tab w:pos="438" w:val="left" w:leader="none"/>
              </w:tabs>
              <w:spacing w:line="240" w:lineRule="auto" w:before="108" w:after="0"/>
              <w:ind w:left="226" w:right="501" w:firstLine="15"/>
              <w:jc w:val="left"/>
              <w:rPr>
                <w:sz w:val="20"/>
              </w:rPr>
            </w:pPr>
            <w:r>
              <w:rPr>
                <w:sz w:val="20"/>
              </w:rPr>
              <w:t>Model</w:t>
            </w:r>
            <w:r>
              <w:rPr>
                <w:spacing w:val="-13"/>
                <w:sz w:val="20"/>
              </w:rPr>
              <w:t> </w:t>
            </w:r>
            <w:r>
              <w:rPr>
                <w:sz w:val="20"/>
              </w:rPr>
              <w:t>Drift </w:t>
            </w:r>
            <w:r>
              <w:rPr>
                <w:spacing w:val="-2"/>
                <w:sz w:val="20"/>
              </w:rPr>
              <w:t>Detection</w:t>
            </w:r>
          </w:p>
          <w:p>
            <w:pPr>
              <w:pStyle w:val="TableParagraph"/>
              <w:numPr>
                <w:ilvl w:val="0"/>
                <w:numId w:val="17"/>
              </w:numPr>
              <w:tabs>
                <w:tab w:pos="423" w:val="left" w:leader="none"/>
              </w:tabs>
              <w:spacing w:line="240" w:lineRule="auto" w:before="0" w:after="0"/>
              <w:ind w:left="226" w:right="317" w:firstLine="0"/>
              <w:jc w:val="left"/>
              <w:rPr>
                <w:sz w:val="20"/>
              </w:rPr>
            </w:pPr>
            <w:r>
              <w:rPr>
                <w:sz w:val="20"/>
              </w:rPr>
              <w:t>Accuracy</w:t>
            </w:r>
            <w:r>
              <w:rPr>
                <w:spacing w:val="-13"/>
                <w:sz w:val="20"/>
              </w:rPr>
              <w:t> </w:t>
            </w:r>
            <w:r>
              <w:rPr>
                <w:sz w:val="20"/>
              </w:rPr>
              <w:t>KRI </w:t>
            </w:r>
            <w:r>
              <w:rPr>
                <w:spacing w:val="-2"/>
                <w:sz w:val="20"/>
              </w:rPr>
              <w:t>Reporting</w:t>
            </w:r>
          </w:p>
        </w:tc>
        <w:tc>
          <w:tcPr>
            <w:tcW w:w="1920" w:type="dxa"/>
          </w:tcPr>
          <w:p>
            <w:pPr>
              <w:pStyle w:val="TableParagraph"/>
              <w:numPr>
                <w:ilvl w:val="0"/>
                <w:numId w:val="18"/>
              </w:numPr>
              <w:tabs>
                <w:tab w:pos="438" w:val="left" w:leader="none"/>
              </w:tabs>
              <w:spacing w:line="240" w:lineRule="auto" w:before="108" w:after="0"/>
              <w:ind w:left="226" w:right="513" w:firstLine="15"/>
              <w:jc w:val="left"/>
              <w:rPr>
                <w:sz w:val="20"/>
              </w:rPr>
            </w:pPr>
            <w:r>
              <w:rPr>
                <w:spacing w:val="-2"/>
                <w:sz w:val="20"/>
              </w:rPr>
              <w:t>Transparent Assumption Mapping</w:t>
            </w:r>
          </w:p>
          <w:p>
            <w:pPr>
              <w:pStyle w:val="TableParagraph"/>
              <w:numPr>
                <w:ilvl w:val="0"/>
                <w:numId w:val="18"/>
              </w:numPr>
              <w:tabs>
                <w:tab w:pos="423" w:val="left" w:leader="none"/>
              </w:tabs>
              <w:spacing w:line="216" w:lineRule="exact" w:before="0" w:after="0"/>
              <w:ind w:left="423" w:right="0" w:hanging="197"/>
              <w:jc w:val="left"/>
              <w:rPr>
                <w:sz w:val="20"/>
              </w:rPr>
            </w:pPr>
            <w:r>
              <w:rPr>
                <w:spacing w:val="-5"/>
                <w:sz w:val="20"/>
              </w:rPr>
              <w:t>MRM</w:t>
            </w:r>
          </w:p>
          <w:p>
            <w:pPr>
              <w:pStyle w:val="TableParagraph"/>
              <w:spacing w:line="230" w:lineRule="auto" w:before="3"/>
              <w:ind w:left="226" w:right="783"/>
              <w:rPr>
                <w:sz w:val="20"/>
              </w:rPr>
            </w:pPr>
            <w:r>
              <w:rPr>
                <w:spacing w:val="-2"/>
                <w:sz w:val="20"/>
              </w:rPr>
              <w:t>Committee Oversight</w:t>
            </w:r>
          </w:p>
        </w:tc>
        <w:tc>
          <w:tcPr>
            <w:tcW w:w="1920" w:type="dxa"/>
          </w:tcPr>
          <w:p>
            <w:pPr>
              <w:pStyle w:val="TableParagraph"/>
              <w:numPr>
                <w:ilvl w:val="0"/>
                <w:numId w:val="19"/>
              </w:numPr>
              <w:tabs>
                <w:tab w:pos="438" w:val="left" w:leader="none"/>
              </w:tabs>
              <w:spacing w:line="230" w:lineRule="auto" w:before="108" w:after="0"/>
              <w:ind w:left="226" w:right="350" w:firstLine="15"/>
              <w:jc w:val="left"/>
              <w:rPr>
                <w:sz w:val="20"/>
              </w:rPr>
            </w:pPr>
            <w:r>
              <w:rPr>
                <w:spacing w:val="-2"/>
                <w:sz w:val="20"/>
              </w:rPr>
              <w:t>Strategic Intuition</w:t>
            </w:r>
            <w:r>
              <w:rPr>
                <w:spacing w:val="-11"/>
                <w:sz w:val="20"/>
              </w:rPr>
              <w:t> </w:t>
            </w:r>
            <w:r>
              <w:rPr>
                <w:spacing w:val="-2"/>
                <w:sz w:val="20"/>
              </w:rPr>
              <w:t>Checks</w:t>
            </w:r>
          </w:p>
          <w:p>
            <w:pPr>
              <w:pStyle w:val="TableParagraph"/>
              <w:numPr>
                <w:ilvl w:val="0"/>
                <w:numId w:val="19"/>
              </w:numPr>
              <w:tabs>
                <w:tab w:pos="423" w:val="left" w:leader="none"/>
              </w:tabs>
              <w:spacing w:line="230" w:lineRule="auto" w:before="3" w:after="0"/>
              <w:ind w:left="226" w:right="886" w:firstLine="0"/>
              <w:jc w:val="left"/>
              <w:rPr>
                <w:sz w:val="20"/>
              </w:rPr>
            </w:pPr>
            <w:r>
              <w:rPr>
                <w:spacing w:val="-2"/>
                <w:sz w:val="20"/>
              </w:rPr>
              <w:t>Human Decision Authority</w:t>
            </w:r>
          </w:p>
        </w:tc>
        <w:tc>
          <w:tcPr>
            <w:tcW w:w="1920" w:type="dxa"/>
          </w:tcPr>
          <w:p>
            <w:pPr>
              <w:pStyle w:val="TableParagraph"/>
              <w:numPr>
                <w:ilvl w:val="0"/>
                <w:numId w:val="20"/>
              </w:numPr>
              <w:tabs>
                <w:tab w:pos="438" w:val="left" w:leader="none"/>
              </w:tabs>
              <w:spacing w:line="240" w:lineRule="auto" w:before="108" w:after="0"/>
              <w:ind w:left="226" w:right="306" w:firstLine="15"/>
              <w:jc w:val="left"/>
              <w:rPr>
                <w:sz w:val="20"/>
              </w:rPr>
            </w:pPr>
            <w:r>
              <w:rPr>
                <w:spacing w:val="-2"/>
                <w:sz w:val="20"/>
              </w:rPr>
              <w:t>Automated Validation</w:t>
            </w:r>
            <w:r>
              <w:rPr>
                <w:spacing w:val="-11"/>
                <w:sz w:val="20"/>
              </w:rPr>
              <w:t> </w:t>
            </w:r>
            <w:r>
              <w:rPr>
                <w:spacing w:val="-2"/>
                <w:sz w:val="20"/>
              </w:rPr>
              <w:t>Loops</w:t>
            </w:r>
          </w:p>
          <w:p>
            <w:pPr>
              <w:pStyle w:val="TableParagraph"/>
              <w:numPr>
                <w:ilvl w:val="0"/>
                <w:numId w:val="20"/>
              </w:numPr>
              <w:tabs>
                <w:tab w:pos="423" w:val="left" w:leader="none"/>
              </w:tabs>
              <w:spacing w:line="230" w:lineRule="auto" w:before="0" w:after="0"/>
              <w:ind w:left="226" w:right="534" w:firstLine="0"/>
              <w:jc w:val="left"/>
              <w:rPr>
                <w:sz w:val="20"/>
              </w:rPr>
            </w:pPr>
            <w:r>
              <w:rPr>
                <w:spacing w:val="-2"/>
                <w:sz w:val="20"/>
              </w:rPr>
              <w:t>Feedback </w:t>
            </w:r>
            <w:r>
              <w:rPr>
                <w:sz w:val="20"/>
              </w:rPr>
              <w:t>Loops for </w:t>
            </w:r>
            <w:r>
              <w:rPr>
                <w:spacing w:val="-2"/>
                <w:sz w:val="20"/>
              </w:rPr>
              <w:t>Model</w:t>
            </w:r>
            <w:r>
              <w:rPr>
                <w:spacing w:val="-11"/>
                <w:sz w:val="20"/>
              </w:rPr>
              <w:t> </w:t>
            </w:r>
            <w:r>
              <w:rPr>
                <w:spacing w:val="-2"/>
                <w:sz w:val="20"/>
              </w:rPr>
              <w:t>Tuning</w:t>
            </w:r>
          </w:p>
        </w:tc>
      </w:tr>
    </w:tbl>
    <w:p>
      <w:pPr>
        <w:pStyle w:val="TableParagraph"/>
        <w:spacing w:after="0" w:line="230" w:lineRule="auto"/>
        <w:jc w:val="left"/>
        <w:rPr>
          <w:sz w:val="20"/>
        </w:rPr>
        <w:sectPr>
          <w:pgSz w:w="12240" w:h="15840"/>
          <w:pgMar w:header="0" w:footer="707" w:top="620" w:bottom="960" w:left="720" w:right="0"/>
        </w:sectPr>
      </w:pPr>
    </w:p>
    <w:p>
      <w:pPr>
        <w:pStyle w:val="Heading3"/>
        <w:spacing w:line="247" w:lineRule="auto"/>
        <w:ind w:left="3192" w:right="3268" w:hanging="252"/>
        <w:jc w:val="left"/>
      </w:pPr>
      <w:bookmarkStart w:name="Chemical Accidents and Newborn Health: A" w:id="46"/>
      <w:bookmarkEnd w:id="46"/>
      <w:r>
        <w:rPr>
          <w:b w:val="0"/>
        </w:rPr>
      </w:r>
      <w:r>
        <w:rPr/>
        <w:t>Chemical</w:t>
      </w:r>
      <w:r>
        <w:rPr>
          <w:spacing w:val="-9"/>
        </w:rPr>
        <w:t> </w:t>
      </w:r>
      <w:r>
        <w:rPr/>
        <w:t>Accidents</w:t>
      </w:r>
      <w:r>
        <w:rPr>
          <w:spacing w:val="-9"/>
        </w:rPr>
        <w:t> </w:t>
      </w:r>
      <w:r>
        <w:rPr/>
        <w:t>and</w:t>
      </w:r>
      <w:r>
        <w:rPr>
          <w:spacing w:val="-9"/>
        </w:rPr>
        <w:t> </w:t>
      </w:r>
      <w:r>
        <w:rPr/>
        <w:t>Newborn</w:t>
      </w:r>
      <w:r>
        <w:rPr>
          <w:spacing w:val="-9"/>
        </w:rPr>
        <w:t> </w:t>
      </w:r>
      <w:r>
        <w:rPr/>
        <w:t>Health:</w:t>
      </w:r>
      <w:r>
        <w:rPr>
          <w:spacing w:val="-9"/>
        </w:rPr>
        <w:t> </w:t>
      </w:r>
      <w:r>
        <w:rPr/>
        <w:t>A </w:t>
      </w:r>
      <w:bookmarkStart w:name="h.gzfns4qrp4hu" w:id="47"/>
      <w:bookmarkEnd w:id="47"/>
      <w:r>
        <w:rPr/>
        <w:t>D</w:t>
      </w:r>
      <w:r>
        <w:rPr/>
        <w:t>ifference-in-Differences Analysis</w:t>
      </w:r>
    </w:p>
    <w:p>
      <w:pPr>
        <w:pStyle w:val="BodyText"/>
        <w:spacing w:line="199" w:lineRule="auto" w:before="294"/>
        <w:ind w:left="3987" w:right="4705"/>
        <w:jc w:val="center"/>
      </w:pPr>
      <w:r>
        <w:rPr/>
        <w:t>Guignet, Dennis B. Department of Economics Appalachian</w:t>
      </w:r>
      <w:r>
        <w:rPr>
          <w:spacing w:val="-15"/>
        </w:rPr>
        <w:t> </w:t>
      </w:r>
      <w:r>
        <w:rPr/>
        <w:t>State</w:t>
      </w:r>
      <w:r>
        <w:rPr>
          <w:spacing w:val="-15"/>
        </w:rPr>
        <w:t> </w:t>
      </w:r>
      <w:r>
        <w:rPr/>
        <w:t>University 416 Howard Street</w:t>
      </w:r>
    </w:p>
    <w:p>
      <w:pPr>
        <w:pStyle w:val="BodyText"/>
        <w:spacing w:line="199" w:lineRule="auto" w:before="4"/>
        <w:ind w:left="3891" w:right="4609"/>
        <w:jc w:val="center"/>
      </w:pPr>
      <w:r>
        <w:rPr/>
        <w:t>Boone, NC 28607 </w:t>
      </w:r>
      <w:hyperlink r:id="rId65">
        <w:r>
          <w:rPr>
            <w:spacing w:val="-2"/>
          </w:rPr>
          <w:t>guignetdb@appstate.edu</w:t>
        </w:r>
      </w:hyperlink>
      <w:r>
        <w:rPr>
          <w:spacing w:val="-2"/>
        </w:rPr>
        <w:t> </w:t>
      </w:r>
      <w:r>
        <w:rPr/>
        <w:t>828.262.2117</w:t>
      </w:r>
      <w:r>
        <w:rPr>
          <w:spacing w:val="-15"/>
        </w:rPr>
        <w:t> </w:t>
      </w:r>
      <w:r>
        <w:rPr/>
        <w:t>(Contact</w:t>
      </w:r>
      <w:r>
        <w:rPr>
          <w:spacing w:val="-15"/>
        </w:rPr>
        <w:t> </w:t>
      </w:r>
      <w:r>
        <w:rPr/>
        <w:t>Author)</w:t>
      </w:r>
    </w:p>
    <w:p>
      <w:pPr>
        <w:pStyle w:val="BodyText"/>
        <w:spacing w:line="199" w:lineRule="auto" w:before="272"/>
        <w:ind w:left="4140" w:right="4858"/>
        <w:jc w:val="center"/>
      </w:pPr>
      <w:r>
        <w:rPr/>
        <w:t>Cook, Karlee L. Department</w:t>
      </w:r>
      <w:r>
        <w:rPr>
          <w:spacing w:val="-15"/>
        </w:rPr>
        <w:t> </w:t>
      </w:r>
      <w:r>
        <w:rPr/>
        <w:t>of</w:t>
      </w:r>
      <w:r>
        <w:rPr>
          <w:spacing w:val="-15"/>
        </w:rPr>
        <w:t> </w:t>
      </w:r>
      <w:r>
        <w:rPr/>
        <w:t>Economics College of Business</w:t>
      </w:r>
    </w:p>
    <w:p>
      <w:pPr>
        <w:pStyle w:val="BodyText"/>
        <w:spacing w:line="199" w:lineRule="auto" w:before="3"/>
        <w:ind w:left="3987" w:right="4705"/>
        <w:jc w:val="center"/>
      </w:pPr>
      <w:r>
        <w:rPr/>
        <w:t>Appalachian</w:t>
      </w:r>
      <w:r>
        <w:rPr>
          <w:spacing w:val="-15"/>
        </w:rPr>
        <w:t> </w:t>
      </w:r>
      <w:r>
        <w:rPr/>
        <w:t>State</w:t>
      </w:r>
      <w:r>
        <w:rPr>
          <w:spacing w:val="-15"/>
        </w:rPr>
        <w:t> </w:t>
      </w:r>
      <w:r>
        <w:rPr/>
        <w:t>University 416 Howard Street</w:t>
      </w:r>
    </w:p>
    <w:p>
      <w:pPr>
        <w:pStyle w:val="BodyText"/>
        <w:spacing w:line="199" w:lineRule="auto" w:before="1"/>
        <w:ind w:left="4306" w:right="5024"/>
        <w:jc w:val="center"/>
      </w:pPr>
      <w:r>
        <w:rPr/>
        <w:t>Boone, NC 28607 </w:t>
      </w:r>
      <w:hyperlink r:id="rId66">
        <w:r>
          <w:rPr>
            <w:spacing w:val="-2"/>
          </w:rPr>
          <w:t>cookkl4@appstate.edu</w:t>
        </w:r>
      </w:hyperlink>
      <w:r>
        <w:rPr>
          <w:spacing w:val="-2"/>
        </w:rPr>
        <w:t> 704.771.0201</w:t>
      </w:r>
    </w:p>
    <w:p>
      <w:pPr>
        <w:pStyle w:val="BodyText"/>
        <w:spacing w:line="199" w:lineRule="auto" w:before="233"/>
        <w:ind w:left="720" w:right="1191"/>
      </w:pPr>
      <w:r>
        <w:rPr/>
        <w:t>Key</w:t>
      </w:r>
      <w:r>
        <w:rPr>
          <w:spacing w:val="-5"/>
        </w:rPr>
        <w:t> </w:t>
      </w:r>
      <w:r>
        <w:rPr/>
        <w:t>words</w:t>
      </w:r>
      <w:r>
        <w:rPr>
          <w:spacing w:val="-5"/>
        </w:rPr>
        <w:t> </w:t>
      </w:r>
      <w:r>
        <w:rPr/>
        <w:t>(3-5):</w:t>
      </w:r>
      <w:r>
        <w:rPr>
          <w:spacing w:val="-5"/>
        </w:rPr>
        <w:t> </w:t>
      </w:r>
      <w:r>
        <w:rPr/>
        <w:t>air</w:t>
      </w:r>
      <w:r>
        <w:rPr>
          <w:spacing w:val="-5"/>
        </w:rPr>
        <w:t> </w:t>
      </w:r>
      <w:r>
        <w:rPr/>
        <w:t>pollution,</w:t>
      </w:r>
      <w:r>
        <w:rPr>
          <w:spacing w:val="-5"/>
        </w:rPr>
        <w:t> </w:t>
      </w:r>
      <w:r>
        <w:rPr/>
        <w:t>chemical</w:t>
      </w:r>
      <w:r>
        <w:rPr>
          <w:spacing w:val="-5"/>
        </w:rPr>
        <w:t> </w:t>
      </w:r>
      <w:r>
        <w:rPr/>
        <w:t>accident,</w:t>
      </w:r>
      <w:r>
        <w:rPr>
          <w:spacing w:val="-5"/>
        </w:rPr>
        <w:t> </w:t>
      </w:r>
      <w:r>
        <w:rPr/>
        <w:t>Risk</w:t>
      </w:r>
      <w:r>
        <w:rPr>
          <w:spacing w:val="-5"/>
        </w:rPr>
        <w:t> </w:t>
      </w:r>
      <w:r>
        <w:rPr/>
        <w:t>Management</w:t>
      </w:r>
      <w:r>
        <w:rPr>
          <w:spacing w:val="-5"/>
        </w:rPr>
        <w:t> </w:t>
      </w:r>
      <w:r>
        <w:rPr/>
        <w:t>Plan,</w:t>
      </w:r>
      <w:r>
        <w:rPr>
          <w:spacing w:val="-5"/>
        </w:rPr>
        <w:t> </w:t>
      </w:r>
      <w:r>
        <w:rPr/>
        <w:t>environmental</w:t>
      </w:r>
      <w:r>
        <w:rPr>
          <w:spacing w:val="-5"/>
        </w:rPr>
        <w:t> </w:t>
      </w:r>
      <w:r>
        <w:rPr/>
        <w:t>policy, newborn health</w:t>
      </w:r>
    </w:p>
    <w:p>
      <w:pPr>
        <w:pStyle w:val="BodyText"/>
        <w:spacing w:line="264" w:lineRule="auto" w:before="263"/>
        <w:ind w:left="701" w:right="1191" w:firstLine="720"/>
      </w:pPr>
      <w:r>
        <w:rPr/>
        <w:t>Chemical</w:t>
      </w:r>
      <w:r>
        <w:rPr>
          <w:spacing w:val="-5"/>
        </w:rPr>
        <w:t> </w:t>
      </w:r>
      <w:r>
        <w:rPr/>
        <w:t>accidents</w:t>
      </w:r>
      <w:r>
        <w:rPr>
          <w:spacing w:val="-5"/>
        </w:rPr>
        <w:t> </w:t>
      </w:r>
      <w:r>
        <w:rPr/>
        <w:t>at</w:t>
      </w:r>
      <w:r>
        <w:rPr>
          <w:spacing w:val="-5"/>
        </w:rPr>
        <w:t> </w:t>
      </w:r>
      <w:r>
        <w:rPr/>
        <w:t>industrial</w:t>
      </w:r>
      <w:r>
        <w:rPr>
          <w:spacing w:val="-5"/>
        </w:rPr>
        <w:t> </w:t>
      </w:r>
      <w:r>
        <w:rPr/>
        <w:t>facilities,</w:t>
      </w:r>
      <w:r>
        <w:rPr>
          <w:spacing w:val="-5"/>
        </w:rPr>
        <w:t> </w:t>
      </w:r>
      <w:r>
        <w:rPr/>
        <w:t>including</w:t>
      </w:r>
      <w:r>
        <w:rPr>
          <w:spacing w:val="-5"/>
        </w:rPr>
        <w:t> </w:t>
      </w:r>
      <w:r>
        <w:rPr/>
        <w:t>fires,</w:t>
      </w:r>
      <w:r>
        <w:rPr>
          <w:spacing w:val="-5"/>
        </w:rPr>
        <w:t> </w:t>
      </w:r>
      <w:r>
        <w:rPr/>
        <w:t>explosions,</w:t>
      </w:r>
      <w:r>
        <w:rPr>
          <w:spacing w:val="-5"/>
        </w:rPr>
        <w:t> </w:t>
      </w:r>
      <w:r>
        <w:rPr/>
        <w:t>and</w:t>
      </w:r>
      <w:r>
        <w:rPr>
          <w:spacing w:val="-5"/>
        </w:rPr>
        <w:t> </w:t>
      </w:r>
      <w:r>
        <w:rPr/>
        <w:t>uncontrolled chemical releases, pose persistent risks to people living in nearby “fence-line” communities.</w:t>
      </w:r>
    </w:p>
    <w:p>
      <w:pPr>
        <w:pStyle w:val="BodyText"/>
        <w:spacing w:line="264" w:lineRule="auto" w:before="1"/>
        <w:ind w:left="701" w:right="1487"/>
      </w:pPr>
      <w:r>
        <w:rPr/>
        <w:t>These events can release toxic substances into the air, potentially affecting vulnerable populations. This study examines whether chemical accidents adversely affect newborn health outcomes (birthweight, gestational age, and the risk of preterm birth and low birth weight). We start with an individual-level dataset of the over 1.6 million births in North Carolina from 2002</w:t>
      </w:r>
      <w:r>
        <w:rPr>
          <w:spacing w:val="40"/>
        </w:rPr>
        <w:t> </w:t>
      </w:r>
      <w:r>
        <w:rPr/>
        <w:t>to 2019. Individual birth records are spatially and temporally linked to the 40 documented chemical accidents that occurred at 35 different industrial facilities regulated under the US Environmental Protection Agency’s Risk Management Plan (RMP) program. The RMP program was</w:t>
      </w:r>
      <w:r>
        <w:rPr>
          <w:spacing w:val="-4"/>
        </w:rPr>
        <w:t> </w:t>
      </w:r>
      <w:r>
        <w:rPr/>
        <w:t>created</w:t>
      </w:r>
      <w:r>
        <w:rPr>
          <w:spacing w:val="-4"/>
        </w:rPr>
        <w:t> </w:t>
      </w:r>
      <w:r>
        <w:rPr/>
        <w:t>in</w:t>
      </w:r>
      <w:r>
        <w:rPr>
          <w:spacing w:val="-4"/>
        </w:rPr>
        <w:t> </w:t>
      </w:r>
      <w:r>
        <w:rPr/>
        <w:t>Section</w:t>
      </w:r>
      <w:r>
        <w:rPr>
          <w:spacing w:val="-4"/>
        </w:rPr>
        <w:t> </w:t>
      </w:r>
      <w:r>
        <w:rPr/>
        <w:t>112(r)</w:t>
      </w:r>
      <w:r>
        <w:rPr>
          <w:spacing w:val="-4"/>
        </w:rPr>
        <w:t> </w:t>
      </w:r>
      <w:r>
        <w:rPr/>
        <w:t>of</w:t>
      </w:r>
      <w:r>
        <w:rPr>
          <w:spacing w:val="-4"/>
        </w:rPr>
        <w:t> </w:t>
      </w:r>
      <w:r>
        <w:rPr/>
        <w:t>the</w:t>
      </w:r>
      <w:r>
        <w:rPr>
          <w:spacing w:val="-4"/>
        </w:rPr>
        <w:t> </w:t>
      </w:r>
      <w:r>
        <w:rPr/>
        <w:t>US</w:t>
      </w:r>
      <w:r>
        <w:rPr>
          <w:spacing w:val="-4"/>
        </w:rPr>
        <w:t> </w:t>
      </w:r>
      <w:r>
        <w:rPr/>
        <w:t>1990</w:t>
      </w:r>
      <w:r>
        <w:rPr>
          <w:spacing w:val="-4"/>
        </w:rPr>
        <w:t> </w:t>
      </w:r>
      <w:r>
        <w:rPr/>
        <w:t>Clean</w:t>
      </w:r>
      <w:r>
        <w:rPr>
          <w:spacing w:val="-4"/>
        </w:rPr>
        <w:t> </w:t>
      </w:r>
      <w:r>
        <w:rPr/>
        <w:t>Air</w:t>
      </w:r>
      <w:r>
        <w:rPr>
          <w:spacing w:val="-4"/>
        </w:rPr>
        <w:t> </w:t>
      </w:r>
      <w:r>
        <w:rPr/>
        <w:t>Act</w:t>
      </w:r>
      <w:r>
        <w:rPr>
          <w:spacing w:val="-4"/>
        </w:rPr>
        <w:t> </w:t>
      </w:r>
      <w:r>
        <w:rPr/>
        <w:t>Amendments</w:t>
      </w:r>
      <w:r>
        <w:rPr>
          <w:spacing w:val="-4"/>
        </w:rPr>
        <w:t> </w:t>
      </w:r>
      <w:r>
        <w:rPr/>
        <w:t>to</w:t>
      </w:r>
      <w:r>
        <w:rPr>
          <w:spacing w:val="-4"/>
        </w:rPr>
        <w:t> </w:t>
      </w:r>
      <w:r>
        <w:rPr/>
        <w:t>protect</w:t>
      </w:r>
      <w:r>
        <w:rPr>
          <w:spacing w:val="-4"/>
        </w:rPr>
        <w:t> </w:t>
      </w:r>
      <w:r>
        <w:rPr/>
        <w:t>communities from hazardous chemical accidents. Under the program, regulated facilities must establish an emergency response plan, including certain public notification requirements, and take steps to minimize the risk and severity of potential accidents.</w:t>
      </w:r>
    </w:p>
    <w:p>
      <w:pPr>
        <w:pStyle w:val="BodyText"/>
        <w:spacing w:line="264" w:lineRule="auto" w:before="256"/>
        <w:ind w:left="716" w:right="1461" w:firstLine="720"/>
      </w:pPr>
      <w:r>
        <w:rPr/>
        <w:t>Using a difference-in-differences (DiD) approach, we compare birth outcomes for newborns potentially exposed </w:t>
      </w:r>
      <w:r>
        <w:rPr>
          <w:i/>
        </w:rPr>
        <w:t>in utero </w:t>
      </w:r>
      <w:r>
        <w:rPr/>
        <w:t>to a chemical accident, to those who were not exposed, either</w:t>
      </w:r>
      <w:r>
        <w:rPr>
          <w:spacing w:val="-3"/>
        </w:rPr>
        <w:t> </w:t>
      </w:r>
      <w:r>
        <w:rPr/>
        <w:t>because</w:t>
      </w:r>
      <w:r>
        <w:rPr>
          <w:spacing w:val="-3"/>
        </w:rPr>
        <w:t> </w:t>
      </w:r>
      <w:r>
        <w:rPr/>
        <w:t>they</w:t>
      </w:r>
      <w:r>
        <w:rPr>
          <w:spacing w:val="-3"/>
        </w:rPr>
        <w:t> </w:t>
      </w:r>
      <w:r>
        <w:rPr/>
        <w:t>lived</w:t>
      </w:r>
      <w:r>
        <w:rPr>
          <w:spacing w:val="-3"/>
        </w:rPr>
        <w:t> </w:t>
      </w:r>
      <w:r>
        <w:rPr/>
        <w:t>farther</w:t>
      </w:r>
      <w:r>
        <w:rPr>
          <w:spacing w:val="-3"/>
        </w:rPr>
        <w:t> </w:t>
      </w:r>
      <w:r>
        <w:rPr/>
        <w:t>away</w:t>
      </w:r>
      <w:r>
        <w:rPr>
          <w:spacing w:val="-3"/>
        </w:rPr>
        <w:t> </w:t>
      </w:r>
      <w:r>
        <w:rPr/>
        <w:t>from</w:t>
      </w:r>
      <w:r>
        <w:rPr>
          <w:spacing w:val="-3"/>
        </w:rPr>
        <w:t> </w:t>
      </w:r>
      <w:r>
        <w:rPr/>
        <w:t>an</w:t>
      </w:r>
      <w:r>
        <w:rPr>
          <w:spacing w:val="-3"/>
        </w:rPr>
        <w:t> </w:t>
      </w:r>
      <w:r>
        <w:rPr/>
        <w:t>accident</w:t>
      </w:r>
      <w:r>
        <w:rPr>
          <w:spacing w:val="-3"/>
        </w:rPr>
        <w:t> </w:t>
      </w:r>
      <w:r>
        <w:rPr/>
        <w:t>or</w:t>
      </w:r>
      <w:r>
        <w:rPr>
          <w:spacing w:val="-3"/>
        </w:rPr>
        <w:t> </w:t>
      </w:r>
      <w:r>
        <w:rPr/>
        <w:t>because</w:t>
      </w:r>
      <w:r>
        <w:rPr>
          <w:spacing w:val="-3"/>
        </w:rPr>
        <w:t> </w:t>
      </w:r>
      <w:r>
        <w:rPr/>
        <w:t>no</w:t>
      </w:r>
      <w:r>
        <w:rPr>
          <w:spacing w:val="-3"/>
        </w:rPr>
        <w:t> </w:t>
      </w:r>
      <w:r>
        <w:rPr/>
        <w:t>accidents</w:t>
      </w:r>
      <w:r>
        <w:rPr>
          <w:spacing w:val="-3"/>
        </w:rPr>
        <w:t> </w:t>
      </w:r>
      <w:r>
        <w:rPr/>
        <w:t>occurred</w:t>
      </w:r>
      <w:r>
        <w:rPr>
          <w:spacing w:val="-3"/>
        </w:rPr>
        <w:t> </w:t>
      </w:r>
      <w:r>
        <w:rPr/>
        <w:t>during gestation. The DiD approach exploits spatial and temporal variation in accident occurrence to isolate</w:t>
      </w:r>
      <w:r>
        <w:rPr>
          <w:spacing w:val="-2"/>
        </w:rPr>
        <w:t> </w:t>
      </w:r>
      <w:r>
        <w:rPr/>
        <w:t>the</w:t>
      </w:r>
      <w:r>
        <w:rPr>
          <w:spacing w:val="-2"/>
        </w:rPr>
        <w:t> </w:t>
      </w:r>
      <w:r>
        <w:rPr/>
        <w:t>plausibly</w:t>
      </w:r>
      <w:r>
        <w:rPr>
          <w:spacing w:val="-2"/>
        </w:rPr>
        <w:t> </w:t>
      </w:r>
      <w:r>
        <w:rPr/>
        <w:t>causal</w:t>
      </w:r>
      <w:r>
        <w:rPr>
          <w:spacing w:val="-2"/>
        </w:rPr>
        <w:t> </w:t>
      </w:r>
      <w:r>
        <w:rPr/>
        <w:t>effect</w:t>
      </w:r>
      <w:r>
        <w:rPr>
          <w:spacing w:val="-2"/>
        </w:rPr>
        <w:t> </w:t>
      </w:r>
      <w:r>
        <w:rPr/>
        <w:t>of</w:t>
      </w:r>
      <w:r>
        <w:rPr>
          <w:spacing w:val="-2"/>
        </w:rPr>
        <w:t> </w:t>
      </w:r>
      <w:r>
        <w:rPr/>
        <w:t>chemical</w:t>
      </w:r>
      <w:r>
        <w:rPr>
          <w:spacing w:val="-2"/>
        </w:rPr>
        <w:t> </w:t>
      </w:r>
      <w:r>
        <w:rPr/>
        <w:t>exposure</w:t>
      </w:r>
      <w:r>
        <w:rPr>
          <w:spacing w:val="-2"/>
        </w:rPr>
        <w:t> </w:t>
      </w:r>
      <w:r>
        <w:rPr/>
        <w:t>from</w:t>
      </w:r>
      <w:r>
        <w:rPr>
          <w:spacing w:val="-2"/>
        </w:rPr>
        <w:t> </w:t>
      </w:r>
      <w:r>
        <w:rPr/>
        <w:t>otherwise</w:t>
      </w:r>
      <w:r>
        <w:rPr>
          <w:spacing w:val="-2"/>
        </w:rPr>
        <w:t> </w:t>
      </w:r>
      <w:r>
        <w:rPr/>
        <w:t>confounding</w:t>
      </w:r>
      <w:r>
        <w:rPr>
          <w:spacing w:val="-2"/>
        </w:rPr>
        <w:t> </w:t>
      </w:r>
      <w:r>
        <w:rPr/>
        <w:t>differences in communities, nearby industrial facilities, and broader trends over time .</w:t>
      </w:r>
    </w:p>
    <w:p>
      <w:pPr>
        <w:pStyle w:val="BodyText"/>
        <w:spacing w:line="264" w:lineRule="auto" w:before="255"/>
        <w:ind w:left="716" w:right="1487" w:firstLine="735"/>
      </w:pPr>
      <w:r>
        <w:rPr/>
        <w:t>Based on non-parametric and semi-parametric econometric techniques we estimate a series of conditional pre- and post-accident distance gradient graphs. As illustrated in the example in Figure 1, we find that, conditional on observed covariates (e.g., race, ethnicity, proxies for income, etc.), there is a notable increase in the risk of low birthweight for children born to mothers living within 0-500 meters of an accident. There is also evidence of an increase in risk after a more severe “offsite impact” accident, at least among children born within 1500-2000</w:t>
      </w:r>
      <w:r>
        <w:rPr>
          <w:spacing w:val="-3"/>
        </w:rPr>
        <w:t> </w:t>
      </w:r>
      <w:r>
        <w:rPr/>
        <w:t>meters.</w:t>
      </w:r>
      <w:r>
        <w:rPr>
          <w:spacing w:val="-3"/>
        </w:rPr>
        <w:t> </w:t>
      </w:r>
      <w:r>
        <w:rPr/>
        <w:t>Based</w:t>
      </w:r>
      <w:r>
        <w:rPr>
          <w:spacing w:val="-3"/>
        </w:rPr>
        <w:t> </w:t>
      </w:r>
      <w:r>
        <w:rPr/>
        <w:t>on</w:t>
      </w:r>
      <w:r>
        <w:rPr>
          <w:spacing w:val="-3"/>
        </w:rPr>
        <w:t> </w:t>
      </w:r>
      <w:r>
        <w:rPr/>
        <w:t>similar</w:t>
      </w:r>
      <w:r>
        <w:rPr>
          <w:spacing w:val="-3"/>
        </w:rPr>
        <w:t> </w:t>
      </w:r>
      <w:r>
        <w:rPr/>
        <w:t>diagnostic</w:t>
      </w:r>
      <w:r>
        <w:rPr>
          <w:spacing w:val="-3"/>
        </w:rPr>
        <w:t> </w:t>
      </w:r>
      <w:r>
        <w:rPr/>
        <w:t>graphs</w:t>
      </w:r>
      <w:r>
        <w:rPr>
          <w:spacing w:val="-3"/>
        </w:rPr>
        <w:t> </w:t>
      </w:r>
      <w:r>
        <w:rPr/>
        <w:t>for</w:t>
      </w:r>
      <w:r>
        <w:rPr>
          <w:spacing w:val="-3"/>
        </w:rPr>
        <w:t> </w:t>
      </w:r>
      <w:r>
        <w:rPr/>
        <w:t>each</w:t>
      </w:r>
      <w:r>
        <w:rPr>
          <w:spacing w:val="-3"/>
        </w:rPr>
        <w:t> </w:t>
      </w:r>
      <w:r>
        <w:rPr/>
        <w:t>health</w:t>
      </w:r>
      <w:r>
        <w:rPr>
          <w:spacing w:val="-3"/>
        </w:rPr>
        <w:t> </w:t>
      </w:r>
      <w:r>
        <w:rPr/>
        <w:t>outcome</w:t>
      </w:r>
      <w:r>
        <w:rPr>
          <w:spacing w:val="-3"/>
        </w:rPr>
        <w:t> </w:t>
      </w:r>
      <w:r>
        <w:rPr/>
        <w:t>analyzed,</w:t>
      </w:r>
      <w:r>
        <w:rPr>
          <w:spacing w:val="-3"/>
        </w:rPr>
        <w:t> </w:t>
      </w:r>
      <w:r>
        <w:rPr/>
        <w:t>we</w:t>
      </w:r>
      <w:r>
        <w:rPr>
          <w:spacing w:val="-3"/>
        </w:rPr>
        <w:t> </w:t>
      </w:r>
      <w:r>
        <w:rPr/>
        <w:t>assume</w:t>
      </w:r>
      <w:r>
        <w:rPr>
          <w:spacing w:val="-3"/>
        </w:rPr>
        <w:t> </w:t>
      </w:r>
      <w:r>
        <w:rPr/>
        <w:t>a</w:t>
      </w:r>
    </w:p>
    <w:p>
      <w:pPr>
        <w:pStyle w:val="BodyText"/>
        <w:spacing w:after="0" w:line="264" w:lineRule="auto"/>
        <w:sectPr>
          <w:footerReference w:type="default" r:id="rId64"/>
          <w:pgSz w:w="12240" w:h="15840"/>
          <w:pgMar w:header="0" w:footer="776" w:top="640" w:bottom="960" w:left="720" w:right="0"/>
        </w:sectPr>
      </w:pPr>
    </w:p>
    <w:p>
      <w:pPr>
        <w:pStyle w:val="BodyText"/>
        <w:spacing w:line="264" w:lineRule="auto" w:before="60"/>
        <w:ind w:left="716" w:right="1619"/>
      </w:pPr>
      <w:r>
        <w:rPr/>
        <w:t>“treated” group that consists of newborns living within two kilometers of a chemical accident. The corresponding control group is assumed to be children born to mothers living between 2-4 kilometers,</w:t>
      </w:r>
      <w:r>
        <w:rPr>
          <w:spacing w:val="-3"/>
        </w:rPr>
        <w:t> </w:t>
      </w:r>
      <w:r>
        <w:rPr/>
        <w:t>where</w:t>
      </w:r>
      <w:r>
        <w:rPr>
          <w:spacing w:val="-3"/>
        </w:rPr>
        <w:t> </w:t>
      </w:r>
      <w:r>
        <w:rPr/>
        <w:t>we</w:t>
      </w:r>
      <w:r>
        <w:rPr>
          <w:spacing w:val="-3"/>
        </w:rPr>
        <w:t> </w:t>
      </w:r>
      <w:r>
        <w:rPr/>
        <w:t>see</w:t>
      </w:r>
      <w:r>
        <w:rPr>
          <w:spacing w:val="-3"/>
        </w:rPr>
        <w:t> </w:t>
      </w:r>
      <w:r>
        <w:rPr/>
        <w:t>no</w:t>
      </w:r>
      <w:r>
        <w:rPr>
          <w:spacing w:val="-3"/>
        </w:rPr>
        <w:t> </w:t>
      </w:r>
      <w:r>
        <w:rPr/>
        <w:t>evidence</w:t>
      </w:r>
      <w:r>
        <w:rPr>
          <w:spacing w:val="-3"/>
        </w:rPr>
        <w:t> </w:t>
      </w:r>
      <w:r>
        <w:rPr/>
        <w:t>of</w:t>
      </w:r>
      <w:r>
        <w:rPr>
          <w:spacing w:val="-3"/>
        </w:rPr>
        <w:t> </w:t>
      </w:r>
      <w:r>
        <w:rPr/>
        <w:t>changes</w:t>
      </w:r>
      <w:r>
        <w:rPr>
          <w:spacing w:val="-3"/>
        </w:rPr>
        <w:t> </w:t>
      </w:r>
      <w:r>
        <w:rPr/>
        <w:t>before</w:t>
      </w:r>
      <w:r>
        <w:rPr>
          <w:spacing w:val="-3"/>
        </w:rPr>
        <w:t> </w:t>
      </w:r>
      <w:r>
        <w:rPr/>
        <w:t>versus</w:t>
      </w:r>
      <w:r>
        <w:rPr>
          <w:spacing w:val="-3"/>
        </w:rPr>
        <w:t> </w:t>
      </w:r>
      <w:r>
        <w:rPr/>
        <w:t>after</w:t>
      </w:r>
      <w:r>
        <w:rPr>
          <w:spacing w:val="-3"/>
        </w:rPr>
        <w:t> </w:t>
      </w:r>
      <w:r>
        <w:rPr/>
        <w:t>an</w:t>
      </w:r>
      <w:r>
        <w:rPr>
          <w:spacing w:val="-3"/>
        </w:rPr>
        <w:t> </w:t>
      </w:r>
      <w:r>
        <w:rPr/>
        <w:t>accident</w:t>
      </w:r>
      <w:r>
        <w:rPr>
          <w:spacing w:val="-3"/>
        </w:rPr>
        <w:t> </w:t>
      </w:r>
      <w:r>
        <w:rPr/>
        <w:t>(see</w:t>
      </w:r>
      <w:r>
        <w:rPr>
          <w:spacing w:val="-3"/>
        </w:rPr>
        <w:t> </w:t>
      </w:r>
      <w:r>
        <w:rPr/>
        <w:t>Figure</w:t>
      </w:r>
      <w:r>
        <w:rPr>
          <w:spacing w:val="-3"/>
        </w:rPr>
        <w:t> </w:t>
      </w:r>
      <w:r>
        <w:rPr/>
        <w:t>1). In addition to employing the DiD strategy, our subsequent regression models include a comprehensive set of individual-level child and maternal characteristics, and incorporate spatiotemporal fixed effects to control for geographic differences and temporal shocks.</w:t>
      </w:r>
    </w:p>
    <w:p>
      <w:pPr>
        <w:pStyle w:val="BodyText"/>
        <w:spacing w:line="264" w:lineRule="auto" w:before="3"/>
        <w:ind w:left="716" w:right="1381"/>
      </w:pPr>
      <w:r>
        <w:rPr/>
        <w:t>Preliminary results suggest that children exposed to more severe accidents during gestation experience marginally significant increases in the risk of low birth weight, preterm birth, and for pregnant</w:t>
      </w:r>
      <w:r>
        <w:rPr>
          <w:spacing w:val="-4"/>
        </w:rPr>
        <w:t> </w:t>
      </w:r>
      <w:r>
        <w:rPr/>
        <w:t>persons,</w:t>
      </w:r>
      <w:r>
        <w:rPr>
          <w:spacing w:val="-4"/>
        </w:rPr>
        <w:t> </w:t>
      </w:r>
      <w:r>
        <w:rPr/>
        <w:t>gestational</w:t>
      </w:r>
      <w:r>
        <w:rPr>
          <w:spacing w:val="-4"/>
        </w:rPr>
        <w:t> </w:t>
      </w:r>
      <w:r>
        <w:rPr/>
        <w:t>diabetes.</w:t>
      </w:r>
      <w:r>
        <w:rPr>
          <w:spacing w:val="-4"/>
        </w:rPr>
        <w:t> </w:t>
      </w:r>
      <w:r>
        <w:rPr/>
        <w:t>For</w:t>
      </w:r>
      <w:r>
        <w:rPr>
          <w:spacing w:val="-4"/>
        </w:rPr>
        <w:t> </w:t>
      </w:r>
      <w:r>
        <w:rPr/>
        <w:t>example,</w:t>
      </w:r>
      <w:r>
        <w:rPr>
          <w:spacing w:val="-4"/>
        </w:rPr>
        <w:t> </w:t>
      </w:r>
      <w:r>
        <w:rPr/>
        <w:t>we</w:t>
      </w:r>
      <w:r>
        <w:rPr>
          <w:spacing w:val="-4"/>
        </w:rPr>
        <w:t> </w:t>
      </w:r>
      <w:r>
        <w:rPr/>
        <w:t>see</w:t>
      </w:r>
      <w:r>
        <w:rPr>
          <w:spacing w:val="-4"/>
        </w:rPr>
        <w:t> </w:t>
      </w:r>
      <w:r>
        <w:rPr/>
        <w:t>significant</w:t>
      </w:r>
      <w:r>
        <w:rPr>
          <w:spacing w:val="-4"/>
        </w:rPr>
        <w:t> </w:t>
      </w:r>
      <w:r>
        <w:rPr/>
        <w:t>results</w:t>
      </w:r>
      <w:r>
        <w:rPr>
          <w:spacing w:val="-4"/>
        </w:rPr>
        <w:t> </w:t>
      </w:r>
      <w:r>
        <w:rPr/>
        <w:t>suggesting</w:t>
      </w:r>
      <w:r>
        <w:rPr>
          <w:spacing w:val="-4"/>
        </w:rPr>
        <w:t> </w:t>
      </w:r>
      <w:r>
        <w:rPr/>
        <w:t>the</w:t>
      </w:r>
      <w:r>
        <w:rPr>
          <w:spacing w:val="-4"/>
        </w:rPr>
        <w:t> </w:t>
      </w:r>
      <w:r>
        <w:rPr/>
        <w:t>risk of low birth weight increases by about 4-percentage points, a roughly 40% increase in risk.</w:t>
      </w:r>
    </w:p>
    <w:p>
      <w:pPr>
        <w:pStyle w:val="BodyText"/>
        <w:spacing w:line="264" w:lineRule="auto" w:before="2"/>
        <w:ind w:left="716" w:right="1381" w:firstLine="15"/>
      </w:pPr>
      <w:r>
        <w:rPr/>
        <w:t>Results</w:t>
      </w:r>
      <w:r>
        <w:rPr>
          <w:spacing w:val="-3"/>
        </w:rPr>
        <w:t> </w:t>
      </w:r>
      <w:r>
        <w:rPr/>
        <w:t>that</w:t>
      </w:r>
      <w:r>
        <w:rPr>
          <w:spacing w:val="-3"/>
        </w:rPr>
        <w:t> </w:t>
      </w:r>
      <w:r>
        <w:rPr/>
        <w:t>are</w:t>
      </w:r>
      <w:r>
        <w:rPr>
          <w:spacing w:val="-3"/>
        </w:rPr>
        <w:t> </w:t>
      </w:r>
      <w:r>
        <w:rPr/>
        <w:t>found</w:t>
      </w:r>
      <w:r>
        <w:rPr>
          <w:spacing w:val="-3"/>
        </w:rPr>
        <w:t> </w:t>
      </w:r>
      <w:r>
        <w:rPr/>
        <w:t>to</w:t>
      </w:r>
      <w:r>
        <w:rPr>
          <w:spacing w:val="-3"/>
        </w:rPr>
        <w:t> </w:t>
      </w:r>
      <w:r>
        <w:rPr/>
        <w:t>be</w:t>
      </w:r>
      <w:r>
        <w:rPr>
          <w:spacing w:val="-3"/>
        </w:rPr>
        <w:t> </w:t>
      </w:r>
      <w:r>
        <w:rPr/>
        <w:t>less</w:t>
      </w:r>
      <w:r>
        <w:rPr>
          <w:spacing w:val="-3"/>
        </w:rPr>
        <w:t> </w:t>
      </w:r>
      <w:r>
        <w:rPr/>
        <w:t>significant</w:t>
      </w:r>
      <w:r>
        <w:rPr>
          <w:spacing w:val="-3"/>
        </w:rPr>
        <w:t> </w:t>
      </w:r>
      <w:r>
        <w:rPr/>
        <w:t>follow</w:t>
      </w:r>
      <w:r>
        <w:rPr>
          <w:spacing w:val="-3"/>
        </w:rPr>
        <w:t> </w:t>
      </w:r>
      <w:r>
        <w:rPr/>
        <w:t>the</w:t>
      </w:r>
      <w:r>
        <w:rPr>
          <w:spacing w:val="-3"/>
        </w:rPr>
        <w:t> </w:t>
      </w:r>
      <w:r>
        <w:rPr/>
        <w:t>same</w:t>
      </w:r>
      <w:r>
        <w:rPr>
          <w:spacing w:val="-3"/>
        </w:rPr>
        <w:t> </w:t>
      </w:r>
      <w:r>
        <w:rPr/>
        <w:t>expected</w:t>
      </w:r>
      <w:r>
        <w:rPr>
          <w:spacing w:val="-3"/>
        </w:rPr>
        <w:t> </w:t>
      </w:r>
      <w:r>
        <w:rPr/>
        <w:t>signs</w:t>
      </w:r>
      <w:r>
        <w:rPr>
          <w:spacing w:val="-3"/>
        </w:rPr>
        <w:t> </w:t>
      </w:r>
      <w:r>
        <w:rPr/>
        <w:t>as</w:t>
      </w:r>
      <w:r>
        <w:rPr>
          <w:spacing w:val="-3"/>
        </w:rPr>
        <w:t> </w:t>
      </w:r>
      <w:r>
        <w:rPr/>
        <w:t>results</w:t>
      </w:r>
      <w:r>
        <w:rPr>
          <w:spacing w:val="-3"/>
        </w:rPr>
        <w:t> </w:t>
      </w:r>
      <w:r>
        <w:rPr/>
        <w:t>from previous literature.</w:t>
      </w:r>
    </w:p>
    <w:p>
      <w:pPr>
        <w:pStyle w:val="BodyText"/>
        <w:spacing w:line="264" w:lineRule="auto" w:before="253"/>
        <w:ind w:left="716" w:right="1461" w:firstLine="735"/>
      </w:pPr>
      <w:r>
        <w:rPr/>
        <w:t>Our</w:t>
      </w:r>
      <w:r>
        <w:rPr>
          <w:spacing w:val="-6"/>
        </w:rPr>
        <w:t> </w:t>
      </w:r>
      <w:r>
        <w:rPr/>
        <w:t>analysis</w:t>
      </w:r>
      <w:r>
        <w:rPr>
          <w:spacing w:val="-6"/>
        </w:rPr>
        <w:t> </w:t>
      </w:r>
      <w:r>
        <w:rPr/>
        <w:t>contributes</w:t>
      </w:r>
      <w:r>
        <w:rPr>
          <w:spacing w:val="-6"/>
        </w:rPr>
        <w:t> </w:t>
      </w:r>
      <w:r>
        <w:rPr/>
        <w:t>to</w:t>
      </w:r>
      <w:r>
        <w:rPr>
          <w:spacing w:val="-6"/>
        </w:rPr>
        <w:t> </w:t>
      </w:r>
      <w:r>
        <w:rPr/>
        <w:t>the</w:t>
      </w:r>
      <w:r>
        <w:rPr>
          <w:spacing w:val="-6"/>
        </w:rPr>
        <w:t> </w:t>
      </w:r>
      <w:r>
        <w:rPr/>
        <w:t>economic</w:t>
      </w:r>
      <w:r>
        <w:rPr>
          <w:spacing w:val="-6"/>
        </w:rPr>
        <w:t> </w:t>
      </w:r>
      <w:r>
        <w:rPr/>
        <w:t>literature,</w:t>
      </w:r>
      <w:r>
        <w:rPr>
          <w:spacing w:val="-6"/>
        </w:rPr>
        <w:t> </w:t>
      </w:r>
      <w:r>
        <w:rPr/>
        <w:t>policy,</w:t>
      </w:r>
      <w:r>
        <w:rPr>
          <w:spacing w:val="-6"/>
        </w:rPr>
        <w:t> </w:t>
      </w:r>
      <w:r>
        <w:rPr/>
        <w:t>and</w:t>
      </w:r>
      <w:r>
        <w:rPr>
          <w:spacing w:val="-6"/>
        </w:rPr>
        <w:t> </w:t>
      </w:r>
      <w:r>
        <w:rPr/>
        <w:t>industry</w:t>
      </w:r>
      <w:r>
        <w:rPr>
          <w:spacing w:val="-6"/>
        </w:rPr>
        <w:t> </w:t>
      </w:r>
      <w:r>
        <w:rPr/>
        <w:t>decision-</w:t>
      </w:r>
      <w:r>
        <w:rPr/>
        <w:t>making, and is thus of interest to policymakers, community stakeholders, and industry alike. The results have direct policy relevance for environmental regulation, emergency response planning, information disclosure, and environmental justice. Our study aims to advance understanding of how industry-related environmental disasters affect early-life health and highlights the importance of incorporating maternal and infant health considerations into industrial safety and environmental policy decisions.</w:t>
      </w:r>
    </w:p>
    <w:p>
      <w:pPr>
        <w:pStyle w:val="BodyText"/>
        <w:rPr>
          <w:sz w:val="20"/>
        </w:rPr>
      </w:pPr>
    </w:p>
    <w:p>
      <w:pPr>
        <w:pStyle w:val="BodyText"/>
        <w:spacing w:before="174"/>
        <w:rPr>
          <w:sz w:val="20"/>
        </w:rPr>
      </w:pPr>
      <w:r>
        <w:rPr>
          <w:sz w:val="20"/>
        </w:rPr>
        <w:drawing>
          <wp:anchor distT="0" distB="0" distL="0" distR="0" allowOverlap="1" layoutInCell="1" locked="0" behindDoc="1" simplePos="0" relativeHeight="487590912">
            <wp:simplePos x="0" y="0"/>
            <wp:positionH relativeFrom="page">
              <wp:posOffset>938690</wp:posOffset>
            </wp:positionH>
            <wp:positionV relativeFrom="paragraph">
              <wp:posOffset>271911</wp:posOffset>
            </wp:positionV>
            <wp:extent cx="6189123" cy="2296668"/>
            <wp:effectExtent l="0" t="0" r="0" b="0"/>
            <wp:wrapTopAndBottom/>
            <wp:docPr id="18" name="Image 18"/>
            <wp:cNvGraphicFramePr>
              <a:graphicFrameLocks/>
            </wp:cNvGraphicFramePr>
            <a:graphic>
              <a:graphicData uri="http://schemas.openxmlformats.org/drawingml/2006/picture">
                <pic:pic>
                  <pic:nvPicPr>
                    <pic:cNvPr id="18" name="Image 18"/>
                    <pic:cNvPicPr/>
                  </pic:nvPicPr>
                  <pic:blipFill>
                    <a:blip r:embed="rId68" cstate="print"/>
                    <a:stretch>
                      <a:fillRect/>
                    </a:stretch>
                  </pic:blipFill>
                  <pic:spPr>
                    <a:xfrm>
                      <a:off x="0" y="0"/>
                      <a:ext cx="6189123" cy="2296668"/>
                    </a:xfrm>
                    <a:prstGeom prst="rect">
                      <a:avLst/>
                    </a:prstGeom>
                  </pic:spPr>
                </pic:pic>
              </a:graphicData>
            </a:graphic>
          </wp:anchor>
        </w:drawing>
      </w:r>
    </w:p>
    <w:p>
      <w:pPr>
        <w:spacing w:line="230" w:lineRule="auto" w:before="134"/>
        <w:ind w:left="804" w:right="1521" w:firstLine="0"/>
        <w:jc w:val="center"/>
        <w:rPr>
          <w:sz w:val="22"/>
        </w:rPr>
      </w:pPr>
      <w:r>
        <w:rPr>
          <w:sz w:val="22"/>
        </w:rPr>
        <w:t>Figure</w:t>
      </w:r>
      <w:r>
        <w:rPr>
          <w:spacing w:val="-1"/>
          <w:sz w:val="22"/>
        </w:rPr>
        <w:t> </w:t>
      </w:r>
      <w:r>
        <w:rPr>
          <w:sz w:val="22"/>
        </w:rPr>
        <w:t>1.</w:t>
      </w:r>
      <w:r>
        <w:rPr>
          <w:spacing w:val="-1"/>
          <w:sz w:val="22"/>
        </w:rPr>
        <w:t> </w:t>
      </w:r>
      <w:r>
        <w:rPr>
          <w:sz w:val="22"/>
        </w:rPr>
        <w:t>Distance</w:t>
      </w:r>
      <w:r>
        <w:rPr>
          <w:spacing w:val="-1"/>
          <w:sz w:val="22"/>
        </w:rPr>
        <w:t> </w:t>
      </w:r>
      <w:r>
        <w:rPr>
          <w:sz w:val="22"/>
        </w:rPr>
        <w:t>gradient</w:t>
      </w:r>
      <w:r>
        <w:rPr>
          <w:spacing w:val="-1"/>
          <w:sz w:val="22"/>
        </w:rPr>
        <w:t> </w:t>
      </w:r>
      <w:r>
        <w:rPr>
          <w:sz w:val="22"/>
        </w:rPr>
        <w:t>of</w:t>
      </w:r>
      <w:r>
        <w:rPr>
          <w:spacing w:val="-1"/>
          <w:sz w:val="22"/>
        </w:rPr>
        <w:t> </w:t>
      </w:r>
      <w:r>
        <w:rPr>
          <w:sz w:val="22"/>
        </w:rPr>
        <w:t>the</w:t>
      </w:r>
      <w:r>
        <w:rPr>
          <w:spacing w:val="-1"/>
          <w:sz w:val="22"/>
        </w:rPr>
        <w:t> </w:t>
      </w:r>
      <w:r>
        <w:rPr>
          <w:sz w:val="22"/>
        </w:rPr>
        <w:t>conditional</w:t>
      </w:r>
      <w:r>
        <w:rPr>
          <w:spacing w:val="-1"/>
          <w:sz w:val="22"/>
        </w:rPr>
        <w:t> </w:t>
      </w:r>
      <w:r>
        <w:rPr>
          <w:sz w:val="22"/>
        </w:rPr>
        <w:t>probability</w:t>
      </w:r>
      <w:r>
        <w:rPr>
          <w:spacing w:val="-1"/>
          <w:sz w:val="22"/>
        </w:rPr>
        <w:t> </w:t>
      </w:r>
      <w:r>
        <w:rPr>
          <w:sz w:val="22"/>
        </w:rPr>
        <w:t>of</w:t>
      </w:r>
      <w:r>
        <w:rPr>
          <w:spacing w:val="-1"/>
          <w:sz w:val="22"/>
        </w:rPr>
        <w:t> </w:t>
      </w:r>
      <w:r>
        <w:rPr>
          <w:sz w:val="22"/>
        </w:rPr>
        <w:t>low</w:t>
      </w:r>
      <w:r>
        <w:rPr>
          <w:spacing w:val="-1"/>
          <w:sz w:val="22"/>
        </w:rPr>
        <w:t> </w:t>
      </w:r>
      <w:r>
        <w:rPr>
          <w:sz w:val="22"/>
        </w:rPr>
        <w:t>birth</w:t>
      </w:r>
      <w:r>
        <w:rPr>
          <w:spacing w:val="-1"/>
          <w:sz w:val="22"/>
        </w:rPr>
        <w:t> </w:t>
      </w:r>
      <w:r>
        <w:rPr>
          <w:sz w:val="22"/>
        </w:rPr>
        <w:t>weight</w:t>
      </w:r>
      <w:r>
        <w:rPr>
          <w:spacing w:val="-1"/>
          <w:sz w:val="22"/>
        </w:rPr>
        <w:t> </w:t>
      </w:r>
      <w:r>
        <w:rPr>
          <w:sz w:val="22"/>
        </w:rPr>
        <w:t>seen</w:t>
      </w:r>
      <w:r>
        <w:rPr>
          <w:spacing w:val="-1"/>
          <w:sz w:val="22"/>
        </w:rPr>
        <w:t> </w:t>
      </w:r>
      <w:r>
        <w:rPr>
          <w:sz w:val="22"/>
        </w:rPr>
        <w:t>with</w:t>
      </w:r>
      <w:r>
        <w:rPr>
          <w:spacing w:val="-1"/>
          <w:sz w:val="22"/>
        </w:rPr>
        <w:t> </w:t>
      </w:r>
      <w:r>
        <w:rPr>
          <w:sz w:val="22"/>
        </w:rPr>
        <w:t>groups</w:t>
      </w:r>
      <w:r>
        <w:rPr>
          <w:spacing w:val="-1"/>
          <w:sz w:val="22"/>
        </w:rPr>
        <w:t> </w:t>
      </w:r>
      <w:r>
        <w:rPr>
          <w:sz w:val="22"/>
        </w:rPr>
        <w:t>of</w:t>
      </w:r>
      <w:r>
        <w:rPr>
          <w:spacing w:val="-1"/>
          <w:sz w:val="22"/>
        </w:rPr>
        <w:t> </w:t>
      </w:r>
      <w:r>
        <w:rPr>
          <w:sz w:val="22"/>
        </w:rPr>
        <w:t>births before the accident, accident occurring during gestation, and a severe accident occurring during </w:t>
      </w:r>
      <w:r>
        <w:rPr>
          <w:spacing w:val="-2"/>
          <w:sz w:val="22"/>
        </w:rPr>
        <w:t>gestation.</w:t>
      </w:r>
    </w:p>
    <w:p>
      <w:pPr>
        <w:spacing w:after="0" w:line="230" w:lineRule="auto"/>
        <w:jc w:val="center"/>
        <w:rPr>
          <w:sz w:val="22"/>
        </w:rPr>
        <w:sectPr>
          <w:footerReference w:type="default" r:id="rId67"/>
          <w:pgSz w:w="12240" w:h="15840"/>
          <w:pgMar w:header="0" w:footer="706" w:top="640" w:bottom="900" w:left="720" w:right="0"/>
          <w:pgNumType w:start="45"/>
        </w:sectPr>
      </w:pPr>
    </w:p>
    <w:p>
      <w:pPr>
        <w:pStyle w:val="Heading3"/>
        <w:spacing w:line="264" w:lineRule="auto"/>
        <w:ind w:left="971" w:right="1613"/>
      </w:pPr>
      <w:bookmarkStart w:name="How Brand Equity Shapes the Relationship" w:id="48"/>
      <w:bookmarkEnd w:id="48"/>
      <w:r>
        <w:rPr>
          <w:b w:val="0"/>
        </w:rPr>
      </w:r>
      <w:r>
        <w:rPr/>
        <w:t>How</w:t>
      </w:r>
      <w:r>
        <w:rPr>
          <w:spacing w:val="-9"/>
        </w:rPr>
        <w:t> </w:t>
      </w:r>
      <w:r>
        <w:rPr/>
        <w:t>Brand</w:t>
      </w:r>
      <w:r>
        <w:rPr>
          <w:spacing w:val="-9"/>
        </w:rPr>
        <w:t> </w:t>
      </w:r>
      <w:r>
        <w:rPr/>
        <w:t>Equity</w:t>
      </w:r>
      <w:r>
        <w:rPr>
          <w:spacing w:val="-9"/>
        </w:rPr>
        <w:t> </w:t>
      </w:r>
      <w:r>
        <w:rPr/>
        <w:t>Shapes</w:t>
      </w:r>
      <w:r>
        <w:rPr>
          <w:spacing w:val="-9"/>
        </w:rPr>
        <w:t> </w:t>
      </w:r>
      <w:r>
        <w:rPr/>
        <w:t>the</w:t>
      </w:r>
      <w:r>
        <w:rPr>
          <w:spacing w:val="-9"/>
        </w:rPr>
        <w:t> </w:t>
      </w:r>
      <w:r>
        <w:rPr/>
        <w:t>Relationship</w:t>
      </w:r>
      <w:r>
        <w:rPr>
          <w:spacing w:val="-9"/>
        </w:rPr>
        <w:t> </w:t>
      </w:r>
      <w:r>
        <w:rPr/>
        <w:t>Between</w:t>
      </w:r>
      <w:r>
        <w:rPr>
          <w:spacing w:val="-9"/>
        </w:rPr>
        <w:t> </w:t>
      </w:r>
      <w:r>
        <w:rPr/>
        <w:t>Equestrian</w:t>
      </w:r>
      <w:r>
        <w:rPr>
          <w:spacing w:val="-9"/>
        </w:rPr>
        <w:t> </w:t>
      </w:r>
      <w:r>
        <w:rPr/>
        <w:t>Aesthetics </w:t>
      </w:r>
      <w:bookmarkStart w:name="h.ds8w3kr02eu9" w:id="49"/>
      <w:bookmarkEnd w:id="49"/>
      <w:r>
        <w:rPr/>
        <w:t>a</w:t>
      </w:r>
      <w:r>
        <w:rPr/>
        <w:t>nd Consumer Perception: Insights from Equine Health</w:t>
      </w:r>
      <w:r>
        <w:rPr>
          <w:spacing w:val="40"/>
        </w:rPr>
        <w:t> </w:t>
      </w:r>
      <w:r>
        <w:rPr/>
        <w:t>Sector</w:t>
      </w:r>
    </w:p>
    <w:p>
      <w:pPr>
        <w:pStyle w:val="BodyText"/>
        <w:spacing w:line="271" w:lineRule="exact" w:before="293"/>
        <w:ind w:right="720"/>
        <w:jc w:val="center"/>
      </w:pPr>
      <w:r>
        <w:rPr/>
        <w:t>Custer,</w:t>
      </w:r>
      <w:r>
        <w:rPr>
          <w:spacing w:val="-10"/>
        </w:rPr>
        <w:t> </w:t>
      </w:r>
      <w:r>
        <w:rPr>
          <w:spacing w:val="-2"/>
        </w:rPr>
        <w:t>Brooke</w:t>
      </w:r>
    </w:p>
    <w:p>
      <w:pPr>
        <w:pStyle w:val="BodyText"/>
        <w:spacing w:line="230" w:lineRule="auto" w:before="4"/>
        <w:ind w:left="1737" w:right="2455"/>
        <w:jc w:val="center"/>
      </w:pPr>
      <w:r>
        <w:rPr/>
        <w:t>BSBA</w:t>
      </w:r>
      <w:r>
        <w:rPr>
          <w:spacing w:val="-6"/>
        </w:rPr>
        <w:t> </w:t>
      </w:r>
      <w:r>
        <w:rPr/>
        <w:t>(Marketing)</w:t>
      </w:r>
      <w:r>
        <w:rPr>
          <w:spacing w:val="-6"/>
        </w:rPr>
        <w:t> </w:t>
      </w:r>
      <w:r>
        <w:rPr/>
        <w:t>Department</w:t>
      </w:r>
      <w:r>
        <w:rPr>
          <w:spacing w:val="-6"/>
        </w:rPr>
        <w:t> </w:t>
      </w:r>
      <w:r>
        <w:rPr/>
        <w:t>of</w:t>
      </w:r>
      <w:r>
        <w:rPr>
          <w:spacing w:val="-6"/>
        </w:rPr>
        <w:t> </w:t>
      </w:r>
      <w:r>
        <w:rPr/>
        <w:t>Management,</w:t>
      </w:r>
      <w:r>
        <w:rPr>
          <w:spacing w:val="-6"/>
        </w:rPr>
        <w:t> </w:t>
      </w:r>
      <w:r>
        <w:rPr/>
        <w:t>Marketing,</w:t>
      </w:r>
      <w:r>
        <w:rPr>
          <w:spacing w:val="-6"/>
        </w:rPr>
        <w:t> </w:t>
      </w:r>
      <w:r>
        <w:rPr/>
        <w:t>&amp;</w:t>
      </w:r>
      <w:r>
        <w:rPr>
          <w:spacing w:val="-6"/>
        </w:rPr>
        <w:t> </w:t>
      </w:r>
      <w:r>
        <w:rPr/>
        <w:t>International Business Appalachian State University</w:t>
      </w:r>
    </w:p>
    <w:p>
      <w:pPr>
        <w:pStyle w:val="BodyText"/>
        <w:spacing w:before="6"/>
        <w:ind w:right="707"/>
        <w:jc w:val="center"/>
      </w:pPr>
      <w:r>
        <w:rPr>
          <w:color w:val="212121"/>
        </w:rPr>
        <w:t>287 Rivers </w:t>
      </w:r>
      <w:r>
        <w:rPr>
          <w:color w:val="212121"/>
          <w:spacing w:val="-5"/>
        </w:rPr>
        <w:t>St.</w:t>
      </w:r>
    </w:p>
    <w:p>
      <w:pPr>
        <w:pStyle w:val="BodyText"/>
        <w:ind w:left="4256" w:right="4967" w:hanging="14"/>
        <w:jc w:val="center"/>
      </w:pPr>
      <w:r>
        <w:rPr>
          <w:color w:val="212121"/>
        </w:rPr>
        <w:t>Boone, NC 28608 </w:t>
      </w:r>
      <w:hyperlink r:id="rId69">
        <w:r>
          <w:rPr>
            <w:color w:val="457886"/>
            <w:spacing w:val="-2"/>
            <w:u w:val="thick" w:color="457886"/>
          </w:rPr>
          <w:t>custerbm@appstate.edu</w:t>
        </w:r>
      </w:hyperlink>
      <w:r>
        <w:rPr>
          <w:color w:val="457886"/>
          <w:spacing w:val="-2"/>
          <w:u w:val="none"/>
        </w:rPr>
        <w:t> </w:t>
      </w:r>
      <w:r>
        <w:rPr>
          <w:spacing w:val="-2"/>
          <w:u w:val="none"/>
        </w:rPr>
        <w:t>980.699.9755</w:t>
      </w:r>
    </w:p>
    <w:p>
      <w:pPr>
        <w:pStyle w:val="BodyText"/>
        <w:spacing w:before="156"/>
      </w:pPr>
    </w:p>
    <w:p>
      <w:pPr>
        <w:pStyle w:val="BodyText"/>
        <w:ind w:right="721"/>
        <w:jc w:val="center"/>
      </w:pPr>
      <w:r>
        <w:rPr/>
        <w:t>Garner,</w:t>
      </w:r>
      <w:r>
        <w:rPr>
          <w:spacing w:val="-10"/>
        </w:rPr>
        <w:t> </w:t>
      </w:r>
      <w:r>
        <w:rPr>
          <w:spacing w:val="-2"/>
        </w:rPr>
        <w:t>Barrett</w:t>
      </w:r>
    </w:p>
    <w:p>
      <w:pPr>
        <w:pStyle w:val="BodyText"/>
        <w:ind w:left="2066" w:right="2765"/>
        <w:jc w:val="center"/>
      </w:pPr>
      <w:r>
        <w:rPr/>
        <w:t>Professional</w:t>
      </w:r>
      <w:r>
        <w:rPr>
          <w:spacing w:val="-5"/>
        </w:rPr>
        <w:t> </w:t>
      </w:r>
      <w:r>
        <w:rPr/>
        <w:t>In</w:t>
      </w:r>
      <w:r>
        <w:rPr>
          <w:spacing w:val="-5"/>
        </w:rPr>
        <w:t> </w:t>
      </w:r>
      <w:r>
        <w:rPr/>
        <w:t>Residence,</w:t>
      </w:r>
      <w:r>
        <w:rPr>
          <w:spacing w:val="-5"/>
        </w:rPr>
        <w:t> </w:t>
      </w:r>
      <w:r>
        <w:rPr/>
        <w:t>Department</w:t>
      </w:r>
      <w:r>
        <w:rPr>
          <w:spacing w:val="-5"/>
        </w:rPr>
        <w:t> </w:t>
      </w:r>
      <w:r>
        <w:rPr/>
        <w:t>of</w:t>
      </w:r>
      <w:r>
        <w:rPr>
          <w:spacing w:val="-5"/>
        </w:rPr>
        <w:t> </w:t>
      </w:r>
      <w:r>
        <w:rPr/>
        <w:t>Marketing</w:t>
      </w:r>
      <w:r>
        <w:rPr>
          <w:spacing w:val="-5"/>
        </w:rPr>
        <w:t> </w:t>
      </w:r>
      <w:r>
        <w:rPr/>
        <w:t>&amp;</w:t>
      </w:r>
      <w:r>
        <w:rPr>
          <w:spacing w:val="-5"/>
        </w:rPr>
        <w:t> </w:t>
      </w:r>
      <w:r>
        <w:rPr/>
        <w:t>Supply</w:t>
      </w:r>
      <w:r>
        <w:rPr>
          <w:spacing w:val="-5"/>
        </w:rPr>
        <w:t> </w:t>
      </w:r>
      <w:r>
        <w:rPr/>
        <w:t>Chain Appalachian State University</w:t>
      </w:r>
    </w:p>
    <w:p>
      <w:pPr>
        <w:pStyle w:val="BodyText"/>
        <w:ind w:right="707"/>
        <w:jc w:val="center"/>
      </w:pPr>
      <w:r>
        <w:rPr>
          <w:color w:val="212121"/>
        </w:rPr>
        <w:t>287 Rivers </w:t>
      </w:r>
      <w:r>
        <w:rPr>
          <w:color w:val="212121"/>
          <w:spacing w:val="-5"/>
        </w:rPr>
        <w:t>St.</w:t>
      </w:r>
    </w:p>
    <w:p>
      <w:pPr>
        <w:pStyle w:val="BodyText"/>
        <w:ind w:left="4301" w:right="4989" w:hanging="37"/>
        <w:jc w:val="center"/>
      </w:pPr>
      <w:r>
        <w:rPr>
          <w:color w:val="212121"/>
        </w:rPr>
        <w:t>Boone, NC 28608 </w:t>
      </w:r>
      <w:hyperlink r:id="rId70">
        <w:r>
          <w:rPr>
            <w:color w:val="457886"/>
            <w:spacing w:val="-2"/>
            <w:u w:val="thick" w:color="457886"/>
          </w:rPr>
          <w:t>garnerbr@appstate.edu</w:t>
        </w:r>
      </w:hyperlink>
    </w:p>
    <w:p>
      <w:pPr>
        <w:pStyle w:val="BodyText"/>
        <w:spacing w:before="272"/>
      </w:pPr>
    </w:p>
    <w:p>
      <w:pPr>
        <w:pStyle w:val="BodyText"/>
        <w:ind w:right="667"/>
        <w:jc w:val="center"/>
      </w:pPr>
      <w:r>
        <w:rPr/>
        <w:t>Nandi, </w:t>
      </w:r>
      <w:r>
        <w:rPr>
          <w:spacing w:val="-2"/>
        </w:rPr>
        <w:t>Santosh</w:t>
      </w:r>
    </w:p>
    <w:p>
      <w:pPr>
        <w:pStyle w:val="BodyText"/>
        <w:ind w:left="3041" w:right="3760"/>
        <w:jc w:val="center"/>
      </w:pPr>
      <w:r>
        <w:rPr/>
        <w:t>Associate</w:t>
      </w:r>
      <w:r>
        <w:rPr>
          <w:spacing w:val="-12"/>
        </w:rPr>
        <w:t> </w:t>
      </w:r>
      <w:r>
        <w:rPr/>
        <w:t>Professor,</w:t>
      </w:r>
      <w:r>
        <w:rPr>
          <w:spacing w:val="-12"/>
        </w:rPr>
        <w:t> </w:t>
      </w:r>
      <w:r>
        <w:rPr/>
        <w:t>Department</w:t>
      </w:r>
      <w:r>
        <w:rPr>
          <w:spacing w:val="-12"/>
        </w:rPr>
        <w:t> </w:t>
      </w:r>
      <w:r>
        <w:rPr/>
        <w:t>of</w:t>
      </w:r>
      <w:r>
        <w:rPr>
          <w:spacing w:val="-12"/>
        </w:rPr>
        <w:t> </w:t>
      </w:r>
      <w:r>
        <w:rPr/>
        <w:t>Management Appalachian State University</w:t>
      </w:r>
    </w:p>
    <w:p>
      <w:pPr>
        <w:pStyle w:val="BodyText"/>
        <w:ind w:right="707"/>
        <w:jc w:val="center"/>
      </w:pPr>
      <w:r>
        <w:rPr>
          <w:color w:val="212121"/>
        </w:rPr>
        <w:t>287 Rivers </w:t>
      </w:r>
      <w:r>
        <w:rPr>
          <w:color w:val="212121"/>
          <w:spacing w:val="-5"/>
        </w:rPr>
        <w:t>St.</w:t>
      </w:r>
    </w:p>
    <w:p>
      <w:pPr>
        <w:pStyle w:val="BodyText"/>
        <w:ind w:left="4316" w:right="5040" w:hanging="1"/>
        <w:jc w:val="center"/>
      </w:pPr>
      <w:r>
        <w:rPr>
          <w:color w:val="212121"/>
        </w:rPr>
        <w:t>Boone, NC 28608 </w:t>
      </w:r>
      <w:hyperlink r:id="rId71">
        <w:r>
          <w:rPr>
            <w:color w:val="457886"/>
            <w:spacing w:val="-2"/>
            <w:u w:val="thick" w:color="457886"/>
          </w:rPr>
          <w:t>nandis1@appstate.edu</w:t>
        </w:r>
      </w:hyperlink>
    </w:p>
    <w:p>
      <w:pPr>
        <w:pStyle w:val="BodyText"/>
        <w:spacing w:before="62"/>
      </w:pPr>
    </w:p>
    <w:p>
      <w:pPr>
        <w:pStyle w:val="BodyText"/>
        <w:spacing w:line="266" w:lineRule="auto"/>
        <w:ind w:left="701" w:right="1461"/>
      </w:pPr>
      <w:r>
        <w:rPr/>
        <w:t>The growing presence of equestrian aesthetics in contemporary branding and advertising reflects a</w:t>
      </w:r>
      <w:r>
        <w:rPr>
          <w:spacing w:val="-3"/>
        </w:rPr>
        <w:t> </w:t>
      </w:r>
      <w:r>
        <w:rPr/>
        <w:t>deliberate</w:t>
      </w:r>
      <w:r>
        <w:rPr>
          <w:spacing w:val="-3"/>
        </w:rPr>
        <w:t> </w:t>
      </w:r>
      <w:r>
        <w:rPr/>
        <w:t>effort</w:t>
      </w:r>
      <w:r>
        <w:rPr>
          <w:spacing w:val="-3"/>
        </w:rPr>
        <w:t> </w:t>
      </w:r>
      <w:r>
        <w:rPr/>
        <w:t>by</w:t>
      </w:r>
      <w:r>
        <w:rPr>
          <w:spacing w:val="-3"/>
        </w:rPr>
        <w:t> </w:t>
      </w:r>
      <w:r>
        <w:rPr/>
        <w:t>companies</w:t>
      </w:r>
      <w:r>
        <w:rPr>
          <w:spacing w:val="-3"/>
        </w:rPr>
        <w:t> </w:t>
      </w:r>
      <w:r>
        <w:rPr/>
        <w:t>to</w:t>
      </w:r>
      <w:r>
        <w:rPr>
          <w:spacing w:val="-3"/>
        </w:rPr>
        <w:t> </w:t>
      </w:r>
      <w:r>
        <w:rPr/>
        <w:t>tap</w:t>
      </w:r>
      <w:r>
        <w:rPr>
          <w:spacing w:val="-3"/>
        </w:rPr>
        <w:t> </w:t>
      </w:r>
      <w:r>
        <w:rPr/>
        <w:t>into</w:t>
      </w:r>
      <w:r>
        <w:rPr>
          <w:spacing w:val="-3"/>
        </w:rPr>
        <w:t> </w:t>
      </w:r>
      <w:r>
        <w:rPr/>
        <w:t>the</w:t>
      </w:r>
      <w:r>
        <w:rPr>
          <w:spacing w:val="-3"/>
        </w:rPr>
        <w:t> </w:t>
      </w:r>
      <w:r>
        <w:rPr/>
        <w:t>symbolic</w:t>
      </w:r>
      <w:r>
        <w:rPr>
          <w:spacing w:val="-3"/>
        </w:rPr>
        <w:t> </w:t>
      </w:r>
      <w:r>
        <w:rPr/>
        <w:t>meanings</w:t>
      </w:r>
      <w:r>
        <w:rPr>
          <w:spacing w:val="-3"/>
        </w:rPr>
        <w:t> </w:t>
      </w:r>
      <w:r>
        <w:rPr/>
        <w:t>long</w:t>
      </w:r>
      <w:r>
        <w:rPr>
          <w:spacing w:val="-3"/>
        </w:rPr>
        <w:t> </w:t>
      </w:r>
      <w:r>
        <w:rPr/>
        <w:t>associated</w:t>
      </w:r>
      <w:r>
        <w:rPr>
          <w:spacing w:val="-3"/>
        </w:rPr>
        <w:t> </w:t>
      </w:r>
      <w:r>
        <w:rPr/>
        <w:t>with</w:t>
      </w:r>
      <w:r>
        <w:rPr>
          <w:spacing w:val="-3"/>
        </w:rPr>
        <w:t> </w:t>
      </w:r>
      <w:r>
        <w:rPr/>
        <w:t>horses—strength,</w:t>
      </w:r>
      <w:r>
        <w:rPr>
          <w:spacing w:val="-1"/>
        </w:rPr>
        <w:t> </w:t>
      </w:r>
      <w:r>
        <w:rPr/>
        <w:t>freedom,</w:t>
      </w:r>
      <w:r>
        <w:rPr>
          <w:spacing w:val="-1"/>
        </w:rPr>
        <w:t> </w:t>
      </w:r>
      <w:r>
        <w:rPr/>
        <w:t>luxury,</w:t>
      </w:r>
      <w:r>
        <w:rPr>
          <w:spacing w:val="-1"/>
        </w:rPr>
        <w:t> </w:t>
      </w:r>
      <w:r>
        <w:rPr/>
        <w:t>discipline,</w:t>
      </w:r>
      <w:r>
        <w:rPr>
          <w:spacing w:val="-1"/>
        </w:rPr>
        <w:t> </w:t>
      </w:r>
      <w:r>
        <w:rPr/>
        <w:t>and</w:t>
      </w:r>
      <w:r>
        <w:rPr>
          <w:spacing w:val="-1"/>
        </w:rPr>
        <w:t> </w:t>
      </w:r>
      <w:r>
        <w:rPr/>
        <w:t>loyalty.</w:t>
      </w:r>
      <w:r>
        <w:rPr>
          <w:spacing w:val="-1"/>
        </w:rPr>
        <w:t> </w:t>
      </w:r>
      <w:r>
        <w:rPr/>
        <w:t>Some</w:t>
      </w:r>
      <w:r>
        <w:rPr>
          <w:spacing w:val="-1"/>
        </w:rPr>
        <w:t> </w:t>
      </w:r>
      <w:r>
        <w:rPr/>
        <w:t>brands,</w:t>
      </w:r>
      <w:r>
        <w:rPr>
          <w:spacing w:val="-1"/>
        </w:rPr>
        <w:t> </w:t>
      </w:r>
      <w:r>
        <w:rPr/>
        <w:t>such</w:t>
      </w:r>
      <w:r>
        <w:rPr>
          <w:spacing w:val="-1"/>
        </w:rPr>
        <w:t> </w:t>
      </w:r>
      <w:r>
        <w:rPr/>
        <w:t>as</w:t>
      </w:r>
      <w:r>
        <w:rPr>
          <w:spacing w:val="-1"/>
        </w:rPr>
        <w:t> </w:t>
      </w:r>
      <w:r>
        <w:rPr/>
        <w:t>Ralph</w:t>
      </w:r>
      <w:r>
        <w:rPr>
          <w:spacing w:val="-1"/>
        </w:rPr>
        <w:t> </w:t>
      </w:r>
      <w:r>
        <w:rPr/>
        <w:t>Lauren,</w:t>
      </w:r>
      <w:r>
        <w:rPr>
          <w:spacing w:val="-1"/>
        </w:rPr>
        <w:t> </w:t>
      </w:r>
      <w:r>
        <w:rPr/>
        <w:t>U.S.</w:t>
      </w:r>
      <w:r>
        <w:rPr>
          <w:spacing w:val="-1"/>
        </w:rPr>
        <w:t> </w:t>
      </w:r>
      <w:r>
        <w:rPr/>
        <w:t>Polo Assn., and Ford Mustang, have historically woven equestrian themes into the core of their brand identity, while others, including Gucci, Burberry, Volvo, and Ford Bronco, have embraced these visuals more recently as consumer tastes and cultural narratives shift. This evolution</w:t>
      </w:r>
    </w:p>
    <w:p>
      <w:pPr>
        <w:pStyle w:val="BodyText"/>
        <w:spacing w:line="264" w:lineRule="auto"/>
        <w:ind w:left="716" w:right="1619"/>
      </w:pPr>
      <w:r>
        <w:rPr/>
        <w:t>underscores</w:t>
      </w:r>
      <w:r>
        <w:rPr>
          <w:spacing w:val="-4"/>
        </w:rPr>
        <w:t> </w:t>
      </w:r>
      <w:r>
        <w:rPr/>
        <w:t>the</w:t>
      </w:r>
      <w:r>
        <w:rPr>
          <w:spacing w:val="-4"/>
        </w:rPr>
        <w:t> </w:t>
      </w:r>
      <w:r>
        <w:rPr/>
        <w:t>expanding</w:t>
      </w:r>
      <w:r>
        <w:rPr>
          <w:spacing w:val="-4"/>
        </w:rPr>
        <w:t> </w:t>
      </w:r>
      <w:r>
        <w:rPr/>
        <w:t>relevance</w:t>
      </w:r>
      <w:r>
        <w:rPr>
          <w:spacing w:val="-4"/>
        </w:rPr>
        <w:t> </w:t>
      </w:r>
      <w:r>
        <w:rPr/>
        <w:t>of</w:t>
      </w:r>
      <w:r>
        <w:rPr>
          <w:spacing w:val="-4"/>
        </w:rPr>
        <w:t> </w:t>
      </w:r>
      <w:r>
        <w:rPr/>
        <w:t>equestrian</w:t>
      </w:r>
      <w:r>
        <w:rPr>
          <w:spacing w:val="-4"/>
        </w:rPr>
        <w:t> </w:t>
      </w:r>
      <w:r>
        <w:rPr/>
        <w:t>imagery</w:t>
      </w:r>
      <w:r>
        <w:rPr>
          <w:spacing w:val="-4"/>
        </w:rPr>
        <w:t> </w:t>
      </w:r>
      <w:r>
        <w:rPr/>
        <w:t>across</w:t>
      </w:r>
      <w:r>
        <w:rPr>
          <w:spacing w:val="-4"/>
        </w:rPr>
        <w:t> </w:t>
      </w:r>
      <w:r>
        <w:rPr/>
        <w:t>both</w:t>
      </w:r>
      <w:r>
        <w:rPr>
          <w:spacing w:val="-4"/>
        </w:rPr>
        <w:t> </w:t>
      </w:r>
      <w:r>
        <w:rPr/>
        <w:t>traditional</w:t>
      </w:r>
      <w:r>
        <w:rPr>
          <w:spacing w:val="-4"/>
        </w:rPr>
        <w:t> </w:t>
      </w:r>
      <w:r>
        <w:rPr/>
        <w:t>lifestyle brands and modern, trend-driven categories.</w:t>
      </w:r>
    </w:p>
    <w:p>
      <w:pPr>
        <w:pStyle w:val="BodyText"/>
        <w:spacing w:before="54"/>
      </w:pPr>
    </w:p>
    <w:p>
      <w:pPr>
        <w:pStyle w:val="BodyText"/>
        <w:spacing w:line="264" w:lineRule="auto"/>
        <w:ind w:left="716" w:right="1191" w:firstLine="15"/>
      </w:pPr>
      <w:r>
        <w:rPr/>
        <w:t>Despite</w:t>
      </w:r>
      <w:r>
        <w:rPr>
          <w:spacing w:val="-3"/>
        </w:rPr>
        <w:t> </w:t>
      </w:r>
      <w:r>
        <w:rPr/>
        <w:t>this</w:t>
      </w:r>
      <w:r>
        <w:rPr>
          <w:spacing w:val="-3"/>
        </w:rPr>
        <w:t> </w:t>
      </w:r>
      <w:r>
        <w:rPr/>
        <w:t>growing</w:t>
      </w:r>
      <w:r>
        <w:rPr>
          <w:spacing w:val="-3"/>
        </w:rPr>
        <w:t> </w:t>
      </w:r>
      <w:r>
        <w:rPr/>
        <w:t>adoption,</w:t>
      </w:r>
      <w:r>
        <w:rPr>
          <w:spacing w:val="-3"/>
        </w:rPr>
        <w:t> </w:t>
      </w:r>
      <w:r>
        <w:rPr/>
        <w:t>a</w:t>
      </w:r>
      <w:r>
        <w:rPr>
          <w:spacing w:val="-3"/>
        </w:rPr>
        <w:t> </w:t>
      </w:r>
      <w:r>
        <w:rPr/>
        <w:t>clear</w:t>
      </w:r>
      <w:r>
        <w:rPr>
          <w:spacing w:val="-3"/>
        </w:rPr>
        <w:t> </w:t>
      </w:r>
      <w:r>
        <w:rPr/>
        <w:t>gap</w:t>
      </w:r>
      <w:r>
        <w:rPr>
          <w:spacing w:val="-3"/>
        </w:rPr>
        <w:t> </w:t>
      </w:r>
      <w:r>
        <w:rPr/>
        <w:t>remains</w:t>
      </w:r>
      <w:r>
        <w:rPr>
          <w:spacing w:val="-3"/>
        </w:rPr>
        <w:t> </w:t>
      </w:r>
      <w:r>
        <w:rPr/>
        <w:t>in</w:t>
      </w:r>
      <w:r>
        <w:rPr>
          <w:spacing w:val="-3"/>
        </w:rPr>
        <w:t> </w:t>
      </w:r>
      <w:r>
        <w:rPr/>
        <w:t>understanding</w:t>
      </w:r>
      <w:r>
        <w:rPr>
          <w:spacing w:val="-3"/>
        </w:rPr>
        <w:t> </w:t>
      </w:r>
      <w:r>
        <w:rPr/>
        <w:t>how</w:t>
      </w:r>
      <w:r>
        <w:rPr>
          <w:spacing w:val="-3"/>
        </w:rPr>
        <w:t> </w:t>
      </w:r>
      <w:r>
        <w:rPr>
          <w:i/>
        </w:rPr>
        <w:t>brand</w:t>
      </w:r>
      <w:r>
        <w:rPr>
          <w:i/>
          <w:spacing w:val="-3"/>
        </w:rPr>
        <w:t> </w:t>
      </w:r>
      <w:r>
        <w:rPr>
          <w:i/>
        </w:rPr>
        <w:t>equity</w:t>
      </w:r>
      <w:r>
        <w:rPr>
          <w:i/>
          <w:spacing w:val="-3"/>
        </w:rPr>
        <w:t> </w:t>
      </w:r>
      <w:r>
        <w:rPr/>
        <w:t>shapes</w:t>
      </w:r>
      <w:r>
        <w:rPr>
          <w:spacing w:val="-3"/>
        </w:rPr>
        <w:t> </w:t>
      </w:r>
      <w:r>
        <w:rPr/>
        <w:t>the </w:t>
      </w:r>
      <w:r>
        <w:rPr>
          <w:i/>
        </w:rPr>
        <w:t>consumer perception </w:t>
      </w:r>
      <w:r>
        <w:rPr/>
        <w:t>to </w:t>
      </w:r>
      <w:r>
        <w:rPr>
          <w:i/>
        </w:rPr>
        <w:t>equestrian aesthetics</w:t>
      </w:r>
      <w:r>
        <w:rPr/>
        <w:t>. While equestrian visuals may be rich in symbolic meaning, there is still limited insight into whether—and how—these symbols actually deepen awareness, elevate perceived quality, strengthen associations, or foster loyalty. Without this understanding, it becomes difficult to assess the true strategic value of equestrian aesthetics or to determine their impact on brand positioning and consumer interpretation.</w:t>
      </w:r>
    </w:p>
    <w:p>
      <w:pPr>
        <w:pStyle w:val="BodyText"/>
        <w:spacing w:before="58"/>
      </w:pPr>
    </w:p>
    <w:p>
      <w:pPr>
        <w:pStyle w:val="BodyText"/>
        <w:spacing w:line="264" w:lineRule="auto"/>
        <w:ind w:left="716" w:right="1461" w:firstLine="15"/>
      </w:pPr>
      <w:r>
        <w:rPr/>
        <w:t>To address this gap, the study will analyze and compare secondary data from firms in the equine health industry, exploring how equestrian aesthetics are incorporated into branding and advertising within veterinary and pharmaceutical contexts. This will involve examining marketing</w:t>
      </w:r>
      <w:r>
        <w:rPr>
          <w:spacing w:val="-4"/>
        </w:rPr>
        <w:t> </w:t>
      </w:r>
      <w:r>
        <w:rPr/>
        <w:t>materials,</w:t>
      </w:r>
      <w:r>
        <w:rPr>
          <w:spacing w:val="-4"/>
        </w:rPr>
        <w:t> </w:t>
      </w:r>
      <w:r>
        <w:rPr/>
        <w:t>brand</w:t>
      </w:r>
      <w:r>
        <w:rPr>
          <w:spacing w:val="-4"/>
        </w:rPr>
        <w:t> </w:t>
      </w:r>
      <w:r>
        <w:rPr/>
        <w:t>narratives,</w:t>
      </w:r>
      <w:r>
        <w:rPr>
          <w:spacing w:val="-4"/>
        </w:rPr>
        <w:t> </w:t>
      </w:r>
      <w:r>
        <w:rPr/>
        <w:t>and</w:t>
      </w:r>
      <w:r>
        <w:rPr>
          <w:spacing w:val="-4"/>
        </w:rPr>
        <w:t> </w:t>
      </w:r>
      <w:r>
        <w:rPr/>
        <w:t>visual</w:t>
      </w:r>
      <w:r>
        <w:rPr>
          <w:spacing w:val="-4"/>
        </w:rPr>
        <w:t> </w:t>
      </w:r>
      <w:r>
        <w:rPr/>
        <w:t>communications</w:t>
      </w:r>
      <w:r>
        <w:rPr>
          <w:spacing w:val="-4"/>
        </w:rPr>
        <w:t> </w:t>
      </w:r>
      <w:r>
        <w:rPr/>
        <w:t>to</w:t>
      </w:r>
      <w:r>
        <w:rPr>
          <w:spacing w:val="-4"/>
        </w:rPr>
        <w:t> </w:t>
      </w:r>
      <w:r>
        <w:rPr/>
        <w:t>trace</w:t>
      </w:r>
      <w:r>
        <w:rPr>
          <w:spacing w:val="-4"/>
        </w:rPr>
        <w:t> </w:t>
      </w:r>
      <w:r>
        <w:rPr/>
        <w:t>how</w:t>
      </w:r>
      <w:r>
        <w:rPr>
          <w:spacing w:val="-4"/>
        </w:rPr>
        <w:t> </w:t>
      </w:r>
      <w:r>
        <w:rPr/>
        <w:t>equine</w:t>
      </w:r>
      <w:r>
        <w:rPr>
          <w:spacing w:val="-4"/>
        </w:rPr>
        <w:t> </w:t>
      </w:r>
      <w:r>
        <w:rPr/>
        <w:t>imagery</w:t>
      </w:r>
      <w:r>
        <w:rPr>
          <w:spacing w:val="-4"/>
        </w:rPr>
        <w:t> </w:t>
      </w:r>
      <w:r>
        <w:rPr/>
        <w:t>is used to express values, signal expertise, or build identity. The analysis will then connect these</w:t>
      </w:r>
    </w:p>
    <w:p>
      <w:pPr>
        <w:pStyle w:val="BodyText"/>
        <w:spacing w:after="0" w:line="264" w:lineRule="auto"/>
        <w:sectPr>
          <w:pgSz w:w="12240" w:h="15840"/>
          <w:pgMar w:header="0" w:footer="706" w:top="640" w:bottom="960" w:left="720" w:right="0"/>
        </w:sectPr>
      </w:pPr>
    </w:p>
    <w:p>
      <w:pPr>
        <w:pStyle w:val="BodyText"/>
        <w:spacing w:line="264" w:lineRule="auto" w:before="60"/>
        <w:ind w:left="716" w:right="1191"/>
      </w:pPr>
      <w:r>
        <w:rPr/>
        <w:t>practices to the core components of brand equity—brand awareness, perceived quality, brand associations,</w:t>
      </w:r>
      <w:r>
        <w:rPr>
          <w:spacing w:val="-5"/>
        </w:rPr>
        <w:t> </w:t>
      </w:r>
      <w:r>
        <w:rPr/>
        <w:t>and</w:t>
      </w:r>
      <w:r>
        <w:rPr>
          <w:spacing w:val="-5"/>
        </w:rPr>
        <w:t> </w:t>
      </w:r>
      <w:r>
        <w:rPr/>
        <w:t>brand</w:t>
      </w:r>
      <w:r>
        <w:rPr>
          <w:spacing w:val="-5"/>
        </w:rPr>
        <w:t> </w:t>
      </w:r>
      <w:r>
        <w:rPr/>
        <w:t>loyalty</w:t>
      </w:r>
      <w:r>
        <w:rPr>
          <w:spacing w:val="-5"/>
        </w:rPr>
        <w:t> </w:t>
      </w:r>
      <w:r>
        <w:rPr/>
        <w:t>(Aaker,</w:t>
      </w:r>
      <w:r>
        <w:rPr>
          <w:spacing w:val="-5"/>
        </w:rPr>
        <w:t> </w:t>
      </w:r>
      <w:r>
        <w:rPr/>
        <w:t>1992)—to</w:t>
      </w:r>
      <w:r>
        <w:rPr>
          <w:spacing w:val="-5"/>
        </w:rPr>
        <w:t> </w:t>
      </w:r>
      <w:r>
        <w:rPr/>
        <w:t>evaluate</w:t>
      </w:r>
      <w:r>
        <w:rPr>
          <w:spacing w:val="-5"/>
        </w:rPr>
        <w:t> </w:t>
      </w:r>
      <w:r>
        <w:rPr/>
        <w:t>how</w:t>
      </w:r>
      <w:r>
        <w:rPr>
          <w:spacing w:val="-5"/>
        </w:rPr>
        <w:t> </w:t>
      </w:r>
      <w:r>
        <w:rPr/>
        <w:t>these</w:t>
      </w:r>
      <w:r>
        <w:rPr>
          <w:spacing w:val="-5"/>
        </w:rPr>
        <w:t> </w:t>
      </w:r>
      <w:r>
        <w:rPr/>
        <w:t>visuals</w:t>
      </w:r>
      <w:r>
        <w:rPr>
          <w:spacing w:val="-5"/>
        </w:rPr>
        <w:t> </w:t>
      </w:r>
      <w:r>
        <w:rPr/>
        <w:t>influence</w:t>
      </w:r>
      <w:r>
        <w:rPr>
          <w:spacing w:val="-5"/>
        </w:rPr>
        <w:t> </w:t>
      </w:r>
      <w:r>
        <w:rPr/>
        <w:t>consumer understanding of the brand. Additional insights from industry professionals will help enrich the analysis with real-world perspectives on branding strategy and customer behavior. Through this comprehensive approach, the study will illustrate the role of brand equity in shaping and strengthening customer perceptions of equestrian aesthetics.</w:t>
      </w:r>
    </w:p>
    <w:p>
      <w:pPr>
        <w:pStyle w:val="BodyText"/>
        <w:spacing w:before="59"/>
      </w:pPr>
    </w:p>
    <w:p>
      <w:pPr>
        <w:pStyle w:val="BodyText"/>
        <w:spacing w:line="264" w:lineRule="auto"/>
        <w:ind w:left="716" w:right="1381" w:firstLine="15"/>
      </w:pPr>
      <w:r>
        <w:rPr/>
        <w:t>The study aims to offer a more nuanced view of how and why equestrian aesthetics are intentionally used as branding tools. By revealing how brand equity influences the reception and meaning of these visuals, the research seeks to contribute to broader discussions on visual symbolism</w:t>
      </w:r>
      <w:r>
        <w:rPr>
          <w:spacing w:val="-4"/>
        </w:rPr>
        <w:t> </w:t>
      </w:r>
      <w:r>
        <w:rPr/>
        <w:t>in</w:t>
      </w:r>
      <w:r>
        <w:rPr>
          <w:spacing w:val="-4"/>
        </w:rPr>
        <w:t> </w:t>
      </w:r>
      <w:r>
        <w:rPr/>
        <w:t>marketing</w:t>
      </w:r>
      <w:r>
        <w:rPr>
          <w:spacing w:val="-4"/>
        </w:rPr>
        <w:t> </w:t>
      </w:r>
      <w:r>
        <w:rPr/>
        <w:t>and</w:t>
      </w:r>
      <w:r>
        <w:rPr>
          <w:spacing w:val="-4"/>
        </w:rPr>
        <w:t> </w:t>
      </w:r>
      <w:r>
        <w:rPr/>
        <w:t>provide</w:t>
      </w:r>
      <w:r>
        <w:rPr>
          <w:spacing w:val="-4"/>
        </w:rPr>
        <w:t> </w:t>
      </w:r>
      <w:r>
        <w:rPr/>
        <w:t>practical</w:t>
      </w:r>
      <w:r>
        <w:rPr>
          <w:spacing w:val="-4"/>
        </w:rPr>
        <w:t> </w:t>
      </w:r>
      <w:r>
        <w:rPr/>
        <w:t>guidance</w:t>
      </w:r>
      <w:r>
        <w:rPr>
          <w:spacing w:val="-4"/>
        </w:rPr>
        <w:t> </w:t>
      </w:r>
      <w:r>
        <w:rPr/>
        <w:t>for</w:t>
      </w:r>
      <w:r>
        <w:rPr>
          <w:spacing w:val="-4"/>
        </w:rPr>
        <w:t> </w:t>
      </w:r>
      <w:r>
        <w:rPr/>
        <w:t>firms—especially</w:t>
      </w:r>
      <w:r>
        <w:rPr>
          <w:spacing w:val="-4"/>
        </w:rPr>
        <w:t> </w:t>
      </w:r>
      <w:r>
        <w:rPr/>
        <w:t>those</w:t>
      </w:r>
      <w:r>
        <w:rPr>
          <w:spacing w:val="-4"/>
        </w:rPr>
        <w:t> </w:t>
      </w:r>
      <w:r>
        <w:rPr/>
        <w:t>in</w:t>
      </w:r>
      <w:r>
        <w:rPr>
          <w:spacing w:val="-4"/>
        </w:rPr>
        <w:t> </w:t>
      </w:r>
      <w:r>
        <w:rPr/>
        <w:t>the</w:t>
      </w:r>
      <w:r>
        <w:rPr>
          <w:spacing w:val="-4"/>
        </w:rPr>
        <w:t> </w:t>
      </w:r>
      <w:r>
        <w:rPr/>
        <w:t>equine health and veterinary sectors—looking to employ equestrian aesthetics more strategically across different product categories.</w:t>
      </w:r>
    </w:p>
    <w:p>
      <w:pPr>
        <w:pStyle w:val="BodyText"/>
        <w:spacing w:after="0" w:line="264" w:lineRule="auto"/>
        <w:sectPr>
          <w:pgSz w:w="12240" w:h="15840"/>
          <w:pgMar w:header="0" w:footer="706" w:top="640" w:bottom="960" w:left="720" w:right="0"/>
        </w:sectPr>
      </w:pPr>
    </w:p>
    <w:p>
      <w:pPr>
        <w:pStyle w:val="Heading3"/>
        <w:spacing w:line="247" w:lineRule="auto"/>
        <w:ind w:left="1829" w:right="2457"/>
      </w:pPr>
      <w:bookmarkStart w:name="The Impact of Hurricane Helene on the Ou" w:id="50"/>
      <w:bookmarkEnd w:id="50"/>
      <w:r>
        <w:rPr>
          <w:b w:val="0"/>
        </w:rPr>
      </w:r>
      <w:r>
        <w:rPr/>
        <w:t>The</w:t>
      </w:r>
      <w:r>
        <w:rPr>
          <w:spacing w:val="-6"/>
        </w:rPr>
        <w:t> </w:t>
      </w:r>
      <w:r>
        <w:rPr/>
        <w:t>Impact</w:t>
      </w:r>
      <w:r>
        <w:rPr>
          <w:spacing w:val="-6"/>
        </w:rPr>
        <w:t> </w:t>
      </w:r>
      <w:r>
        <w:rPr/>
        <w:t>of</w:t>
      </w:r>
      <w:r>
        <w:rPr>
          <w:spacing w:val="-6"/>
        </w:rPr>
        <w:t> </w:t>
      </w:r>
      <w:r>
        <w:rPr/>
        <w:t>Hurricane</w:t>
      </w:r>
      <w:r>
        <w:rPr>
          <w:spacing w:val="-6"/>
        </w:rPr>
        <w:t> </w:t>
      </w:r>
      <w:r>
        <w:rPr/>
        <w:t>Helene</w:t>
      </w:r>
      <w:r>
        <w:rPr>
          <w:spacing w:val="-6"/>
        </w:rPr>
        <w:t> </w:t>
      </w:r>
      <w:r>
        <w:rPr/>
        <w:t>on</w:t>
      </w:r>
      <w:r>
        <w:rPr>
          <w:spacing w:val="-6"/>
        </w:rPr>
        <w:t> </w:t>
      </w:r>
      <w:r>
        <w:rPr/>
        <w:t>the</w:t>
      </w:r>
      <w:r>
        <w:rPr>
          <w:spacing w:val="-6"/>
        </w:rPr>
        <w:t> </w:t>
      </w:r>
      <w:r>
        <w:rPr/>
        <w:t>Outdoor</w:t>
      </w:r>
      <w:r>
        <w:rPr>
          <w:spacing w:val="-6"/>
        </w:rPr>
        <w:t> </w:t>
      </w:r>
      <w:r>
        <w:rPr/>
        <w:t>Recreation </w:t>
      </w:r>
      <w:bookmarkStart w:name="h.6qs1trplyxc5" w:id="51"/>
      <w:bookmarkEnd w:id="51"/>
      <w:r>
        <w:rPr/>
        <w:t>E</w:t>
      </w:r>
      <w:r>
        <w:rPr/>
        <w:t>conomy in Western North Carolina</w:t>
      </w:r>
    </w:p>
    <w:p>
      <w:pPr>
        <w:pStyle w:val="BodyText"/>
        <w:spacing w:before="246"/>
        <w:ind w:right="723"/>
        <w:jc w:val="center"/>
      </w:pPr>
      <w:r>
        <w:rPr/>
        <w:t>Andrew</w:t>
      </w:r>
      <w:r>
        <w:rPr>
          <w:spacing w:val="-1"/>
        </w:rPr>
        <w:t> </w:t>
      </w:r>
      <w:r>
        <w:rPr/>
        <w:t>Earle,</w:t>
      </w:r>
      <w:r>
        <w:rPr>
          <w:spacing w:val="-1"/>
        </w:rPr>
        <w:t> </w:t>
      </w:r>
      <w:r>
        <w:rPr/>
        <w:t>Ash</w:t>
      </w:r>
      <w:r>
        <w:rPr>
          <w:spacing w:val="-1"/>
        </w:rPr>
        <w:t> </w:t>
      </w:r>
      <w:r>
        <w:rPr/>
        <w:t>Morgan</w:t>
      </w:r>
      <w:r>
        <w:rPr>
          <w:spacing w:val="-1"/>
        </w:rPr>
        <w:t> </w:t>
      </w:r>
      <w:r>
        <w:rPr/>
        <w:t>and</w:t>
      </w:r>
      <w:r>
        <w:rPr>
          <w:spacing w:val="-1"/>
        </w:rPr>
        <w:t> </w:t>
      </w:r>
      <w:r>
        <w:rPr/>
        <w:t>John </w:t>
      </w:r>
      <w:r>
        <w:rPr>
          <w:spacing w:val="-2"/>
        </w:rPr>
        <w:t>Whitehead</w:t>
      </w:r>
    </w:p>
    <w:p>
      <w:pPr>
        <w:pStyle w:val="BodyText"/>
        <w:spacing w:line="230" w:lineRule="auto" w:before="204"/>
        <w:ind w:left="716" w:right="1375"/>
        <w:jc w:val="both"/>
      </w:pPr>
      <w:r>
        <w:rPr/>
        <w:t>Hurricane Helene made landfall in Florida as a Category 4 storm on September 26, </w:t>
      </w:r>
      <w:r>
        <w:rPr/>
        <w:t>2024. Although initial impacts were concentrated along the Gulf Coast, the most severe damages occurred inland across the southern Appalachian region, particularly in North Carolina. Western North</w:t>
      </w:r>
      <w:r>
        <w:rPr>
          <w:spacing w:val="40"/>
        </w:rPr>
        <w:t> </w:t>
      </w:r>
      <w:r>
        <w:rPr/>
        <w:t>Carolina</w:t>
      </w:r>
      <w:r>
        <w:rPr>
          <w:spacing w:val="40"/>
        </w:rPr>
        <w:t> </w:t>
      </w:r>
      <w:r>
        <w:rPr/>
        <w:t>received</w:t>
      </w:r>
      <w:r>
        <w:rPr>
          <w:spacing w:val="40"/>
        </w:rPr>
        <w:t> </w:t>
      </w:r>
      <w:r>
        <w:rPr/>
        <w:t>between</w:t>
      </w:r>
      <w:r>
        <w:rPr>
          <w:spacing w:val="40"/>
        </w:rPr>
        <w:t> </w:t>
      </w:r>
      <w:r>
        <w:rPr/>
        <w:t>16</w:t>
      </w:r>
      <w:r>
        <w:rPr>
          <w:spacing w:val="40"/>
        </w:rPr>
        <w:t> </w:t>
      </w:r>
      <w:r>
        <w:rPr/>
        <w:t>and 31 inches of rain in the days following landfall, resulting in widespread flooding, 108 fatalities, and approximately $60 billion in statewide damages. The storm also caused major economic disruption, with more than 90 percent of business owners in western North Carolina reporting revenue losses.</w:t>
      </w:r>
    </w:p>
    <w:p>
      <w:pPr>
        <w:pStyle w:val="BodyText"/>
        <w:spacing w:line="230" w:lineRule="auto" w:before="160"/>
        <w:ind w:left="716" w:right="1376" w:firstLine="15"/>
        <w:jc w:val="both"/>
      </w:pPr>
      <w:r>
        <w:rPr/>
        <w:t>This paper estimates the impacts of Hurricane Helene on the outdoor recreation economy in</w:t>
      </w:r>
      <w:r>
        <w:rPr>
          <w:spacing w:val="40"/>
        </w:rPr>
        <w:t> </w:t>
      </w:r>
      <w:r>
        <w:rPr/>
        <w:t>North Carolina. Outdoor recreation and tourism are central to the regional economy,</w:t>
      </w:r>
      <w:r>
        <w:rPr>
          <w:spacing w:val="40"/>
        </w:rPr>
        <w:t> </w:t>
      </w:r>
      <w:r>
        <w:rPr/>
        <w:t>generating approximately $5 billion in annual visitor spending and supporting about</w:t>
      </w:r>
      <w:r>
        <w:rPr>
          <w:spacing w:val="40"/>
        </w:rPr>
        <w:t> </w:t>
      </w:r>
      <w:r>
        <w:rPr/>
        <w:t>48,000 full-time equivalent jobs. The region’s extensive trail networks and public lands</w:t>
      </w:r>
      <w:r>
        <w:rPr>
          <w:spacing w:val="40"/>
        </w:rPr>
        <w:t> </w:t>
      </w:r>
      <w:r>
        <w:rPr/>
        <w:t>make it especially vulnerable to storm damage. Hurricane Helene caused</w:t>
      </w:r>
      <w:r>
        <w:rPr>
          <w:spacing w:val="-3"/>
        </w:rPr>
        <w:t> </w:t>
      </w:r>
      <w:r>
        <w:rPr/>
        <w:t>moderate-to-catastrophic</w:t>
      </w:r>
      <w:r>
        <w:rPr>
          <w:spacing w:val="-3"/>
        </w:rPr>
        <w:t> </w:t>
      </w:r>
      <w:r>
        <w:rPr/>
        <w:t>impacts</w:t>
      </w:r>
      <w:r>
        <w:rPr>
          <w:spacing w:val="-3"/>
        </w:rPr>
        <w:t> </w:t>
      </w:r>
      <w:r>
        <w:rPr/>
        <w:t>on</w:t>
      </w:r>
      <w:r>
        <w:rPr>
          <w:spacing w:val="-3"/>
        </w:rPr>
        <w:t> </w:t>
      </w:r>
      <w:r>
        <w:rPr/>
        <w:t>more than 190,000 acres of National Forest land and damaged</w:t>
      </w:r>
      <w:r>
        <w:rPr>
          <w:spacing w:val="40"/>
        </w:rPr>
        <w:t> </w:t>
      </w:r>
      <w:r>
        <w:rPr/>
        <w:t>approximately 850 miles of trails.</w:t>
      </w:r>
    </w:p>
    <w:p>
      <w:pPr>
        <w:pStyle w:val="BodyText"/>
        <w:spacing w:line="230" w:lineRule="auto" w:before="164"/>
        <w:ind w:left="716" w:right="1376" w:firstLine="15"/>
        <w:jc w:val="both"/>
      </w:pPr>
      <w:r>
        <w:rPr/>
        <w:t>Our analysis proceeds in two stages. First, we estimate the effect of Hurricane Helene on</w:t>
      </w:r>
      <w:r>
        <w:rPr>
          <w:spacing w:val="-3"/>
        </w:rPr>
        <w:t> </w:t>
      </w:r>
      <w:r>
        <w:rPr/>
        <w:t>hiking activity using data from AllTrails, an outdoor recreation application with more than 90 million users. Second, we combine estimated changes in hiking activity</w:t>
      </w:r>
      <w:r>
        <w:rPr>
          <w:spacing w:val="-3"/>
        </w:rPr>
        <w:t> </w:t>
      </w:r>
      <w:r>
        <w:rPr/>
        <w:t>with</w:t>
      </w:r>
      <w:r>
        <w:rPr>
          <w:spacing w:val="-3"/>
        </w:rPr>
        <w:t> </w:t>
      </w:r>
      <w:r>
        <w:rPr/>
        <w:t>existing</w:t>
      </w:r>
      <w:r>
        <w:rPr>
          <w:spacing w:val="-3"/>
        </w:rPr>
        <w:t> </w:t>
      </w:r>
      <w:r>
        <w:rPr/>
        <w:t>spending</w:t>
      </w:r>
      <w:r>
        <w:rPr>
          <w:spacing w:val="-3"/>
        </w:rPr>
        <w:t> </w:t>
      </w:r>
      <w:r>
        <w:rPr/>
        <w:t>estimates to quantify economic impacts. Prior research indicates that approximately half of outdoor recreation visits to western North Carolina involve day hiking, making hiking a key</w:t>
      </w:r>
      <w:r>
        <w:rPr>
          <w:spacing w:val="40"/>
        </w:rPr>
        <w:t> </w:t>
      </w:r>
      <w:r>
        <w:rPr/>
        <w:t>mechanism linking storm damage to economic losses.</w:t>
      </w:r>
    </w:p>
    <w:p>
      <w:pPr>
        <w:pStyle w:val="BodyText"/>
        <w:spacing w:line="230" w:lineRule="auto" w:before="161"/>
        <w:ind w:left="716" w:right="1379" w:firstLine="15"/>
        <w:jc w:val="both"/>
      </w:pPr>
      <w:r>
        <w:rPr/>
        <w:t>The AllTrails data include monthly counts of hiking activity by county for all counties </w:t>
      </w:r>
      <w:r>
        <w:rPr/>
        <w:t>in</w:t>
      </w:r>
      <w:r>
        <w:rPr>
          <w:spacing w:val="40"/>
        </w:rPr>
        <w:t> </w:t>
      </w:r>
      <w:r>
        <w:rPr/>
        <w:t>Georgia, Kentucky, North Carolina, South Carolina,</w:t>
      </w:r>
      <w:r>
        <w:rPr>
          <w:spacing w:val="-10"/>
        </w:rPr>
        <w:t> </w:t>
      </w:r>
      <w:r>
        <w:rPr/>
        <w:t>Tennessee,</w:t>
      </w:r>
      <w:r>
        <w:rPr>
          <w:spacing w:val="-10"/>
        </w:rPr>
        <w:t> </w:t>
      </w:r>
      <w:r>
        <w:rPr/>
        <w:t>Virginia,</w:t>
      </w:r>
      <w:r>
        <w:rPr>
          <w:spacing w:val="-10"/>
        </w:rPr>
        <w:t> </w:t>
      </w:r>
      <w:r>
        <w:rPr/>
        <w:t>and</w:t>
      </w:r>
      <w:r>
        <w:rPr>
          <w:spacing w:val="-10"/>
        </w:rPr>
        <w:t> </w:t>
      </w:r>
      <w:r>
        <w:rPr/>
        <w:t>West</w:t>
      </w:r>
      <w:r>
        <w:rPr>
          <w:spacing w:val="-10"/>
        </w:rPr>
        <w:t> </w:t>
      </w:r>
      <w:r>
        <w:rPr/>
        <w:t>Virginia.</w:t>
      </w:r>
      <w:r>
        <w:rPr>
          <w:spacing w:val="40"/>
        </w:rPr>
        <w:t> </w:t>
      </w:r>
      <w:r>
        <w:rPr/>
        <w:t>The dataset spans twelve months before Hurricane Helene (October 2023–September 2024) and twelve months after (October 2024–September 2025). In total, the data record more than 3.4 million hikes across the seven states, including approximately 842,000 hikes in North Carolina. The average hike lasted about two hours.</w:t>
      </w:r>
    </w:p>
    <w:p>
      <w:pPr>
        <w:pStyle w:val="BodyText"/>
        <w:spacing w:line="230" w:lineRule="auto" w:before="163"/>
        <w:ind w:left="716" w:right="1374"/>
        <w:jc w:val="both"/>
      </w:pPr>
      <w:r>
        <w:rPr/>
        <w:t>We estimate a regression model</w:t>
      </w:r>
      <w:r>
        <w:rPr>
          <w:spacing w:val="-4"/>
        </w:rPr>
        <w:t> </w:t>
      </w:r>
      <w:r>
        <w:rPr/>
        <w:t>to</w:t>
      </w:r>
      <w:r>
        <w:rPr>
          <w:spacing w:val="-4"/>
        </w:rPr>
        <w:t> </w:t>
      </w:r>
      <w:r>
        <w:rPr/>
        <w:t>isolate</w:t>
      </w:r>
      <w:r>
        <w:rPr>
          <w:spacing w:val="-4"/>
        </w:rPr>
        <w:t> </w:t>
      </w:r>
      <w:r>
        <w:rPr/>
        <w:t>the</w:t>
      </w:r>
      <w:r>
        <w:rPr>
          <w:spacing w:val="-4"/>
        </w:rPr>
        <w:t> </w:t>
      </w:r>
      <w:r>
        <w:rPr/>
        <w:t>causal</w:t>
      </w:r>
      <w:r>
        <w:rPr>
          <w:spacing w:val="-4"/>
        </w:rPr>
        <w:t> </w:t>
      </w:r>
      <w:r>
        <w:rPr/>
        <w:t>effect</w:t>
      </w:r>
      <w:r>
        <w:rPr>
          <w:spacing w:val="-4"/>
        </w:rPr>
        <w:t> </w:t>
      </w:r>
      <w:r>
        <w:rPr/>
        <w:t>of</w:t>
      </w:r>
      <w:r>
        <w:rPr>
          <w:spacing w:val="-4"/>
        </w:rPr>
        <w:t> </w:t>
      </w:r>
      <w:r>
        <w:rPr/>
        <w:t>Hurricane</w:t>
      </w:r>
      <w:r>
        <w:rPr>
          <w:spacing w:val="-4"/>
        </w:rPr>
        <w:t> </w:t>
      </w:r>
      <w:r>
        <w:rPr/>
        <w:t>Helene</w:t>
      </w:r>
      <w:r>
        <w:rPr>
          <w:spacing w:val="-4"/>
        </w:rPr>
        <w:t> </w:t>
      </w:r>
      <w:r>
        <w:rPr/>
        <w:t>on</w:t>
      </w:r>
      <w:r>
        <w:rPr>
          <w:spacing w:val="-4"/>
        </w:rPr>
        <w:t> </w:t>
      </w:r>
      <w:r>
        <w:rPr/>
        <w:t>hiking</w:t>
      </w:r>
      <w:r>
        <w:rPr>
          <w:spacing w:val="-4"/>
        </w:rPr>
        <w:t> </w:t>
      </w:r>
      <w:r>
        <w:rPr/>
        <w:t>activity in</w:t>
      </w:r>
      <w:r>
        <w:rPr>
          <w:spacing w:val="40"/>
        </w:rPr>
        <w:t> </w:t>
      </w:r>
      <w:r>
        <w:rPr/>
        <w:t>Appalachian</w:t>
      </w:r>
      <w:r>
        <w:rPr>
          <w:spacing w:val="40"/>
        </w:rPr>
        <w:t> </w:t>
      </w:r>
      <w:r>
        <w:rPr/>
        <w:t>disaster</w:t>
      </w:r>
      <w:r>
        <w:rPr>
          <w:spacing w:val="40"/>
        </w:rPr>
        <w:t> </w:t>
      </w:r>
      <w:r>
        <w:rPr/>
        <w:t>counties.</w:t>
      </w:r>
      <w:r>
        <w:rPr>
          <w:spacing w:val="40"/>
        </w:rPr>
        <w:t> </w:t>
      </w:r>
      <w:r>
        <w:rPr/>
        <w:t>The</w:t>
      </w:r>
      <w:r>
        <w:rPr>
          <w:spacing w:val="40"/>
        </w:rPr>
        <w:t> </w:t>
      </w:r>
      <w:r>
        <w:rPr/>
        <w:t>treatment</w:t>
      </w:r>
      <w:r>
        <w:rPr>
          <w:spacing w:val="40"/>
        </w:rPr>
        <w:t> </w:t>
      </w:r>
      <w:r>
        <w:rPr/>
        <w:t>variable</w:t>
      </w:r>
      <w:r>
        <w:rPr>
          <w:spacing w:val="40"/>
        </w:rPr>
        <w:t> </w:t>
      </w:r>
      <w:r>
        <w:rPr/>
        <w:t>is</w:t>
      </w:r>
      <w:r>
        <w:rPr>
          <w:spacing w:val="40"/>
        </w:rPr>
        <w:t> </w:t>
      </w:r>
      <w:r>
        <w:rPr/>
        <w:t>defined</w:t>
      </w:r>
      <w:r>
        <w:rPr>
          <w:spacing w:val="40"/>
        </w:rPr>
        <w:t> </w:t>
      </w:r>
      <w:r>
        <w:rPr/>
        <w:t>as</w:t>
      </w:r>
      <w:r>
        <w:rPr>
          <w:spacing w:val="40"/>
        </w:rPr>
        <w:t> </w:t>
      </w:r>
      <w:r>
        <w:rPr/>
        <w:t>the interaction of indicators</w:t>
      </w:r>
      <w:r>
        <w:rPr>
          <w:spacing w:val="40"/>
        </w:rPr>
        <w:t> </w:t>
      </w:r>
      <w:r>
        <w:rPr/>
        <w:t>for</w:t>
      </w:r>
      <w:r>
        <w:rPr>
          <w:spacing w:val="40"/>
        </w:rPr>
        <w:t> </w:t>
      </w:r>
      <w:r>
        <w:rPr/>
        <w:t>the</w:t>
      </w:r>
      <w:r>
        <w:rPr>
          <w:spacing w:val="40"/>
        </w:rPr>
        <w:t> </w:t>
      </w:r>
      <w:r>
        <w:rPr/>
        <w:t>post-Helene</w:t>
      </w:r>
      <w:r>
        <w:rPr>
          <w:spacing w:val="40"/>
        </w:rPr>
        <w:t> </w:t>
      </w:r>
      <w:r>
        <w:rPr/>
        <w:t>period,</w:t>
      </w:r>
      <w:r>
        <w:rPr>
          <w:spacing w:val="40"/>
        </w:rPr>
        <w:t> </w:t>
      </w:r>
      <w:r>
        <w:rPr/>
        <w:t>Appalachian</w:t>
      </w:r>
      <w:r>
        <w:rPr>
          <w:spacing w:val="40"/>
        </w:rPr>
        <w:t> </w:t>
      </w:r>
      <w:r>
        <w:rPr/>
        <w:t>Regional</w:t>
      </w:r>
      <w:r>
        <w:rPr>
          <w:spacing w:val="40"/>
        </w:rPr>
        <w:t> </w:t>
      </w:r>
      <w:r>
        <w:rPr/>
        <w:t>Commission</w:t>
      </w:r>
      <w:r>
        <w:rPr>
          <w:spacing w:val="40"/>
        </w:rPr>
        <w:t> </w:t>
      </w:r>
      <w:r>
        <w:rPr/>
        <w:t>counties,</w:t>
      </w:r>
      <w:r>
        <w:rPr>
          <w:spacing w:val="40"/>
        </w:rPr>
        <w:t> </w:t>
      </w:r>
      <w:r>
        <w:rPr/>
        <w:t>and FEMA-declared disaster counties. The model</w:t>
      </w:r>
      <w:r>
        <w:rPr>
          <w:spacing w:val="-3"/>
        </w:rPr>
        <w:t> </w:t>
      </w:r>
      <w:r>
        <w:rPr/>
        <w:t>includes</w:t>
      </w:r>
      <w:r>
        <w:rPr>
          <w:spacing w:val="-3"/>
        </w:rPr>
        <w:t> </w:t>
      </w:r>
      <w:r>
        <w:rPr/>
        <w:t>county</w:t>
      </w:r>
      <w:r>
        <w:rPr>
          <w:spacing w:val="-3"/>
        </w:rPr>
        <w:t> </w:t>
      </w:r>
      <w:r>
        <w:rPr/>
        <w:t>and</w:t>
      </w:r>
      <w:r>
        <w:rPr>
          <w:spacing w:val="-3"/>
        </w:rPr>
        <w:t> </w:t>
      </w:r>
      <w:r>
        <w:rPr/>
        <w:t>month</w:t>
      </w:r>
      <w:r>
        <w:rPr>
          <w:spacing w:val="-3"/>
        </w:rPr>
        <w:t> </w:t>
      </w:r>
      <w:r>
        <w:rPr/>
        <w:t>fixed</w:t>
      </w:r>
      <w:r>
        <w:rPr>
          <w:spacing w:val="-3"/>
        </w:rPr>
        <w:t> </w:t>
      </w:r>
      <w:r>
        <w:rPr/>
        <w:t>effects</w:t>
      </w:r>
      <w:r>
        <w:rPr>
          <w:spacing w:val="-3"/>
        </w:rPr>
        <w:t> </w:t>
      </w:r>
      <w:r>
        <w:rPr/>
        <w:t>and</w:t>
      </w:r>
      <w:r>
        <w:rPr>
          <w:spacing w:val="-3"/>
        </w:rPr>
        <w:t> </w:t>
      </w:r>
      <w:r>
        <w:rPr/>
        <w:t>allows treatment effects to vary by state. The</w:t>
      </w:r>
      <w:r>
        <w:rPr>
          <w:spacing w:val="-3"/>
        </w:rPr>
        <w:t> </w:t>
      </w:r>
      <w:r>
        <w:rPr/>
        <w:t>results</w:t>
      </w:r>
      <w:r>
        <w:rPr>
          <w:spacing w:val="-3"/>
        </w:rPr>
        <w:t> </w:t>
      </w:r>
      <w:r>
        <w:rPr/>
        <w:t>indicate</w:t>
      </w:r>
      <w:r>
        <w:rPr>
          <w:spacing w:val="-3"/>
        </w:rPr>
        <w:t> </w:t>
      </w:r>
      <w:r>
        <w:rPr/>
        <w:t>that</w:t>
      </w:r>
      <w:r>
        <w:rPr>
          <w:spacing w:val="-3"/>
        </w:rPr>
        <w:t> </w:t>
      </w:r>
      <w:r>
        <w:rPr/>
        <w:t>hiking</w:t>
      </w:r>
      <w:r>
        <w:rPr>
          <w:spacing w:val="-3"/>
        </w:rPr>
        <w:t> </w:t>
      </w:r>
      <w:r>
        <w:rPr/>
        <w:t>declined</w:t>
      </w:r>
      <w:r>
        <w:rPr>
          <w:spacing w:val="-3"/>
        </w:rPr>
        <w:t> </w:t>
      </w:r>
      <w:r>
        <w:rPr/>
        <w:t>by</w:t>
      </w:r>
      <w:r>
        <w:rPr>
          <w:spacing w:val="-3"/>
        </w:rPr>
        <w:t> </w:t>
      </w:r>
      <w:r>
        <w:rPr/>
        <w:t>34</w:t>
      </w:r>
      <w:r>
        <w:rPr>
          <w:spacing w:val="-3"/>
        </w:rPr>
        <w:t> </w:t>
      </w:r>
      <w:r>
        <w:rPr/>
        <w:t>percent</w:t>
      </w:r>
      <w:r>
        <w:rPr>
          <w:spacing w:val="-3"/>
        </w:rPr>
        <w:t> </w:t>
      </w:r>
      <w:r>
        <w:rPr/>
        <w:t>in</w:t>
      </w:r>
      <w:r>
        <w:rPr>
          <w:spacing w:val="-3"/>
        </w:rPr>
        <w:t> </w:t>
      </w:r>
      <w:r>
        <w:rPr/>
        <w:t>North Carolina following Hurricane Helene, with smaller declines of 13 percent in Tennessee and 8 percent in Virginia. Estimated effects in other states are not statistically different from zero.</w:t>
      </w:r>
    </w:p>
    <w:p>
      <w:pPr>
        <w:pStyle w:val="BodyText"/>
        <w:spacing w:line="230" w:lineRule="auto" w:before="163"/>
        <w:ind w:left="716" w:right="1375"/>
        <w:jc w:val="both"/>
      </w:pPr>
      <w:r>
        <w:rPr/>
        <w:t>We use the North Carolina estimate to construct a preliminary</w:t>
      </w:r>
      <w:r>
        <w:rPr>
          <w:spacing w:val="-5"/>
        </w:rPr>
        <w:t> </w:t>
      </w:r>
      <w:r>
        <w:rPr/>
        <w:t>measure</w:t>
      </w:r>
      <w:r>
        <w:rPr>
          <w:spacing w:val="-5"/>
        </w:rPr>
        <w:t> </w:t>
      </w:r>
      <w:r>
        <w:rPr/>
        <w:t>of</w:t>
      </w:r>
      <w:r>
        <w:rPr>
          <w:spacing w:val="-5"/>
        </w:rPr>
        <w:t> </w:t>
      </w:r>
      <w:r>
        <w:rPr/>
        <w:t>lost</w:t>
      </w:r>
      <w:r>
        <w:rPr>
          <w:spacing w:val="-5"/>
        </w:rPr>
        <w:t> </w:t>
      </w:r>
      <w:r>
        <w:rPr/>
        <w:t>economic</w:t>
      </w:r>
      <w:r>
        <w:rPr>
          <w:spacing w:val="-5"/>
        </w:rPr>
        <w:t> </w:t>
      </w:r>
      <w:r>
        <w:rPr/>
        <w:t>activity. Combining the 34 percent decline in hiking with the $5 billion outdoor recreation economy and the finding that half of recreation trips involve hiking yields</w:t>
      </w:r>
      <w:r>
        <w:rPr>
          <w:spacing w:val="-2"/>
        </w:rPr>
        <w:t> </w:t>
      </w:r>
      <w:r>
        <w:rPr/>
        <w:t>an</w:t>
      </w:r>
      <w:r>
        <w:rPr>
          <w:spacing w:val="-2"/>
        </w:rPr>
        <w:t> </w:t>
      </w:r>
      <w:r>
        <w:rPr/>
        <w:t>estimated</w:t>
      </w:r>
      <w:r>
        <w:rPr>
          <w:spacing w:val="-2"/>
        </w:rPr>
        <w:t> </w:t>
      </w:r>
      <w:r>
        <w:rPr/>
        <w:t>$850</w:t>
      </w:r>
      <w:r>
        <w:rPr>
          <w:spacing w:val="-2"/>
        </w:rPr>
        <w:t> </w:t>
      </w:r>
      <w:r>
        <w:rPr/>
        <w:t>million</w:t>
      </w:r>
      <w:r>
        <w:rPr>
          <w:spacing w:val="-2"/>
        </w:rPr>
        <w:t> </w:t>
      </w:r>
      <w:r>
        <w:rPr/>
        <w:t>reduction in outdoor recreation activity in western North Carolina during the twelve months</w:t>
      </w:r>
      <w:r>
        <w:rPr>
          <w:spacing w:val="40"/>
        </w:rPr>
        <w:t> </w:t>
      </w:r>
      <w:r>
        <w:rPr/>
        <w:t>following Hurricane Helene. This estimate likely overstates losses if visitors substituted</w:t>
      </w:r>
      <w:r>
        <w:rPr>
          <w:spacing w:val="40"/>
        </w:rPr>
        <w:t> </w:t>
      </w:r>
      <w:r>
        <w:rPr/>
        <w:t>toward other activities but understates total impacts by excluding losses to non-hiking</w:t>
      </w:r>
      <w:r>
        <w:rPr>
          <w:spacing w:val="40"/>
        </w:rPr>
        <w:t> </w:t>
      </w:r>
      <w:r>
        <w:rPr/>
        <w:t>recreation.</w:t>
      </w:r>
    </w:p>
    <w:p>
      <w:pPr>
        <w:pStyle w:val="BodyText"/>
        <w:spacing w:after="0" w:line="230" w:lineRule="auto"/>
        <w:jc w:val="both"/>
        <w:sectPr>
          <w:pgSz w:w="12240" w:h="15840"/>
          <w:pgMar w:header="0" w:footer="706" w:top="640" w:bottom="960" w:left="720" w:right="0"/>
        </w:sectPr>
      </w:pPr>
    </w:p>
    <w:p>
      <w:pPr>
        <w:pStyle w:val="Heading3"/>
        <w:spacing w:line="264" w:lineRule="auto"/>
        <w:ind w:left="1959" w:right="2588"/>
      </w:pPr>
      <w:bookmarkStart w:name="Unveiling the Hidden Impacts of Tariffs " w:id="52"/>
      <w:bookmarkEnd w:id="52"/>
      <w:r>
        <w:rPr>
          <w:b w:val="0"/>
        </w:rPr>
      </w:r>
      <w:r>
        <w:rPr/>
        <w:t>Unveiling</w:t>
      </w:r>
      <w:r>
        <w:rPr>
          <w:spacing w:val="-9"/>
        </w:rPr>
        <w:t> </w:t>
      </w:r>
      <w:r>
        <w:rPr/>
        <w:t>the</w:t>
      </w:r>
      <w:r>
        <w:rPr>
          <w:spacing w:val="-9"/>
        </w:rPr>
        <w:t> </w:t>
      </w:r>
      <w:r>
        <w:rPr/>
        <w:t>Hidden</w:t>
      </w:r>
      <w:r>
        <w:rPr>
          <w:spacing w:val="-9"/>
        </w:rPr>
        <w:t> </w:t>
      </w:r>
      <w:r>
        <w:rPr/>
        <w:t>Impacts</w:t>
      </w:r>
      <w:r>
        <w:rPr>
          <w:spacing w:val="-9"/>
        </w:rPr>
        <w:t> </w:t>
      </w:r>
      <w:r>
        <w:rPr/>
        <w:t>of</w:t>
      </w:r>
      <w:r>
        <w:rPr>
          <w:spacing w:val="-9"/>
        </w:rPr>
        <w:t> </w:t>
      </w:r>
      <w:r>
        <w:rPr/>
        <w:t>Tariffs</w:t>
      </w:r>
      <w:r>
        <w:rPr>
          <w:spacing w:val="-9"/>
        </w:rPr>
        <w:t> </w:t>
      </w:r>
      <w:r>
        <w:rPr/>
        <w:t>on</w:t>
      </w:r>
      <w:r>
        <w:rPr>
          <w:spacing w:val="-9"/>
        </w:rPr>
        <w:t> </w:t>
      </w:r>
      <w:r>
        <w:rPr/>
        <w:t>Businesses</w:t>
      </w:r>
      <w:r>
        <w:rPr>
          <w:spacing w:val="-9"/>
        </w:rPr>
        <w:t> </w:t>
      </w:r>
      <w:r>
        <w:rPr/>
        <w:t>and </w:t>
      </w:r>
      <w:bookmarkStart w:name="h.tog7lzg6pije" w:id="53"/>
      <w:bookmarkEnd w:id="53"/>
      <w:r>
        <w:rPr/>
        <w:t>C</w:t>
      </w:r>
      <w:r>
        <w:rPr/>
        <w:t>onsumer Behavior</w:t>
      </w:r>
    </w:p>
    <w:p>
      <w:pPr>
        <w:pStyle w:val="BodyText"/>
        <w:spacing w:before="292"/>
        <w:ind w:left="3056" w:right="3662" w:firstLine="1276"/>
      </w:pPr>
      <w:r>
        <w:rPr/>
        <w:t>Dr. James Kirby Easterling Associate</w:t>
      </w:r>
      <w:r>
        <w:rPr>
          <w:spacing w:val="-7"/>
        </w:rPr>
        <w:t> </w:t>
      </w:r>
      <w:r>
        <w:rPr/>
        <w:t>Professor</w:t>
      </w:r>
      <w:r>
        <w:rPr>
          <w:spacing w:val="-7"/>
        </w:rPr>
        <w:t> </w:t>
      </w:r>
      <w:r>
        <w:rPr/>
        <w:t>/</w:t>
      </w:r>
      <w:r>
        <w:rPr>
          <w:spacing w:val="-7"/>
        </w:rPr>
        <w:t> </w:t>
      </w:r>
      <w:r>
        <w:rPr/>
        <w:t>EKU</w:t>
      </w:r>
      <w:r>
        <w:rPr>
          <w:spacing w:val="-7"/>
        </w:rPr>
        <w:t> </w:t>
      </w:r>
      <w:r>
        <w:rPr/>
        <w:t>Honors</w:t>
      </w:r>
      <w:r>
        <w:rPr>
          <w:spacing w:val="-7"/>
        </w:rPr>
        <w:t> </w:t>
      </w:r>
      <w:r>
        <w:rPr/>
        <w:t>thesis</w:t>
      </w:r>
      <w:r>
        <w:rPr>
          <w:spacing w:val="-7"/>
        </w:rPr>
        <w:t> </w:t>
      </w:r>
      <w:r>
        <w:rPr/>
        <w:t>mentor</w:t>
      </w:r>
    </w:p>
    <w:p>
      <w:pPr>
        <w:pStyle w:val="BodyText"/>
        <w:ind w:left="4046" w:right="4765"/>
        <w:jc w:val="center"/>
      </w:pPr>
      <w:r>
        <w:rPr/>
        <w:t>Department</w:t>
      </w:r>
      <w:r>
        <w:rPr>
          <w:spacing w:val="-15"/>
        </w:rPr>
        <w:t> </w:t>
      </w:r>
      <w:r>
        <w:rPr/>
        <w:t>of</w:t>
      </w:r>
      <w:r>
        <w:rPr>
          <w:spacing w:val="-15"/>
        </w:rPr>
        <w:t> </w:t>
      </w:r>
      <w:r>
        <w:rPr/>
        <w:t>Management College of Business</w:t>
      </w:r>
    </w:p>
    <w:p>
      <w:pPr>
        <w:pStyle w:val="BodyText"/>
        <w:ind w:left="3791" w:right="4528" w:firstLine="37"/>
        <w:jc w:val="center"/>
      </w:pPr>
      <w:r>
        <w:rPr/>
        <w:t>Eastern Kentucky University </w:t>
      </w:r>
      <w:hyperlink r:id="rId72">
        <w:r>
          <w:rPr>
            <w:spacing w:val="-2"/>
          </w:rPr>
          <w:t>James.Kirby.Easterling@eku.edu</w:t>
        </w:r>
      </w:hyperlink>
      <w:r>
        <w:rPr>
          <w:spacing w:val="-2"/>
        </w:rPr>
        <w:t> 859-779-5858</w:t>
      </w:r>
    </w:p>
    <w:p>
      <w:pPr>
        <w:pStyle w:val="BodyText"/>
      </w:pPr>
    </w:p>
    <w:p>
      <w:pPr>
        <w:pStyle w:val="BodyText"/>
        <w:ind w:left="4721"/>
      </w:pPr>
      <w:r>
        <w:rPr/>
        <w:t>Jacob D. </w:t>
      </w:r>
      <w:r>
        <w:rPr>
          <w:spacing w:val="-4"/>
        </w:rPr>
        <w:t>Haas</w:t>
      </w:r>
    </w:p>
    <w:p>
      <w:pPr>
        <w:pStyle w:val="BodyText"/>
        <w:ind w:left="3716" w:right="4394" w:firstLine="375"/>
      </w:pPr>
      <w:r>
        <w:rPr/>
        <w:t>EKU Honors thesis mentee EKU</w:t>
      </w:r>
      <w:r>
        <w:rPr>
          <w:spacing w:val="-8"/>
        </w:rPr>
        <w:t> </w:t>
      </w:r>
      <w:r>
        <w:rPr/>
        <w:t>Honors</w:t>
      </w:r>
      <w:r>
        <w:rPr>
          <w:spacing w:val="-8"/>
        </w:rPr>
        <w:t> </w:t>
      </w:r>
      <w:r>
        <w:rPr/>
        <w:t>/</w:t>
      </w:r>
      <w:r>
        <w:rPr>
          <w:spacing w:val="-8"/>
        </w:rPr>
        <w:t> </w:t>
      </w:r>
      <w:r>
        <w:rPr/>
        <w:t>MBA</w:t>
      </w:r>
      <w:r>
        <w:rPr>
          <w:spacing w:val="-8"/>
        </w:rPr>
        <w:t> </w:t>
      </w:r>
      <w:r>
        <w:rPr/>
        <w:t>Student</w:t>
      </w:r>
      <w:r>
        <w:rPr>
          <w:spacing w:val="-8"/>
        </w:rPr>
        <w:t> </w:t>
      </w:r>
      <w:r>
        <w:rPr/>
        <w:t>(3+2)</w:t>
      </w:r>
    </w:p>
    <w:p>
      <w:pPr>
        <w:pStyle w:val="BodyText"/>
        <w:ind w:left="4016" w:right="4601" w:firstLine="435"/>
      </w:pPr>
      <w:r>
        <w:rPr/>
        <w:t>College of Business Eastern</w:t>
      </w:r>
      <w:r>
        <w:rPr>
          <w:spacing w:val="-15"/>
        </w:rPr>
        <w:t> </w:t>
      </w:r>
      <w:r>
        <w:rPr/>
        <w:t>Kentucky</w:t>
      </w:r>
      <w:r>
        <w:rPr>
          <w:spacing w:val="-15"/>
        </w:rPr>
        <w:t> </w:t>
      </w:r>
      <w:r>
        <w:rPr/>
        <w:t>University</w:t>
      </w:r>
    </w:p>
    <w:p>
      <w:pPr>
        <w:pStyle w:val="BodyText"/>
        <w:ind w:left="4736" w:right="4601" w:hanging="885"/>
      </w:pPr>
      <w:hyperlink r:id="rId73">
        <w:r>
          <w:rPr>
            <w:spacing w:val="-2"/>
          </w:rPr>
          <w:t>jacob_haas11@mymail.eku.edu</w:t>
        </w:r>
      </w:hyperlink>
      <w:r>
        <w:rPr>
          <w:spacing w:val="-2"/>
        </w:rPr>
        <w:t> 859-982-1383</w:t>
      </w:r>
    </w:p>
    <w:p>
      <w:pPr>
        <w:pStyle w:val="BodyText"/>
      </w:pPr>
    </w:p>
    <w:p>
      <w:pPr>
        <w:pStyle w:val="BodyText"/>
        <w:ind w:left="716"/>
      </w:pPr>
      <w:r>
        <w:rPr/>
        <w:t>Keywords:</w:t>
      </w:r>
      <w:r>
        <w:rPr>
          <w:spacing w:val="-4"/>
        </w:rPr>
        <w:t> </w:t>
      </w:r>
      <w:r>
        <w:rPr/>
        <w:t>tariffs,</w:t>
      </w:r>
      <w:r>
        <w:rPr>
          <w:spacing w:val="-3"/>
        </w:rPr>
        <w:t> </w:t>
      </w:r>
      <w:r>
        <w:rPr/>
        <w:t>trade</w:t>
      </w:r>
      <w:r>
        <w:rPr>
          <w:spacing w:val="-4"/>
        </w:rPr>
        <w:t> </w:t>
      </w:r>
      <w:r>
        <w:rPr/>
        <w:t>policy,</w:t>
      </w:r>
      <w:r>
        <w:rPr>
          <w:spacing w:val="-3"/>
        </w:rPr>
        <w:t> </w:t>
      </w:r>
      <w:r>
        <w:rPr/>
        <w:t>market</w:t>
      </w:r>
      <w:r>
        <w:rPr>
          <w:spacing w:val="-4"/>
        </w:rPr>
        <w:t> </w:t>
      </w:r>
      <w:r>
        <w:rPr/>
        <w:t>adaptation,</w:t>
      </w:r>
      <w:r>
        <w:rPr>
          <w:spacing w:val="-3"/>
        </w:rPr>
        <w:t> </w:t>
      </w:r>
      <w:r>
        <w:rPr>
          <w:spacing w:val="-2"/>
        </w:rPr>
        <w:t>disruption</w:t>
      </w:r>
    </w:p>
    <w:p>
      <w:pPr>
        <w:pStyle w:val="BodyText"/>
        <w:spacing w:before="130"/>
      </w:pPr>
    </w:p>
    <w:p>
      <w:pPr>
        <w:pStyle w:val="Heading4"/>
        <w:ind w:left="731"/>
      </w:pPr>
      <w:r>
        <w:rPr>
          <w:spacing w:val="-2"/>
        </w:rPr>
        <w:t>Introduction</w:t>
      </w:r>
    </w:p>
    <w:p>
      <w:pPr>
        <w:pStyle w:val="BodyText"/>
        <w:spacing w:before="272"/>
        <w:ind w:left="716" w:right="1448"/>
      </w:pPr>
      <w:r>
        <w:rPr/>
        <w:t>Globalization has produced supply chains that are both extraordinarily efficient and extraordinarily exposed. Over the past decade firms have optimized production across borders, leveraging</w:t>
      </w:r>
      <w:r>
        <w:rPr>
          <w:spacing w:val="-4"/>
        </w:rPr>
        <w:t> </w:t>
      </w:r>
      <w:r>
        <w:rPr/>
        <w:t>comparative</w:t>
      </w:r>
      <w:r>
        <w:rPr>
          <w:spacing w:val="-4"/>
        </w:rPr>
        <w:t> </w:t>
      </w:r>
      <w:r>
        <w:rPr/>
        <w:t>cost</w:t>
      </w:r>
      <w:r>
        <w:rPr>
          <w:spacing w:val="-4"/>
        </w:rPr>
        <w:t> </w:t>
      </w:r>
      <w:r>
        <w:rPr/>
        <w:t>advantages</w:t>
      </w:r>
      <w:r>
        <w:rPr>
          <w:spacing w:val="-4"/>
        </w:rPr>
        <w:t> </w:t>
      </w:r>
      <w:r>
        <w:rPr/>
        <w:t>to</w:t>
      </w:r>
      <w:r>
        <w:rPr>
          <w:spacing w:val="-4"/>
        </w:rPr>
        <w:t> </w:t>
      </w:r>
      <w:r>
        <w:rPr/>
        <w:t>achieve</w:t>
      </w:r>
      <w:r>
        <w:rPr>
          <w:spacing w:val="-4"/>
        </w:rPr>
        <w:t> </w:t>
      </w:r>
      <w:r>
        <w:rPr/>
        <w:t>low</w:t>
      </w:r>
      <w:r>
        <w:rPr>
          <w:spacing w:val="-4"/>
        </w:rPr>
        <w:t> </w:t>
      </w:r>
      <w:r>
        <w:rPr/>
        <w:t>consumer</w:t>
      </w:r>
      <w:r>
        <w:rPr>
          <w:spacing w:val="-4"/>
        </w:rPr>
        <w:t> </w:t>
      </w:r>
      <w:r>
        <w:rPr/>
        <w:t>prices</w:t>
      </w:r>
      <w:r>
        <w:rPr>
          <w:spacing w:val="-4"/>
        </w:rPr>
        <w:t> </w:t>
      </w:r>
      <w:r>
        <w:rPr/>
        <w:t>and</w:t>
      </w:r>
      <w:r>
        <w:rPr>
          <w:spacing w:val="-4"/>
        </w:rPr>
        <w:t> </w:t>
      </w:r>
      <w:r>
        <w:rPr/>
        <w:t>high</w:t>
      </w:r>
      <w:r>
        <w:rPr>
          <w:spacing w:val="-4"/>
        </w:rPr>
        <w:t> </w:t>
      </w:r>
      <w:r>
        <w:rPr/>
        <w:t>margins.</w:t>
      </w:r>
      <w:r>
        <w:rPr>
          <w:spacing w:val="-4"/>
        </w:rPr>
        <w:t> </w:t>
      </w:r>
      <w:r>
        <w:rPr/>
        <w:t>At</w:t>
      </w:r>
      <w:r>
        <w:rPr>
          <w:spacing w:val="-4"/>
        </w:rPr>
        <w:t> </w:t>
      </w:r>
      <w:r>
        <w:rPr/>
        <w:t>the same time, the political economy of trade has become less predictable. Tariffs, quotas, and other trade policy instruments whether introduced for strategic, political, or economic purposes can quickly change the cost calculus that underpins multinational sourcing strategies. For firms selling</w:t>
      </w:r>
      <w:r>
        <w:rPr>
          <w:spacing w:val="40"/>
        </w:rPr>
        <w:t> </w:t>
      </w:r>
      <w:r>
        <w:rPr/>
        <w:t>directly to consumers, those shocks have a second-order effect: they force choices about whether</w:t>
      </w:r>
      <w:r>
        <w:rPr>
          <w:spacing w:val="40"/>
        </w:rPr>
        <w:t> </w:t>
      </w:r>
      <w:r>
        <w:rPr/>
        <w:t>to absorb costs, pass them onto shoppers, reposition brands, or redesign supply </w:t>
      </w:r>
      <w:r>
        <w:rPr>
          <w:spacing w:val="-2"/>
        </w:rPr>
        <w:t>networks.</w:t>
      </w:r>
    </w:p>
    <w:p>
      <w:pPr>
        <w:pStyle w:val="BodyText"/>
        <w:spacing w:before="272"/>
        <w:ind w:left="716" w:right="1392"/>
      </w:pPr>
      <w:r>
        <w:rPr/>
        <w:t>This paper examines how firms integrate supply-chain decisions, pricing strategy, and</w:t>
      </w:r>
      <w:r>
        <w:rPr>
          <w:spacing w:val="40"/>
        </w:rPr>
        <w:t> </w:t>
      </w:r>
      <w:r>
        <w:rPr/>
        <w:t>marketing communication to manage tariff-driven shocks, arguing that coordinated, cross functional responses produce better outcomes than siloed reactions. The guiding hypothesis is that</w:t>
      </w:r>
      <w:r>
        <w:rPr>
          <w:spacing w:val="40"/>
        </w:rPr>
        <w:t> </w:t>
      </w:r>
      <w:r>
        <w:rPr/>
        <w:t>firms which operationalize integration (actively align sourcing shifts, dynamic pricing choices,</w:t>
      </w:r>
      <w:r>
        <w:rPr>
          <w:spacing w:val="40"/>
        </w:rPr>
        <w:t> </w:t>
      </w:r>
      <w:r>
        <w:rPr/>
        <w:t>and consistent consumer messaging) will show greater resilience in sales and brand stability when confronted</w:t>
      </w:r>
      <w:r>
        <w:rPr>
          <w:spacing w:val="-5"/>
        </w:rPr>
        <w:t> </w:t>
      </w:r>
      <w:r>
        <w:rPr/>
        <w:t>with</w:t>
      </w:r>
      <w:r>
        <w:rPr>
          <w:spacing w:val="-6"/>
        </w:rPr>
        <w:t> </w:t>
      </w:r>
      <w:r>
        <w:rPr/>
        <w:t>higher</w:t>
      </w:r>
      <w:r>
        <w:rPr>
          <w:spacing w:val="-5"/>
        </w:rPr>
        <w:t> </w:t>
      </w:r>
      <w:r>
        <w:rPr/>
        <w:t>tariff</w:t>
      </w:r>
      <w:r>
        <w:rPr>
          <w:spacing w:val="-6"/>
        </w:rPr>
        <w:t> </w:t>
      </w:r>
      <w:r>
        <w:rPr/>
        <w:t>exposure.</w:t>
      </w:r>
      <w:r>
        <w:rPr>
          <w:spacing w:val="-5"/>
        </w:rPr>
        <w:t> </w:t>
      </w:r>
      <w:r>
        <w:rPr/>
        <w:t>The</w:t>
      </w:r>
      <w:r>
        <w:rPr>
          <w:spacing w:val="-6"/>
        </w:rPr>
        <w:t> </w:t>
      </w:r>
      <w:r>
        <w:rPr/>
        <w:t>analysis</w:t>
      </w:r>
      <w:r>
        <w:rPr>
          <w:spacing w:val="-5"/>
        </w:rPr>
        <w:t> </w:t>
      </w:r>
      <w:r>
        <w:rPr/>
        <w:t>centers</w:t>
      </w:r>
      <w:r>
        <w:rPr>
          <w:spacing w:val="-6"/>
        </w:rPr>
        <w:t> </w:t>
      </w:r>
      <w:r>
        <w:rPr/>
        <w:t>on</w:t>
      </w:r>
      <w:r>
        <w:rPr>
          <w:spacing w:val="-5"/>
        </w:rPr>
        <w:t> </w:t>
      </w:r>
      <w:r>
        <w:rPr/>
        <w:t>three</w:t>
      </w:r>
      <w:r>
        <w:rPr>
          <w:spacing w:val="-6"/>
        </w:rPr>
        <w:t> </w:t>
      </w:r>
      <w:r>
        <w:rPr/>
        <w:t>multinational</w:t>
      </w:r>
      <w:r>
        <w:rPr>
          <w:spacing w:val="-5"/>
        </w:rPr>
        <w:t> </w:t>
      </w:r>
      <w:r>
        <w:rPr/>
        <w:t>firms</w:t>
      </w:r>
      <w:r>
        <w:rPr>
          <w:spacing w:val="-6"/>
        </w:rPr>
        <w:t> </w:t>
      </w:r>
      <w:r>
        <w:rPr/>
        <w:t>Walmart, Nike,</w:t>
      </w:r>
      <w:r>
        <w:rPr>
          <w:spacing w:val="-1"/>
        </w:rPr>
        <w:t> </w:t>
      </w:r>
      <w:r>
        <w:rPr/>
        <w:t>and</w:t>
      </w:r>
      <w:r>
        <w:rPr>
          <w:spacing w:val="-1"/>
        </w:rPr>
        <w:t> </w:t>
      </w:r>
      <w:r>
        <w:rPr/>
        <w:t>Apple</w:t>
      </w:r>
      <w:r>
        <w:rPr>
          <w:spacing w:val="-1"/>
        </w:rPr>
        <w:t> </w:t>
      </w:r>
      <w:r>
        <w:rPr/>
        <w:t>selected</w:t>
      </w:r>
      <w:r>
        <w:rPr>
          <w:spacing w:val="-1"/>
        </w:rPr>
        <w:t> </w:t>
      </w:r>
      <w:r>
        <w:rPr/>
        <w:t>because</w:t>
      </w:r>
      <w:r>
        <w:rPr>
          <w:spacing w:val="-1"/>
        </w:rPr>
        <w:t> </w:t>
      </w:r>
      <w:r>
        <w:rPr/>
        <w:t>together</w:t>
      </w:r>
      <w:r>
        <w:rPr>
          <w:spacing w:val="-1"/>
        </w:rPr>
        <w:t> </w:t>
      </w:r>
      <w:r>
        <w:rPr/>
        <w:t>they</w:t>
      </w:r>
      <w:r>
        <w:rPr>
          <w:spacing w:val="-1"/>
        </w:rPr>
        <w:t> </w:t>
      </w:r>
      <w:r>
        <w:rPr/>
        <w:t>span</w:t>
      </w:r>
      <w:r>
        <w:rPr>
          <w:spacing w:val="-1"/>
        </w:rPr>
        <w:t> </w:t>
      </w:r>
      <w:r>
        <w:rPr/>
        <w:t>retailing,</w:t>
      </w:r>
      <w:r>
        <w:rPr>
          <w:spacing w:val="-1"/>
        </w:rPr>
        <w:t> </w:t>
      </w:r>
      <w:r>
        <w:rPr/>
        <w:t>branded</w:t>
      </w:r>
      <w:r>
        <w:rPr>
          <w:spacing w:val="-1"/>
        </w:rPr>
        <w:t> </w:t>
      </w:r>
      <w:r>
        <w:rPr/>
        <w:t>consumer</w:t>
      </w:r>
      <w:r>
        <w:rPr>
          <w:spacing w:val="-1"/>
        </w:rPr>
        <w:t> </w:t>
      </w:r>
      <w:r>
        <w:rPr/>
        <w:t>goods,</w:t>
      </w:r>
      <w:r>
        <w:rPr>
          <w:spacing w:val="-1"/>
        </w:rPr>
        <w:t> </w:t>
      </w:r>
      <w:r>
        <w:rPr/>
        <w:t>and</w:t>
      </w:r>
      <w:r>
        <w:rPr>
          <w:spacing w:val="-1"/>
        </w:rPr>
        <w:t> </w:t>
      </w:r>
      <w:r>
        <w:rPr/>
        <w:t>high technology manufacturing, and because each has open, rich disclosure in annual reports and investor materials that document sourcing, cost, and communication choices during tariff </w:t>
      </w:r>
      <w:r>
        <w:rPr>
          <w:spacing w:val="-2"/>
        </w:rPr>
        <w:t>episodes.</w:t>
      </w:r>
    </w:p>
    <w:p>
      <w:pPr>
        <w:pStyle w:val="BodyText"/>
        <w:spacing w:after="0"/>
        <w:sectPr>
          <w:pgSz w:w="12240" w:h="15840"/>
          <w:pgMar w:header="0" w:footer="706" w:top="640" w:bottom="960" w:left="720" w:right="0"/>
        </w:sectPr>
      </w:pPr>
    </w:p>
    <w:p>
      <w:pPr>
        <w:spacing w:line="240" w:lineRule="auto"/>
        <w:ind w:left="3364" w:right="0" w:firstLine="0"/>
        <w:rPr>
          <w:sz w:val="20"/>
        </w:rPr>
      </w:pPr>
      <w:r>
        <w:rPr>
          <w:sz w:val="20"/>
        </w:rPr>
        <w:drawing>
          <wp:inline distT="0" distB="0" distL="0" distR="0">
            <wp:extent cx="2611985" cy="2726340"/>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74" cstate="print"/>
                    <a:stretch>
                      <a:fillRect/>
                    </a:stretch>
                  </pic:blipFill>
                  <pic:spPr>
                    <a:xfrm>
                      <a:off x="0" y="0"/>
                      <a:ext cx="2611985" cy="2726340"/>
                    </a:xfrm>
                    <a:prstGeom prst="rect">
                      <a:avLst/>
                    </a:prstGeom>
                  </pic:spPr>
                </pic:pic>
              </a:graphicData>
            </a:graphic>
          </wp:inline>
        </w:drawing>
      </w:r>
      <w:r>
        <w:rPr>
          <w:sz w:val="20"/>
        </w:rPr>
      </w:r>
    </w:p>
    <w:p>
      <w:pPr>
        <w:pStyle w:val="BodyText"/>
        <w:spacing w:before="192"/>
        <w:ind w:left="731" w:right="1619" w:hanging="15"/>
      </w:pPr>
      <w:r>
        <w:rPr/>
        <w:drawing>
          <wp:anchor distT="0" distB="0" distL="0" distR="0" allowOverlap="1" layoutInCell="1" locked="0" behindDoc="1" simplePos="0" relativeHeight="487591424">
            <wp:simplePos x="0" y="0"/>
            <wp:positionH relativeFrom="page">
              <wp:posOffset>2546519</wp:posOffset>
            </wp:positionH>
            <wp:positionV relativeFrom="paragraph">
              <wp:posOffset>505371</wp:posOffset>
            </wp:positionV>
            <wp:extent cx="2225525" cy="3340798"/>
            <wp:effectExtent l="0" t="0" r="0" b="0"/>
            <wp:wrapTopAndBottom/>
            <wp:docPr id="20" name="Image 20"/>
            <wp:cNvGraphicFramePr>
              <a:graphicFrameLocks/>
            </wp:cNvGraphicFramePr>
            <a:graphic>
              <a:graphicData uri="http://schemas.openxmlformats.org/drawingml/2006/picture">
                <pic:pic>
                  <pic:nvPicPr>
                    <pic:cNvPr id="20" name="Image 20"/>
                    <pic:cNvPicPr/>
                  </pic:nvPicPr>
                  <pic:blipFill>
                    <a:blip r:embed="rId75" cstate="print"/>
                    <a:stretch>
                      <a:fillRect/>
                    </a:stretch>
                  </pic:blipFill>
                  <pic:spPr>
                    <a:xfrm>
                      <a:off x="0" y="0"/>
                      <a:ext cx="2225525" cy="3340798"/>
                    </a:xfrm>
                    <a:prstGeom prst="rect">
                      <a:avLst/>
                    </a:prstGeom>
                  </pic:spPr>
                </pic:pic>
              </a:graphicData>
            </a:graphic>
          </wp:anchor>
        </w:drawing>
      </w:r>
      <w:r>
        <w:rPr/>
        <w:t>Figure</w:t>
      </w:r>
      <w:r>
        <w:rPr>
          <w:spacing w:val="-5"/>
        </w:rPr>
        <w:t> </w:t>
      </w:r>
      <w:r>
        <w:rPr/>
        <w:t>1:</w:t>
      </w:r>
      <w:r>
        <w:rPr>
          <w:spacing w:val="-5"/>
        </w:rPr>
        <w:t> </w:t>
      </w:r>
      <w:r>
        <w:rPr/>
        <w:t>U.S.</w:t>
      </w:r>
      <w:r>
        <w:rPr>
          <w:spacing w:val="-5"/>
        </w:rPr>
        <w:t> </w:t>
      </w:r>
      <w:r>
        <w:rPr/>
        <w:t>tariff</w:t>
      </w:r>
      <w:r>
        <w:rPr>
          <w:spacing w:val="-5"/>
        </w:rPr>
        <w:t> </w:t>
      </w:r>
      <w:r>
        <w:rPr/>
        <w:t>revenue</w:t>
      </w:r>
      <w:r>
        <w:rPr>
          <w:spacing w:val="-5"/>
        </w:rPr>
        <w:t> </w:t>
      </w:r>
      <w:r>
        <w:rPr/>
        <w:t>by</w:t>
      </w:r>
      <w:r>
        <w:rPr>
          <w:spacing w:val="-5"/>
        </w:rPr>
        <w:t> </w:t>
      </w:r>
      <w:r>
        <w:rPr/>
        <w:t>major</w:t>
      </w:r>
      <w:r>
        <w:rPr>
          <w:spacing w:val="-5"/>
        </w:rPr>
        <w:t> </w:t>
      </w:r>
      <w:r>
        <w:rPr/>
        <w:t>product</w:t>
      </w:r>
      <w:r>
        <w:rPr>
          <w:spacing w:val="-5"/>
        </w:rPr>
        <w:t> </w:t>
      </w:r>
      <w:r>
        <w:rPr/>
        <w:t>category,</w:t>
      </w:r>
      <w:r>
        <w:rPr>
          <w:spacing w:val="-5"/>
        </w:rPr>
        <w:t> </w:t>
      </w:r>
      <w:r>
        <w:rPr/>
        <w:t>January–July</w:t>
      </w:r>
      <w:r>
        <w:rPr>
          <w:spacing w:val="-5"/>
        </w:rPr>
        <w:t> </w:t>
      </w:r>
      <w:r>
        <w:rPr/>
        <w:t>2025.</w:t>
      </w:r>
      <w:r>
        <w:rPr>
          <w:spacing w:val="-5"/>
        </w:rPr>
        <w:t> </w:t>
      </w:r>
      <w:r>
        <w:rPr/>
        <w:t>(Peterson</w:t>
      </w:r>
      <w:r>
        <w:rPr>
          <w:spacing w:val="-5"/>
        </w:rPr>
        <w:t> </w:t>
      </w:r>
      <w:r>
        <w:rPr/>
        <w:t>Institute for International Economics [PIIE], 2025).</w:t>
      </w:r>
    </w:p>
    <w:p>
      <w:pPr>
        <w:pStyle w:val="BodyText"/>
        <w:spacing w:before="139"/>
        <w:ind w:left="731" w:right="1191" w:hanging="15"/>
      </w:pPr>
      <w:r>
        <w:rPr/>
        <w:t>Figure</w:t>
      </w:r>
      <w:r>
        <w:rPr>
          <w:spacing w:val="-5"/>
        </w:rPr>
        <w:t> </w:t>
      </w:r>
      <w:r>
        <w:rPr/>
        <w:t>2:</w:t>
      </w:r>
      <w:r>
        <w:rPr>
          <w:spacing w:val="-5"/>
        </w:rPr>
        <w:t> </w:t>
      </w:r>
      <w:r>
        <w:rPr/>
        <w:t>U.S.</w:t>
      </w:r>
      <w:r>
        <w:rPr>
          <w:spacing w:val="-5"/>
        </w:rPr>
        <w:t> </w:t>
      </w:r>
      <w:r>
        <w:rPr/>
        <w:t>tariff</w:t>
      </w:r>
      <w:r>
        <w:rPr>
          <w:spacing w:val="-5"/>
        </w:rPr>
        <w:t> </w:t>
      </w:r>
      <w:r>
        <w:rPr/>
        <w:t>revenue</w:t>
      </w:r>
      <w:r>
        <w:rPr>
          <w:spacing w:val="-5"/>
        </w:rPr>
        <w:t> </w:t>
      </w:r>
      <w:r>
        <w:rPr/>
        <w:t>by</w:t>
      </w:r>
      <w:r>
        <w:rPr>
          <w:spacing w:val="-5"/>
        </w:rPr>
        <w:t> </w:t>
      </w:r>
      <w:r>
        <w:rPr/>
        <w:t>import</w:t>
      </w:r>
      <w:r>
        <w:rPr>
          <w:spacing w:val="-5"/>
        </w:rPr>
        <w:t> </w:t>
      </w:r>
      <w:r>
        <w:rPr/>
        <w:t>source</w:t>
      </w:r>
      <w:r>
        <w:rPr>
          <w:spacing w:val="-5"/>
        </w:rPr>
        <w:t> </w:t>
      </w:r>
      <w:r>
        <w:rPr/>
        <w:t>country,</w:t>
      </w:r>
      <w:r>
        <w:rPr>
          <w:spacing w:val="-5"/>
        </w:rPr>
        <w:t> </w:t>
      </w:r>
      <w:r>
        <w:rPr/>
        <w:t>January–July</w:t>
      </w:r>
      <w:r>
        <w:rPr>
          <w:spacing w:val="-5"/>
        </w:rPr>
        <w:t> </w:t>
      </w:r>
      <w:r>
        <w:rPr/>
        <w:t>2025.</w:t>
      </w:r>
      <w:r>
        <w:rPr>
          <w:spacing w:val="-5"/>
        </w:rPr>
        <w:t> </w:t>
      </w:r>
      <w:r>
        <w:rPr/>
        <w:t>(Peterson</w:t>
      </w:r>
      <w:r>
        <w:rPr>
          <w:spacing w:val="-5"/>
        </w:rPr>
        <w:t> </w:t>
      </w:r>
      <w:r>
        <w:rPr/>
        <w:t>Institute</w:t>
      </w:r>
      <w:r>
        <w:rPr>
          <w:spacing w:val="-5"/>
        </w:rPr>
        <w:t> </w:t>
      </w:r>
      <w:r>
        <w:rPr/>
        <w:t>for International Economics [PIIE], 2025)</w:t>
      </w:r>
    </w:p>
    <w:p>
      <w:pPr>
        <w:pStyle w:val="BodyText"/>
      </w:pPr>
    </w:p>
    <w:p>
      <w:pPr>
        <w:pStyle w:val="BodyText"/>
        <w:ind w:left="716"/>
      </w:pPr>
      <w:r>
        <w:rPr>
          <w:u w:val="thick"/>
        </w:rPr>
        <w:t>Research Aim &amp; </w:t>
      </w:r>
      <w:r>
        <w:rPr>
          <w:spacing w:val="-2"/>
          <w:u w:val="thick"/>
        </w:rPr>
        <w:t>Question</w:t>
      </w:r>
    </w:p>
    <w:p>
      <w:pPr>
        <w:pStyle w:val="BodyText"/>
        <w:spacing w:before="272"/>
        <w:ind w:left="716" w:right="1378"/>
        <w:jc w:val="both"/>
      </w:pPr>
      <w:r>
        <w:rPr/>
        <w:t>This study is guided by the following refined research question: How did Walmart, Nike,</w:t>
      </w:r>
      <w:r>
        <w:rPr>
          <w:spacing w:val="40"/>
        </w:rPr>
        <w:t> </w:t>
      </w:r>
      <w:r>
        <w:rPr/>
        <w:t>and Apple respond to recent U.S. tariff shocks through documented sourcing diversification,</w:t>
      </w:r>
      <w:r>
        <w:rPr>
          <w:spacing w:val="40"/>
        </w:rPr>
        <w:t> </w:t>
      </w:r>
      <w:r>
        <w:rPr/>
        <w:t>pricing adjustments, and corporate communication strategies between 2019 and 2025? The modern</w:t>
      </w:r>
      <w:r>
        <w:rPr>
          <w:spacing w:val="40"/>
        </w:rPr>
        <w:t> </w:t>
      </w:r>
      <w:r>
        <w:rPr/>
        <w:t>global economy has become increasingly interdependent, yet also more volatile, as political decisions and protectionist trade measures reshape production and distribution networks. Tariffs, quotas, and regulatory barriers impose new costs on firms, forcing them to balance operational efficiency with brand integrity and consumer expectations. These challenges are particularly pronounced</w:t>
      </w:r>
      <w:r>
        <w:rPr>
          <w:spacing w:val="43"/>
        </w:rPr>
        <w:t> </w:t>
      </w:r>
      <w:r>
        <w:rPr/>
        <w:t>for</w:t>
      </w:r>
      <w:r>
        <w:rPr>
          <w:spacing w:val="43"/>
        </w:rPr>
        <w:t> </w:t>
      </w:r>
      <w:r>
        <w:rPr/>
        <w:t>companies</w:t>
      </w:r>
      <w:r>
        <w:rPr>
          <w:spacing w:val="44"/>
        </w:rPr>
        <w:t> </w:t>
      </w:r>
      <w:r>
        <w:rPr/>
        <w:t>like</w:t>
      </w:r>
      <w:r>
        <w:rPr>
          <w:spacing w:val="43"/>
        </w:rPr>
        <w:t> </w:t>
      </w:r>
      <w:r>
        <w:rPr/>
        <w:t>Walmart,</w:t>
      </w:r>
      <w:r>
        <w:rPr>
          <w:spacing w:val="43"/>
        </w:rPr>
        <w:t> </w:t>
      </w:r>
      <w:r>
        <w:rPr/>
        <w:t>Nike,</w:t>
      </w:r>
      <w:r>
        <w:rPr>
          <w:spacing w:val="44"/>
        </w:rPr>
        <w:t> </w:t>
      </w:r>
      <w:r>
        <w:rPr/>
        <w:t>and</w:t>
      </w:r>
      <w:r>
        <w:rPr>
          <w:spacing w:val="43"/>
        </w:rPr>
        <w:t> </w:t>
      </w:r>
      <w:r>
        <w:rPr/>
        <w:t>Apple,</w:t>
      </w:r>
      <w:r>
        <w:rPr>
          <w:spacing w:val="43"/>
        </w:rPr>
        <w:t> </w:t>
      </w:r>
      <w:r>
        <w:rPr/>
        <w:t>whose</w:t>
      </w:r>
      <w:r>
        <w:rPr>
          <w:spacing w:val="44"/>
        </w:rPr>
        <w:t> </w:t>
      </w:r>
      <w:r>
        <w:rPr/>
        <w:t>success</w:t>
      </w:r>
      <w:r>
        <w:rPr>
          <w:spacing w:val="43"/>
        </w:rPr>
        <w:t> </w:t>
      </w:r>
      <w:r>
        <w:rPr/>
        <w:t>depends</w:t>
      </w:r>
      <w:r>
        <w:rPr>
          <w:spacing w:val="43"/>
        </w:rPr>
        <w:t> </w:t>
      </w:r>
      <w:r>
        <w:rPr/>
        <w:t>on</w:t>
      </w:r>
      <w:r>
        <w:rPr>
          <w:spacing w:val="44"/>
        </w:rPr>
        <w:t> </w:t>
      </w:r>
      <w:r>
        <w:rPr>
          <w:spacing w:val="-2"/>
        </w:rPr>
        <w:t>global</w:t>
      </w:r>
    </w:p>
    <w:p>
      <w:pPr>
        <w:pStyle w:val="BodyText"/>
        <w:spacing w:after="0"/>
        <w:jc w:val="both"/>
        <w:sectPr>
          <w:pgSz w:w="12240" w:h="15840"/>
          <w:pgMar w:header="0" w:footer="706" w:top="780" w:bottom="900" w:left="720" w:right="0"/>
        </w:sectPr>
      </w:pPr>
    </w:p>
    <w:p>
      <w:pPr>
        <w:pStyle w:val="BodyText"/>
        <w:spacing w:before="60"/>
        <w:ind w:left="716"/>
        <w:jc w:val="both"/>
      </w:pPr>
      <w:r>
        <w:rPr/>
        <w:t>sourcing, complex logistics, and strong consumer </w:t>
      </w:r>
      <w:r>
        <w:rPr>
          <w:spacing w:val="-2"/>
        </w:rPr>
        <w:t>relationships.</w:t>
      </w:r>
    </w:p>
    <w:p>
      <w:pPr>
        <w:pStyle w:val="BodyText"/>
        <w:spacing w:before="105"/>
      </w:pPr>
    </w:p>
    <w:p>
      <w:pPr>
        <w:pStyle w:val="BodyText"/>
        <w:ind w:left="731" w:right="1376"/>
        <w:jc w:val="both"/>
      </w:pPr>
      <w:r>
        <w:rPr/>
        <w:t>The primary aim of this research is to examine the extent to which cross-functional</w:t>
      </w:r>
      <w:r>
        <w:rPr>
          <w:spacing w:val="40"/>
        </w:rPr>
        <w:t> </w:t>
      </w:r>
      <w:r>
        <w:rPr/>
        <w:t>integration among supply chain management, pricing</w:t>
      </w:r>
      <w:r>
        <w:rPr>
          <w:spacing w:val="-5"/>
        </w:rPr>
        <w:t> </w:t>
      </w:r>
      <w:r>
        <w:rPr/>
        <w:t>strategy,</w:t>
      </w:r>
      <w:r>
        <w:rPr>
          <w:spacing w:val="-5"/>
        </w:rPr>
        <w:t> </w:t>
      </w:r>
      <w:r>
        <w:rPr/>
        <w:t>and</w:t>
      </w:r>
      <w:r>
        <w:rPr>
          <w:spacing w:val="-5"/>
        </w:rPr>
        <w:t> </w:t>
      </w:r>
      <w:r>
        <w:rPr/>
        <w:t>marketing</w:t>
      </w:r>
      <w:r>
        <w:rPr>
          <w:spacing w:val="-5"/>
        </w:rPr>
        <w:t> </w:t>
      </w:r>
      <w:r>
        <w:rPr/>
        <w:t>communication</w:t>
      </w:r>
      <w:r>
        <w:rPr>
          <w:spacing w:val="40"/>
        </w:rPr>
        <w:t> </w:t>
      </w:r>
      <w:r>
        <w:rPr/>
        <w:t>enhances</w:t>
      </w:r>
      <w:r>
        <w:rPr>
          <w:spacing w:val="-5"/>
        </w:rPr>
        <w:t> </w:t>
      </w:r>
      <w:r>
        <w:rPr/>
        <w:t>firm resilience and long-term profitability. By combining analysis of corporate</w:t>
      </w:r>
      <w:r>
        <w:rPr>
          <w:spacing w:val="40"/>
        </w:rPr>
        <w:t> </w:t>
      </w:r>
      <w:r>
        <w:rPr/>
        <w:t>disclosures, financial data, and marketing communications, this study investigates how leading</w:t>
      </w:r>
      <w:r>
        <w:rPr>
          <w:spacing w:val="40"/>
        </w:rPr>
        <w:t> </w:t>
      </w:r>
      <w:r>
        <w:rPr/>
        <w:t>global firms adapt to tariff shocks through sourcing</w:t>
      </w:r>
      <w:r>
        <w:rPr>
          <w:spacing w:val="-4"/>
        </w:rPr>
        <w:t> </w:t>
      </w:r>
      <w:r>
        <w:rPr/>
        <w:t>diversification,</w:t>
      </w:r>
      <w:r>
        <w:rPr>
          <w:spacing w:val="-4"/>
        </w:rPr>
        <w:t> </w:t>
      </w:r>
      <w:r>
        <w:rPr/>
        <w:t>strategic</w:t>
      </w:r>
      <w:r>
        <w:rPr>
          <w:spacing w:val="-4"/>
        </w:rPr>
        <w:t> </w:t>
      </w:r>
      <w:r>
        <w:rPr/>
        <w:t>price</w:t>
      </w:r>
      <w:r>
        <w:rPr>
          <w:spacing w:val="-4"/>
        </w:rPr>
        <w:t> </w:t>
      </w:r>
      <w:r>
        <w:rPr/>
        <w:t>adjustments,</w:t>
      </w:r>
      <w:r>
        <w:rPr>
          <w:spacing w:val="40"/>
        </w:rPr>
        <w:t> </w:t>
      </w:r>
      <w:r>
        <w:rPr/>
        <w:t>and</w:t>
      </w:r>
      <w:r>
        <w:rPr>
          <w:spacing w:val="-4"/>
        </w:rPr>
        <w:t> </w:t>
      </w:r>
      <w:r>
        <w:rPr/>
        <w:t>targeted</w:t>
      </w:r>
      <w:r>
        <w:rPr>
          <w:spacing w:val="-4"/>
        </w:rPr>
        <w:t> </w:t>
      </w:r>
      <w:r>
        <w:rPr/>
        <w:t>consumer </w:t>
      </w:r>
      <w:r>
        <w:rPr>
          <w:spacing w:val="-2"/>
        </w:rPr>
        <w:t>messaging.</w:t>
      </w:r>
    </w:p>
    <w:p>
      <w:pPr>
        <w:pStyle w:val="BodyText"/>
        <w:spacing w:before="104"/>
      </w:pPr>
    </w:p>
    <w:p>
      <w:pPr>
        <w:pStyle w:val="Heading4"/>
        <w:ind w:left="731"/>
      </w:pPr>
      <w:r>
        <w:rPr>
          <w:spacing w:val="-2"/>
        </w:rPr>
        <w:t>Methodology</w:t>
      </w:r>
    </w:p>
    <w:p>
      <w:pPr>
        <w:pStyle w:val="BodyText"/>
        <w:spacing w:before="272"/>
        <w:ind w:left="716" w:right="1374"/>
        <w:jc w:val="both"/>
      </w:pPr>
      <w:r>
        <w:rPr/>
        <w:t>This study</w:t>
      </w:r>
      <w:r>
        <w:rPr>
          <w:spacing w:val="-2"/>
        </w:rPr>
        <w:t> </w:t>
      </w:r>
      <w:r>
        <w:rPr/>
        <w:t>relies</w:t>
      </w:r>
      <w:r>
        <w:rPr>
          <w:spacing w:val="-2"/>
        </w:rPr>
        <w:t> </w:t>
      </w:r>
      <w:r>
        <w:rPr/>
        <w:t>exclusively</w:t>
      </w:r>
      <w:r>
        <w:rPr>
          <w:spacing w:val="-2"/>
        </w:rPr>
        <w:t> </w:t>
      </w:r>
      <w:r>
        <w:rPr/>
        <w:t>on</w:t>
      </w:r>
      <w:r>
        <w:rPr>
          <w:spacing w:val="-2"/>
        </w:rPr>
        <w:t> </w:t>
      </w:r>
      <w:r>
        <w:rPr/>
        <w:t>secondary</w:t>
      </w:r>
      <w:r>
        <w:rPr>
          <w:spacing w:val="-2"/>
        </w:rPr>
        <w:t> </w:t>
      </w:r>
      <w:r>
        <w:rPr/>
        <w:t>data</w:t>
      </w:r>
      <w:r>
        <w:rPr>
          <w:spacing w:val="-2"/>
        </w:rPr>
        <w:t> </w:t>
      </w:r>
      <w:r>
        <w:rPr/>
        <w:t>sources</w:t>
      </w:r>
      <w:r>
        <w:rPr>
          <w:spacing w:val="-2"/>
        </w:rPr>
        <w:t> </w:t>
      </w:r>
      <w:r>
        <w:rPr/>
        <w:t>and</w:t>
      </w:r>
      <w:r>
        <w:rPr>
          <w:spacing w:val="-2"/>
        </w:rPr>
        <w:t> </w:t>
      </w:r>
      <w:r>
        <w:rPr/>
        <w:t>should</w:t>
      </w:r>
      <w:r>
        <w:rPr>
          <w:spacing w:val="-2"/>
        </w:rPr>
        <w:t> </w:t>
      </w:r>
      <w:r>
        <w:rPr/>
        <w:t>be</w:t>
      </w:r>
      <w:r>
        <w:rPr>
          <w:spacing w:val="-2"/>
        </w:rPr>
        <w:t> </w:t>
      </w:r>
      <w:r>
        <w:rPr/>
        <w:t>classified</w:t>
      </w:r>
      <w:r>
        <w:rPr>
          <w:spacing w:val="-2"/>
        </w:rPr>
        <w:t> </w:t>
      </w:r>
      <w:r>
        <w:rPr/>
        <w:t>as</w:t>
      </w:r>
      <w:r>
        <w:rPr>
          <w:spacing w:val="-2"/>
        </w:rPr>
        <w:t> </w:t>
      </w:r>
      <w:r>
        <w:rPr/>
        <w:t>a</w:t>
      </w:r>
      <w:r>
        <w:rPr>
          <w:spacing w:val="40"/>
        </w:rPr>
        <w:t> </w:t>
      </w:r>
      <w:r>
        <w:rPr/>
        <w:t>comparative secondary-data case analysis to analyze how multinational firms integrate supply</w:t>
      </w:r>
      <w:r>
        <w:rPr>
          <w:spacing w:val="40"/>
        </w:rPr>
        <w:t> </w:t>
      </w:r>
      <w:r>
        <w:rPr/>
        <w:t>chain,</w:t>
      </w:r>
      <w:r>
        <w:rPr>
          <w:spacing w:val="-2"/>
        </w:rPr>
        <w:t> </w:t>
      </w:r>
      <w:r>
        <w:rPr/>
        <w:t>pricing, and marketing strategies in</w:t>
      </w:r>
      <w:r>
        <w:rPr>
          <w:spacing w:val="-3"/>
        </w:rPr>
        <w:t> </w:t>
      </w:r>
      <w:r>
        <w:rPr/>
        <w:t>response</w:t>
      </w:r>
      <w:r>
        <w:rPr>
          <w:spacing w:val="-3"/>
        </w:rPr>
        <w:t> </w:t>
      </w:r>
      <w:r>
        <w:rPr/>
        <w:t>to</w:t>
      </w:r>
      <w:r>
        <w:rPr>
          <w:spacing w:val="-3"/>
        </w:rPr>
        <w:t> </w:t>
      </w:r>
      <w:r>
        <w:rPr/>
        <w:t>global</w:t>
      </w:r>
      <w:r>
        <w:rPr>
          <w:spacing w:val="-3"/>
        </w:rPr>
        <w:t> </w:t>
      </w:r>
      <w:r>
        <w:rPr/>
        <w:t>tariff</w:t>
      </w:r>
      <w:r>
        <w:rPr>
          <w:spacing w:val="-3"/>
        </w:rPr>
        <w:t> </w:t>
      </w:r>
      <w:r>
        <w:rPr/>
        <w:t>disruptions.</w:t>
      </w:r>
      <w:r>
        <w:rPr>
          <w:spacing w:val="-3"/>
        </w:rPr>
        <w:t> </w:t>
      </w:r>
      <w:r>
        <w:rPr/>
        <w:t>The</w:t>
      </w:r>
      <w:r>
        <w:rPr>
          <w:spacing w:val="-3"/>
        </w:rPr>
        <w:t> </w:t>
      </w:r>
      <w:r>
        <w:rPr/>
        <w:t>primary</w:t>
      </w:r>
      <w:r>
        <w:rPr>
          <w:spacing w:val="40"/>
        </w:rPr>
        <w:t> </w:t>
      </w:r>
      <w:r>
        <w:rPr/>
        <w:t>research</w:t>
      </w:r>
      <w:r>
        <w:rPr>
          <w:spacing w:val="-3"/>
        </w:rPr>
        <w:t> </w:t>
      </w:r>
      <w:r>
        <w:rPr/>
        <w:t>consists</w:t>
      </w:r>
      <w:r>
        <w:rPr>
          <w:spacing w:val="-3"/>
        </w:rPr>
        <w:t> </w:t>
      </w:r>
      <w:r>
        <w:rPr/>
        <w:t>of corporate data drawn from the Form 10-K annual reports and investor</w:t>
      </w:r>
      <w:r>
        <w:rPr>
          <w:spacing w:val="40"/>
        </w:rPr>
        <w:t> </w:t>
      </w:r>
      <w:r>
        <w:rPr/>
        <w:t>communications </w:t>
      </w:r>
      <w:r>
        <w:rPr/>
        <w:t>of Walmart Inc., NIKE, Inc., and Apple Inc. (2019–2024). These filings,</w:t>
      </w:r>
      <w:r>
        <w:rPr>
          <w:spacing w:val="-4"/>
        </w:rPr>
        <w:t> </w:t>
      </w:r>
      <w:r>
        <w:rPr/>
        <w:t>obtained</w:t>
      </w:r>
      <w:r>
        <w:rPr>
          <w:spacing w:val="40"/>
        </w:rPr>
        <w:t> </w:t>
      </w:r>
      <w:r>
        <w:rPr/>
        <w:t>through</w:t>
      </w:r>
      <w:r>
        <w:rPr>
          <w:spacing w:val="-4"/>
        </w:rPr>
        <w:t> </w:t>
      </w:r>
      <w:r>
        <w:rPr/>
        <w:t>the</w:t>
      </w:r>
      <w:r>
        <w:rPr>
          <w:spacing w:val="-4"/>
        </w:rPr>
        <w:t> </w:t>
      </w:r>
      <w:r>
        <w:rPr/>
        <w:t>U.S. Securities and Exchange Commission (SEC), provide direct insight into each firm’s strategic responses to tariffs, including sourcing diversification, cost management, and risk</w:t>
      </w:r>
      <w:r>
        <w:rPr>
          <w:spacing w:val="40"/>
        </w:rPr>
        <w:t> </w:t>
      </w:r>
      <w:r>
        <w:rPr/>
        <w:t>mitigation.</w:t>
      </w:r>
      <w:r>
        <w:rPr>
          <w:spacing w:val="40"/>
        </w:rPr>
        <w:t> </w:t>
      </w:r>
      <w:r>
        <w:rPr/>
        <w:t>Key sections such as “Risk Factors” and “Management’s Discussion and Analysis” were examined to identify patterns in how each company addressed trade challenges and</w:t>
      </w:r>
      <w:r>
        <w:rPr>
          <w:spacing w:val="40"/>
        </w:rPr>
        <w:t> </w:t>
      </w:r>
      <w:r>
        <w:rPr/>
        <w:t>communicated them to investors and consumers.</w:t>
      </w:r>
    </w:p>
    <w:p>
      <w:pPr>
        <w:pStyle w:val="BodyText"/>
        <w:spacing w:before="104"/>
      </w:pPr>
    </w:p>
    <w:p>
      <w:pPr>
        <w:pStyle w:val="BodyText"/>
        <w:ind w:left="716" w:right="1375"/>
        <w:jc w:val="both"/>
      </w:pPr>
      <w:r>
        <w:rPr/>
        <w:t>The secondary research includes scholarly literature and economic data that establish </w:t>
      </w:r>
      <w:r>
        <w:rPr/>
        <w:t>the theoretical foundation for this study. Peer-reviewed sources such as Klomp (2025), Cigna et al. (2022), Uygun et al. (2023), Karray and Martín (2024), and</w:t>
      </w:r>
      <w:r>
        <w:rPr>
          <w:spacing w:val="-2"/>
        </w:rPr>
        <w:t> </w:t>
      </w:r>
      <w:r>
        <w:rPr/>
        <w:t>Gonçalves</w:t>
      </w:r>
      <w:r>
        <w:rPr>
          <w:spacing w:val="-2"/>
        </w:rPr>
        <w:t> </w:t>
      </w:r>
      <w:r>
        <w:rPr/>
        <w:t>et</w:t>
      </w:r>
      <w:r>
        <w:rPr>
          <w:spacing w:val="-2"/>
        </w:rPr>
        <w:t> </w:t>
      </w:r>
      <w:r>
        <w:rPr/>
        <w:t>al.</w:t>
      </w:r>
      <w:r>
        <w:rPr>
          <w:spacing w:val="-2"/>
        </w:rPr>
        <w:t> </w:t>
      </w:r>
      <w:r>
        <w:rPr/>
        <w:t>(2024)</w:t>
      </w:r>
      <w:r>
        <w:rPr>
          <w:spacing w:val="-2"/>
        </w:rPr>
        <w:t> </w:t>
      </w:r>
      <w:r>
        <w:rPr/>
        <w:t>were</w:t>
      </w:r>
      <w:r>
        <w:rPr>
          <w:spacing w:val="-2"/>
        </w:rPr>
        <w:t> </w:t>
      </w:r>
      <w:r>
        <w:rPr/>
        <w:t>used</w:t>
      </w:r>
      <w:r>
        <w:rPr>
          <w:spacing w:val="-2"/>
        </w:rPr>
        <w:t> </w:t>
      </w:r>
      <w:r>
        <w:rPr/>
        <w:t>to explain how tariffs influence corporate behavior, marketing communication, and consumer decision-making. Additional economic context was drawn from the Peterson Institute for International Economics (PIIE), the World Trade Organization (WTO), and the International Trade</w:t>
      </w:r>
      <w:r>
        <w:rPr>
          <w:spacing w:val="40"/>
        </w:rPr>
        <w:t> </w:t>
      </w:r>
      <w:r>
        <w:rPr/>
        <w:t>Centre (ITC). Together, these sources allowed for a comparison between real-world firm behavior</w:t>
      </w:r>
      <w:r>
        <w:rPr>
          <w:spacing w:val="40"/>
        </w:rPr>
        <w:t> </w:t>
      </w:r>
      <w:r>
        <w:rPr/>
        <w:t>and established theoretical models, providing a balanced framework for</w:t>
      </w:r>
      <w:r>
        <w:rPr>
          <w:spacing w:val="-2"/>
        </w:rPr>
        <w:t> </w:t>
      </w:r>
      <w:r>
        <w:rPr/>
        <w:t>understanding how</w:t>
      </w:r>
      <w:r>
        <w:rPr>
          <w:spacing w:val="40"/>
        </w:rPr>
        <w:t> </w:t>
      </w:r>
      <w:r>
        <w:rPr/>
        <w:t>integrated strategic decision-making supports corporate resilience during global trade </w:t>
      </w:r>
      <w:r>
        <w:rPr>
          <w:spacing w:val="-2"/>
        </w:rPr>
        <w:t>disruptions.</w:t>
      </w:r>
    </w:p>
    <w:p>
      <w:pPr>
        <w:pStyle w:val="BodyText"/>
        <w:spacing w:before="105"/>
      </w:pPr>
    </w:p>
    <w:p>
      <w:pPr>
        <w:pStyle w:val="Heading4"/>
        <w:ind w:left="716"/>
      </w:pPr>
      <w:r>
        <w:rPr/>
        <w:t>Literature</w:t>
      </w:r>
      <w:r>
        <w:rPr>
          <w:spacing w:val="-5"/>
        </w:rPr>
        <w:t> </w:t>
      </w:r>
      <w:r>
        <w:rPr>
          <w:spacing w:val="-2"/>
        </w:rPr>
        <w:t>Review</w:t>
      </w:r>
    </w:p>
    <w:p>
      <w:pPr>
        <w:pStyle w:val="BodyText"/>
        <w:spacing w:before="104"/>
        <w:rPr>
          <w:b/>
        </w:rPr>
      </w:pPr>
    </w:p>
    <w:p>
      <w:pPr>
        <w:pStyle w:val="BodyText"/>
        <w:ind w:left="716" w:right="1375"/>
        <w:jc w:val="both"/>
      </w:pPr>
      <w:r>
        <w:rPr/>
        <w:t>A growing body of interdisciplinary research examines how firms navigate the intersection</w:t>
      </w:r>
      <w:r>
        <w:rPr>
          <w:spacing w:val="40"/>
        </w:rPr>
        <w:t> </w:t>
      </w:r>
      <w:r>
        <w:rPr/>
        <w:t>of global trade</w:t>
      </w:r>
      <w:r>
        <w:rPr>
          <w:spacing w:val="-6"/>
        </w:rPr>
        <w:t> </w:t>
      </w:r>
      <w:r>
        <w:rPr/>
        <w:t>policy,</w:t>
      </w:r>
      <w:r>
        <w:rPr>
          <w:spacing w:val="-6"/>
        </w:rPr>
        <w:t> </w:t>
      </w:r>
      <w:r>
        <w:rPr/>
        <w:t>supply</w:t>
      </w:r>
      <w:r>
        <w:rPr>
          <w:spacing w:val="-6"/>
        </w:rPr>
        <w:t> </w:t>
      </w:r>
      <w:r>
        <w:rPr/>
        <w:t>chain</w:t>
      </w:r>
      <w:r>
        <w:rPr>
          <w:spacing w:val="-6"/>
        </w:rPr>
        <w:t> </w:t>
      </w:r>
      <w:r>
        <w:rPr/>
        <w:t>design,</w:t>
      </w:r>
      <w:r>
        <w:rPr>
          <w:spacing w:val="-6"/>
        </w:rPr>
        <w:t> </w:t>
      </w:r>
      <w:r>
        <w:rPr/>
        <w:t>pricing</w:t>
      </w:r>
      <w:r>
        <w:rPr>
          <w:spacing w:val="-6"/>
        </w:rPr>
        <w:t> </w:t>
      </w:r>
      <w:r>
        <w:rPr/>
        <w:t>strategy,</w:t>
      </w:r>
      <w:r>
        <w:rPr>
          <w:spacing w:val="-6"/>
        </w:rPr>
        <w:t> </w:t>
      </w:r>
      <w:r>
        <w:rPr/>
        <w:t>and</w:t>
      </w:r>
      <w:r>
        <w:rPr>
          <w:spacing w:val="-6"/>
        </w:rPr>
        <w:t> </w:t>
      </w:r>
      <w:r>
        <w:rPr/>
        <w:t>consumer</w:t>
      </w:r>
      <w:r>
        <w:rPr>
          <w:spacing w:val="-6"/>
        </w:rPr>
        <w:t> </w:t>
      </w:r>
      <w:r>
        <w:rPr/>
        <w:t>behavior.</w:t>
      </w:r>
      <w:r>
        <w:rPr>
          <w:spacing w:val="-6"/>
        </w:rPr>
        <w:t> </w:t>
      </w:r>
      <w:r>
        <w:rPr/>
        <w:t>However,</w:t>
      </w:r>
      <w:r>
        <w:rPr>
          <w:spacing w:val="40"/>
        </w:rPr>
        <w:t> </w:t>
      </w:r>
      <w:r>
        <w:rPr/>
        <w:t>most studies isolate these variables rather than considering them as parts of an integrated </w:t>
      </w:r>
      <w:r>
        <w:rPr/>
        <w:t>strategic process. This</w:t>
      </w:r>
      <w:r>
        <w:rPr>
          <w:spacing w:val="-4"/>
        </w:rPr>
        <w:t> </w:t>
      </w:r>
      <w:r>
        <w:rPr/>
        <w:t>review</w:t>
      </w:r>
      <w:r>
        <w:rPr>
          <w:spacing w:val="-4"/>
        </w:rPr>
        <w:t> </w:t>
      </w:r>
      <w:r>
        <w:rPr/>
        <w:t>synthesizes</w:t>
      </w:r>
      <w:r>
        <w:rPr>
          <w:spacing w:val="-4"/>
        </w:rPr>
        <w:t> </w:t>
      </w:r>
      <w:r>
        <w:rPr/>
        <w:t>economic,</w:t>
      </w:r>
      <w:r>
        <w:rPr>
          <w:spacing w:val="-4"/>
        </w:rPr>
        <w:t> </w:t>
      </w:r>
      <w:r>
        <w:rPr/>
        <w:t>managerial,</w:t>
      </w:r>
      <w:r>
        <w:rPr>
          <w:spacing w:val="-4"/>
        </w:rPr>
        <w:t> </w:t>
      </w:r>
      <w:r>
        <w:rPr/>
        <w:t>and</w:t>
      </w:r>
      <w:r>
        <w:rPr>
          <w:spacing w:val="-4"/>
        </w:rPr>
        <w:t> </w:t>
      </w:r>
      <w:r>
        <w:rPr/>
        <w:t>marketing</w:t>
      </w:r>
      <w:r>
        <w:rPr>
          <w:spacing w:val="-4"/>
        </w:rPr>
        <w:t> </w:t>
      </w:r>
      <w:r>
        <w:rPr/>
        <w:t>perspectives</w:t>
      </w:r>
      <w:r>
        <w:rPr>
          <w:spacing w:val="-4"/>
        </w:rPr>
        <w:t> </w:t>
      </w:r>
      <w:r>
        <w:rPr/>
        <w:t>to</w:t>
      </w:r>
      <w:r>
        <w:rPr>
          <w:spacing w:val="-4"/>
        </w:rPr>
        <w:t> </w:t>
      </w:r>
      <w:r>
        <w:rPr/>
        <w:t>construct</w:t>
      </w:r>
      <w:r>
        <w:rPr>
          <w:spacing w:val="-4"/>
        </w:rPr>
        <w:t> </w:t>
      </w:r>
      <w:r>
        <w:rPr/>
        <w:t>a comprehensive foundation for understanding how tariffs and related trade barriers influence corporate strategy and consumer response.</w:t>
      </w:r>
    </w:p>
    <w:p>
      <w:pPr>
        <w:pStyle w:val="BodyText"/>
        <w:spacing w:before="104"/>
      </w:pPr>
    </w:p>
    <w:p>
      <w:pPr>
        <w:pStyle w:val="BodyText"/>
        <w:ind w:left="731"/>
      </w:pPr>
      <w:r>
        <w:rPr>
          <w:u w:val="thick"/>
        </w:rPr>
        <w:t>Tariffs,</w:t>
      </w:r>
      <w:r>
        <w:rPr>
          <w:spacing w:val="-10"/>
          <w:u w:val="thick"/>
        </w:rPr>
        <w:t> </w:t>
      </w:r>
      <w:r>
        <w:rPr>
          <w:u w:val="thick"/>
        </w:rPr>
        <w:t>Trade</w:t>
      </w:r>
      <w:r>
        <w:rPr>
          <w:spacing w:val="-9"/>
          <w:u w:val="thick"/>
        </w:rPr>
        <w:t> </w:t>
      </w:r>
      <w:r>
        <w:rPr>
          <w:u w:val="thick"/>
        </w:rPr>
        <w:t>Policy,</w:t>
      </w:r>
      <w:r>
        <w:rPr>
          <w:spacing w:val="-10"/>
          <w:u w:val="thick"/>
        </w:rPr>
        <w:t> </w:t>
      </w:r>
      <w:r>
        <w:rPr>
          <w:u w:val="thick"/>
        </w:rPr>
        <w:t>and</w:t>
      </w:r>
      <w:r>
        <w:rPr>
          <w:spacing w:val="-9"/>
          <w:u w:val="thick"/>
        </w:rPr>
        <w:t> </w:t>
      </w:r>
      <w:r>
        <w:rPr>
          <w:u w:val="thick"/>
        </w:rPr>
        <w:t>Economic</w:t>
      </w:r>
      <w:r>
        <w:rPr>
          <w:spacing w:val="-9"/>
          <w:u w:val="thick"/>
        </w:rPr>
        <w:t> </w:t>
      </w:r>
      <w:r>
        <w:rPr>
          <w:spacing w:val="-2"/>
          <w:u w:val="thick"/>
        </w:rPr>
        <w:t>Impacts</w:t>
      </w:r>
    </w:p>
    <w:p>
      <w:pPr>
        <w:pStyle w:val="BodyText"/>
        <w:spacing w:before="272"/>
        <w:ind w:left="716" w:right="1191"/>
      </w:pPr>
      <w:r>
        <w:rPr/>
        <w:t>The</w:t>
      </w:r>
      <w:r>
        <w:rPr>
          <w:spacing w:val="-3"/>
        </w:rPr>
        <w:t> </w:t>
      </w:r>
      <w:r>
        <w:rPr/>
        <w:t>economic</w:t>
      </w:r>
      <w:r>
        <w:rPr>
          <w:spacing w:val="-3"/>
        </w:rPr>
        <w:t> </w:t>
      </w:r>
      <w:r>
        <w:rPr/>
        <w:t>consequences</w:t>
      </w:r>
      <w:r>
        <w:rPr>
          <w:spacing w:val="-3"/>
        </w:rPr>
        <w:t> </w:t>
      </w:r>
      <w:r>
        <w:rPr/>
        <w:t>of</w:t>
      </w:r>
      <w:r>
        <w:rPr>
          <w:spacing w:val="-3"/>
        </w:rPr>
        <w:t> </w:t>
      </w:r>
      <w:r>
        <w:rPr/>
        <w:t>tariffs</w:t>
      </w:r>
      <w:r>
        <w:rPr>
          <w:spacing w:val="-3"/>
        </w:rPr>
        <w:t> </w:t>
      </w:r>
      <w:r>
        <w:rPr/>
        <w:t>have</w:t>
      </w:r>
      <w:r>
        <w:rPr>
          <w:spacing w:val="-3"/>
        </w:rPr>
        <w:t> </w:t>
      </w:r>
      <w:r>
        <w:rPr/>
        <w:t>been</w:t>
      </w:r>
      <w:r>
        <w:rPr>
          <w:spacing w:val="-3"/>
        </w:rPr>
        <w:t> </w:t>
      </w:r>
      <w:r>
        <w:rPr/>
        <w:t>among</w:t>
      </w:r>
      <w:r>
        <w:rPr>
          <w:spacing w:val="-3"/>
        </w:rPr>
        <w:t> </w:t>
      </w:r>
      <w:r>
        <w:rPr/>
        <w:t>the</w:t>
      </w:r>
      <w:r>
        <w:rPr>
          <w:spacing w:val="-3"/>
        </w:rPr>
        <w:t> </w:t>
      </w:r>
      <w:r>
        <w:rPr/>
        <w:t>most</w:t>
      </w:r>
      <w:r>
        <w:rPr>
          <w:spacing w:val="-3"/>
        </w:rPr>
        <w:t> </w:t>
      </w:r>
      <w:r>
        <w:rPr/>
        <w:t>studied</w:t>
      </w:r>
      <w:r>
        <w:rPr>
          <w:spacing w:val="-3"/>
        </w:rPr>
        <w:t> </w:t>
      </w:r>
      <w:r>
        <w:rPr/>
        <w:t>dimensions</w:t>
      </w:r>
      <w:r>
        <w:rPr>
          <w:spacing w:val="-3"/>
        </w:rPr>
        <w:t> </w:t>
      </w:r>
      <w:r>
        <w:rPr/>
        <w:t>of</w:t>
      </w:r>
      <w:r>
        <w:rPr>
          <w:spacing w:val="40"/>
        </w:rPr>
        <w:t> </w:t>
      </w:r>
      <w:r>
        <w:rPr/>
        <w:t>modern trade policy. Klomp (2025) offers one of the most detailed recent examinations of the Trump administration’s</w:t>
      </w:r>
      <w:r>
        <w:rPr>
          <w:spacing w:val="-4"/>
        </w:rPr>
        <w:t> </w:t>
      </w:r>
      <w:r>
        <w:rPr/>
        <w:t>tariffs</w:t>
      </w:r>
      <w:r>
        <w:rPr>
          <w:spacing w:val="-4"/>
        </w:rPr>
        <w:t> </w:t>
      </w:r>
      <w:r>
        <w:rPr/>
        <w:t>and</w:t>
      </w:r>
      <w:r>
        <w:rPr>
          <w:spacing w:val="-4"/>
        </w:rPr>
        <w:t> </w:t>
      </w:r>
      <w:r>
        <w:rPr/>
        <w:t>their</w:t>
      </w:r>
      <w:r>
        <w:rPr>
          <w:spacing w:val="-4"/>
        </w:rPr>
        <w:t> </w:t>
      </w:r>
      <w:r>
        <w:rPr/>
        <w:t>broader</w:t>
      </w:r>
      <w:r>
        <w:rPr>
          <w:spacing w:val="-4"/>
        </w:rPr>
        <w:t> </w:t>
      </w:r>
      <w:r>
        <w:rPr/>
        <w:t>effects</w:t>
      </w:r>
      <w:r>
        <w:rPr>
          <w:spacing w:val="-4"/>
        </w:rPr>
        <w:t> </w:t>
      </w:r>
      <w:r>
        <w:rPr/>
        <w:t>on</w:t>
      </w:r>
      <w:r>
        <w:rPr>
          <w:spacing w:val="-4"/>
        </w:rPr>
        <w:t> </w:t>
      </w:r>
      <w:r>
        <w:rPr/>
        <w:t>U.S.</w:t>
      </w:r>
      <w:r>
        <w:rPr>
          <w:spacing w:val="-4"/>
        </w:rPr>
        <w:t> </w:t>
      </w:r>
      <w:r>
        <w:rPr/>
        <w:t>industry.</w:t>
      </w:r>
      <w:r>
        <w:rPr>
          <w:spacing w:val="-4"/>
        </w:rPr>
        <w:t> </w:t>
      </w:r>
      <w:r>
        <w:rPr/>
        <w:t>His</w:t>
      </w:r>
      <w:r>
        <w:rPr>
          <w:spacing w:val="-4"/>
        </w:rPr>
        <w:t> </w:t>
      </w:r>
      <w:r>
        <w:rPr/>
        <w:t>analysis</w:t>
      </w:r>
      <w:r>
        <w:rPr>
          <w:spacing w:val="-4"/>
        </w:rPr>
        <w:t> </w:t>
      </w:r>
      <w:r>
        <w:rPr/>
        <w:t>reveals</w:t>
      </w:r>
      <w:r>
        <w:rPr>
          <w:spacing w:val="-4"/>
        </w:rPr>
        <w:t> </w:t>
      </w:r>
      <w:r>
        <w:rPr/>
        <w:t>that</w:t>
      </w:r>
      <w:r>
        <w:rPr>
          <w:spacing w:val="40"/>
        </w:rPr>
        <w:t> </w:t>
      </w:r>
      <w:r>
        <w:rPr/>
        <w:t>these tariffs, initially designed to protect domestic manufacturing, ultimately increased input costs, reduced investment, and generated inefficiencies across several key sectors. Klomp argues that</w:t>
      </w:r>
    </w:p>
    <w:p>
      <w:pPr>
        <w:pStyle w:val="BodyText"/>
        <w:spacing w:after="0"/>
        <w:sectPr>
          <w:pgSz w:w="12240" w:h="15840"/>
          <w:pgMar w:header="0" w:footer="706" w:top="640" w:bottom="900" w:left="720" w:right="0"/>
        </w:sectPr>
      </w:pPr>
    </w:p>
    <w:p>
      <w:pPr>
        <w:pStyle w:val="BodyText"/>
        <w:spacing w:before="60"/>
        <w:ind w:left="716" w:right="1381"/>
      </w:pPr>
      <w:r>
        <w:rPr/>
        <w:drawing>
          <wp:anchor distT="0" distB="0" distL="0" distR="0" allowOverlap="1" layoutInCell="1" locked="0" behindDoc="1" simplePos="0" relativeHeight="487591936">
            <wp:simplePos x="0" y="0"/>
            <wp:positionH relativeFrom="page">
              <wp:posOffset>2843326</wp:posOffset>
            </wp:positionH>
            <wp:positionV relativeFrom="paragraph">
              <wp:posOffset>591347</wp:posOffset>
            </wp:positionV>
            <wp:extent cx="2579245" cy="3415284"/>
            <wp:effectExtent l="0" t="0" r="0" b="0"/>
            <wp:wrapTopAndBottom/>
            <wp:docPr id="21" name="Image 21"/>
            <wp:cNvGraphicFramePr>
              <a:graphicFrameLocks/>
            </wp:cNvGraphicFramePr>
            <a:graphic>
              <a:graphicData uri="http://schemas.openxmlformats.org/drawingml/2006/picture">
                <pic:pic>
                  <pic:nvPicPr>
                    <pic:cNvPr id="21" name="Image 21"/>
                    <pic:cNvPicPr/>
                  </pic:nvPicPr>
                  <pic:blipFill>
                    <a:blip r:embed="rId76" cstate="print"/>
                    <a:stretch>
                      <a:fillRect/>
                    </a:stretch>
                  </pic:blipFill>
                  <pic:spPr>
                    <a:xfrm>
                      <a:off x="0" y="0"/>
                      <a:ext cx="2579245" cy="3415284"/>
                    </a:xfrm>
                    <a:prstGeom prst="rect">
                      <a:avLst/>
                    </a:prstGeom>
                  </pic:spPr>
                </pic:pic>
              </a:graphicData>
            </a:graphic>
          </wp:anchor>
        </w:drawing>
      </w:r>
      <w:r>
        <w:rPr/>
        <w:t>tariffs function as both political and economic instruments that force firms to adapt by restructuring</w:t>
      </w:r>
      <w:r>
        <w:rPr>
          <w:spacing w:val="40"/>
        </w:rPr>
        <w:t> </w:t>
      </w:r>
      <w:r>
        <w:rPr/>
        <w:t>their</w:t>
      </w:r>
      <w:r>
        <w:rPr>
          <w:spacing w:val="-3"/>
        </w:rPr>
        <w:t> </w:t>
      </w:r>
      <w:r>
        <w:rPr/>
        <w:t>sourcing</w:t>
      </w:r>
      <w:r>
        <w:rPr>
          <w:spacing w:val="-3"/>
        </w:rPr>
        <w:t> </w:t>
      </w:r>
      <w:r>
        <w:rPr/>
        <w:t>and</w:t>
      </w:r>
      <w:r>
        <w:rPr>
          <w:spacing w:val="-3"/>
        </w:rPr>
        <w:t> </w:t>
      </w:r>
      <w:r>
        <w:rPr/>
        <w:t>cost</w:t>
      </w:r>
      <w:r>
        <w:rPr>
          <w:spacing w:val="-3"/>
        </w:rPr>
        <w:t> </w:t>
      </w:r>
      <w:r>
        <w:rPr/>
        <w:t>strategies.</w:t>
      </w:r>
      <w:r>
        <w:rPr>
          <w:spacing w:val="-3"/>
        </w:rPr>
        <w:t> </w:t>
      </w:r>
      <w:r>
        <w:rPr/>
        <w:t>This</w:t>
      </w:r>
      <w:r>
        <w:rPr>
          <w:spacing w:val="-3"/>
        </w:rPr>
        <w:t> </w:t>
      </w:r>
      <w:r>
        <w:rPr/>
        <w:t>insight</w:t>
      </w:r>
      <w:r>
        <w:rPr>
          <w:spacing w:val="-3"/>
        </w:rPr>
        <w:t> </w:t>
      </w:r>
      <w:r>
        <w:rPr/>
        <w:t>provides</w:t>
      </w:r>
      <w:r>
        <w:rPr>
          <w:spacing w:val="-3"/>
        </w:rPr>
        <w:t> </w:t>
      </w:r>
      <w:r>
        <w:rPr/>
        <w:t>the</w:t>
      </w:r>
      <w:r>
        <w:rPr>
          <w:spacing w:val="-3"/>
        </w:rPr>
        <w:t> </w:t>
      </w:r>
      <w:r>
        <w:rPr/>
        <w:t>economic</w:t>
      </w:r>
      <w:r>
        <w:rPr>
          <w:spacing w:val="-3"/>
        </w:rPr>
        <w:t> </w:t>
      </w:r>
      <w:r>
        <w:rPr/>
        <w:t>basis</w:t>
      </w:r>
      <w:r>
        <w:rPr>
          <w:spacing w:val="-3"/>
        </w:rPr>
        <w:t> </w:t>
      </w:r>
      <w:r>
        <w:rPr/>
        <w:t>for understanding how</w:t>
      </w:r>
      <w:r>
        <w:rPr>
          <w:spacing w:val="40"/>
        </w:rPr>
        <w:t> </w:t>
      </w:r>
      <w:r>
        <w:rPr/>
        <w:t>trade policies directly shape firm-level strategic behavior.</w:t>
      </w:r>
    </w:p>
    <w:p>
      <w:pPr>
        <w:pStyle w:val="BodyText"/>
        <w:spacing w:before="76"/>
        <w:ind w:left="716"/>
      </w:pPr>
      <w:r>
        <w:rPr/>
        <w:t>Figure</w:t>
      </w:r>
      <w:r>
        <w:rPr>
          <w:spacing w:val="-6"/>
        </w:rPr>
        <w:t> </w:t>
      </w:r>
      <w:r>
        <w:rPr/>
        <w:t>3:</w:t>
      </w:r>
      <w:r>
        <w:rPr>
          <w:spacing w:val="-5"/>
        </w:rPr>
        <w:t> </w:t>
      </w:r>
      <w:r>
        <w:rPr/>
        <w:t>Tariffs</w:t>
      </w:r>
      <w:r>
        <w:rPr>
          <w:spacing w:val="-5"/>
        </w:rPr>
        <w:t> </w:t>
      </w:r>
      <w:r>
        <w:rPr/>
        <w:t>impact</w:t>
      </w:r>
      <w:r>
        <w:rPr>
          <w:spacing w:val="-5"/>
        </w:rPr>
        <w:t> </w:t>
      </w:r>
      <w:r>
        <w:rPr/>
        <w:t>on</w:t>
      </w:r>
      <w:r>
        <w:rPr>
          <w:spacing w:val="-6"/>
        </w:rPr>
        <w:t> </w:t>
      </w:r>
      <w:r>
        <w:rPr/>
        <w:t>key</w:t>
      </w:r>
      <w:r>
        <w:rPr>
          <w:spacing w:val="-5"/>
        </w:rPr>
        <w:t> </w:t>
      </w:r>
      <w:r>
        <w:rPr/>
        <w:t>products</w:t>
      </w:r>
      <w:r>
        <w:rPr>
          <w:spacing w:val="-5"/>
        </w:rPr>
        <w:t> </w:t>
      </w:r>
      <w:r>
        <w:rPr/>
        <w:t>(Wendling,</w:t>
      </w:r>
      <w:r>
        <w:rPr>
          <w:spacing w:val="-5"/>
        </w:rPr>
        <w:t> </w:t>
      </w:r>
      <w:r>
        <w:rPr>
          <w:spacing w:val="-2"/>
        </w:rPr>
        <w:t>2025)</w:t>
      </w:r>
    </w:p>
    <w:p>
      <w:pPr>
        <w:pStyle w:val="BodyText"/>
      </w:pPr>
    </w:p>
    <w:p>
      <w:pPr>
        <w:pStyle w:val="BodyText"/>
        <w:spacing w:before="116"/>
      </w:pPr>
    </w:p>
    <w:p>
      <w:pPr>
        <w:pStyle w:val="BodyText"/>
        <w:ind w:left="731"/>
      </w:pPr>
      <w:r>
        <w:rPr>
          <w:u w:val="thick"/>
        </w:rPr>
        <w:t>Outsourcing,</w:t>
      </w:r>
      <w:r>
        <w:rPr>
          <w:spacing w:val="-3"/>
          <w:u w:val="thick"/>
        </w:rPr>
        <w:t> </w:t>
      </w:r>
      <w:r>
        <w:rPr>
          <w:u w:val="thick"/>
        </w:rPr>
        <w:t>Supply</w:t>
      </w:r>
      <w:r>
        <w:rPr>
          <w:spacing w:val="-3"/>
          <w:u w:val="thick"/>
        </w:rPr>
        <w:t> </w:t>
      </w:r>
      <w:r>
        <w:rPr>
          <w:u w:val="thick"/>
        </w:rPr>
        <w:t>Chain</w:t>
      </w:r>
      <w:r>
        <w:rPr>
          <w:spacing w:val="-2"/>
          <w:u w:val="thick"/>
        </w:rPr>
        <w:t> </w:t>
      </w:r>
      <w:r>
        <w:rPr>
          <w:u w:val="thick"/>
        </w:rPr>
        <w:t>Strategy,</w:t>
      </w:r>
      <w:r>
        <w:rPr>
          <w:spacing w:val="-3"/>
          <w:u w:val="thick"/>
        </w:rPr>
        <w:t> </w:t>
      </w:r>
      <w:r>
        <w:rPr>
          <w:u w:val="thick"/>
        </w:rPr>
        <w:t>and</w:t>
      </w:r>
      <w:r>
        <w:rPr>
          <w:spacing w:val="-3"/>
          <w:u w:val="thick"/>
        </w:rPr>
        <w:t> </w:t>
      </w:r>
      <w:r>
        <w:rPr>
          <w:u w:val="thick"/>
        </w:rPr>
        <w:t>Sourcing</w:t>
      </w:r>
      <w:r>
        <w:rPr>
          <w:spacing w:val="-2"/>
          <w:u w:val="thick"/>
        </w:rPr>
        <w:t> Dynamics</w:t>
      </w:r>
    </w:p>
    <w:p>
      <w:pPr>
        <w:pStyle w:val="BodyText"/>
        <w:spacing w:before="272"/>
        <w:ind w:left="716" w:right="1375"/>
        <w:jc w:val="both"/>
      </w:pPr>
      <w:r>
        <w:rPr/>
        <w:t>As firms adapt to tariff-induced cost pressures, supply chain management emerges as a</w:t>
      </w:r>
      <w:r>
        <w:rPr>
          <w:spacing w:val="40"/>
        </w:rPr>
        <w:t> </w:t>
      </w:r>
      <w:r>
        <w:rPr/>
        <w:t>crucial mechanism for strategic adjustment. Uygun, Gotsadze, Schupp, Gzirishvili, and Tindjou</w:t>
      </w:r>
      <w:r>
        <w:rPr>
          <w:spacing w:val="40"/>
        </w:rPr>
        <w:t> </w:t>
      </w:r>
      <w:r>
        <w:rPr/>
        <w:t>Nana (2023) provide a comprehensive model for understanding outsourcing dynamics, framing</w:t>
      </w:r>
      <w:r>
        <w:rPr>
          <w:spacing w:val="40"/>
        </w:rPr>
        <w:t> </w:t>
      </w:r>
      <w:r>
        <w:rPr/>
        <w:t>the supply chain as an interconnected and adaptive system. Their holistic model highlights that outsourcing is no longer solely about cost efficiency; it is a strategic decision grounded in flexibility, resilience, and innovation. They argue that global firms must maintain diverse and modular networks to respond effectively to disruptions like tariffs or regional instability. This model offers a conceptual backbone for this paper by explaining how firms</w:t>
      </w:r>
      <w:r>
        <w:rPr>
          <w:spacing w:val="-3"/>
        </w:rPr>
        <w:t> </w:t>
      </w:r>
      <w:r>
        <w:rPr/>
        <w:t>integrate</w:t>
      </w:r>
      <w:r>
        <w:rPr>
          <w:spacing w:val="-3"/>
        </w:rPr>
        <w:t> </w:t>
      </w:r>
      <w:r>
        <w:rPr/>
        <w:t>operational flexibility with long-term strategic goals.</w:t>
      </w:r>
    </w:p>
    <w:p>
      <w:pPr>
        <w:pStyle w:val="BodyText"/>
        <w:spacing w:before="104"/>
      </w:pPr>
    </w:p>
    <w:p>
      <w:pPr>
        <w:pStyle w:val="BodyText"/>
        <w:ind w:left="716"/>
        <w:jc w:val="both"/>
      </w:pPr>
      <w:r>
        <w:rPr>
          <w:u w:val="thick"/>
        </w:rPr>
        <w:t>Decision</w:t>
      </w:r>
      <w:r>
        <w:rPr>
          <w:spacing w:val="-3"/>
          <w:u w:val="thick"/>
        </w:rPr>
        <w:t> </w:t>
      </w:r>
      <w:r>
        <w:rPr>
          <w:u w:val="thick"/>
        </w:rPr>
        <w:t>Timing</w:t>
      </w:r>
      <w:r>
        <w:rPr>
          <w:spacing w:val="-2"/>
          <w:u w:val="thick"/>
        </w:rPr>
        <w:t> </w:t>
      </w:r>
      <w:r>
        <w:rPr>
          <w:u w:val="thick"/>
        </w:rPr>
        <w:t>and</w:t>
      </w:r>
      <w:r>
        <w:rPr>
          <w:spacing w:val="-2"/>
          <w:u w:val="thick"/>
        </w:rPr>
        <w:t> </w:t>
      </w:r>
      <w:r>
        <w:rPr>
          <w:u w:val="thick"/>
        </w:rPr>
        <w:t>Cross-Functional</w:t>
      </w:r>
      <w:r>
        <w:rPr>
          <w:spacing w:val="-2"/>
          <w:u w:val="thick"/>
        </w:rPr>
        <w:t> Integration</w:t>
      </w:r>
    </w:p>
    <w:p>
      <w:pPr>
        <w:pStyle w:val="BodyText"/>
        <w:spacing w:before="272"/>
        <w:ind w:left="731" w:right="1375"/>
        <w:jc w:val="both"/>
      </w:pPr>
      <w:r>
        <w:rPr/>
        <w:t>The final area of scholarship addresses how firms synchronize and time their decisions</w:t>
      </w:r>
      <w:r>
        <w:rPr>
          <w:spacing w:val="40"/>
        </w:rPr>
        <w:t> </w:t>
      </w:r>
      <w:r>
        <w:rPr/>
        <w:t>across functional</w:t>
      </w:r>
      <w:r>
        <w:rPr>
          <w:spacing w:val="40"/>
        </w:rPr>
        <w:t> </w:t>
      </w:r>
      <w:r>
        <w:rPr/>
        <w:t>areas.</w:t>
      </w:r>
      <w:r>
        <w:rPr>
          <w:spacing w:val="40"/>
        </w:rPr>
        <w:t> </w:t>
      </w:r>
      <w:r>
        <w:rPr/>
        <w:t>Karray</w:t>
      </w:r>
      <w:r>
        <w:rPr>
          <w:spacing w:val="40"/>
        </w:rPr>
        <w:t> </w:t>
      </w:r>
      <w:r>
        <w:rPr/>
        <w:t>and</w:t>
      </w:r>
      <w:r>
        <w:rPr>
          <w:spacing w:val="40"/>
        </w:rPr>
        <w:t> </w:t>
      </w:r>
      <w:r>
        <w:rPr/>
        <w:t>Martín</w:t>
      </w:r>
      <w:r>
        <w:rPr>
          <w:spacing w:val="40"/>
        </w:rPr>
        <w:t> </w:t>
      </w:r>
      <w:r>
        <w:rPr/>
        <w:t>(2024)</w:t>
      </w:r>
      <w:r>
        <w:rPr>
          <w:spacing w:val="40"/>
        </w:rPr>
        <w:t> </w:t>
      </w:r>
      <w:r>
        <w:rPr/>
        <w:t>explore</w:t>
      </w:r>
      <w:r>
        <w:rPr>
          <w:spacing w:val="40"/>
        </w:rPr>
        <w:t> </w:t>
      </w:r>
      <w:r>
        <w:rPr/>
        <w:t>the effects of decision timing in supply chains with competing manufacturers, employing game theory to show how delaying or sequencing decisions</w:t>
      </w:r>
      <w:r>
        <w:rPr>
          <w:spacing w:val="-3"/>
        </w:rPr>
        <w:t> </w:t>
      </w:r>
      <w:r>
        <w:rPr/>
        <w:t>can</w:t>
      </w:r>
      <w:r>
        <w:rPr>
          <w:spacing w:val="-3"/>
        </w:rPr>
        <w:t> </w:t>
      </w:r>
      <w:r>
        <w:rPr/>
        <w:t>yield</w:t>
      </w:r>
      <w:r>
        <w:rPr>
          <w:spacing w:val="-3"/>
        </w:rPr>
        <w:t> </w:t>
      </w:r>
      <w:r>
        <w:rPr/>
        <w:t>strategic</w:t>
      </w:r>
      <w:r>
        <w:rPr>
          <w:spacing w:val="-3"/>
        </w:rPr>
        <w:t> </w:t>
      </w:r>
      <w:r>
        <w:rPr/>
        <w:t>advantages.</w:t>
      </w:r>
      <w:r>
        <w:rPr>
          <w:spacing w:val="-3"/>
        </w:rPr>
        <w:t> </w:t>
      </w:r>
      <w:r>
        <w:rPr/>
        <w:t>They</w:t>
      </w:r>
      <w:r>
        <w:rPr>
          <w:spacing w:val="-3"/>
        </w:rPr>
        <w:t> </w:t>
      </w:r>
      <w:r>
        <w:rPr/>
        <w:t>argue</w:t>
      </w:r>
      <w:r>
        <w:rPr>
          <w:spacing w:val="-3"/>
        </w:rPr>
        <w:t> </w:t>
      </w:r>
      <w:r>
        <w:rPr/>
        <w:t>that</w:t>
      </w:r>
      <w:r>
        <w:rPr>
          <w:spacing w:val="-3"/>
        </w:rPr>
        <w:t> </w:t>
      </w:r>
      <w:r>
        <w:rPr/>
        <w:t>firms</w:t>
      </w:r>
      <w:r>
        <w:rPr>
          <w:spacing w:val="-3"/>
        </w:rPr>
        <w:t> </w:t>
      </w:r>
      <w:r>
        <w:rPr/>
        <w:t>that</w:t>
      </w:r>
      <w:r>
        <w:rPr>
          <w:spacing w:val="-3"/>
        </w:rPr>
        <w:t> </w:t>
      </w:r>
      <w:r>
        <w:rPr/>
        <w:t>coordinate</w:t>
      </w:r>
      <w:r>
        <w:rPr>
          <w:spacing w:val="-3"/>
        </w:rPr>
        <w:t> </w:t>
      </w:r>
      <w:r>
        <w:rPr/>
        <w:t>pricing and marketing</w:t>
      </w:r>
      <w:r>
        <w:rPr>
          <w:spacing w:val="-3"/>
        </w:rPr>
        <w:t> </w:t>
      </w:r>
      <w:r>
        <w:rPr/>
        <w:t>timing</w:t>
      </w:r>
      <w:r>
        <w:rPr>
          <w:spacing w:val="-3"/>
        </w:rPr>
        <w:t> </w:t>
      </w:r>
      <w:r>
        <w:rPr/>
        <w:t>relative</w:t>
      </w:r>
      <w:r>
        <w:rPr>
          <w:spacing w:val="-3"/>
        </w:rPr>
        <w:t> </w:t>
      </w:r>
      <w:r>
        <w:rPr/>
        <w:t>to</w:t>
      </w:r>
      <w:r>
        <w:rPr>
          <w:spacing w:val="-3"/>
        </w:rPr>
        <w:t> </w:t>
      </w:r>
      <w:r>
        <w:rPr/>
        <w:t>competitors</w:t>
      </w:r>
      <w:r>
        <w:rPr>
          <w:spacing w:val="-3"/>
        </w:rPr>
        <w:t> </w:t>
      </w:r>
      <w:r>
        <w:rPr/>
        <w:t>and</w:t>
      </w:r>
      <w:r>
        <w:rPr>
          <w:spacing w:val="-3"/>
        </w:rPr>
        <w:t> </w:t>
      </w:r>
      <w:r>
        <w:rPr/>
        <w:t>market</w:t>
      </w:r>
      <w:r>
        <w:rPr>
          <w:spacing w:val="-3"/>
        </w:rPr>
        <w:t> </w:t>
      </w:r>
      <w:r>
        <w:rPr/>
        <w:t>shifts</w:t>
      </w:r>
      <w:r>
        <w:rPr>
          <w:spacing w:val="-3"/>
        </w:rPr>
        <w:t> </w:t>
      </w:r>
      <w:r>
        <w:rPr/>
        <w:t>tend</w:t>
      </w:r>
      <w:r>
        <w:rPr>
          <w:spacing w:val="-3"/>
        </w:rPr>
        <w:t> </w:t>
      </w:r>
      <w:r>
        <w:rPr/>
        <w:t>to</w:t>
      </w:r>
      <w:r>
        <w:rPr>
          <w:spacing w:val="-3"/>
        </w:rPr>
        <w:t> </w:t>
      </w:r>
      <w:r>
        <w:rPr/>
        <w:t>achieve</w:t>
      </w:r>
      <w:r>
        <w:rPr>
          <w:spacing w:val="-3"/>
        </w:rPr>
        <w:t> </w:t>
      </w:r>
      <w:r>
        <w:rPr/>
        <w:t>higher</w:t>
      </w:r>
      <w:r>
        <w:rPr>
          <w:spacing w:val="-3"/>
        </w:rPr>
        <w:t> </w:t>
      </w:r>
      <w:r>
        <w:rPr/>
        <w:t>profitability and stability. This framework provides the theoretical backbone for this paper’s argument that integrated, cross-functional decision-making enables firms to better navigate uncertainty.</w:t>
      </w:r>
    </w:p>
    <w:p>
      <w:pPr>
        <w:pStyle w:val="BodyText"/>
        <w:spacing w:after="0"/>
        <w:jc w:val="both"/>
        <w:sectPr>
          <w:pgSz w:w="12240" w:h="15840"/>
          <w:pgMar w:header="0" w:footer="706" w:top="640" w:bottom="960" w:left="720" w:right="0"/>
        </w:sectPr>
      </w:pPr>
    </w:p>
    <w:p>
      <w:pPr>
        <w:pStyle w:val="BodyText"/>
        <w:spacing w:before="60"/>
        <w:ind w:left="731"/>
        <w:jc w:val="both"/>
      </w:pPr>
      <w:r>
        <w:rPr>
          <w:u w:val="thick"/>
        </w:rPr>
        <w:t>Comparative Company Case </w:t>
      </w:r>
      <w:r>
        <w:rPr>
          <w:spacing w:val="-2"/>
          <w:u w:val="thick"/>
        </w:rPr>
        <w:t>Study</w:t>
      </w:r>
    </w:p>
    <w:p>
      <w:pPr>
        <w:pStyle w:val="BodyText"/>
        <w:spacing w:before="271"/>
        <w:ind w:left="716" w:right="1374"/>
        <w:jc w:val="both"/>
      </w:pPr>
      <w:r>
        <w:rPr/>
        <w:t>The case study data for this research were drawn from publicly available corporate </w:t>
      </w:r>
      <w:r>
        <w:rPr/>
        <w:t>filings, investor communications, and press releases for three multinational firms Walmart Inc., NIKE, Inc., and Apple Inc. from 2019 through 2025. These companies were selected for their global reach, reliance on international supply chains, and distinct but comparable strategies for navigating</w:t>
      </w:r>
      <w:r>
        <w:rPr>
          <w:spacing w:val="80"/>
        </w:rPr>
        <w:t> </w:t>
      </w:r>
      <w:r>
        <w:rPr/>
        <w:t>tariffs</w:t>
      </w:r>
      <w:r>
        <w:rPr>
          <w:spacing w:val="-3"/>
        </w:rPr>
        <w:t> </w:t>
      </w:r>
      <w:r>
        <w:rPr/>
        <w:t>and</w:t>
      </w:r>
      <w:r>
        <w:rPr>
          <w:spacing w:val="-3"/>
        </w:rPr>
        <w:t> </w:t>
      </w:r>
      <w:r>
        <w:rPr/>
        <w:t>trade</w:t>
      </w:r>
      <w:r>
        <w:rPr>
          <w:spacing w:val="-3"/>
        </w:rPr>
        <w:t> </w:t>
      </w:r>
      <w:r>
        <w:rPr/>
        <w:t>disruptions.</w:t>
      </w:r>
      <w:r>
        <w:rPr>
          <w:spacing w:val="-3"/>
        </w:rPr>
        <w:t> </w:t>
      </w:r>
      <w:r>
        <w:rPr/>
        <w:t>Data</w:t>
      </w:r>
      <w:r>
        <w:rPr>
          <w:spacing w:val="-3"/>
        </w:rPr>
        <w:t> </w:t>
      </w:r>
      <w:r>
        <w:rPr/>
        <w:t>sources</w:t>
      </w:r>
      <w:r>
        <w:rPr>
          <w:spacing w:val="-3"/>
        </w:rPr>
        <w:t> </w:t>
      </w:r>
      <w:r>
        <w:rPr/>
        <w:t>include</w:t>
      </w:r>
      <w:r>
        <w:rPr>
          <w:spacing w:val="-3"/>
        </w:rPr>
        <w:t> </w:t>
      </w:r>
      <w:r>
        <w:rPr/>
        <w:t>Form</w:t>
      </w:r>
      <w:r>
        <w:rPr>
          <w:spacing w:val="-3"/>
        </w:rPr>
        <w:t> </w:t>
      </w:r>
      <w:r>
        <w:rPr/>
        <w:t>10-K</w:t>
      </w:r>
      <w:r>
        <w:rPr>
          <w:spacing w:val="-3"/>
        </w:rPr>
        <w:t> </w:t>
      </w:r>
      <w:r>
        <w:rPr/>
        <w:t>filings</w:t>
      </w:r>
      <w:r>
        <w:rPr>
          <w:spacing w:val="-3"/>
        </w:rPr>
        <w:t> </w:t>
      </w:r>
      <w:r>
        <w:rPr/>
        <w:t>and</w:t>
      </w:r>
      <w:r>
        <w:rPr>
          <w:spacing w:val="-3"/>
        </w:rPr>
        <w:t> </w:t>
      </w:r>
      <w:r>
        <w:rPr/>
        <w:t>earnings</w:t>
      </w:r>
      <w:r>
        <w:rPr>
          <w:spacing w:val="-3"/>
        </w:rPr>
        <w:t> </w:t>
      </w:r>
      <w:r>
        <w:rPr/>
        <w:t>call transcripts from the U.S. Securities and Exchange Commission (SEC), as well as official</w:t>
      </w:r>
      <w:r>
        <w:rPr>
          <w:spacing w:val="40"/>
        </w:rPr>
        <w:t> </w:t>
      </w:r>
      <w:r>
        <w:rPr/>
        <w:t>company</w:t>
      </w:r>
      <w:r>
        <w:rPr>
          <w:spacing w:val="40"/>
        </w:rPr>
        <w:t> </w:t>
      </w:r>
      <w:r>
        <w:rPr/>
        <w:t>announcements and external reports from reputable financial media.</w:t>
      </w:r>
    </w:p>
    <w:p>
      <w:pPr>
        <w:pStyle w:val="BodyText"/>
        <w:rPr>
          <w:sz w:val="20"/>
        </w:rPr>
      </w:pPr>
    </w:p>
    <w:p>
      <w:pPr>
        <w:pStyle w:val="BodyText"/>
        <w:spacing w:before="93"/>
        <w:rPr>
          <w:sz w:val="20"/>
        </w:rPr>
      </w:pPr>
      <w:r>
        <w:rPr>
          <w:sz w:val="20"/>
        </w:rPr>
        <w:drawing>
          <wp:anchor distT="0" distB="0" distL="0" distR="0" allowOverlap="1" layoutInCell="1" locked="0" behindDoc="1" simplePos="0" relativeHeight="487592448">
            <wp:simplePos x="0" y="0"/>
            <wp:positionH relativeFrom="page">
              <wp:posOffset>3014776</wp:posOffset>
            </wp:positionH>
            <wp:positionV relativeFrom="paragraph">
              <wp:posOffset>220486</wp:posOffset>
            </wp:positionV>
            <wp:extent cx="2245533" cy="3073336"/>
            <wp:effectExtent l="0" t="0" r="0" b="0"/>
            <wp:wrapTopAndBottom/>
            <wp:docPr id="22" name="Image 22"/>
            <wp:cNvGraphicFramePr>
              <a:graphicFrameLocks/>
            </wp:cNvGraphicFramePr>
            <a:graphic>
              <a:graphicData uri="http://schemas.openxmlformats.org/drawingml/2006/picture">
                <pic:pic>
                  <pic:nvPicPr>
                    <pic:cNvPr id="22" name="Image 22"/>
                    <pic:cNvPicPr/>
                  </pic:nvPicPr>
                  <pic:blipFill>
                    <a:blip r:embed="rId77" cstate="print"/>
                    <a:stretch>
                      <a:fillRect/>
                    </a:stretch>
                  </pic:blipFill>
                  <pic:spPr>
                    <a:xfrm>
                      <a:off x="0" y="0"/>
                      <a:ext cx="2245533" cy="3073336"/>
                    </a:xfrm>
                    <a:prstGeom prst="rect">
                      <a:avLst/>
                    </a:prstGeom>
                  </pic:spPr>
                </pic:pic>
              </a:graphicData>
            </a:graphic>
          </wp:anchor>
        </w:drawing>
      </w:r>
    </w:p>
    <w:p>
      <w:pPr>
        <w:pStyle w:val="BodyText"/>
        <w:spacing w:line="410" w:lineRule="auto" w:before="57"/>
        <w:ind w:left="716" w:right="5283"/>
        <w:jc w:val="both"/>
      </w:pPr>
      <w:r>
        <w:rPr/>
        <w:t>Figure</w:t>
      </w:r>
      <w:r>
        <w:rPr>
          <w:spacing w:val="-10"/>
        </w:rPr>
        <w:t> </w:t>
      </w:r>
      <w:r>
        <w:rPr/>
        <w:t>4:</w:t>
      </w:r>
      <w:r>
        <w:rPr>
          <w:spacing w:val="-10"/>
        </w:rPr>
        <w:t> </w:t>
      </w:r>
      <w:r>
        <w:rPr/>
        <w:t>Tariff</w:t>
      </w:r>
      <w:r>
        <w:rPr>
          <w:spacing w:val="-10"/>
        </w:rPr>
        <w:t> </w:t>
      </w:r>
      <w:r>
        <w:rPr/>
        <w:t>rates</w:t>
      </w:r>
      <w:r>
        <w:rPr>
          <w:spacing w:val="-10"/>
        </w:rPr>
        <w:t> </w:t>
      </w:r>
      <w:r>
        <w:rPr/>
        <w:t>on</w:t>
      </w:r>
      <w:r>
        <w:rPr>
          <w:spacing w:val="-10"/>
        </w:rPr>
        <w:t> </w:t>
      </w:r>
      <w:r>
        <w:rPr/>
        <w:t>August</w:t>
      </w:r>
      <w:r>
        <w:rPr>
          <w:spacing w:val="-10"/>
        </w:rPr>
        <w:t> </w:t>
      </w:r>
      <w:r>
        <w:rPr/>
        <w:t>28,</w:t>
      </w:r>
      <w:r>
        <w:rPr>
          <w:spacing w:val="-10"/>
        </w:rPr>
        <w:t> </w:t>
      </w:r>
      <w:r>
        <w:rPr/>
        <w:t>2025</w:t>
      </w:r>
      <w:r>
        <w:rPr>
          <w:spacing w:val="-10"/>
        </w:rPr>
        <w:t> </w:t>
      </w:r>
      <w:r>
        <w:rPr/>
        <w:t>(Venditti,</w:t>
      </w:r>
      <w:r>
        <w:rPr>
          <w:spacing w:val="-10"/>
        </w:rPr>
        <w:t> </w:t>
      </w:r>
      <w:r>
        <w:rPr/>
        <w:t>2025) </w:t>
      </w:r>
      <w:r>
        <w:rPr>
          <w:u w:val="thick"/>
        </w:rPr>
        <w:t>Walmart Inc.</w:t>
      </w:r>
    </w:p>
    <w:p>
      <w:pPr>
        <w:pStyle w:val="BodyText"/>
        <w:spacing w:before="76"/>
        <w:ind w:left="716" w:right="1374"/>
        <w:jc w:val="both"/>
      </w:pPr>
      <w:r>
        <w:rPr/>
        <w:t>As one of the world’s largest retailers, Walmart provides a clear case study of how tariff related pressures influence both pricing and operational</w:t>
      </w:r>
      <w:r>
        <w:rPr>
          <w:spacing w:val="-3"/>
        </w:rPr>
        <w:t> </w:t>
      </w:r>
      <w:r>
        <w:rPr/>
        <w:t>decisions.</w:t>
      </w:r>
      <w:r>
        <w:rPr>
          <w:spacing w:val="-3"/>
        </w:rPr>
        <w:t> </w:t>
      </w:r>
      <w:r>
        <w:rPr/>
        <w:t>In</w:t>
      </w:r>
      <w:r>
        <w:rPr>
          <w:spacing w:val="-3"/>
        </w:rPr>
        <w:t> </w:t>
      </w:r>
      <w:r>
        <w:rPr/>
        <w:t>its</w:t>
      </w:r>
      <w:r>
        <w:rPr>
          <w:spacing w:val="-3"/>
        </w:rPr>
        <w:t> </w:t>
      </w:r>
      <w:r>
        <w:rPr/>
        <w:t>2024</w:t>
      </w:r>
      <w:r>
        <w:rPr>
          <w:spacing w:val="-3"/>
        </w:rPr>
        <w:t> </w:t>
      </w:r>
      <w:r>
        <w:rPr/>
        <w:t>and</w:t>
      </w:r>
      <w:r>
        <w:rPr>
          <w:spacing w:val="-3"/>
        </w:rPr>
        <w:t> </w:t>
      </w:r>
      <w:r>
        <w:rPr/>
        <w:t>2025</w:t>
      </w:r>
      <w:r>
        <w:rPr>
          <w:spacing w:val="-3"/>
        </w:rPr>
        <w:t> </w:t>
      </w:r>
      <w:r>
        <w:rPr/>
        <w:t>filings,</w:t>
      </w:r>
      <w:r>
        <w:rPr>
          <w:spacing w:val="40"/>
        </w:rPr>
        <w:t> </w:t>
      </w:r>
      <w:r>
        <w:rPr/>
        <w:t>Walmart explicitly cited “tariff-related uncertainty” as a contributing factor in its</w:t>
      </w:r>
      <w:r>
        <w:rPr>
          <w:spacing w:val="-3"/>
        </w:rPr>
        <w:t> </w:t>
      </w:r>
      <w:r>
        <w:rPr/>
        <w:t>decision</w:t>
      </w:r>
      <w:r>
        <w:rPr>
          <w:spacing w:val="-3"/>
        </w:rPr>
        <w:t> </w:t>
      </w:r>
      <w:r>
        <w:rPr/>
        <w:t>to</w:t>
      </w:r>
      <w:r>
        <w:rPr>
          <w:spacing w:val="40"/>
        </w:rPr>
        <w:t> </w:t>
      </w:r>
      <w:r>
        <w:rPr/>
        <w:t>withdraw</w:t>
      </w:r>
      <w:r>
        <w:rPr>
          <w:spacing w:val="-3"/>
        </w:rPr>
        <w:t> </w:t>
      </w:r>
      <w:r>
        <w:rPr/>
        <w:t>its first-quarter financial guidance (CNBC, 2025). Specifically, Walmart signaled that</w:t>
      </w:r>
      <w:r>
        <w:rPr>
          <w:spacing w:val="40"/>
        </w:rPr>
        <w:t> </w:t>
      </w:r>
      <w:r>
        <w:rPr/>
        <w:t>persistent tariff</w:t>
      </w:r>
      <w:r>
        <w:rPr>
          <w:spacing w:val="-3"/>
        </w:rPr>
        <w:t> </w:t>
      </w:r>
      <w:r>
        <w:rPr/>
        <w:t>increases</w:t>
      </w:r>
      <w:r>
        <w:rPr>
          <w:spacing w:val="-3"/>
        </w:rPr>
        <w:t> </w:t>
      </w:r>
      <w:r>
        <w:rPr/>
        <w:t>could</w:t>
      </w:r>
      <w:r>
        <w:rPr>
          <w:spacing w:val="-3"/>
        </w:rPr>
        <w:t> </w:t>
      </w:r>
      <w:r>
        <w:rPr/>
        <w:t>require</w:t>
      </w:r>
      <w:r>
        <w:rPr>
          <w:spacing w:val="-3"/>
        </w:rPr>
        <w:t> </w:t>
      </w:r>
      <w:r>
        <w:rPr/>
        <w:t>price</w:t>
      </w:r>
      <w:r>
        <w:rPr>
          <w:spacing w:val="-3"/>
        </w:rPr>
        <w:t> </w:t>
      </w:r>
      <w:r>
        <w:rPr/>
        <w:t>adjustments</w:t>
      </w:r>
      <w:r>
        <w:rPr>
          <w:spacing w:val="-3"/>
        </w:rPr>
        <w:t> </w:t>
      </w:r>
      <w:r>
        <w:rPr/>
        <w:t>on</w:t>
      </w:r>
      <w:r>
        <w:rPr>
          <w:spacing w:val="-3"/>
        </w:rPr>
        <w:t> </w:t>
      </w:r>
      <w:r>
        <w:rPr/>
        <w:t>imported</w:t>
      </w:r>
      <w:r>
        <w:rPr>
          <w:spacing w:val="-3"/>
        </w:rPr>
        <w:t> </w:t>
      </w:r>
      <w:r>
        <w:rPr/>
        <w:t>goods,</w:t>
      </w:r>
      <w:r>
        <w:rPr>
          <w:spacing w:val="-3"/>
        </w:rPr>
        <w:t> </w:t>
      </w:r>
      <w:r>
        <w:rPr/>
        <w:t>demonstrating</w:t>
      </w:r>
      <w:r>
        <w:rPr>
          <w:spacing w:val="-3"/>
        </w:rPr>
        <w:t> </w:t>
      </w:r>
      <w:r>
        <w:rPr/>
        <w:t>a</w:t>
      </w:r>
      <w:r>
        <w:rPr>
          <w:spacing w:val="40"/>
        </w:rPr>
        <w:t> </w:t>
      </w:r>
      <w:r>
        <w:rPr/>
        <w:t>direct</w:t>
      </w:r>
      <w:r>
        <w:rPr>
          <w:spacing w:val="-3"/>
        </w:rPr>
        <w:t> </w:t>
      </w:r>
      <w:r>
        <w:rPr/>
        <w:t>pricing response to sourcing exposure. However, rather than restructuring supply chains</w:t>
      </w:r>
      <w:r>
        <w:rPr>
          <w:spacing w:val="40"/>
        </w:rPr>
        <w:t> </w:t>
      </w:r>
      <w:r>
        <w:rPr/>
        <w:t>immediately, Walmart</w:t>
      </w:r>
      <w:r>
        <w:rPr>
          <w:spacing w:val="-4"/>
        </w:rPr>
        <w:t> </w:t>
      </w:r>
      <w:r>
        <w:rPr/>
        <w:t>emphasized</w:t>
      </w:r>
      <w:r>
        <w:rPr>
          <w:spacing w:val="-4"/>
        </w:rPr>
        <w:t> </w:t>
      </w:r>
      <w:r>
        <w:rPr/>
        <w:t>supplier</w:t>
      </w:r>
      <w:r>
        <w:rPr>
          <w:spacing w:val="-4"/>
        </w:rPr>
        <w:t> </w:t>
      </w:r>
      <w:r>
        <w:rPr/>
        <w:t>negotiations</w:t>
      </w:r>
      <w:r>
        <w:rPr>
          <w:spacing w:val="-4"/>
        </w:rPr>
        <w:t> </w:t>
      </w:r>
      <w:r>
        <w:rPr/>
        <w:t>and</w:t>
      </w:r>
      <w:r>
        <w:rPr>
          <w:spacing w:val="-4"/>
        </w:rPr>
        <w:t> </w:t>
      </w:r>
      <w:r>
        <w:rPr/>
        <w:t>cost</w:t>
      </w:r>
      <w:r>
        <w:rPr>
          <w:spacing w:val="-4"/>
        </w:rPr>
        <w:t> </w:t>
      </w:r>
      <w:r>
        <w:rPr/>
        <w:t>absorption</w:t>
      </w:r>
      <w:r>
        <w:rPr>
          <w:spacing w:val="-4"/>
        </w:rPr>
        <w:t> </w:t>
      </w:r>
      <w:r>
        <w:rPr/>
        <w:t>strategies</w:t>
      </w:r>
      <w:r>
        <w:rPr>
          <w:spacing w:val="-4"/>
        </w:rPr>
        <w:t> </w:t>
      </w:r>
      <w:r>
        <w:rPr/>
        <w:t>to</w:t>
      </w:r>
      <w:r>
        <w:rPr>
          <w:spacing w:val="-4"/>
        </w:rPr>
        <w:t> </w:t>
      </w:r>
      <w:r>
        <w:rPr/>
        <w:t>preserve</w:t>
      </w:r>
      <w:r>
        <w:rPr>
          <w:spacing w:val="40"/>
        </w:rPr>
        <w:t> </w:t>
      </w:r>
      <w:r>
        <w:rPr/>
        <w:t>its</w:t>
      </w:r>
      <w:r>
        <w:rPr>
          <w:spacing w:val="-4"/>
        </w:rPr>
        <w:t> </w:t>
      </w:r>
      <w:r>
        <w:rPr/>
        <w:t>Everyday Low Prices positioning. The company’s Chief Financial Officer stated that if tariffs</w:t>
      </w:r>
      <w:r>
        <w:rPr>
          <w:spacing w:val="40"/>
        </w:rPr>
        <w:t> </w:t>
      </w:r>
      <w:r>
        <w:rPr/>
        <w:t>were to persist or increase, Walmart would “probably have to raise prices” despite its longstanding Everyday Low Prices brand promise (Business Insider, 2024). This disclosure reflects the</w:t>
      </w:r>
      <w:r>
        <w:rPr>
          <w:spacing w:val="40"/>
        </w:rPr>
        <w:t> </w:t>
      </w:r>
      <w:r>
        <w:rPr/>
        <w:t>inherent</w:t>
      </w:r>
      <w:r>
        <w:rPr>
          <w:spacing w:val="40"/>
        </w:rPr>
        <w:t> </w:t>
      </w:r>
      <w:r>
        <w:rPr/>
        <w:t>tension between Walmart’s low-cost strategy and external trade policy fluctuations.</w:t>
      </w:r>
    </w:p>
    <w:p>
      <w:pPr>
        <w:pStyle w:val="BodyText"/>
      </w:pPr>
    </w:p>
    <w:p>
      <w:pPr>
        <w:pStyle w:val="BodyText"/>
        <w:ind w:left="716"/>
        <w:jc w:val="both"/>
      </w:pPr>
      <w:r>
        <w:rPr>
          <w:u w:val="thick"/>
        </w:rPr>
        <w:t>Nike, </w:t>
      </w:r>
      <w:r>
        <w:rPr>
          <w:spacing w:val="-4"/>
          <w:u w:val="thick"/>
        </w:rPr>
        <w:t>Inc.</w:t>
      </w:r>
    </w:p>
    <w:p>
      <w:pPr>
        <w:pStyle w:val="BodyText"/>
        <w:spacing w:before="104"/>
      </w:pPr>
    </w:p>
    <w:p>
      <w:pPr>
        <w:pStyle w:val="BodyText"/>
        <w:ind w:left="716" w:right="1375"/>
        <w:jc w:val="both"/>
      </w:pPr>
      <w:r>
        <w:rPr/>
        <w:t>Nike’s response to global trade disruption reveals how a</w:t>
      </w:r>
      <w:r>
        <w:rPr>
          <w:spacing w:val="-4"/>
        </w:rPr>
        <w:t> </w:t>
      </w:r>
      <w:r>
        <w:rPr/>
        <w:t>consumer-facing</w:t>
      </w:r>
      <w:r>
        <w:rPr>
          <w:spacing w:val="-4"/>
        </w:rPr>
        <w:t> </w:t>
      </w:r>
      <w:r>
        <w:rPr/>
        <w:t>brand</w:t>
      </w:r>
      <w:r>
        <w:rPr>
          <w:spacing w:val="-4"/>
        </w:rPr>
        <w:t> </w:t>
      </w:r>
      <w:r>
        <w:rPr/>
        <w:t>balances</w:t>
      </w:r>
      <w:r>
        <w:rPr>
          <w:spacing w:val="40"/>
        </w:rPr>
        <w:t> </w:t>
      </w:r>
      <w:r>
        <w:rPr/>
        <w:t>supply chain restructuring, cost management, and marketing investment to maintain growth. In its 2024 Form 10-K, Nike reported that 50% of its footwear was manufactured in Vietnam, 27% in Indonesia,</w:t>
      </w:r>
      <w:r>
        <w:rPr>
          <w:spacing w:val="58"/>
        </w:rPr>
        <w:t> </w:t>
      </w:r>
      <w:r>
        <w:rPr/>
        <w:t>and</w:t>
      </w:r>
      <w:r>
        <w:rPr>
          <w:spacing w:val="60"/>
        </w:rPr>
        <w:t> </w:t>
      </w:r>
      <w:r>
        <w:rPr/>
        <w:t>18%</w:t>
      </w:r>
      <w:r>
        <w:rPr>
          <w:spacing w:val="60"/>
        </w:rPr>
        <w:t> </w:t>
      </w:r>
      <w:r>
        <w:rPr/>
        <w:t>in</w:t>
      </w:r>
      <w:r>
        <w:rPr>
          <w:spacing w:val="60"/>
        </w:rPr>
        <w:t> </w:t>
      </w:r>
      <w:r>
        <w:rPr/>
        <w:t>China,</w:t>
      </w:r>
      <w:r>
        <w:rPr>
          <w:spacing w:val="60"/>
        </w:rPr>
        <w:t> </w:t>
      </w:r>
      <w:r>
        <w:rPr/>
        <w:t>a</w:t>
      </w:r>
      <w:r>
        <w:rPr>
          <w:spacing w:val="60"/>
        </w:rPr>
        <w:t> </w:t>
      </w:r>
      <w:r>
        <w:rPr/>
        <w:t>striking</w:t>
      </w:r>
      <w:r>
        <w:rPr>
          <w:spacing w:val="60"/>
        </w:rPr>
        <w:t> </w:t>
      </w:r>
      <w:r>
        <w:rPr/>
        <w:t>change</w:t>
      </w:r>
      <w:r>
        <w:rPr>
          <w:spacing w:val="60"/>
        </w:rPr>
        <w:t> </w:t>
      </w:r>
      <w:r>
        <w:rPr/>
        <w:t>from</w:t>
      </w:r>
      <w:r>
        <w:rPr>
          <w:spacing w:val="60"/>
        </w:rPr>
        <w:t> </w:t>
      </w:r>
      <w:r>
        <w:rPr/>
        <w:t>its</w:t>
      </w:r>
      <w:r>
        <w:rPr>
          <w:spacing w:val="60"/>
        </w:rPr>
        <w:t> </w:t>
      </w:r>
      <w:r>
        <w:rPr/>
        <w:t>earlier</w:t>
      </w:r>
      <w:r>
        <w:rPr>
          <w:spacing w:val="60"/>
        </w:rPr>
        <w:t> </w:t>
      </w:r>
      <w:r>
        <w:rPr/>
        <w:t>heavy</w:t>
      </w:r>
      <w:r>
        <w:rPr>
          <w:spacing w:val="60"/>
        </w:rPr>
        <w:t> </w:t>
      </w:r>
      <w:r>
        <w:rPr/>
        <w:t>reliance</w:t>
      </w:r>
      <w:r>
        <w:rPr>
          <w:spacing w:val="45"/>
        </w:rPr>
        <w:t> </w:t>
      </w:r>
      <w:r>
        <w:rPr/>
        <w:t>on</w:t>
      </w:r>
      <w:r>
        <w:rPr>
          <w:spacing w:val="45"/>
        </w:rPr>
        <w:t> </w:t>
      </w:r>
      <w:r>
        <w:rPr>
          <w:spacing w:val="-2"/>
        </w:rPr>
        <w:t>Chinese</w:t>
      </w:r>
    </w:p>
    <w:p>
      <w:pPr>
        <w:pStyle w:val="BodyText"/>
        <w:spacing w:after="0"/>
        <w:jc w:val="both"/>
        <w:sectPr>
          <w:pgSz w:w="12240" w:h="15840"/>
          <w:pgMar w:header="0" w:footer="706" w:top="640" w:bottom="960" w:left="720" w:right="0"/>
        </w:sectPr>
      </w:pPr>
    </w:p>
    <w:p>
      <w:pPr>
        <w:pStyle w:val="BodyText"/>
        <w:spacing w:before="60"/>
        <w:ind w:left="716" w:right="1376"/>
        <w:jc w:val="both"/>
      </w:pPr>
      <w:r>
        <w:rPr/>
        <w:t>suppliers</w:t>
      </w:r>
      <w:r>
        <w:rPr>
          <w:spacing w:val="40"/>
        </w:rPr>
        <w:t> </w:t>
      </w:r>
      <w:r>
        <w:rPr/>
        <w:t>(U.S. SEC, 2024). This production realignment reflects Nike’s long-term strategy </w:t>
      </w:r>
      <w:r>
        <w:rPr/>
        <w:t>of geographic diversification to minimize exposure to tariff volatility. This geographic diversification reduced</w:t>
      </w:r>
      <w:r>
        <w:rPr>
          <w:spacing w:val="40"/>
        </w:rPr>
        <w:t> </w:t>
      </w:r>
      <w:r>
        <w:rPr/>
        <w:t>direct exposure to U.S.–China tariffs and represents a clear example of sourcing adaptation. Nike did not publicly attribute price increases directly to tariffs but instead relied on margin</w:t>
      </w:r>
      <w:r>
        <w:rPr>
          <w:spacing w:val="40"/>
        </w:rPr>
        <w:t> </w:t>
      </w:r>
      <w:r>
        <w:rPr/>
        <w:t>management and product segmentation. In marketing communications, Nike maintained brand centered messaging focused on innovation and athlete performance</w:t>
      </w:r>
      <w:r>
        <w:rPr>
          <w:spacing w:val="-3"/>
        </w:rPr>
        <w:t> </w:t>
      </w:r>
      <w:r>
        <w:rPr/>
        <w:t>rather</w:t>
      </w:r>
      <w:r>
        <w:rPr>
          <w:spacing w:val="-3"/>
        </w:rPr>
        <w:t> </w:t>
      </w:r>
      <w:r>
        <w:rPr/>
        <w:t>than referencing trade</w:t>
      </w:r>
      <w:r>
        <w:rPr>
          <w:spacing w:val="40"/>
        </w:rPr>
        <w:t> </w:t>
      </w:r>
      <w:r>
        <w:rPr/>
        <w:t>policy disruptions.</w:t>
      </w:r>
    </w:p>
    <w:p>
      <w:pPr>
        <w:pStyle w:val="BodyText"/>
        <w:spacing w:before="107"/>
      </w:pPr>
    </w:p>
    <w:p>
      <w:pPr>
        <w:pStyle w:val="BodyText"/>
        <w:ind w:left="716"/>
        <w:jc w:val="both"/>
      </w:pPr>
      <w:r>
        <w:rPr>
          <w:u w:val="thick"/>
        </w:rPr>
        <w:t>Apple </w:t>
      </w:r>
      <w:r>
        <w:rPr>
          <w:spacing w:val="-4"/>
          <w:u w:val="thick"/>
        </w:rPr>
        <w:t>Inc.</w:t>
      </w:r>
    </w:p>
    <w:p>
      <w:pPr>
        <w:pStyle w:val="BodyText"/>
        <w:spacing w:before="272"/>
        <w:ind w:left="716" w:right="1374"/>
        <w:jc w:val="both"/>
      </w:pPr>
      <w:r>
        <w:rPr/>
        <w:t>Apple’s corporate disclosures reveal one of the most</w:t>
      </w:r>
      <w:r>
        <w:rPr>
          <w:spacing w:val="-4"/>
        </w:rPr>
        <w:t> </w:t>
      </w:r>
      <w:r>
        <w:rPr/>
        <w:t>sophisticated</w:t>
      </w:r>
      <w:r>
        <w:rPr>
          <w:spacing w:val="-4"/>
        </w:rPr>
        <w:t> </w:t>
      </w:r>
      <w:r>
        <w:rPr/>
        <w:t>and</w:t>
      </w:r>
      <w:r>
        <w:rPr>
          <w:spacing w:val="-4"/>
        </w:rPr>
        <w:t> </w:t>
      </w:r>
      <w:r>
        <w:rPr/>
        <w:t>forward-looking</w:t>
      </w:r>
      <w:r>
        <w:rPr>
          <w:spacing w:val="40"/>
        </w:rPr>
        <w:t> </w:t>
      </w:r>
      <w:r>
        <w:rPr/>
        <w:t>strategic responses to trade policy shifts. In its 2024 Form 10-K, Apple reported manufacturing purchase obligations totaling $53.0 billion, with nearly all of those payments due within twelve</w:t>
      </w:r>
      <w:r>
        <w:rPr>
          <w:spacing w:val="40"/>
        </w:rPr>
        <w:t> </w:t>
      </w:r>
      <w:r>
        <w:rPr/>
        <w:t>months (SEC, 2024). This commitment underscores Apple’s dependence on global suppliers and</w:t>
      </w:r>
      <w:r>
        <w:rPr>
          <w:spacing w:val="40"/>
        </w:rPr>
        <w:t> </w:t>
      </w:r>
      <w:r>
        <w:rPr/>
        <w:t>the complexity of its manufacturing ecosystem. Recognizing the risks associated with concentrated production in China, Apple has pursued an aggressive diversification strategy. Reports from the India Brand Equity Foundation</w:t>
      </w:r>
      <w:r>
        <w:rPr>
          <w:spacing w:val="-2"/>
        </w:rPr>
        <w:t> </w:t>
      </w:r>
      <w:r>
        <w:rPr/>
        <w:t>(IBEF)</w:t>
      </w:r>
      <w:r>
        <w:rPr>
          <w:spacing w:val="-2"/>
        </w:rPr>
        <w:t> </w:t>
      </w:r>
      <w:r>
        <w:rPr/>
        <w:t>note</w:t>
      </w:r>
      <w:r>
        <w:rPr>
          <w:spacing w:val="-2"/>
        </w:rPr>
        <w:t> </w:t>
      </w:r>
      <w:r>
        <w:rPr/>
        <w:t>that</w:t>
      </w:r>
      <w:r>
        <w:rPr>
          <w:spacing w:val="-2"/>
        </w:rPr>
        <w:t> </w:t>
      </w:r>
      <w:r>
        <w:rPr/>
        <w:t>Apple</w:t>
      </w:r>
      <w:r>
        <w:rPr>
          <w:spacing w:val="-2"/>
        </w:rPr>
        <w:t> </w:t>
      </w:r>
      <w:r>
        <w:rPr/>
        <w:t>aims</w:t>
      </w:r>
      <w:r>
        <w:rPr>
          <w:spacing w:val="-2"/>
        </w:rPr>
        <w:t> </w:t>
      </w:r>
      <w:r>
        <w:rPr/>
        <w:t>for</w:t>
      </w:r>
      <w:r>
        <w:rPr>
          <w:spacing w:val="-2"/>
        </w:rPr>
        <w:t> </w:t>
      </w:r>
      <w:r>
        <w:rPr/>
        <w:t>32%</w:t>
      </w:r>
      <w:r>
        <w:rPr>
          <w:spacing w:val="-2"/>
        </w:rPr>
        <w:t> </w:t>
      </w:r>
      <w:r>
        <w:rPr/>
        <w:t>of</w:t>
      </w:r>
      <w:r>
        <w:rPr>
          <w:spacing w:val="-2"/>
        </w:rPr>
        <w:t> </w:t>
      </w:r>
      <w:r>
        <w:rPr/>
        <w:t>global</w:t>
      </w:r>
      <w:r>
        <w:rPr>
          <w:spacing w:val="-2"/>
        </w:rPr>
        <w:t> </w:t>
      </w:r>
      <w:r>
        <w:rPr/>
        <w:t>iPhone</w:t>
      </w:r>
      <w:r>
        <w:rPr>
          <w:spacing w:val="-2"/>
        </w:rPr>
        <w:t> </w:t>
      </w:r>
      <w:r>
        <w:rPr/>
        <w:t>production and 26% of total value to come from India by fiscal year 2027, a significant shift from its prior dependence on Chinese manufacturing (IBEF, 2024). This shift demonstrates proactive sourcing diversification to mitigate geopolitical and tariff-related risk. In pricing, Apple maintained its premium positioning and avoided explicit attribution of price changes to tariffs. Its consumer messaging remained centered on innovation and ecosystem integration rather than trade-related cost pressures.</w:t>
      </w:r>
    </w:p>
    <w:p>
      <w:pPr>
        <w:pStyle w:val="BodyText"/>
        <w:spacing w:before="104"/>
      </w:pPr>
    </w:p>
    <w:p>
      <w:pPr>
        <w:pStyle w:val="Heading4"/>
        <w:ind w:left="731"/>
        <w:jc w:val="both"/>
      </w:pPr>
      <w:r>
        <w:rPr/>
        <w:t>Results and </w:t>
      </w:r>
      <w:r>
        <w:rPr>
          <w:spacing w:val="-2"/>
        </w:rPr>
        <w:t>Implications</w:t>
      </w:r>
    </w:p>
    <w:p>
      <w:pPr>
        <w:pStyle w:val="BodyText"/>
        <w:spacing w:before="272"/>
        <w:ind w:left="716" w:right="1374"/>
        <w:jc w:val="both"/>
      </w:pPr>
      <w:r>
        <w:rPr/>
        <w:t>Across all three companies, a clear pattern emerges: resilience in the face of tariffs depends on integration across supply chain management, pricing strategy, and marketing communication. Walmart adapts by controlling costs and reinforcing its value messaging; Nike reconfigures sourcing and invests in marketing to sustain brand identity; and Apple diversifies globally </w:t>
      </w:r>
      <w:r>
        <w:rPr/>
        <w:t>while using innovation-driven communication to maintain loyalty. These examples collectively demonstrate that tariff shocks act as catalysts for strategic evolution. Firms that coordinate operational and pricing responses while maintaining consistent brand positioning appear better positioned to manage tariff-related uncertainty, a conclusion that directly supports the central argument of this paper.</w:t>
      </w:r>
    </w:p>
    <w:p>
      <w:pPr>
        <w:pStyle w:val="BodyText"/>
        <w:rPr>
          <w:sz w:val="20"/>
        </w:rPr>
      </w:pPr>
    </w:p>
    <w:p>
      <w:pPr>
        <w:pStyle w:val="BodyText"/>
        <w:spacing w:before="94"/>
        <w:rPr>
          <w:sz w:val="20"/>
        </w:rPr>
      </w:pPr>
      <w:r>
        <w:rPr>
          <w:sz w:val="20"/>
        </w:rPr>
        <w:drawing>
          <wp:anchor distT="0" distB="0" distL="0" distR="0" allowOverlap="1" layoutInCell="1" locked="0" behindDoc="1" simplePos="0" relativeHeight="487592960">
            <wp:simplePos x="0" y="0"/>
            <wp:positionH relativeFrom="page">
              <wp:posOffset>1347901</wp:posOffset>
            </wp:positionH>
            <wp:positionV relativeFrom="paragraph">
              <wp:posOffset>221344</wp:posOffset>
            </wp:positionV>
            <wp:extent cx="5599366" cy="1170146"/>
            <wp:effectExtent l="0" t="0" r="0" b="0"/>
            <wp:wrapTopAndBottom/>
            <wp:docPr id="23" name="Image 23"/>
            <wp:cNvGraphicFramePr>
              <a:graphicFrameLocks/>
            </wp:cNvGraphicFramePr>
            <a:graphic>
              <a:graphicData uri="http://schemas.openxmlformats.org/drawingml/2006/picture">
                <pic:pic>
                  <pic:nvPicPr>
                    <pic:cNvPr id="23" name="Image 23"/>
                    <pic:cNvPicPr/>
                  </pic:nvPicPr>
                  <pic:blipFill>
                    <a:blip r:embed="rId78" cstate="print"/>
                    <a:stretch>
                      <a:fillRect/>
                    </a:stretch>
                  </pic:blipFill>
                  <pic:spPr>
                    <a:xfrm>
                      <a:off x="0" y="0"/>
                      <a:ext cx="5599366" cy="1170146"/>
                    </a:xfrm>
                    <a:prstGeom prst="rect">
                      <a:avLst/>
                    </a:prstGeom>
                  </pic:spPr>
                </pic:pic>
              </a:graphicData>
            </a:graphic>
          </wp:anchor>
        </w:drawing>
      </w:r>
    </w:p>
    <w:p>
      <w:pPr>
        <w:pStyle w:val="BodyText"/>
        <w:spacing w:before="69"/>
        <w:ind w:left="731" w:right="1381" w:hanging="15"/>
      </w:pPr>
      <w:r>
        <w:rPr/>
        <w:t>Figure</w:t>
      </w:r>
      <w:r>
        <w:rPr>
          <w:spacing w:val="-6"/>
        </w:rPr>
        <w:t> </w:t>
      </w:r>
      <w:r>
        <w:rPr/>
        <w:t>5:</w:t>
      </w:r>
      <w:r>
        <w:rPr>
          <w:spacing w:val="-6"/>
        </w:rPr>
        <w:t> </w:t>
      </w:r>
      <w:r>
        <w:rPr/>
        <w:t>Comparative</w:t>
      </w:r>
      <w:r>
        <w:rPr>
          <w:spacing w:val="-6"/>
        </w:rPr>
        <w:t> </w:t>
      </w:r>
      <w:r>
        <w:rPr/>
        <w:t>summary</w:t>
      </w:r>
      <w:r>
        <w:rPr>
          <w:spacing w:val="-6"/>
        </w:rPr>
        <w:t> </w:t>
      </w:r>
      <w:r>
        <w:rPr/>
        <w:t>of</w:t>
      </w:r>
      <w:r>
        <w:rPr>
          <w:spacing w:val="-6"/>
        </w:rPr>
        <w:t> </w:t>
      </w:r>
      <w:r>
        <w:rPr/>
        <w:t>tariff</w:t>
      </w:r>
      <w:r>
        <w:rPr>
          <w:spacing w:val="-6"/>
        </w:rPr>
        <w:t> </w:t>
      </w:r>
      <w:r>
        <w:rPr/>
        <w:t>impacts</w:t>
      </w:r>
      <w:r>
        <w:rPr>
          <w:spacing w:val="-6"/>
        </w:rPr>
        <w:t> </w:t>
      </w:r>
      <w:r>
        <w:rPr/>
        <w:t>and</w:t>
      </w:r>
      <w:r>
        <w:rPr>
          <w:spacing w:val="-6"/>
        </w:rPr>
        <w:t> </w:t>
      </w:r>
      <w:r>
        <w:rPr/>
        <w:t>strategic</w:t>
      </w:r>
      <w:r>
        <w:rPr>
          <w:spacing w:val="-6"/>
        </w:rPr>
        <w:t> </w:t>
      </w:r>
      <w:r>
        <w:rPr/>
        <w:t>responses</w:t>
      </w:r>
      <w:r>
        <w:rPr>
          <w:spacing w:val="-6"/>
        </w:rPr>
        <w:t> </w:t>
      </w:r>
      <w:r>
        <w:rPr/>
        <w:t>across</w:t>
      </w:r>
      <w:r>
        <w:rPr>
          <w:spacing w:val="-6"/>
        </w:rPr>
        <w:t> </w:t>
      </w:r>
      <w:r>
        <w:rPr/>
        <w:t>Walmart,</w:t>
      </w:r>
      <w:r>
        <w:rPr>
          <w:spacing w:val="-6"/>
        </w:rPr>
        <w:t> </w:t>
      </w:r>
      <w:r>
        <w:rPr/>
        <w:t>Nike, and Apple. (Data from Walmart Inc., 2024; Nike Inc., 2024; and Apple Inc., 2024)</w:t>
      </w:r>
    </w:p>
    <w:p>
      <w:pPr>
        <w:pStyle w:val="BodyText"/>
        <w:spacing w:before="206"/>
        <w:ind w:left="716" w:right="1376"/>
        <w:jc w:val="both"/>
      </w:pPr>
      <w:r>
        <w:rPr/>
        <w:t>The findings of this study reveal a clear and consistent relationship between global trade pressures, firm-level strategy, and consumer perception. The primary data gathered </w:t>
      </w:r>
      <w:r>
        <w:rPr/>
        <w:t>from Walmart,</w:t>
      </w:r>
      <w:r>
        <w:rPr>
          <w:spacing w:val="42"/>
        </w:rPr>
        <w:t>  </w:t>
      </w:r>
      <w:r>
        <w:rPr/>
        <w:t>Nike,</w:t>
      </w:r>
      <w:r>
        <w:rPr>
          <w:spacing w:val="44"/>
        </w:rPr>
        <w:t> </w:t>
      </w:r>
      <w:r>
        <w:rPr/>
        <w:t>and</w:t>
      </w:r>
      <w:r>
        <w:rPr>
          <w:spacing w:val="42"/>
        </w:rPr>
        <w:t> </w:t>
      </w:r>
      <w:r>
        <w:rPr/>
        <w:t>Apple</w:t>
      </w:r>
      <w:r>
        <w:rPr>
          <w:spacing w:val="43"/>
        </w:rPr>
        <w:t> </w:t>
      </w:r>
      <w:r>
        <w:rPr/>
        <w:t>illustrate</w:t>
      </w:r>
      <w:r>
        <w:rPr>
          <w:spacing w:val="43"/>
        </w:rPr>
        <w:t> </w:t>
      </w:r>
      <w:r>
        <w:rPr/>
        <w:t>how</w:t>
      </w:r>
      <w:r>
        <w:rPr>
          <w:spacing w:val="42"/>
        </w:rPr>
        <w:t> </w:t>
      </w:r>
      <w:r>
        <w:rPr/>
        <w:t>large</w:t>
      </w:r>
      <w:r>
        <w:rPr>
          <w:spacing w:val="43"/>
        </w:rPr>
        <w:t> </w:t>
      </w:r>
      <w:r>
        <w:rPr/>
        <w:t>multinational</w:t>
      </w:r>
      <w:r>
        <w:rPr>
          <w:spacing w:val="43"/>
        </w:rPr>
        <w:t> </w:t>
      </w:r>
      <w:r>
        <w:rPr/>
        <w:t>firms</w:t>
      </w:r>
      <w:r>
        <w:rPr>
          <w:spacing w:val="42"/>
        </w:rPr>
        <w:t> </w:t>
      </w:r>
      <w:r>
        <w:rPr/>
        <w:t>navigate</w:t>
      </w:r>
      <w:r>
        <w:rPr>
          <w:spacing w:val="43"/>
        </w:rPr>
        <w:t> </w:t>
      </w:r>
      <w:r>
        <w:rPr/>
        <w:t>tariffs</w:t>
      </w:r>
      <w:r>
        <w:rPr>
          <w:spacing w:val="43"/>
        </w:rPr>
        <w:t> </w:t>
      </w:r>
      <w:r>
        <w:rPr/>
        <w:t>and</w:t>
      </w:r>
      <w:r>
        <w:rPr>
          <w:spacing w:val="28"/>
        </w:rPr>
        <w:t> </w:t>
      </w:r>
      <w:r>
        <w:rPr>
          <w:spacing w:val="-2"/>
        </w:rPr>
        <w:t>trade</w:t>
      </w:r>
    </w:p>
    <w:p>
      <w:pPr>
        <w:pStyle w:val="BodyText"/>
        <w:spacing w:after="0"/>
        <w:jc w:val="both"/>
        <w:sectPr>
          <w:pgSz w:w="12240" w:h="15840"/>
          <w:pgMar w:header="0" w:footer="706" w:top="640" w:bottom="960" w:left="720" w:right="0"/>
        </w:sectPr>
      </w:pPr>
    </w:p>
    <w:p>
      <w:pPr>
        <w:pStyle w:val="BodyText"/>
        <w:spacing w:before="60"/>
        <w:ind w:left="716" w:right="1378"/>
        <w:jc w:val="both"/>
      </w:pPr>
      <w:r>
        <w:rPr/>
        <w:t>disruptions by aligning operational flexibility with pricing strategy and </w:t>
      </w:r>
      <w:r>
        <w:rPr/>
        <w:t>marketing</w:t>
      </w:r>
      <w:r>
        <w:rPr>
          <w:spacing w:val="40"/>
        </w:rPr>
        <w:t> </w:t>
      </w:r>
      <w:r>
        <w:rPr/>
        <w:t>communication. When</w:t>
      </w:r>
      <w:r>
        <w:rPr>
          <w:spacing w:val="40"/>
        </w:rPr>
        <w:t> </w:t>
      </w:r>
      <w:r>
        <w:rPr/>
        <w:t>compared with supply chain diversification models (Uygun et al., 2023) and coordinated pricing</w:t>
      </w:r>
      <w:r>
        <w:rPr>
          <w:spacing w:val="40"/>
        </w:rPr>
        <w:t> </w:t>
      </w:r>
      <w:r>
        <w:rPr/>
        <w:t>frameworks (Karray &amp; Martín, 2024), the documented corporate responses suggest alignment with</w:t>
      </w:r>
      <w:r>
        <w:rPr>
          <w:spacing w:val="40"/>
        </w:rPr>
        <w:t> </w:t>
      </w:r>
      <w:r>
        <w:rPr/>
        <w:t>cross-functional integration principles, a central argument of this paper.</w:t>
      </w:r>
    </w:p>
    <w:p>
      <w:pPr>
        <w:pStyle w:val="BodyText"/>
        <w:spacing w:before="105"/>
      </w:pPr>
    </w:p>
    <w:p>
      <w:pPr>
        <w:pStyle w:val="BodyText"/>
        <w:ind w:left="716" w:right="1375"/>
        <w:jc w:val="both"/>
      </w:pPr>
      <w:r>
        <w:rPr/>
        <w:t>The findings from both the secondary literature and primary company data demonstrate</w:t>
      </w:r>
      <w:r>
        <w:rPr>
          <w:spacing w:val="40"/>
        </w:rPr>
        <w:t> </w:t>
      </w:r>
      <w:r>
        <w:rPr/>
        <w:t>that strategic integration across these domains is not only beneficial but essential to corporate resilience in the contemporary global economy. As global markets have become more interconnected, the impact of tariffs and trade barriers has grown increasingly complex, influencing every level of organizational decision-making from sourcing and logistics to pricing and consumer communication. This study’s aim was to determine how firms coordinate these processes under pressure, and the evidence strongly supports the conclusion that integration across</w:t>
      </w:r>
      <w:r>
        <w:rPr>
          <w:spacing w:val="40"/>
        </w:rPr>
        <w:t> </w:t>
      </w:r>
      <w:r>
        <w:rPr/>
        <w:t>functions is a key determinant of long-term stability, profitability, and brand trust.</w:t>
      </w:r>
    </w:p>
    <w:p>
      <w:pPr>
        <w:pStyle w:val="BodyText"/>
        <w:spacing w:before="104"/>
      </w:pPr>
    </w:p>
    <w:p>
      <w:pPr>
        <w:pStyle w:val="BodyText"/>
        <w:ind w:left="716" w:right="1376"/>
        <w:jc w:val="both"/>
      </w:pPr>
      <w:r>
        <w:rPr/>
        <w:t>While this study focused on three leading firms, future</w:t>
      </w:r>
      <w:r>
        <w:rPr>
          <w:spacing w:val="-3"/>
        </w:rPr>
        <w:t> </w:t>
      </w:r>
      <w:r>
        <w:rPr/>
        <w:t>research</w:t>
      </w:r>
      <w:r>
        <w:rPr>
          <w:spacing w:val="-3"/>
        </w:rPr>
        <w:t> </w:t>
      </w:r>
      <w:r>
        <w:rPr/>
        <w:t>could</w:t>
      </w:r>
      <w:r>
        <w:rPr>
          <w:spacing w:val="-3"/>
        </w:rPr>
        <w:t> </w:t>
      </w:r>
      <w:r>
        <w:rPr/>
        <w:t>extend</w:t>
      </w:r>
      <w:r>
        <w:rPr>
          <w:spacing w:val="-3"/>
        </w:rPr>
        <w:t> </w:t>
      </w:r>
      <w:r>
        <w:rPr/>
        <w:t>the</w:t>
      </w:r>
      <w:r>
        <w:rPr>
          <w:spacing w:val="-3"/>
        </w:rPr>
        <w:t> </w:t>
      </w:r>
      <w:r>
        <w:rPr/>
        <w:t>analysis</w:t>
      </w:r>
      <w:r>
        <w:rPr>
          <w:spacing w:val="40"/>
        </w:rPr>
        <w:t> </w:t>
      </w:r>
      <w:r>
        <w:rPr/>
        <w:t>across additional industries to assess whether similar patterns hold in sectors such as automotive, pharmaceuticals, or technology services. Quantitative modeling of firm performance before and after tariff shocks could further validate the observed trends, while interviews with executives could provide deeper insight into decision-making processes under uncertainty. Exploring consumer responses to trade-related messaging through surveys or experimental designs would also enrich understanding of the connection between marketing communication and brand trust during disruption.</w:t>
      </w:r>
    </w:p>
    <w:p>
      <w:pPr>
        <w:pStyle w:val="BodyText"/>
        <w:spacing w:before="104"/>
      </w:pPr>
    </w:p>
    <w:p>
      <w:pPr>
        <w:pStyle w:val="Heading4"/>
        <w:ind w:left="731"/>
      </w:pPr>
      <w:r>
        <w:rPr>
          <w:spacing w:val="-2"/>
        </w:rPr>
        <w:t>Conclusion</w:t>
      </w:r>
    </w:p>
    <w:p>
      <w:pPr>
        <w:pStyle w:val="BodyText"/>
        <w:spacing w:before="272"/>
        <w:ind w:left="731" w:right="1443"/>
      </w:pPr>
      <w:r>
        <w:rPr/>
        <w:t>This</w:t>
      </w:r>
      <w:r>
        <w:rPr>
          <w:spacing w:val="-4"/>
        </w:rPr>
        <w:t> </w:t>
      </w:r>
      <w:r>
        <w:rPr/>
        <w:t>study</w:t>
      </w:r>
      <w:r>
        <w:rPr>
          <w:spacing w:val="-4"/>
        </w:rPr>
        <w:t> </w:t>
      </w:r>
      <w:r>
        <w:rPr/>
        <w:t>affirms</w:t>
      </w:r>
      <w:r>
        <w:rPr>
          <w:spacing w:val="-4"/>
        </w:rPr>
        <w:t> </w:t>
      </w:r>
      <w:r>
        <w:rPr/>
        <w:t>that</w:t>
      </w:r>
      <w:r>
        <w:rPr>
          <w:spacing w:val="-4"/>
        </w:rPr>
        <w:t> </w:t>
      </w:r>
      <w:r>
        <w:rPr/>
        <w:t>in</w:t>
      </w:r>
      <w:r>
        <w:rPr>
          <w:spacing w:val="-4"/>
        </w:rPr>
        <w:t> </w:t>
      </w:r>
      <w:r>
        <w:rPr/>
        <w:t>an</w:t>
      </w:r>
      <w:r>
        <w:rPr>
          <w:spacing w:val="-4"/>
        </w:rPr>
        <w:t> </w:t>
      </w:r>
      <w:r>
        <w:rPr/>
        <w:t>era</w:t>
      </w:r>
      <w:r>
        <w:rPr>
          <w:spacing w:val="-4"/>
        </w:rPr>
        <w:t> </w:t>
      </w:r>
      <w:r>
        <w:rPr/>
        <w:t>defined</w:t>
      </w:r>
      <w:r>
        <w:rPr>
          <w:spacing w:val="-4"/>
        </w:rPr>
        <w:t> </w:t>
      </w:r>
      <w:r>
        <w:rPr/>
        <w:t>by</w:t>
      </w:r>
      <w:r>
        <w:rPr>
          <w:spacing w:val="-4"/>
        </w:rPr>
        <w:t> </w:t>
      </w:r>
      <w:r>
        <w:rPr/>
        <w:t>trade</w:t>
      </w:r>
      <w:r>
        <w:rPr>
          <w:spacing w:val="-4"/>
        </w:rPr>
        <w:t> </w:t>
      </w:r>
      <w:r>
        <w:rPr/>
        <w:t>volatility,</w:t>
      </w:r>
      <w:r>
        <w:rPr>
          <w:spacing w:val="-4"/>
        </w:rPr>
        <w:t> </w:t>
      </w:r>
      <w:r>
        <w:rPr/>
        <w:t>technological</w:t>
      </w:r>
      <w:r>
        <w:rPr>
          <w:spacing w:val="-4"/>
        </w:rPr>
        <w:t> </w:t>
      </w:r>
      <w:r>
        <w:rPr/>
        <w:t>disruption,</w:t>
      </w:r>
      <w:r>
        <w:rPr>
          <w:spacing w:val="-4"/>
        </w:rPr>
        <w:t> </w:t>
      </w:r>
      <w:r>
        <w:rPr/>
        <w:t>and</w:t>
      </w:r>
      <w:r>
        <w:rPr>
          <w:spacing w:val="40"/>
        </w:rPr>
        <w:t> </w:t>
      </w:r>
      <w:r>
        <w:rPr/>
        <w:t>shifting consumer expectations, the firms that thrive are those that think and act holistically. Integration across supply chains, pricing, and marketing is not a static concept but a dynamic</w:t>
      </w:r>
      <w:r>
        <w:rPr>
          <w:spacing w:val="40"/>
        </w:rPr>
        <w:t> </w:t>
      </w:r>
      <w:r>
        <w:rPr/>
        <w:t>process that enables adaptability, consistency, and innovation. Walmart, Nike, and Apple each</w:t>
      </w:r>
      <w:r>
        <w:rPr>
          <w:spacing w:val="40"/>
        </w:rPr>
        <w:t> </w:t>
      </w:r>
      <w:r>
        <w:rPr/>
        <w:t>illustrate how strategic coordination transforms global instability into a source of strength. By</w:t>
      </w:r>
      <w:r>
        <w:rPr>
          <w:spacing w:val="40"/>
        </w:rPr>
        <w:t> </w:t>
      </w:r>
      <w:r>
        <w:rPr/>
        <w:t>aligning operational efficiency, financial discipline, and authentic communication, they not only</w:t>
      </w:r>
      <w:r>
        <w:rPr>
          <w:spacing w:val="40"/>
        </w:rPr>
        <w:t> </w:t>
      </w:r>
      <w:r>
        <w:rPr/>
        <w:t>withstand economic shocks but also reinforce their competitive identity. The findings of this paper</w:t>
      </w:r>
      <w:r>
        <w:rPr>
          <w:spacing w:val="40"/>
        </w:rPr>
        <w:t> </w:t>
      </w:r>
      <w:r>
        <w:rPr/>
        <w:t>ultimately underscore a vital truth for the modern global economy: resilience is built through</w:t>
      </w:r>
      <w:r>
        <w:rPr>
          <w:spacing w:val="40"/>
        </w:rPr>
        <w:t> </w:t>
      </w:r>
      <w:r>
        <w:rPr/>
        <w:t>alignment, and alignment is achieved through integration.</w:t>
      </w:r>
    </w:p>
    <w:p>
      <w:pPr>
        <w:pStyle w:val="BodyText"/>
        <w:spacing w:before="272"/>
      </w:pPr>
    </w:p>
    <w:p>
      <w:pPr>
        <w:pStyle w:val="Heading4"/>
        <w:ind w:left="0" w:right="719"/>
        <w:jc w:val="center"/>
      </w:pPr>
      <w:r>
        <w:rPr>
          <w:spacing w:val="-2"/>
        </w:rPr>
        <w:t>References</w:t>
      </w:r>
    </w:p>
    <w:p>
      <w:pPr>
        <w:pStyle w:val="BodyText"/>
        <w:spacing w:line="230" w:lineRule="auto" w:before="272"/>
        <w:ind w:left="1436" w:right="1582" w:hanging="705"/>
      </w:pPr>
      <w:r>
        <w:rPr/>
        <w:t>Cigna,</w:t>
      </w:r>
      <w:r>
        <w:rPr>
          <w:spacing w:val="-7"/>
        </w:rPr>
        <w:t> </w:t>
      </w:r>
      <w:r>
        <w:rPr/>
        <w:t>S.,</w:t>
      </w:r>
      <w:r>
        <w:rPr>
          <w:spacing w:val="-7"/>
        </w:rPr>
        <w:t> </w:t>
      </w:r>
      <w:r>
        <w:rPr/>
        <w:t>Meinen,</w:t>
      </w:r>
      <w:r>
        <w:rPr>
          <w:spacing w:val="-7"/>
        </w:rPr>
        <w:t> </w:t>
      </w:r>
      <w:r>
        <w:rPr/>
        <w:t>P.,</w:t>
      </w:r>
      <w:r>
        <w:rPr>
          <w:spacing w:val="-7"/>
        </w:rPr>
        <w:t> </w:t>
      </w:r>
      <w:r>
        <w:rPr/>
        <w:t>Schulte,</w:t>
      </w:r>
      <w:r>
        <w:rPr>
          <w:spacing w:val="-7"/>
        </w:rPr>
        <w:t> </w:t>
      </w:r>
      <w:r>
        <w:rPr/>
        <w:t>P.,</w:t>
      </w:r>
      <w:r>
        <w:rPr>
          <w:spacing w:val="-7"/>
        </w:rPr>
        <w:t> </w:t>
      </w:r>
      <w:r>
        <w:rPr/>
        <w:t>&amp;</w:t>
      </w:r>
      <w:r>
        <w:rPr>
          <w:spacing w:val="-7"/>
        </w:rPr>
        <w:t> </w:t>
      </w:r>
      <w:r>
        <w:rPr/>
        <w:t>Steinhoff,</w:t>
      </w:r>
      <w:r>
        <w:rPr>
          <w:spacing w:val="-7"/>
        </w:rPr>
        <w:t> </w:t>
      </w:r>
      <w:r>
        <w:rPr/>
        <w:t>N.</w:t>
      </w:r>
      <w:r>
        <w:rPr>
          <w:spacing w:val="-7"/>
        </w:rPr>
        <w:t> </w:t>
      </w:r>
      <w:r>
        <w:rPr/>
        <w:t>(2022).</w:t>
      </w:r>
      <w:r>
        <w:rPr>
          <w:spacing w:val="-7"/>
        </w:rPr>
        <w:t> </w:t>
      </w:r>
      <w:r>
        <w:rPr/>
        <w:t>The</w:t>
      </w:r>
      <w:r>
        <w:rPr>
          <w:spacing w:val="-7"/>
        </w:rPr>
        <w:t> </w:t>
      </w:r>
      <w:r>
        <w:rPr/>
        <w:t>impact</w:t>
      </w:r>
      <w:r>
        <w:rPr>
          <w:spacing w:val="-7"/>
        </w:rPr>
        <w:t> </w:t>
      </w:r>
      <w:r>
        <w:rPr/>
        <w:t>of</w:t>
      </w:r>
      <w:r>
        <w:rPr>
          <w:spacing w:val="-7"/>
        </w:rPr>
        <w:t> </w:t>
      </w:r>
      <w:r>
        <w:rPr/>
        <w:t>us</w:t>
      </w:r>
      <w:r>
        <w:rPr>
          <w:spacing w:val="-7"/>
        </w:rPr>
        <w:t> </w:t>
      </w:r>
      <w:r>
        <w:rPr/>
        <w:t>tariffs</w:t>
      </w:r>
      <w:r>
        <w:rPr>
          <w:spacing w:val="-7"/>
        </w:rPr>
        <w:t> </w:t>
      </w:r>
      <w:r>
        <w:rPr/>
        <w:t>against</w:t>
      </w:r>
      <w:r>
        <w:rPr>
          <w:spacing w:val="-7"/>
        </w:rPr>
        <w:t> </w:t>
      </w:r>
      <w:r>
        <w:rPr/>
        <w:t>China on US imports: Evidence for trade diversion? </w:t>
      </w:r>
      <w:r>
        <w:rPr>
          <w:i/>
        </w:rPr>
        <w:t>Economic Inquiry. 60</w:t>
      </w:r>
      <w:r>
        <w:rPr/>
        <w:t>(1), 162–173. </w:t>
      </w:r>
      <w:hyperlink r:id="rId79">
        <w:r>
          <w:rPr>
            <w:spacing w:val="-2"/>
          </w:rPr>
          <w:t>https://doi-org.libproxy.eku.edu/10.1111/ecin.13043</w:t>
        </w:r>
      </w:hyperlink>
    </w:p>
    <w:p>
      <w:pPr>
        <w:pStyle w:val="BodyText"/>
        <w:spacing w:before="4"/>
      </w:pPr>
    </w:p>
    <w:p>
      <w:pPr>
        <w:pStyle w:val="BodyText"/>
        <w:spacing w:line="230" w:lineRule="auto"/>
        <w:ind w:left="1436" w:right="1487" w:hanging="705"/>
      </w:pPr>
      <w:r>
        <w:rPr/>
        <w:t>Gonçalves,</w:t>
      </w:r>
      <w:r>
        <w:rPr>
          <w:spacing w:val="-3"/>
        </w:rPr>
        <w:t> </w:t>
      </w:r>
      <w:r>
        <w:rPr/>
        <w:t>M.</w:t>
      </w:r>
      <w:r>
        <w:rPr>
          <w:spacing w:val="-3"/>
        </w:rPr>
        <w:t> </w:t>
      </w:r>
      <w:r>
        <w:rPr/>
        <w:t>J.</w:t>
      </w:r>
      <w:r>
        <w:rPr>
          <w:spacing w:val="-3"/>
        </w:rPr>
        <w:t> </w:t>
      </w:r>
      <w:r>
        <w:rPr/>
        <w:t>A.,</w:t>
      </w:r>
      <w:r>
        <w:rPr>
          <w:spacing w:val="-3"/>
        </w:rPr>
        <w:t> </w:t>
      </w:r>
      <w:r>
        <w:rPr/>
        <w:t>Oliveira,</w:t>
      </w:r>
      <w:r>
        <w:rPr>
          <w:spacing w:val="-3"/>
        </w:rPr>
        <w:t> </w:t>
      </w:r>
      <w:r>
        <w:rPr/>
        <w:t>A.,</w:t>
      </w:r>
      <w:r>
        <w:rPr>
          <w:spacing w:val="-3"/>
        </w:rPr>
        <w:t> </w:t>
      </w:r>
      <w:r>
        <w:rPr/>
        <w:t>Abreu,</w:t>
      </w:r>
      <w:r>
        <w:rPr>
          <w:spacing w:val="-3"/>
        </w:rPr>
        <w:t> </w:t>
      </w:r>
      <w:r>
        <w:rPr/>
        <w:t>A.,</w:t>
      </w:r>
      <w:r>
        <w:rPr>
          <w:spacing w:val="-3"/>
        </w:rPr>
        <w:t> </w:t>
      </w:r>
      <w:r>
        <w:rPr/>
        <w:t>&amp;</w:t>
      </w:r>
      <w:r>
        <w:rPr>
          <w:spacing w:val="-3"/>
        </w:rPr>
        <w:t> </w:t>
      </w:r>
      <w:r>
        <w:rPr/>
        <w:t>Mesquita,</w:t>
      </w:r>
      <w:r>
        <w:rPr>
          <w:spacing w:val="-3"/>
        </w:rPr>
        <w:t> </w:t>
      </w:r>
      <w:r>
        <w:rPr/>
        <w:t>A.</w:t>
      </w:r>
      <w:r>
        <w:rPr>
          <w:spacing w:val="-3"/>
        </w:rPr>
        <w:t> </w:t>
      </w:r>
      <w:r>
        <w:rPr/>
        <w:t>(2024).</w:t>
      </w:r>
      <w:r>
        <w:rPr>
          <w:spacing w:val="-3"/>
        </w:rPr>
        <w:t> </w:t>
      </w:r>
      <w:r>
        <w:rPr/>
        <w:t>Social</w:t>
      </w:r>
      <w:r>
        <w:rPr>
          <w:spacing w:val="-3"/>
        </w:rPr>
        <w:t> </w:t>
      </w:r>
      <w:r>
        <w:rPr/>
        <w:t>networks</w:t>
      </w:r>
      <w:r>
        <w:rPr>
          <w:spacing w:val="-3"/>
        </w:rPr>
        <w:t> </w:t>
      </w:r>
      <w:r>
        <w:rPr/>
        <w:t>and</w:t>
      </w:r>
      <w:r>
        <w:rPr>
          <w:spacing w:val="-3"/>
        </w:rPr>
        <w:t> </w:t>
      </w:r>
      <w:r>
        <w:rPr/>
        <w:t>digital influencers in the online purchasing decision process. </w:t>
      </w:r>
      <w:r>
        <w:rPr>
          <w:i/>
        </w:rPr>
        <w:t>Information</w:t>
      </w:r>
      <w:r>
        <w:rPr/>
        <w:t>. </w:t>
      </w:r>
      <w:r>
        <w:rPr>
          <w:i/>
        </w:rPr>
        <w:t>15</w:t>
      </w:r>
      <w:r>
        <w:rPr/>
        <w:t>(10), 2078-2489. </w:t>
      </w:r>
      <w:hyperlink r:id="rId80">
        <w:r>
          <w:rPr>
            <w:spacing w:val="-2"/>
          </w:rPr>
          <w:t>https://doi-org.libproxy.eku.edu/10.3390/info15100601</w:t>
        </w:r>
      </w:hyperlink>
    </w:p>
    <w:p>
      <w:pPr>
        <w:pStyle w:val="BodyText"/>
        <w:spacing w:before="4"/>
      </w:pPr>
    </w:p>
    <w:p>
      <w:pPr>
        <w:spacing w:line="230" w:lineRule="auto" w:before="0"/>
        <w:ind w:left="1451" w:right="1381" w:hanging="735"/>
        <w:jc w:val="left"/>
        <w:rPr>
          <w:sz w:val="24"/>
        </w:rPr>
      </w:pPr>
      <w:r>
        <w:rPr>
          <w:sz w:val="24"/>
        </w:rPr>
        <w:t>Karray, S., &amp; Martín, H. G. (2024). The effects of decision timing for pricing and marketing efforts</w:t>
      </w:r>
      <w:r>
        <w:rPr>
          <w:spacing w:val="-6"/>
          <w:sz w:val="24"/>
        </w:rPr>
        <w:t> </w:t>
      </w:r>
      <w:r>
        <w:rPr>
          <w:sz w:val="24"/>
        </w:rPr>
        <w:t>in</w:t>
      </w:r>
      <w:r>
        <w:rPr>
          <w:spacing w:val="-6"/>
          <w:sz w:val="24"/>
        </w:rPr>
        <w:t> </w:t>
      </w:r>
      <w:r>
        <w:rPr>
          <w:sz w:val="24"/>
        </w:rPr>
        <w:t>a</w:t>
      </w:r>
      <w:r>
        <w:rPr>
          <w:spacing w:val="-6"/>
          <w:sz w:val="24"/>
        </w:rPr>
        <w:t> </w:t>
      </w:r>
      <w:r>
        <w:rPr>
          <w:sz w:val="24"/>
        </w:rPr>
        <w:t>supply</w:t>
      </w:r>
      <w:r>
        <w:rPr>
          <w:spacing w:val="-6"/>
          <w:sz w:val="24"/>
        </w:rPr>
        <w:t> </w:t>
      </w:r>
      <w:r>
        <w:rPr>
          <w:sz w:val="24"/>
        </w:rPr>
        <w:t>chain</w:t>
      </w:r>
      <w:r>
        <w:rPr>
          <w:spacing w:val="-6"/>
          <w:sz w:val="24"/>
        </w:rPr>
        <w:t> </w:t>
      </w:r>
      <w:r>
        <w:rPr>
          <w:sz w:val="24"/>
        </w:rPr>
        <w:t>with</w:t>
      </w:r>
      <w:r>
        <w:rPr>
          <w:spacing w:val="-6"/>
          <w:sz w:val="24"/>
        </w:rPr>
        <w:t> </w:t>
      </w:r>
      <w:r>
        <w:rPr>
          <w:sz w:val="24"/>
        </w:rPr>
        <w:t>competing</w:t>
      </w:r>
      <w:r>
        <w:rPr>
          <w:spacing w:val="-6"/>
          <w:sz w:val="24"/>
        </w:rPr>
        <w:t> </w:t>
      </w:r>
      <w:r>
        <w:rPr>
          <w:sz w:val="24"/>
        </w:rPr>
        <w:t>manufacturers.</w:t>
      </w:r>
      <w:r>
        <w:rPr>
          <w:spacing w:val="-6"/>
          <w:sz w:val="24"/>
        </w:rPr>
        <w:t> </w:t>
      </w:r>
      <w:r>
        <w:rPr>
          <w:i/>
          <w:sz w:val="24"/>
        </w:rPr>
        <w:t>International</w:t>
      </w:r>
      <w:r>
        <w:rPr>
          <w:i/>
          <w:spacing w:val="-6"/>
          <w:sz w:val="24"/>
        </w:rPr>
        <w:t> </w:t>
      </w:r>
      <w:r>
        <w:rPr>
          <w:i/>
          <w:sz w:val="24"/>
        </w:rPr>
        <w:t>Transactions</w:t>
      </w:r>
      <w:r>
        <w:rPr>
          <w:i/>
          <w:spacing w:val="-6"/>
          <w:sz w:val="24"/>
        </w:rPr>
        <w:t> </w:t>
      </w:r>
      <w:r>
        <w:rPr>
          <w:i/>
          <w:sz w:val="24"/>
        </w:rPr>
        <w:t>in</w:t>
      </w:r>
      <w:r>
        <w:rPr>
          <w:i/>
          <w:sz w:val="24"/>
        </w:rPr>
        <w:t> Operational Research. 31</w:t>
      </w:r>
      <w:r>
        <w:rPr>
          <w:sz w:val="24"/>
        </w:rPr>
        <w:t>(1), 568–615. </w:t>
      </w:r>
      <w:hyperlink r:id="rId81">
        <w:r>
          <w:rPr>
            <w:sz w:val="24"/>
          </w:rPr>
          <w:t>https://doi</w:t>
        </w:r>
      </w:hyperlink>
    </w:p>
    <w:p>
      <w:pPr>
        <w:spacing w:after="0" w:line="230" w:lineRule="auto"/>
        <w:jc w:val="left"/>
        <w:rPr>
          <w:sz w:val="24"/>
        </w:rPr>
        <w:sectPr>
          <w:pgSz w:w="12240" w:h="15840"/>
          <w:pgMar w:header="0" w:footer="706" w:top="640" w:bottom="960" w:left="720" w:right="0"/>
        </w:sectPr>
      </w:pPr>
    </w:p>
    <w:p>
      <w:pPr>
        <w:pStyle w:val="BodyText"/>
        <w:spacing w:before="60"/>
        <w:ind w:left="1451"/>
      </w:pPr>
      <w:r>
        <w:rPr>
          <w:spacing w:val="-2"/>
        </w:rPr>
        <w:t>org.libproxy.eku.edu/10.1111/itor.13094</w:t>
      </w:r>
    </w:p>
    <w:p>
      <w:pPr>
        <w:pStyle w:val="BodyText"/>
        <w:spacing w:line="230" w:lineRule="auto" w:before="272"/>
        <w:ind w:left="1927" w:right="2368" w:hanging="1163"/>
      </w:pPr>
      <w:r>
        <w:rPr/>
        <w:t>Klomp,</w:t>
      </w:r>
      <w:r>
        <w:rPr>
          <w:spacing w:val="-5"/>
        </w:rPr>
        <w:t> </w:t>
      </w:r>
      <w:r>
        <w:rPr/>
        <w:t>J.</w:t>
      </w:r>
      <w:r>
        <w:rPr>
          <w:spacing w:val="-5"/>
        </w:rPr>
        <w:t> </w:t>
      </w:r>
      <w:r>
        <w:rPr/>
        <w:t>(2025).</w:t>
      </w:r>
      <w:r>
        <w:rPr>
          <w:spacing w:val="-5"/>
        </w:rPr>
        <w:t> </w:t>
      </w:r>
      <w:r>
        <w:rPr/>
        <w:t>Trump</w:t>
      </w:r>
      <w:r>
        <w:rPr>
          <w:spacing w:val="-5"/>
        </w:rPr>
        <w:t> </w:t>
      </w:r>
      <w:r>
        <w:rPr/>
        <w:t>tariffs</w:t>
      </w:r>
      <w:r>
        <w:rPr>
          <w:spacing w:val="-5"/>
        </w:rPr>
        <w:t> </w:t>
      </w:r>
      <w:r>
        <w:rPr/>
        <w:t>and</w:t>
      </w:r>
      <w:r>
        <w:rPr>
          <w:spacing w:val="-5"/>
        </w:rPr>
        <w:t> </w:t>
      </w:r>
      <w:r>
        <w:rPr/>
        <w:t>the</w:t>
      </w:r>
      <w:r>
        <w:rPr>
          <w:spacing w:val="-5"/>
        </w:rPr>
        <w:t> </w:t>
      </w:r>
      <w:r>
        <w:rPr/>
        <w:t>U.S.</w:t>
      </w:r>
      <w:r>
        <w:rPr>
          <w:spacing w:val="-5"/>
        </w:rPr>
        <w:t> </w:t>
      </w:r>
      <w:r>
        <w:rPr/>
        <w:t>defense</w:t>
      </w:r>
      <w:r>
        <w:rPr>
          <w:spacing w:val="-5"/>
        </w:rPr>
        <w:t> </w:t>
      </w:r>
      <w:r>
        <w:rPr/>
        <w:t>industry.</w:t>
      </w:r>
      <w:r>
        <w:rPr>
          <w:spacing w:val="-5"/>
        </w:rPr>
        <w:t> </w:t>
      </w:r>
      <w:r>
        <w:rPr>
          <w:i/>
        </w:rPr>
        <w:t>PLoS</w:t>
      </w:r>
      <w:r>
        <w:rPr>
          <w:i/>
          <w:spacing w:val="-5"/>
        </w:rPr>
        <w:t> </w:t>
      </w:r>
      <w:r>
        <w:rPr>
          <w:i/>
        </w:rPr>
        <w:t>ONE.</w:t>
      </w:r>
      <w:r>
        <w:rPr>
          <w:i/>
          <w:spacing w:val="-5"/>
        </w:rPr>
        <w:t> </w:t>
      </w:r>
      <w:r>
        <w:rPr>
          <w:i/>
        </w:rPr>
        <w:t>20</w:t>
      </w:r>
      <w:r>
        <w:rPr/>
        <w:t>(1),</w:t>
      </w:r>
      <w:r>
        <w:rPr>
          <w:spacing w:val="-5"/>
        </w:rPr>
        <w:t> </w:t>
      </w:r>
      <w:r>
        <w:rPr/>
        <w:t>1–</w:t>
      </w:r>
      <w:r>
        <w:rPr/>
        <w:t>30. </w:t>
      </w:r>
      <w:hyperlink r:id="rId82">
        <w:r>
          <w:rPr>
            <w:spacing w:val="-2"/>
          </w:rPr>
          <w:t>https://doi-org.libproxy.eku.edu/10.1371/journal.pone.0313204</w:t>
        </w:r>
      </w:hyperlink>
    </w:p>
    <w:p>
      <w:pPr>
        <w:pStyle w:val="BodyText"/>
      </w:pPr>
    </w:p>
    <w:p>
      <w:pPr>
        <w:pStyle w:val="BodyText"/>
        <w:spacing w:line="235" w:lineRule="auto"/>
        <w:ind w:left="1436" w:right="1619" w:hanging="720"/>
      </w:pPr>
      <w:r>
        <w:rPr/>
        <w:t>Uygun,</w:t>
      </w:r>
      <w:r>
        <w:rPr>
          <w:spacing w:val="-7"/>
        </w:rPr>
        <w:t> </w:t>
      </w:r>
      <w:r>
        <w:rPr/>
        <w:t>Y.,</w:t>
      </w:r>
      <w:r>
        <w:rPr>
          <w:spacing w:val="-7"/>
        </w:rPr>
        <w:t> </w:t>
      </w:r>
      <w:r>
        <w:rPr/>
        <w:t>Gotsadze,</w:t>
      </w:r>
      <w:r>
        <w:rPr>
          <w:spacing w:val="-7"/>
        </w:rPr>
        <w:t> </w:t>
      </w:r>
      <w:r>
        <w:rPr/>
        <w:t>N.,</w:t>
      </w:r>
      <w:r>
        <w:rPr>
          <w:spacing w:val="-7"/>
        </w:rPr>
        <w:t> </w:t>
      </w:r>
      <w:r>
        <w:rPr/>
        <w:t>Schupp,</w:t>
      </w:r>
      <w:r>
        <w:rPr>
          <w:spacing w:val="-7"/>
        </w:rPr>
        <w:t> </w:t>
      </w:r>
      <w:r>
        <w:rPr/>
        <w:t>F.,</w:t>
      </w:r>
      <w:r>
        <w:rPr>
          <w:spacing w:val="-7"/>
        </w:rPr>
        <w:t> </w:t>
      </w:r>
      <w:r>
        <w:rPr/>
        <w:t>Gzirishvili,</w:t>
      </w:r>
      <w:r>
        <w:rPr>
          <w:spacing w:val="-7"/>
        </w:rPr>
        <w:t> </w:t>
      </w:r>
      <w:r>
        <w:rPr/>
        <w:t>L.,</w:t>
      </w:r>
      <w:r>
        <w:rPr>
          <w:spacing w:val="-7"/>
        </w:rPr>
        <w:t> </w:t>
      </w:r>
      <w:r>
        <w:rPr/>
        <w:t>&amp;</w:t>
      </w:r>
      <w:r>
        <w:rPr>
          <w:spacing w:val="-7"/>
        </w:rPr>
        <w:t> </w:t>
      </w:r>
      <w:r>
        <w:rPr/>
        <w:t>Tindjou</w:t>
      </w:r>
      <w:r>
        <w:rPr>
          <w:spacing w:val="-7"/>
        </w:rPr>
        <w:t> </w:t>
      </w:r>
      <w:r>
        <w:rPr/>
        <w:t>Nana,</w:t>
      </w:r>
      <w:r>
        <w:rPr>
          <w:spacing w:val="-7"/>
        </w:rPr>
        <w:t> </w:t>
      </w:r>
      <w:r>
        <w:rPr/>
        <w:t>B.</w:t>
      </w:r>
      <w:r>
        <w:rPr>
          <w:spacing w:val="-7"/>
        </w:rPr>
        <w:t> </w:t>
      </w:r>
      <w:r>
        <w:rPr/>
        <w:t>S.</w:t>
      </w:r>
      <w:r>
        <w:rPr>
          <w:spacing w:val="-7"/>
        </w:rPr>
        <w:t> </w:t>
      </w:r>
      <w:r>
        <w:rPr/>
        <w:t>(2023).</w:t>
      </w:r>
      <w:r>
        <w:rPr>
          <w:spacing w:val="-7"/>
        </w:rPr>
        <w:t> </w:t>
      </w:r>
      <w:r>
        <w:rPr/>
        <w:t>A</w:t>
      </w:r>
      <w:r>
        <w:rPr>
          <w:spacing w:val="-7"/>
        </w:rPr>
        <w:t> </w:t>
      </w:r>
      <w:r>
        <w:rPr/>
        <w:t>holistic model for understanding the dynamics of outsourcing. </w:t>
      </w:r>
      <w:r>
        <w:rPr>
          <w:i/>
        </w:rPr>
        <w:t>International Journal of</w:t>
      </w:r>
      <w:r>
        <w:rPr>
          <w:i/>
        </w:rPr>
        <w:t> Production Research. 61</w:t>
      </w:r>
      <w:r>
        <w:rPr/>
        <w:t>(4), 1202–1232. </w:t>
      </w:r>
      <w:hyperlink r:id="rId81">
        <w:r>
          <w:rPr/>
          <w:t>https://doi</w:t>
        </w:r>
      </w:hyperlink>
      <w:r>
        <w:rPr/>
        <w:t> </w:t>
      </w:r>
      <w:r>
        <w:rPr>
          <w:spacing w:val="-2"/>
        </w:rPr>
        <w:t>org.libproxy.eku.edu/10.1080/00207543.2022.2031330</w:t>
      </w:r>
    </w:p>
    <w:p>
      <w:pPr>
        <w:pStyle w:val="BodyText"/>
        <w:spacing w:after="0" w:line="235" w:lineRule="auto"/>
        <w:sectPr>
          <w:pgSz w:w="12240" w:h="15840"/>
          <w:pgMar w:header="0" w:footer="706" w:top="640" w:bottom="960" w:left="720" w:right="0"/>
        </w:sectPr>
      </w:pPr>
    </w:p>
    <w:p>
      <w:pPr>
        <w:pStyle w:val="Heading3"/>
        <w:spacing w:line="266" w:lineRule="auto"/>
        <w:ind w:left="976" w:right="1574"/>
      </w:pPr>
      <w:bookmarkStart w:name="Evaluating Sustainable Supply Chain Prac" w:id="54"/>
      <w:bookmarkEnd w:id="54"/>
      <w:r>
        <w:rPr>
          <w:b w:val="0"/>
        </w:rPr>
      </w:r>
      <w:r>
        <w:rPr/>
        <w:t>Evaluating</w:t>
      </w:r>
      <w:r>
        <w:rPr>
          <w:spacing w:val="-6"/>
        </w:rPr>
        <w:t> </w:t>
      </w:r>
      <w:r>
        <w:rPr/>
        <w:t>Sustainable</w:t>
      </w:r>
      <w:r>
        <w:rPr>
          <w:spacing w:val="-6"/>
        </w:rPr>
        <w:t> </w:t>
      </w:r>
      <w:r>
        <w:rPr/>
        <w:t>Supply</w:t>
      </w:r>
      <w:r>
        <w:rPr>
          <w:spacing w:val="-6"/>
        </w:rPr>
        <w:t> </w:t>
      </w:r>
      <w:r>
        <w:rPr/>
        <w:t>Chain</w:t>
      </w:r>
      <w:r>
        <w:rPr>
          <w:spacing w:val="-6"/>
        </w:rPr>
        <w:t> </w:t>
      </w:r>
      <w:r>
        <w:rPr/>
        <w:t>Practices</w:t>
      </w:r>
      <w:r>
        <w:rPr>
          <w:spacing w:val="-6"/>
        </w:rPr>
        <w:t> </w:t>
      </w:r>
      <w:r>
        <w:rPr/>
        <w:t>Through</w:t>
      </w:r>
      <w:r>
        <w:rPr>
          <w:spacing w:val="-6"/>
        </w:rPr>
        <w:t> </w:t>
      </w:r>
      <w:r>
        <w:rPr/>
        <w:t>the</w:t>
      </w:r>
      <w:r>
        <w:rPr>
          <w:spacing w:val="-6"/>
        </w:rPr>
        <w:t> </w:t>
      </w:r>
      <w:r>
        <w:rPr/>
        <w:t>SCOR</w:t>
      </w:r>
      <w:r>
        <w:rPr>
          <w:spacing w:val="-6"/>
        </w:rPr>
        <w:t> </w:t>
      </w:r>
      <w:r>
        <w:rPr/>
        <w:t>Model: </w:t>
      </w:r>
      <w:bookmarkStart w:name="h.jayph9wt9ej9" w:id="55"/>
      <w:bookmarkEnd w:id="55"/>
      <w:r>
        <w:rPr/>
        <w:t>O</w:t>
      </w:r>
      <w:r>
        <w:rPr/>
        <w:t>perational Challenges and Insights</w:t>
      </w:r>
    </w:p>
    <w:p>
      <w:pPr>
        <w:pStyle w:val="BodyText"/>
        <w:spacing w:before="44"/>
        <w:rPr>
          <w:b/>
          <w:sz w:val="28"/>
        </w:rPr>
      </w:pPr>
    </w:p>
    <w:p>
      <w:pPr>
        <w:pStyle w:val="BodyText"/>
        <w:ind w:right="608"/>
        <w:jc w:val="center"/>
      </w:pPr>
      <w:r>
        <w:rPr/>
        <w:t>Ellington, Henry </w:t>
      </w:r>
      <w:r>
        <w:rPr>
          <w:spacing w:val="-5"/>
        </w:rPr>
        <w:t>H.</w:t>
      </w:r>
    </w:p>
    <w:p>
      <w:pPr>
        <w:pStyle w:val="BodyText"/>
        <w:spacing w:line="230" w:lineRule="auto" w:before="17"/>
        <w:ind w:left="1641" w:right="2284"/>
        <w:jc w:val="center"/>
      </w:pPr>
      <w:r>
        <w:rPr/>
        <w:t>BSBA</w:t>
      </w:r>
      <w:r>
        <w:rPr>
          <w:spacing w:val="-5"/>
        </w:rPr>
        <w:t> </w:t>
      </w:r>
      <w:r>
        <w:rPr/>
        <w:t>(Supply</w:t>
      </w:r>
      <w:r>
        <w:rPr>
          <w:spacing w:val="-5"/>
        </w:rPr>
        <w:t> </w:t>
      </w:r>
      <w:r>
        <w:rPr/>
        <w:t>Chain</w:t>
      </w:r>
      <w:r>
        <w:rPr>
          <w:spacing w:val="-5"/>
        </w:rPr>
        <w:t> </w:t>
      </w:r>
      <w:r>
        <w:rPr/>
        <w:t>Management,</w:t>
      </w:r>
      <w:r>
        <w:rPr>
          <w:spacing w:val="-5"/>
        </w:rPr>
        <w:t> </w:t>
      </w:r>
      <w:r>
        <w:rPr/>
        <w:t>Department</w:t>
      </w:r>
      <w:r>
        <w:rPr>
          <w:spacing w:val="-5"/>
        </w:rPr>
        <w:t> </w:t>
      </w:r>
      <w:r>
        <w:rPr/>
        <w:t>of</w:t>
      </w:r>
      <w:r>
        <w:rPr>
          <w:spacing w:val="-5"/>
        </w:rPr>
        <w:t> </w:t>
      </w:r>
      <w:r>
        <w:rPr/>
        <w:t>Supply</w:t>
      </w:r>
      <w:r>
        <w:rPr>
          <w:spacing w:val="-5"/>
        </w:rPr>
        <w:t> </w:t>
      </w:r>
      <w:r>
        <w:rPr/>
        <w:t>Chain</w:t>
      </w:r>
      <w:r>
        <w:rPr>
          <w:spacing w:val="-5"/>
        </w:rPr>
        <w:t> </w:t>
      </w:r>
      <w:r>
        <w:rPr/>
        <w:t>Management Appalachian State University</w:t>
      </w:r>
    </w:p>
    <w:p>
      <w:pPr>
        <w:pStyle w:val="BodyText"/>
        <w:spacing w:before="5"/>
        <w:ind w:right="707"/>
        <w:jc w:val="center"/>
      </w:pPr>
      <w:r>
        <w:rPr/>
        <w:t>287 Rivers </w:t>
      </w:r>
      <w:r>
        <w:rPr>
          <w:spacing w:val="-5"/>
        </w:rPr>
        <w:t>St.</w:t>
      </w:r>
    </w:p>
    <w:p>
      <w:pPr>
        <w:pStyle w:val="BodyText"/>
        <w:ind w:left="4346" w:right="5050" w:hanging="21"/>
        <w:jc w:val="center"/>
      </w:pPr>
      <w:r>
        <w:rPr/>
        <w:t>Boone, NC 28608 </w:t>
      </w:r>
      <w:hyperlink r:id="rId83">
        <w:r>
          <w:rPr>
            <w:color w:val="457886"/>
            <w:spacing w:val="-2"/>
            <w:u w:val="thick" w:color="457886"/>
          </w:rPr>
          <w:t>pruitter@appstate.edu</w:t>
        </w:r>
      </w:hyperlink>
      <w:r>
        <w:rPr>
          <w:color w:val="457886"/>
          <w:spacing w:val="-2"/>
          <w:u w:val="none"/>
        </w:rPr>
        <w:t> </w:t>
      </w:r>
      <w:r>
        <w:rPr>
          <w:spacing w:val="-2"/>
          <w:u w:val="none"/>
        </w:rPr>
        <w:t>828-747-2263</w:t>
      </w:r>
    </w:p>
    <w:p>
      <w:pPr>
        <w:pStyle w:val="BodyText"/>
        <w:spacing w:before="272"/>
      </w:pPr>
    </w:p>
    <w:p>
      <w:pPr>
        <w:pStyle w:val="BodyText"/>
        <w:ind w:right="698"/>
        <w:jc w:val="center"/>
      </w:pPr>
      <w:r>
        <w:rPr/>
        <w:t>Brewer,</w:t>
      </w:r>
      <w:r>
        <w:rPr>
          <w:spacing w:val="-10"/>
        </w:rPr>
        <w:t> </w:t>
      </w:r>
      <w:r>
        <w:rPr>
          <w:spacing w:val="-2"/>
        </w:rPr>
        <w:t>Laura</w:t>
      </w:r>
    </w:p>
    <w:p>
      <w:pPr>
        <w:pStyle w:val="BodyText"/>
        <w:ind w:left="2411" w:right="3136"/>
        <w:jc w:val="center"/>
      </w:pPr>
      <w:r>
        <w:rPr/>
        <w:t>Assistant</w:t>
      </w:r>
      <w:r>
        <w:rPr>
          <w:spacing w:val="-8"/>
        </w:rPr>
        <w:t> </w:t>
      </w:r>
      <w:r>
        <w:rPr/>
        <w:t>Professor,</w:t>
      </w:r>
      <w:r>
        <w:rPr>
          <w:spacing w:val="-8"/>
        </w:rPr>
        <w:t> </w:t>
      </w:r>
      <w:r>
        <w:rPr/>
        <w:t>Department</w:t>
      </w:r>
      <w:r>
        <w:rPr>
          <w:spacing w:val="-8"/>
        </w:rPr>
        <w:t> </w:t>
      </w:r>
      <w:r>
        <w:rPr/>
        <w:t>of</w:t>
      </w:r>
      <w:r>
        <w:rPr>
          <w:spacing w:val="-8"/>
        </w:rPr>
        <w:t> </w:t>
      </w:r>
      <w:r>
        <w:rPr/>
        <w:t>Marketing</w:t>
      </w:r>
      <w:r>
        <w:rPr>
          <w:spacing w:val="-8"/>
        </w:rPr>
        <w:t> </w:t>
      </w:r>
      <w:r>
        <w:rPr/>
        <w:t>&amp;Supply</w:t>
      </w:r>
      <w:r>
        <w:rPr>
          <w:spacing w:val="-8"/>
        </w:rPr>
        <w:t> </w:t>
      </w:r>
      <w:r>
        <w:rPr/>
        <w:t>Chain Appalachian State University</w:t>
      </w:r>
    </w:p>
    <w:p>
      <w:pPr>
        <w:pStyle w:val="BodyText"/>
        <w:ind w:right="707"/>
        <w:jc w:val="center"/>
      </w:pPr>
      <w:r>
        <w:rPr/>
        <w:t>287 Rivers </w:t>
      </w:r>
      <w:r>
        <w:rPr>
          <w:spacing w:val="-5"/>
        </w:rPr>
        <w:t>St.</w:t>
      </w:r>
    </w:p>
    <w:p>
      <w:pPr>
        <w:pStyle w:val="BodyText"/>
        <w:ind w:left="4286" w:right="5017" w:firstLine="6"/>
        <w:jc w:val="center"/>
      </w:pPr>
      <w:r>
        <w:rPr/>
        <w:t>Boone, NC 28608 </w:t>
      </w:r>
      <w:hyperlink r:id="rId84">
        <w:r>
          <w:rPr>
            <w:color w:val="457886"/>
            <w:spacing w:val="-2"/>
            <w:u w:val="thick" w:color="457886"/>
          </w:rPr>
          <w:t>brewerll@appstate.edu</w:t>
        </w:r>
      </w:hyperlink>
    </w:p>
    <w:p>
      <w:pPr>
        <w:pStyle w:val="BodyText"/>
        <w:spacing w:before="271"/>
      </w:pPr>
    </w:p>
    <w:p>
      <w:pPr>
        <w:pStyle w:val="BodyText"/>
        <w:spacing w:before="1"/>
        <w:ind w:right="727"/>
        <w:jc w:val="center"/>
      </w:pPr>
      <w:r>
        <w:rPr/>
        <w:t>Nandi, </w:t>
      </w:r>
      <w:r>
        <w:rPr>
          <w:spacing w:val="-2"/>
        </w:rPr>
        <w:t>Santosh</w:t>
      </w:r>
    </w:p>
    <w:p>
      <w:pPr>
        <w:pStyle w:val="BodyText"/>
        <w:ind w:left="3041" w:right="3760"/>
        <w:jc w:val="center"/>
      </w:pPr>
      <w:r>
        <w:rPr/>
        <w:t>Associate</w:t>
      </w:r>
      <w:r>
        <w:rPr>
          <w:spacing w:val="-12"/>
        </w:rPr>
        <w:t> </w:t>
      </w:r>
      <w:r>
        <w:rPr/>
        <w:t>Professor,</w:t>
      </w:r>
      <w:r>
        <w:rPr>
          <w:spacing w:val="-12"/>
        </w:rPr>
        <w:t> </w:t>
      </w:r>
      <w:r>
        <w:rPr/>
        <w:t>Department</w:t>
      </w:r>
      <w:r>
        <w:rPr>
          <w:spacing w:val="-12"/>
        </w:rPr>
        <w:t> </w:t>
      </w:r>
      <w:r>
        <w:rPr/>
        <w:t>of</w:t>
      </w:r>
      <w:r>
        <w:rPr>
          <w:spacing w:val="-12"/>
        </w:rPr>
        <w:t> </w:t>
      </w:r>
      <w:r>
        <w:rPr/>
        <w:t>Management Appalachian State University</w:t>
      </w:r>
    </w:p>
    <w:p>
      <w:pPr>
        <w:pStyle w:val="BodyText"/>
        <w:ind w:right="707"/>
        <w:jc w:val="center"/>
      </w:pPr>
      <w:r>
        <w:rPr/>
        <w:t>287 Rivers </w:t>
      </w:r>
      <w:r>
        <w:rPr>
          <w:spacing w:val="-5"/>
        </w:rPr>
        <w:t>St.</w:t>
      </w:r>
    </w:p>
    <w:p>
      <w:pPr>
        <w:pStyle w:val="BodyText"/>
        <w:ind w:left="4316" w:right="5040" w:hanging="1"/>
        <w:jc w:val="center"/>
      </w:pPr>
      <w:r>
        <w:rPr/>
        <w:t>Boone, NC 28608 </w:t>
      </w:r>
      <w:hyperlink r:id="rId71">
        <w:r>
          <w:rPr>
            <w:color w:val="457886"/>
            <w:spacing w:val="-2"/>
            <w:u w:val="thick" w:color="457886"/>
          </w:rPr>
          <w:t>nandis1@appstate.edu</w:t>
        </w:r>
      </w:hyperlink>
    </w:p>
    <w:p>
      <w:pPr>
        <w:pStyle w:val="BodyText"/>
        <w:spacing w:line="230" w:lineRule="auto" w:before="263"/>
        <w:ind w:left="731" w:right="2089" w:hanging="15"/>
      </w:pPr>
      <w:r>
        <w:rPr/>
        <w:t>Key</w:t>
      </w:r>
      <w:r>
        <w:rPr>
          <w:spacing w:val="-5"/>
        </w:rPr>
        <w:t> </w:t>
      </w:r>
      <w:r>
        <w:rPr/>
        <w:t>words</w:t>
      </w:r>
      <w:r>
        <w:rPr>
          <w:spacing w:val="-5"/>
        </w:rPr>
        <w:t> </w:t>
      </w:r>
      <w:r>
        <w:rPr/>
        <w:t>(3-5):</w:t>
      </w:r>
      <w:r>
        <w:rPr>
          <w:spacing w:val="-5"/>
        </w:rPr>
        <w:t> </w:t>
      </w:r>
      <w:r>
        <w:rPr/>
        <w:t>Sustainable</w:t>
      </w:r>
      <w:r>
        <w:rPr>
          <w:spacing w:val="-5"/>
        </w:rPr>
        <w:t> </w:t>
      </w:r>
      <w:r>
        <w:rPr/>
        <w:t>operations;</w:t>
      </w:r>
      <w:r>
        <w:rPr>
          <w:spacing w:val="-5"/>
        </w:rPr>
        <w:t> </w:t>
      </w:r>
      <w:r>
        <w:rPr/>
        <w:t>The</w:t>
      </w:r>
      <w:r>
        <w:rPr>
          <w:spacing w:val="-5"/>
        </w:rPr>
        <w:t> </w:t>
      </w:r>
      <w:r>
        <w:rPr/>
        <w:t>SCOR</w:t>
      </w:r>
      <w:r>
        <w:rPr>
          <w:spacing w:val="-5"/>
        </w:rPr>
        <w:t> </w:t>
      </w:r>
      <w:r>
        <w:rPr/>
        <w:t>model;</w:t>
      </w:r>
      <w:r>
        <w:rPr>
          <w:spacing w:val="-5"/>
        </w:rPr>
        <w:t> </w:t>
      </w:r>
      <w:r>
        <w:rPr/>
        <w:t>Environmental</w:t>
      </w:r>
      <w:r>
        <w:rPr>
          <w:spacing w:val="-5"/>
        </w:rPr>
        <w:t> </w:t>
      </w:r>
      <w:r>
        <w:rPr/>
        <w:t>responsibility; Internship-based research</w:t>
      </w:r>
    </w:p>
    <w:p>
      <w:pPr>
        <w:pStyle w:val="BodyText"/>
        <w:spacing w:line="230" w:lineRule="auto" w:before="176"/>
        <w:ind w:left="731" w:right="2135" w:hanging="15"/>
      </w:pPr>
      <w:r>
        <w:rPr/>
        <w:t>Despite growing attention to sustainability in both academic literature and corporate strategy, a</w:t>
      </w:r>
      <w:r>
        <w:rPr>
          <w:spacing w:val="40"/>
        </w:rPr>
        <w:t> </w:t>
      </w:r>
      <w:r>
        <w:rPr/>
        <w:t>significant gap remains between idealized sustainability frameworks and the realities of</w:t>
      </w:r>
      <w:r>
        <w:rPr>
          <w:spacing w:val="40"/>
        </w:rPr>
        <w:t> </w:t>
      </w:r>
      <w:r>
        <w:rPr/>
        <w:t>organizational practice. Much of the discourse outlines what firms </w:t>
      </w:r>
      <w:r>
        <w:rPr>
          <w:i/>
        </w:rPr>
        <w:t>should </w:t>
      </w:r>
      <w:r>
        <w:rPr/>
        <w:t>do, yet</w:t>
      </w:r>
      <w:r>
        <w:rPr>
          <w:spacing w:val="-3"/>
        </w:rPr>
        <w:t> </w:t>
      </w:r>
      <w:r>
        <w:rPr/>
        <w:t>far</w:t>
      </w:r>
      <w:r>
        <w:rPr>
          <w:spacing w:val="-3"/>
        </w:rPr>
        <w:t> </w:t>
      </w:r>
      <w:r>
        <w:rPr/>
        <w:t>less</w:t>
      </w:r>
      <w:r>
        <w:rPr>
          <w:spacing w:val="-3"/>
        </w:rPr>
        <w:t> </w:t>
      </w:r>
      <w:r>
        <w:rPr/>
        <w:t>is</w:t>
      </w:r>
      <w:r>
        <w:rPr>
          <w:spacing w:val="40"/>
        </w:rPr>
        <w:t> </w:t>
      </w:r>
      <w:r>
        <w:rPr/>
        <w:t>known</w:t>
      </w:r>
      <w:r>
        <w:rPr>
          <w:spacing w:val="-3"/>
        </w:rPr>
        <w:t> </w:t>
      </w:r>
      <w:r>
        <w:rPr/>
        <w:t>about</w:t>
      </w:r>
      <w:r>
        <w:rPr>
          <w:spacing w:val="-3"/>
        </w:rPr>
        <w:t> </w:t>
      </w:r>
      <w:r>
        <w:rPr/>
        <w:t>how</w:t>
      </w:r>
      <w:r>
        <w:rPr>
          <w:spacing w:val="-3"/>
        </w:rPr>
        <w:t> </w:t>
      </w:r>
      <w:r>
        <w:rPr/>
        <w:t>sustainability</w:t>
      </w:r>
      <w:r>
        <w:rPr>
          <w:spacing w:val="-3"/>
        </w:rPr>
        <w:t> </w:t>
      </w:r>
      <w:r>
        <w:rPr/>
        <w:t>initiatives</w:t>
      </w:r>
      <w:r>
        <w:rPr>
          <w:spacing w:val="-3"/>
        </w:rPr>
        <w:t> </w:t>
      </w:r>
      <w:r>
        <w:rPr/>
        <w:t>are</w:t>
      </w:r>
      <w:r>
        <w:rPr>
          <w:spacing w:val="-3"/>
        </w:rPr>
        <w:t> </w:t>
      </w:r>
      <w:r>
        <w:rPr/>
        <w:t>incorporated</w:t>
      </w:r>
      <w:r>
        <w:rPr>
          <w:spacing w:val="-3"/>
        </w:rPr>
        <w:t> </w:t>
      </w:r>
      <w:r>
        <w:rPr/>
        <w:t>into</w:t>
      </w:r>
      <w:r>
        <w:rPr>
          <w:spacing w:val="-3"/>
        </w:rPr>
        <w:t> </w:t>
      </w:r>
      <w:r>
        <w:rPr/>
        <w:t>day-to-</w:t>
      </w:r>
      <w:r>
        <w:rPr/>
        <w:t>day operations and how</w:t>
      </w:r>
      <w:r>
        <w:rPr>
          <w:spacing w:val="40"/>
        </w:rPr>
        <w:t> </w:t>
      </w:r>
      <w:r>
        <w:rPr/>
        <w:t>effective they are when confronted with real-world constraints.</w:t>
      </w:r>
    </w:p>
    <w:p>
      <w:pPr>
        <w:pStyle w:val="BodyText"/>
        <w:spacing w:line="230" w:lineRule="auto"/>
        <w:ind w:left="731" w:right="2135"/>
      </w:pPr>
      <w:r>
        <w:rPr/>
        <w:t>Addressing</w:t>
      </w:r>
      <w:r>
        <w:rPr>
          <w:spacing w:val="-4"/>
        </w:rPr>
        <w:t> </w:t>
      </w:r>
      <w:r>
        <w:rPr/>
        <w:t>this</w:t>
      </w:r>
      <w:r>
        <w:rPr>
          <w:spacing w:val="-4"/>
        </w:rPr>
        <w:t> </w:t>
      </w:r>
      <w:r>
        <w:rPr/>
        <w:t>gap</w:t>
      </w:r>
      <w:r>
        <w:rPr>
          <w:spacing w:val="-4"/>
        </w:rPr>
        <w:t> </w:t>
      </w:r>
      <w:r>
        <w:rPr/>
        <w:t>is</w:t>
      </w:r>
      <w:r>
        <w:rPr>
          <w:spacing w:val="-4"/>
        </w:rPr>
        <w:t> </w:t>
      </w:r>
      <w:r>
        <w:rPr/>
        <w:t>essential</w:t>
      </w:r>
      <w:r>
        <w:rPr>
          <w:spacing w:val="40"/>
        </w:rPr>
        <w:t> </w:t>
      </w:r>
      <w:r>
        <w:rPr/>
        <w:t>for</w:t>
      </w:r>
      <w:r>
        <w:rPr>
          <w:spacing w:val="-4"/>
        </w:rPr>
        <w:t> </w:t>
      </w:r>
      <w:r>
        <w:rPr/>
        <w:t>understanding</w:t>
      </w:r>
      <w:r>
        <w:rPr>
          <w:spacing w:val="-4"/>
        </w:rPr>
        <w:t> </w:t>
      </w:r>
      <w:r>
        <w:rPr/>
        <w:t>the</w:t>
      </w:r>
      <w:r>
        <w:rPr>
          <w:spacing w:val="-4"/>
        </w:rPr>
        <w:t> </w:t>
      </w:r>
      <w:r>
        <w:rPr/>
        <w:t>operational</w:t>
      </w:r>
      <w:r>
        <w:rPr>
          <w:spacing w:val="-4"/>
        </w:rPr>
        <w:t> </w:t>
      </w:r>
      <w:r>
        <w:rPr/>
        <w:t>challenges</w:t>
      </w:r>
      <w:r>
        <w:rPr>
          <w:spacing w:val="-4"/>
        </w:rPr>
        <w:t> </w:t>
      </w:r>
      <w:r>
        <w:rPr/>
        <w:t>firms</w:t>
      </w:r>
      <w:r>
        <w:rPr>
          <w:spacing w:val="-4"/>
        </w:rPr>
        <w:t> </w:t>
      </w:r>
      <w:r>
        <w:rPr/>
        <w:t>face and for evaluating the practical outcomes</w:t>
      </w:r>
      <w:r>
        <w:rPr>
          <w:spacing w:val="40"/>
        </w:rPr>
        <w:t> </w:t>
      </w:r>
      <w:r>
        <w:rPr/>
        <w:t>of sustainability efforts beyond theoretical </w:t>
      </w:r>
      <w:r>
        <w:rPr>
          <w:spacing w:val="-2"/>
        </w:rPr>
        <w:t>expectations.</w:t>
      </w:r>
    </w:p>
    <w:p>
      <w:pPr>
        <w:pStyle w:val="BodyText"/>
        <w:spacing w:line="230" w:lineRule="auto" w:before="259"/>
        <w:ind w:left="731" w:right="1996" w:hanging="15"/>
      </w:pPr>
      <w:r>
        <w:rPr/>
        <w:t>Accordingly, this study seeks to investigate how a firm integrates sustainability into key operational areas—such as sourcing, transportation, and waste reduction—within the context of a</w:t>
      </w:r>
      <w:r>
        <w:rPr>
          <w:spacing w:val="40"/>
        </w:rPr>
        <w:t> </w:t>
      </w:r>
      <w:r>
        <w:rPr/>
        <w:t>summer internship experience. By examining these practices in real-world settings,</w:t>
      </w:r>
      <w:r>
        <w:rPr>
          <w:spacing w:val="-4"/>
        </w:rPr>
        <w:t> </w:t>
      </w:r>
      <w:r>
        <w:rPr/>
        <w:t>the</w:t>
      </w:r>
      <w:r>
        <w:rPr>
          <w:spacing w:val="-4"/>
        </w:rPr>
        <w:t> </w:t>
      </w:r>
      <w:r>
        <w:rPr/>
        <w:t>study</w:t>
      </w:r>
      <w:r>
        <w:rPr>
          <w:spacing w:val="40"/>
        </w:rPr>
        <w:t> </w:t>
      </w:r>
      <w:r>
        <w:rPr/>
        <w:t>aims</w:t>
      </w:r>
      <w:r>
        <w:rPr>
          <w:spacing w:val="-4"/>
        </w:rPr>
        <w:t> </w:t>
      </w:r>
      <w:r>
        <w:rPr/>
        <w:t>to</w:t>
      </w:r>
      <w:r>
        <w:rPr>
          <w:spacing w:val="-4"/>
        </w:rPr>
        <w:t> </w:t>
      </w:r>
      <w:r>
        <w:rPr/>
        <w:t>provide</w:t>
      </w:r>
      <w:r>
        <w:rPr>
          <w:spacing w:val="-4"/>
        </w:rPr>
        <w:t> </w:t>
      </w:r>
      <w:r>
        <w:rPr/>
        <w:t>grounded</w:t>
      </w:r>
      <w:r>
        <w:rPr>
          <w:spacing w:val="-4"/>
        </w:rPr>
        <w:t> </w:t>
      </w:r>
      <w:r>
        <w:rPr/>
        <w:t>insight</w:t>
      </w:r>
      <w:r>
        <w:rPr>
          <w:spacing w:val="-4"/>
        </w:rPr>
        <w:t> </w:t>
      </w:r>
      <w:r>
        <w:rPr/>
        <w:t>into</w:t>
      </w:r>
      <w:r>
        <w:rPr>
          <w:spacing w:val="-4"/>
        </w:rPr>
        <w:t> </w:t>
      </w:r>
      <w:r>
        <w:rPr/>
        <w:t>the</w:t>
      </w:r>
      <w:r>
        <w:rPr>
          <w:spacing w:val="-4"/>
        </w:rPr>
        <w:t> </w:t>
      </w:r>
      <w:r>
        <w:rPr/>
        <w:t>effectiveness,</w:t>
      </w:r>
      <w:r>
        <w:rPr>
          <w:spacing w:val="-4"/>
        </w:rPr>
        <w:t> </w:t>
      </w:r>
      <w:r>
        <w:rPr/>
        <w:t>limitations,</w:t>
      </w:r>
      <w:r>
        <w:rPr>
          <w:spacing w:val="-4"/>
        </w:rPr>
        <w:t> </w:t>
      </w:r>
      <w:r>
        <w:rPr/>
        <w:t>and operational tensions</w:t>
      </w:r>
      <w:r>
        <w:rPr>
          <w:spacing w:val="40"/>
        </w:rPr>
        <w:t> </w:t>
      </w:r>
      <w:r>
        <w:rPr/>
        <w:t>involved in implementing sustainability on the ground.</w:t>
      </w:r>
    </w:p>
    <w:p>
      <w:pPr>
        <w:pStyle w:val="BodyText"/>
        <w:spacing w:line="228" w:lineRule="auto" w:before="264"/>
        <w:ind w:left="731" w:right="1996" w:hanging="15"/>
      </w:pPr>
      <w:r>
        <w:rPr/>
        <w:t>Using</w:t>
      </w:r>
      <w:r>
        <w:rPr>
          <w:spacing w:val="-5"/>
        </w:rPr>
        <w:t> </w:t>
      </w:r>
      <w:r>
        <w:rPr/>
        <w:t>the</w:t>
      </w:r>
      <w:r>
        <w:rPr>
          <w:spacing w:val="-5"/>
        </w:rPr>
        <w:t> </w:t>
      </w:r>
      <w:r>
        <w:rPr/>
        <w:t>Supply</w:t>
      </w:r>
      <w:r>
        <w:rPr>
          <w:spacing w:val="-5"/>
        </w:rPr>
        <w:t> </w:t>
      </w:r>
      <w:r>
        <w:rPr/>
        <w:t>Chain</w:t>
      </w:r>
      <w:r>
        <w:rPr>
          <w:spacing w:val="-5"/>
        </w:rPr>
        <w:t> </w:t>
      </w:r>
      <w:r>
        <w:rPr/>
        <w:t>Operations</w:t>
      </w:r>
      <w:r>
        <w:rPr>
          <w:spacing w:val="-5"/>
        </w:rPr>
        <w:t> </w:t>
      </w:r>
      <w:r>
        <w:rPr/>
        <w:t>Reference</w:t>
      </w:r>
      <w:r>
        <w:rPr>
          <w:spacing w:val="-5"/>
        </w:rPr>
        <w:t> </w:t>
      </w:r>
      <w:r>
        <w:rPr/>
        <w:t>(SCOR)</w:t>
      </w:r>
      <w:r>
        <w:rPr>
          <w:spacing w:val="-5"/>
        </w:rPr>
        <w:t> </w:t>
      </w:r>
      <w:r>
        <w:rPr/>
        <w:t>model—developed</w:t>
      </w:r>
      <w:r>
        <w:rPr>
          <w:spacing w:val="-5"/>
        </w:rPr>
        <w:t> </w:t>
      </w:r>
      <w:r>
        <w:rPr/>
        <w:t>and</w:t>
      </w:r>
      <w:r>
        <w:rPr>
          <w:spacing w:val="-5"/>
        </w:rPr>
        <w:t> </w:t>
      </w:r>
      <w:r>
        <w:rPr/>
        <w:t>maintained by</w:t>
      </w:r>
      <w:r>
        <w:rPr>
          <w:spacing w:val="40"/>
        </w:rPr>
        <w:t> </w:t>
      </w:r>
      <w:r>
        <w:rPr/>
        <w:t>the Association for Supply Chain Management— and drawing on literature</w:t>
      </w:r>
      <w:r>
        <w:rPr>
          <w:rFonts w:ascii="Segoe UI Symbol" w:hAnsi="Segoe UI Symbol"/>
        </w:rPr>
        <w:t>‑</w:t>
      </w:r>
      <w:r>
        <w:rPr/>
        <w:t>based classifications</w:t>
      </w:r>
      <w:r>
        <w:rPr>
          <w:spacing w:val="40"/>
        </w:rPr>
        <w:t> </w:t>
      </w:r>
      <w:r>
        <w:rPr/>
        <w:t>of sustainable supply chain practices, this study will employ a case study approach grounded in</w:t>
      </w:r>
      <w:r>
        <w:rPr>
          <w:spacing w:val="40"/>
        </w:rPr>
        <w:t> </w:t>
      </w:r>
      <w:r>
        <w:rPr/>
        <w:t>direct observation during a supply chain internship. The SCOR framework will serve as the</w:t>
      </w:r>
      <w:r>
        <w:rPr>
          <w:spacing w:val="40"/>
        </w:rPr>
        <w:t> </w:t>
      </w:r>
      <w:r>
        <w:rPr/>
        <w:t>analytical lens for evaluating the firm’s sustainability-related practices and activities across its</w:t>
      </w:r>
      <w:r>
        <w:rPr>
          <w:spacing w:val="40"/>
        </w:rPr>
        <w:t> </w:t>
      </w:r>
      <w:r>
        <w:rPr/>
        <w:t>core operational processes. Throughout the internship</w:t>
      </w:r>
    </w:p>
    <w:p>
      <w:pPr>
        <w:pStyle w:val="BodyText"/>
        <w:spacing w:after="0" w:line="228" w:lineRule="auto"/>
        <w:sectPr>
          <w:pgSz w:w="12240" w:h="15840"/>
          <w:pgMar w:header="0" w:footer="706" w:top="640" w:bottom="960" w:left="720" w:right="0"/>
        </w:sectPr>
      </w:pPr>
    </w:p>
    <w:p>
      <w:pPr>
        <w:pStyle w:val="BodyText"/>
        <w:spacing w:line="230" w:lineRule="auto" w:before="80"/>
        <w:ind w:left="731" w:right="2135"/>
      </w:pPr>
      <w:r>
        <w:rPr/>
        <w:t>term, the firm’s sustainability initiatives</w:t>
      </w:r>
      <w:r>
        <w:rPr>
          <w:spacing w:val="40"/>
        </w:rPr>
        <w:t> </w:t>
      </w:r>
      <w:r>
        <w:rPr/>
        <w:t>will be observed, with attention to focal areas such as waste reduction, ethical sourcing, and</w:t>
      </w:r>
      <w:r>
        <w:rPr>
          <w:spacing w:val="40"/>
        </w:rPr>
        <w:t> </w:t>
      </w:r>
      <w:r>
        <w:rPr/>
        <w:t>transportation efficiency. Data will be collected through daily observations, informal</w:t>
      </w:r>
      <w:r>
        <w:rPr>
          <w:spacing w:val="40"/>
        </w:rPr>
        <w:t> </w:t>
      </w:r>
      <w:r>
        <w:rPr/>
        <w:t>conversations with employees, and a review of internal documents or sustainability reports when</w:t>
      </w:r>
      <w:r>
        <w:rPr>
          <w:spacing w:val="40"/>
        </w:rPr>
        <w:t> </w:t>
      </w:r>
      <w:r>
        <w:rPr/>
        <w:t>available. The insights generated</w:t>
      </w:r>
      <w:r>
        <w:rPr>
          <w:spacing w:val="-3"/>
        </w:rPr>
        <w:t> </w:t>
      </w:r>
      <w:r>
        <w:rPr/>
        <w:t>will</w:t>
      </w:r>
      <w:r>
        <w:rPr>
          <w:spacing w:val="-3"/>
        </w:rPr>
        <w:t> </w:t>
      </w:r>
      <w:r>
        <w:rPr/>
        <w:t>then</w:t>
      </w:r>
      <w:r>
        <w:rPr>
          <w:spacing w:val="-3"/>
        </w:rPr>
        <w:t> </w:t>
      </w:r>
      <w:r>
        <w:rPr/>
        <w:t>be</w:t>
      </w:r>
      <w:r>
        <w:rPr>
          <w:spacing w:val="-3"/>
        </w:rPr>
        <w:t> </w:t>
      </w:r>
      <w:r>
        <w:rPr/>
        <w:t>compared</w:t>
      </w:r>
      <w:r>
        <w:rPr>
          <w:spacing w:val="-3"/>
        </w:rPr>
        <w:t> </w:t>
      </w:r>
      <w:r>
        <w:rPr/>
        <w:t>with</w:t>
      </w:r>
      <w:r>
        <w:rPr>
          <w:spacing w:val="-3"/>
        </w:rPr>
        <w:t> </w:t>
      </w:r>
      <w:r>
        <w:rPr/>
        <w:t>academic</w:t>
      </w:r>
      <w:r>
        <w:rPr>
          <w:spacing w:val="-3"/>
        </w:rPr>
        <w:t> </w:t>
      </w:r>
      <w:r>
        <w:rPr/>
        <w:t>literature</w:t>
      </w:r>
      <w:r>
        <w:rPr>
          <w:spacing w:val="-3"/>
        </w:rPr>
        <w:t> </w:t>
      </w:r>
      <w:r>
        <w:rPr/>
        <w:t>and</w:t>
      </w:r>
      <w:r>
        <w:rPr>
          <w:spacing w:val="-3"/>
        </w:rPr>
        <w:t> </w:t>
      </w:r>
      <w:r>
        <w:rPr/>
        <w:t>industry</w:t>
      </w:r>
      <w:r>
        <w:rPr>
          <w:spacing w:val="40"/>
        </w:rPr>
        <w:t> </w:t>
      </w:r>
      <w:r>
        <w:rPr/>
        <w:t>best</w:t>
      </w:r>
      <w:r>
        <w:rPr>
          <w:spacing w:val="-3"/>
        </w:rPr>
        <w:t> </w:t>
      </w:r>
      <w:r>
        <w:rPr/>
        <w:t>practices</w:t>
      </w:r>
      <w:r>
        <w:rPr>
          <w:spacing w:val="-3"/>
        </w:rPr>
        <w:t> </w:t>
      </w:r>
      <w:r>
        <w:rPr/>
        <w:t>to evaluate the extent to which the firm’s practices align with established</w:t>
      </w:r>
      <w:r>
        <w:rPr>
          <w:spacing w:val="40"/>
        </w:rPr>
        <w:t> </w:t>
      </w:r>
      <w:r>
        <w:rPr/>
        <w:t>sustainability </w:t>
      </w:r>
      <w:r>
        <w:rPr>
          <w:spacing w:val="-2"/>
        </w:rPr>
        <w:t>standards.</w:t>
      </w:r>
    </w:p>
    <w:p>
      <w:pPr>
        <w:pStyle w:val="BodyText"/>
        <w:spacing w:line="230" w:lineRule="auto" w:before="260"/>
        <w:ind w:left="731" w:right="2031" w:hanging="15"/>
      </w:pPr>
      <w:r>
        <w:rPr/>
        <w:t>The findings of this study will be of value to multiple stakeholder groups. For the host</w:t>
      </w:r>
      <w:r>
        <w:rPr>
          <w:spacing w:val="40"/>
        </w:rPr>
        <w:t> </w:t>
      </w:r>
      <w:r>
        <w:rPr/>
        <w:t>firm, the</w:t>
      </w:r>
      <w:r>
        <w:rPr>
          <w:spacing w:val="40"/>
        </w:rPr>
        <w:t> </w:t>
      </w:r>
      <w:r>
        <w:rPr/>
        <w:t>results may provide evidence-based feedback and recommendations that</w:t>
      </w:r>
      <w:r>
        <w:rPr>
          <w:spacing w:val="40"/>
        </w:rPr>
        <w:t> </w:t>
      </w:r>
      <w:r>
        <w:rPr/>
        <w:t>highlight both strengths</w:t>
      </w:r>
      <w:r>
        <w:rPr>
          <w:spacing w:val="40"/>
        </w:rPr>
        <w:t> </w:t>
      </w:r>
      <w:r>
        <w:rPr/>
        <w:t>and areas requiring further development within its sustainability practices.</w:t>
      </w:r>
      <w:r>
        <w:rPr>
          <w:spacing w:val="-3"/>
        </w:rPr>
        <w:t> </w:t>
      </w:r>
      <w:r>
        <w:rPr/>
        <w:t>For</w:t>
      </w:r>
      <w:r>
        <w:rPr>
          <w:spacing w:val="-3"/>
        </w:rPr>
        <w:t> </w:t>
      </w:r>
      <w:r>
        <w:rPr/>
        <w:t>faculty</w:t>
      </w:r>
      <w:r>
        <w:rPr>
          <w:spacing w:val="-3"/>
        </w:rPr>
        <w:t> </w:t>
      </w:r>
      <w:r>
        <w:rPr/>
        <w:t>and</w:t>
      </w:r>
      <w:r>
        <w:rPr>
          <w:spacing w:val="40"/>
        </w:rPr>
        <w:t> </w:t>
      </w:r>
      <w:r>
        <w:rPr/>
        <w:t>students</w:t>
      </w:r>
      <w:r>
        <w:rPr>
          <w:spacing w:val="-3"/>
        </w:rPr>
        <w:t> </w:t>
      </w:r>
      <w:r>
        <w:rPr/>
        <w:t>in</w:t>
      </w:r>
      <w:r>
        <w:rPr>
          <w:spacing w:val="-3"/>
        </w:rPr>
        <w:t> </w:t>
      </w:r>
      <w:r>
        <w:rPr/>
        <w:t>supply</w:t>
      </w:r>
      <w:r>
        <w:rPr>
          <w:spacing w:val="-3"/>
        </w:rPr>
        <w:t> </w:t>
      </w:r>
      <w:r>
        <w:rPr/>
        <w:t>chain</w:t>
      </w:r>
      <w:r>
        <w:rPr>
          <w:spacing w:val="-3"/>
        </w:rPr>
        <w:t> </w:t>
      </w:r>
      <w:r>
        <w:rPr/>
        <w:t>management</w:t>
      </w:r>
      <w:r>
        <w:rPr>
          <w:spacing w:val="-3"/>
        </w:rPr>
        <w:t> </w:t>
      </w:r>
      <w:r>
        <w:rPr/>
        <w:t>and</w:t>
      </w:r>
      <w:r>
        <w:rPr>
          <w:spacing w:val="-3"/>
        </w:rPr>
        <w:t> </w:t>
      </w:r>
      <w:r>
        <w:rPr/>
        <w:t>related</w:t>
      </w:r>
      <w:r>
        <w:rPr>
          <w:spacing w:val="-3"/>
        </w:rPr>
        <w:t> </w:t>
      </w:r>
      <w:r>
        <w:rPr/>
        <w:t>disciplines,</w:t>
      </w:r>
      <w:r>
        <w:rPr>
          <w:spacing w:val="-3"/>
        </w:rPr>
        <w:t> </w:t>
      </w:r>
      <w:r>
        <w:rPr/>
        <w:t>the study will offer a useful</w:t>
      </w:r>
      <w:r>
        <w:rPr>
          <w:spacing w:val="40"/>
        </w:rPr>
        <w:t> </w:t>
      </w:r>
      <w:r>
        <w:rPr/>
        <w:t>illustration of how theoretical sustainability concepts manifest within an operational</w:t>
      </w:r>
      <w:r>
        <w:rPr>
          <w:spacing w:val="40"/>
        </w:rPr>
        <w:t> </w:t>
      </w:r>
      <w:r>
        <w:rPr/>
        <w:t>environment. The findings may also support the development of a conceptual framework for</w:t>
      </w:r>
      <w:r>
        <w:rPr>
          <w:spacing w:val="40"/>
        </w:rPr>
        <w:t> </w:t>
      </w:r>
      <w:r>
        <w:rPr/>
        <w:t>emerging professionals by clarifying how sustainable supply chain practices function within real</w:t>
      </w:r>
      <w:r>
        <w:rPr>
          <w:spacing w:val="40"/>
        </w:rPr>
        <w:t> </w:t>
      </w:r>
      <w:r>
        <w:rPr/>
        <w:t>organizational contexts.</w:t>
      </w:r>
    </w:p>
    <w:p>
      <w:pPr>
        <w:pStyle w:val="BodyText"/>
        <w:spacing w:after="0" w:line="230" w:lineRule="auto"/>
        <w:sectPr>
          <w:pgSz w:w="12240" w:h="15840"/>
          <w:pgMar w:header="0" w:footer="706" w:top="620" w:bottom="960" w:left="720" w:right="0"/>
        </w:sectPr>
      </w:pPr>
    </w:p>
    <w:p>
      <w:pPr>
        <w:pStyle w:val="Heading3"/>
        <w:spacing w:line="228" w:lineRule="auto" w:before="81"/>
        <w:ind w:left="1064" w:right="1692"/>
      </w:pPr>
      <w:bookmarkStart w:name="Perceived Benefits, Perceived Costs, Sat" w:id="56"/>
      <w:bookmarkEnd w:id="56"/>
      <w:r>
        <w:rPr>
          <w:b w:val="0"/>
        </w:rPr>
      </w:r>
      <w:r>
        <w:rPr/>
        <w:t>Perceived Benefits, Perceived Costs, Satisfaction, and Loyalty Toward </w:t>
      </w:r>
      <w:bookmarkStart w:name="h.w8h6k1juo9qz" w:id="57"/>
      <w:bookmarkEnd w:id="57"/>
      <w:r>
        <w:rPr/>
        <w:t>C</w:t>
      </w:r>
      <w:r>
        <w:rPr/>
        <w:t>asino</w:t>
      </w:r>
      <w:r>
        <w:rPr>
          <w:spacing w:val="-5"/>
        </w:rPr>
        <w:t> </w:t>
      </w:r>
      <w:r>
        <w:rPr/>
        <w:t>Hotels:</w:t>
      </w:r>
      <w:r>
        <w:rPr>
          <w:spacing w:val="-5"/>
        </w:rPr>
        <w:t> </w:t>
      </w:r>
      <w:r>
        <w:rPr/>
        <w:t>A</w:t>
      </w:r>
      <w:r>
        <w:rPr>
          <w:spacing w:val="-5"/>
        </w:rPr>
        <w:t> </w:t>
      </w:r>
      <w:r>
        <w:rPr/>
        <w:t>Social</w:t>
      </w:r>
      <w:r>
        <w:rPr>
          <w:spacing w:val="-5"/>
        </w:rPr>
        <w:t> </w:t>
      </w:r>
      <w:r>
        <w:rPr/>
        <w:t>Exchange</w:t>
      </w:r>
      <w:r>
        <w:rPr>
          <w:spacing w:val="-5"/>
        </w:rPr>
        <w:t> </w:t>
      </w:r>
      <w:r>
        <w:rPr/>
        <w:t>Theory</w:t>
      </w:r>
      <w:r>
        <w:rPr>
          <w:spacing w:val="-5"/>
        </w:rPr>
        <w:t> </w:t>
      </w:r>
      <w:r>
        <w:rPr/>
        <w:t>Perspective</w:t>
      </w:r>
      <w:r>
        <w:rPr>
          <w:spacing w:val="-5"/>
        </w:rPr>
        <w:t> </w:t>
      </w:r>
      <w:r>
        <w:rPr/>
        <w:t>in</w:t>
      </w:r>
      <w:r>
        <w:rPr>
          <w:spacing w:val="-5"/>
        </w:rPr>
        <w:t> </w:t>
      </w:r>
      <w:r>
        <w:rPr/>
        <w:t>the</w:t>
      </w:r>
      <w:r>
        <w:rPr>
          <w:spacing w:val="-5"/>
        </w:rPr>
        <w:t> </w:t>
      </w:r>
      <w:r>
        <w:rPr/>
        <w:t>Appalachian </w:t>
      </w:r>
      <w:r>
        <w:rPr>
          <w:spacing w:val="-2"/>
        </w:rPr>
        <w:t>Region</w:t>
      </w:r>
    </w:p>
    <w:p>
      <w:pPr>
        <w:spacing w:before="291"/>
        <w:ind w:left="0" w:right="252" w:firstLine="0"/>
        <w:jc w:val="center"/>
        <w:rPr>
          <w:i/>
          <w:sz w:val="24"/>
        </w:rPr>
      </w:pPr>
      <w:r>
        <w:rPr>
          <w:i/>
          <w:spacing w:val="-4"/>
          <w:sz w:val="24"/>
        </w:rPr>
        <w:t>Wei</w:t>
      </w:r>
      <w:r>
        <w:rPr>
          <w:i/>
          <w:spacing w:val="-11"/>
          <w:sz w:val="24"/>
        </w:rPr>
        <w:t> </w:t>
      </w:r>
      <w:r>
        <w:rPr>
          <w:i/>
          <w:spacing w:val="-5"/>
          <w:sz w:val="24"/>
        </w:rPr>
        <w:t>Fu</w:t>
      </w:r>
    </w:p>
    <w:p>
      <w:pPr>
        <w:pStyle w:val="BodyText"/>
        <w:rPr>
          <w:i/>
        </w:rPr>
      </w:pPr>
    </w:p>
    <w:p>
      <w:pPr>
        <w:pStyle w:val="Heading4"/>
        <w:ind w:left="731"/>
      </w:pPr>
      <w:r>
        <w:rPr>
          <w:spacing w:val="-2"/>
        </w:rPr>
        <w:t>Introduction</w:t>
      </w:r>
    </w:p>
    <w:p>
      <w:pPr>
        <w:pStyle w:val="BodyText"/>
        <w:spacing w:before="265"/>
        <w:ind w:left="716" w:right="1381" w:firstLine="15"/>
      </w:pPr>
      <w:r>
        <w:rPr/>
        <w:t>Casino</w:t>
      </w:r>
      <w:r>
        <w:rPr>
          <w:spacing w:val="-4"/>
        </w:rPr>
        <w:t> </w:t>
      </w:r>
      <w:r>
        <w:rPr/>
        <w:t>hotels</w:t>
      </w:r>
      <w:r>
        <w:rPr>
          <w:spacing w:val="-4"/>
        </w:rPr>
        <w:t> </w:t>
      </w:r>
      <w:r>
        <w:rPr/>
        <w:t>have</w:t>
      </w:r>
      <w:r>
        <w:rPr>
          <w:spacing w:val="-4"/>
        </w:rPr>
        <w:t> </w:t>
      </w:r>
      <w:r>
        <w:rPr/>
        <w:t>become</w:t>
      </w:r>
      <w:r>
        <w:rPr>
          <w:spacing w:val="-4"/>
        </w:rPr>
        <w:t> </w:t>
      </w:r>
      <w:r>
        <w:rPr/>
        <w:t>prominent</w:t>
      </w:r>
      <w:r>
        <w:rPr>
          <w:spacing w:val="-4"/>
        </w:rPr>
        <w:t> </w:t>
      </w:r>
      <w:r>
        <w:rPr/>
        <w:t>tourism</w:t>
      </w:r>
      <w:r>
        <w:rPr>
          <w:spacing w:val="-4"/>
        </w:rPr>
        <w:t> </w:t>
      </w:r>
      <w:r>
        <w:rPr/>
        <w:t>destinations</w:t>
      </w:r>
      <w:r>
        <w:rPr>
          <w:spacing w:val="-4"/>
        </w:rPr>
        <w:t> </w:t>
      </w:r>
      <w:r>
        <w:rPr/>
        <w:t>that</w:t>
      </w:r>
      <w:r>
        <w:rPr>
          <w:spacing w:val="-4"/>
        </w:rPr>
        <w:t> </w:t>
      </w:r>
      <w:r>
        <w:rPr/>
        <w:t>combine</w:t>
      </w:r>
      <w:r>
        <w:rPr>
          <w:spacing w:val="-4"/>
        </w:rPr>
        <w:t> </w:t>
      </w:r>
      <w:r>
        <w:rPr/>
        <w:t>luxury</w:t>
      </w:r>
      <w:r>
        <w:rPr>
          <w:spacing w:val="-4"/>
        </w:rPr>
        <w:t> </w:t>
      </w:r>
      <w:r>
        <w:rPr/>
        <w:t>accommodations with immersive entertainment experiences. Beyond gaming, these properties often include high end dining, live performances, nightlife, and leisure-oriented attractions that create excitement, novelty, and economic visibility for host communities. Traditionally concentrated in destinations such as Las Vegas, casino hotels have increasingly expanded into emerging regions, including </w:t>
      </w:r>
      <w:r>
        <w:rPr>
          <w:spacing w:val="-2"/>
        </w:rPr>
        <w:t>Appalachia.</w:t>
      </w:r>
    </w:p>
    <w:p>
      <w:pPr>
        <w:pStyle w:val="BodyText"/>
        <w:spacing w:before="5"/>
      </w:pPr>
    </w:p>
    <w:p>
      <w:pPr>
        <w:pStyle w:val="BodyText"/>
        <w:spacing w:before="1"/>
        <w:ind w:left="716" w:right="1381" w:firstLine="15"/>
      </w:pPr>
      <w:r>
        <w:rPr/>
        <w:t>The Appalachian region is widely recognized for its strong cultural traditions, close-knit social networks, and distinct regional identity. As large-scale casino hotel developments enter these communities, they represent a significant shift in the region’s tourism landscape. While such developments</w:t>
      </w:r>
      <w:r>
        <w:rPr>
          <w:spacing w:val="-4"/>
        </w:rPr>
        <w:t> </w:t>
      </w:r>
      <w:r>
        <w:rPr/>
        <w:t>may</w:t>
      </w:r>
      <w:r>
        <w:rPr>
          <w:spacing w:val="-4"/>
        </w:rPr>
        <w:t> </w:t>
      </w:r>
      <w:r>
        <w:rPr/>
        <w:t>offer</w:t>
      </w:r>
      <w:r>
        <w:rPr>
          <w:spacing w:val="-4"/>
        </w:rPr>
        <w:t> </w:t>
      </w:r>
      <w:r>
        <w:rPr/>
        <w:t>economic</w:t>
      </w:r>
      <w:r>
        <w:rPr>
          <w:spacing w:val="-4"/>
        </w:rPr>
        <w:t> </w:t>
      </w:r>
      <w:r>
        <w:rPr/>
        <w:t>growth,</w:t>
      </w:r>
      <w:r>
        <w:rPr>
          <w:spacing w:val="-4"/>
        </w:rPr>
        <w:t> </w:t>
      </w:r>
      <w:r>
        <w:rPr/>
        <w:t>increased</w:t>
      </w:r>
      <w:r>
        <w:rPr>
          <w:spacing w:val="-4"/>
        </w:rPr>
        <w:t> </w:t>
      </w:r>
      <w:r>
        <w:rPr/>
        <w:t>visitation,</w:t>
      </w:r>
      <w:r>
        <w:rPr>
          <w:spacing w:val="-4"/>
        </w:rPr>
        <w:t> </w:t>
      </w:r>
      <w:r>
        <w:rPr/>
        <w:t>and</w:t>
      </w:r>
      <w:r>
        <w:rPr>
          <w:spacing w:val="-4"/>
        </w:rPr>
        <w:t> </w:t>
      </w:r>
      <w:r>
        <w:rPr/>
        <w:t>job</w:t>
      </w:r>
      <w:r>
        <w:rPr>
          <w:spacing w:val="-4"/>
        </w:rPr>
        <w:t> </w:t>
      </w:r>
      <w:r>
        <w:rPr/>
        <w:t>creation,</w:t>
      </w:r>
      <w:r>
        <w:rPr>
          <w:spacing w:val="-4"/>
        </w:rPr>
        <w:t> </w:t>
      </w:r>
      <w:r>
        <w:rPr/>
        <w:t>they</w:t>
      </w:r>
      <w:r>
        <w:rPr>
          <w:spacing w:val="-4"/>
        </w:rPr>
        <w:t> </w:t>
      </w:r>
      <w:r>
        <w:rPr/>
        <w:t>may</w:t>
      </w:r>
      <w:r>
        <w:rPr>
          <w:spacing w:val="-4"/>
        </w:rPr>
        <w:t> </w:t>
      </w:r>
      <w:r>
        <w:rPr/>
        <w:t>also raise concerns about gambling-related social costs, commercialization, and potential threats to local culture and community well-being.</w:t>
      </w:r>
    </w:p>
    <w:p>
      <w:pPr>
        <w:pStyle w:val="BodyText"/>
        <w:spacing w:before="5"/>
      </w:pPr>
    </w:p>
    <w:p>
      <w:pPr>
        <w:pStyle w:val="BodyText"/>
        <w:ind w:left="731" w:right="1191" w:hanging="15"/>
      </w:pPr>
      <w:r>
        <w:rPr/>
        <w:t>Accordingly,</w:t>
      </w:r>
      <w:r>
        <w:rPr>
          <w:spacing w:val="-6"/>
        </w:rPr>
        <w:t> </w:t>
      </w:r>
      <w:r>
        <w:rPr/>
        <w:t>understanding</w:t>
      </w:r>
      <w:r>
        <w:rPr>
          <w:spacing w:val="-6"/>
        </w:rPr>
        <w:t> </w:t>
      </w:r>
      <w:r>
        <w:rPr/>
        <w:t>Appalachian</w:t>
      </w:r>
      <w:r>
        <w:rPr>
          <w:spacing w:val="-6"/>
        </w:rPr>
        <w:t> </w:t>
      </w:r>
      <w:r>
        <w:rPr/>
        <w:t>residents’</w:t>
      </w:r>
      <w:r>
        <w:rPr>
          <w:spacing w:val="-6"/>
        </w:rPr>
        <w:t> </w:t>
      </w:r>
      <w:r>
        <w:rPr/>
        <w:t>attitudes</w:t>
      </w:r>
      <w:r>
        <w:rPr>
          <w:spacing w:val="-6"/>
        </w:rPr>
        <w:t> </w:t>
      </w:r>
      <w:r>
        <w:rPr/>
        <w:t>toward</w:t>
      </w:r>
      <w:r>
        <w:rPr>
          <w:spacing w:val="-6"/>
        </w:rPr>
        <w:t> </w:t>
      </w:r>
      <w:r>
        <w:rPr/>
        <w:t>casino</w:t>
      </w:r>
      <w:r>
        <w:rPr>
          <w:spacing w:val="-6"/>
        </w:rPr>
        <w:t> </w:t>
      </w:r>
      <w:r>
        <w:rPr/>
        <w:t>hotel</w:t>
      </w:r>
      <w:r>
        <w:rPr>
          <w:spacing w:val="-6"/>
        </w:rPr>
        <w:t> </w:t>
      </w:r>
      <w:r>
        <w:rPr/>
        <w:t>expansion</w:t>
      </w:r>
      <w:r>
        <w:rPr>
          <w:spacing w:val="-6"/>
        </w:rPr>
        <w:t> </w:t>
      </w:r>
      <w:r>
        <w:rPr/>
        <w:t>is essential. Rather than focusing only on economic outcomes or general support for casino development, this study examines how residents evaluate casino hotels through a consumer centered, place-based lens that accounts for both perceived benefits and perceived costs.</w:t>
      </w:r>
    </w:p>
    <w:p>
      <w:pPr>
        <w:pStyle w:val="BodyText"/>
        <w:spacing w:before="9"/>
      </w:pPr>
    </w:p>
    <w:p>
      <w:pPr>
        <w:spacing w:before="0"/>
        <w:ind w:left="731" w:right="0" w:firstLine="0"/>
        <w:jc w:val="left"/>
        <w:rPr>
          <w:b/>
          <w:sz w:val="24"/>
        </w:rPr>
      </w:pPr>
      <w:r>
        <w:rPr>
          <w:b/>
          <w:color w:val="212121"/>
          <w:sz w:val="24"/>
        </w:rPr>
        <w:t>Theoretical</w:t>
      </w:r>
      <w:r>
        <w:rPr>
          <w:b/>
          <w:color w:val="212121"/>
          <w:spacing w:val="-3"/>
          <w:sz w:val="24"/>
        </w:rPr>
        <w:t> </w:t>
      </w:r>
      <w:r>
        <w:rPr>
          <w:b/>
          <w:color w:val="212121"/>
          <w:sz w:val="24"/>
        </w:rPr>
        <w:t>Background</w:t>
      </w:r>
      <w:r>
        <w:rPr>
          <w:b/>
          <w:color w:val="212121"/>
          <w:spacing w:val="-2"/>
          <w:sz w:val="24"/>
        </w:rPr>
        <w:t> </w:t>
      </w:r>
      <w:r>
        <w:rPr>
          <w:b/>
          <w:color w:val="212121"/>
          <w:sz w:val="24"/>
        </w:rPr>
        <w:t>&amp;</w:t>
      </w:r>
      <w:r>
        <w:rPr>
          <w:b/>
          <w:color w:val="212121"/>
          <w:spacing w:val="-3"/>
          <w:sz w:val="24"/>
        </w:rPr>
        <w:t> </w:t>
      </w:r>
      <w:r>
        <w:rPr>
          <w:b/>
          <w:color w:val="212121"/>
          <w:sz w:val="24"/>
        </w:rPr>
        <w:t>Hypotheses</w:t>
      </w:r>
      <w:r>
        <w:rPr>
          <w:b/>
          <w:color w:val="212121"/>
          <w:spacing w:val="-2"/>
          <w:sz w:val="24"/>
        </w:rPr>
        <w:t> Development</w:t>
      </w:r>
    </w:p>
    <w:p>
      <w:pPr>
        <w:pStyle w:val="BodyText"/>
        <w:spacing w:before="267"/>
        <w:ind w:left="716" w:right="1461" w:firstLine="15"/>
      </w:pPr>
      <w:r>
        <w:rPr/>
        <w:t>The Social Exchange Theory (SET) argues that individuals maintain relationships, support development, and engage in behaviors when they perceive the exchange as beneficial, fair, and rewarding relative to its associated costs. (Ap, 1992; Homans, 1958). In the context of tourism and</w:t>
      </w:r>
      <w:r>
        <w:rPr>
          <w:spacing w:val="-4"/>
        </w:rPr>
        <w:t> </w:t>
      </w:r>
      <w:r>
        <w:rPr/>
        <w:t>hospitality</w:t>
      </w:r>
      <w:r>
        <w:rPr>
          <w:spacing w:val="-4"/>
        </w:rPr>
        <w:t> </w:t>
      </w:r>
      <w:r>
        <w:rPr/>
        <w:t>development,</w:t>
      </w:r>
      <w:r>
        <w:rPr>
          <w:spacing w:val="-4"/>
        </w:rPr>
        <w:t> </w:t>
      </w:r>
      <w:r>
        <w:rPr/>
        <w:t>residents</w:t>
      </w:r>
      <w:r>
        <w:rPr>
          <w:spacing w:val="-4"/>
        </w:rPr>
        <w:t> </w:t>
      </w:r>
      <w:r>
        <w:rPr/>
        <w:t>may</w:t>
      </w:r>
      <w:r>
        <w:rPr>
          <w:spacing w:val="-4"/>
        </w:rPr>
        <w:t> </w:t>
      </w:r>
      <w:r>
        <w:rPr/>
        <w:t>support</w:t>
      </w:r>
      <w:r>
        <w:rPr>
          <w:spacing w:val="-4"/>
        </w:rPr>
        <w:t> </w:t>
      </w:r>
      <w:r>
        <w:rPr/>
        <w:t>casino</w:t>
      </w:r>
      <w:r>
        <w:rPr>
          <w:spacing w:val="-4"/>
        </w:rPr>
        <w:t> </w:t>
      </w:r>
      <w:r>
        <w:rPr/>
        <w:t>hotels</w:t>
      </w:r>
      <w:r>
        <w:rPr>
          <w:spacing w:val="-4"/>
        </w:rPr>
        <w:t> </w:t>
      </w:r>
      <w:r>
        <w:rPr/>
        <w:t>when</w:t>
      </w:r>
      <w:r>
        <w:rPr>
          <w:spacing w:val="-4"/>
        </w:rPr>
        <w:t> </w:t>
      </w:r>
      <w:r>
        <w:rPr/>
        <w:t>perceived</w:t>
      </w:r>
      <w:r>
        <w:rPr>
          <w:spacing w:val="-4"/>
        </w:rPr>
        <w:t> </w:t>
      </w:r>
      <w:r>
        <w:rPr/>
        <w:t>economic</w:t>
      </w:r>
      <w:r>
        <w:rPr>
          <w:spacing w:val="-4"/>
        </w:rPr>
        <w:t> </w:t>
      </w:r>
      <w:r>
        <w:rPr/>
        <w:t>and social benefits outweigh perceived cultural and personal costs. Table 1 summarizes the general framework and key concepts of Social Exchange Theory.</w:t>
      </w:r>
    </w:p>
    <w:p>
      <w:pPr>
        <w:pStyle w:val="BodyText"/>
        <w:spacing w:before="74"/>
      </w:pPr>
    </w:p>
    <w:p>
      <w:pPr>
        <w:pStyle w:val="ListParagraph"/>
        <w:numPr>
          <w:ilvl w:val="0"/>
          <w:numId w:val="21"/>
        </w:numPr>
        <w:tabs>
          <w:tab w:pos="1326" w:val="left" w:leader="none"/>
          <w:tab w:pos="1530" w:val="left" w:leader="none"/>
        </w:tabs>
        <w:spacing w:line="295" w:lineRule="auto" w:before="1" w:after="0"/>
        <w:ind w:left="1530" w:right="1757" w:hanging="326"/>
        <w:jc w:val="left"/>
        <w:rPr>
          <w:sz w:val="24"/>
        </w:rPr>
      </w:pPr>
      <w:r>
        <w:rPr>
          <w:b/>
          <w:sz w:val="24"/>
        </w:rPr>
        <w:t>Perceived</w:t>
      </w:r>
      <w:r>
        <w:rPr>
          <w:b/>
          <w:spacing w:val="-5"/>
          <w:sz w:val="24"/>
        </w:rPr>
        <w:t> </w:t>
      </w:r>
      <w:r>
        <w:rPr>
          <w:b/>
          <w:sz w:val="24"/>
        </w:rPr>
        <w:t>Benefit</w:t>
      </w:r>
      <w:r>
        <w:rPr>
          <w:b/>
          <w:spacing w:val="-5"/>
          <w:sz w:val="24"/>
        </w:rPr>
        <w:t> </w:t>
      </w:r>
      <w:r>
        <w:rPr>
          <w:sz w:val="24"/>
        </w:rPr>
        <w:t>reflects</w:t>
      </w:r>
      <w:r>
        <w:rPr>
          <w:spacing w:val="-5"/>
          <w:sz w:val="24"/>
        </w:rPr>
        <w:t> </w:t>
      </w:r>
      <w:r>
        <w:rPr>
          <w:sz w:val="24"/>
        </w:rPr>
        <w:t>residents’</w:t>
      </w:r>
      <w:r>
        <w:rPr>
          <w:spacing w:val="-5"/>
          <w:sz w:val="24"/>
        </w:rPr>
        <w:t> </w:t>
      </w:r>
      <w:r>
        <w:rPr>
          <w:sz w:val="24"/>
        </w:rPr>
        <w:t>beliefs</w:t>
      </w:r>
      <w:r>
        <w:rPr>
          <w:spacing w:val="-5"/>
          <w:sz w:val="24"/>
        </w:rPr>
        <w:t> </w:t>
      </w:r>
      <w:r>
        <w:rPr>
          <w:sz w:val="24"/>
        </w:rPr>
        <w:t>about</w:t>
      </w:r>
      <w:r>
        <w:rPr>
          <w:spacing w:val="-5"/>
          <w:sz w:val="24"/>
        </w:rPr>
        <w:t> </w:t>
      </w:r>
      <w:r>
        <w:rPr>
          <w:sz w:val="24"/>
        </w:rPr>
        <w:t>the</w:t>
      </w:r>
      <w:r>
        <w:rPr>
          <w:spacing w:val="-5"/>
          <w:sz w:val="24"/>
        </w:rPr>
        <w:t> </w:t>
      </w:r>
      <w:r>
        <w:rPr>
          <w:sz w:val="24"/>
        </w:rPr>
        <w:t>positive</w:t>
      </w:r>
      <w:r>
        <w:rPr>
          <w:spacing w:val="-5"/>
          <w:sz w:val="24"/>
        </w:rPr>
        <w:t> </w:t>
      </w:r>
      <w:r>
        <w:rPr>
          <w:sz w:val="24"/>
        </w:rPr>
        <w:t>contributions</w:t>
      </w:r>
      <w:r>
        <w:rPr>
          <w:spacing w:val="-5"/>
          <w:sz w:val="24"/>
        </w:rPr>
        <w:t> </w:t>
      </w:r>
      <w:r>
        <w:rPr>
          <w:sz w:val="24"/>
        </w:rPr>
        <w:t>that</w:t>
      </w:r>
      <w:r>
        <w:rPr>
          <w:spacing w:val="-5"/>
          <w:sz w:val="24"/>
        </w:rPr>
        <w:t> </w:t>
      </w:r>
      <w:r>
        <w:rPr>
          <w:sz w:val="24"/>
        </w:rPr>
        <w:t>casino hotels may bring to the Appalachian region, including economic development, job</w:t>
      </w:r>
    </w:p>
    <w:p>
      <w:pPr>
        <w:pStyle w:val="BodyText"/>
        <w:spacing w:line="212" w:lineRule="exact"/>
        <w:ind w:left="1285"/>
      </w:pPr>
      <w:r>
        <w:rPr/>
        <w:t>creation,</w:t>
      </w:r>
      <w:r>
        <w:rPr>
          <w:spacing w:val="-2"/>
        </w:rPr>
        <w:t> </w:t>
      </w:r>
      <w:r>
        <w:rPr/>
        <w:t>tourism</w:t>
      </w:r>
      <w:r>
        <w:rPr>
          <w:spacing w:val="-2"/>
        </w:rPr>
        <w:t> </w:t>
      </w:r>
      <w:r>
        <w:rPr/>
        <w:t>visibility,</w:t>
      </w:r>
      <w:r>
        <w:rPr>
          <w:spacing w:val="-2"/>
        </w:rPr>
        <w:t> </w:t>
      </w:r>
      <w:r>
        <w:rPr/>
        <w:t>enhanced</w:t>
      </w:r>
      <w:r>
        <w:rPr>
          <w:spacing w:val="-2"/>
        </w:rPr>
        <w:t> </w:t>
      </w:r>
      <w:r>
        <w:rPr/>
        <w:t>entertainment</w:t>
      </w:r>
      <w:r>
        <w:rPr>
          <w:spacing w:val="-2"/>
        </w:rPr>
        <w:t> </w:t>
      </w:r>
      <w:r>
        <w:rPr/>
        <w:t>options,</w:t>
      </w:r>
      <w:r>
        <w:rPr>
          <w:spacing w:val="-2"/>
        </w:rPr>
        <w:t> </w:t>
      </w:r>
      <w:r>
        <w:rPr/>
        <w:t>and</w:t>
      </w:r>
      <w:r>
        <w:rPr>
          <w:spacing w:val="-2"/>
        </w:rPr>
        <w:t> </w:t>
      </w:r>
      <w:r>
        <w:rPr/>
        <w:t>regional</w:t>
      </w:r>
      <w:r>
        <w:rPr>
          <w:spacing w:val="-2"/>
        </w:rPr>
        <w:t> revitalization.</w:t>
      </w:r>
    </w:p>
    <w:p>
      <w:pPr>
        <w:pStyle w:val="ListParagraph"/>
        <w:numPr>
          <w:ilvl w:val="0"/>
          <w:numId w:val="21"/>
        </w:numPr>
        <w:tabs>
          <w:tab w:pos="1217" w:val="left" w:leader="none"/>
          <w:tab w:pos="1327" w:val="left" w:leader="none"/>
        </w:tabs>
        <w:spacing w:line="295" w:lineRule="auto" w:before="78" w:after="0"/>
        <w:ind w:left="1217" w:right="1623" w:hanging="12"/>
        <w:jc w:val="left"/>
        <w:rPr>
          <w:sz w:val="24"/>
        </w:rPr>
      </w:pPr>
      <w:r>
        <w:rPr>
          <w:b/>
          <w:sz w:val="24"/>
        </w:rPr>
        <w:t>Perceived</w:t>
      </w:r>
      <w:r>
        <w:rPr>
          <w:b/>
          <w:spacing w:val="-5"/>
          <w:sz w:val="24"/>
        </w:rPr>
        <w:t> </w:t>
      </w:r>
      <w:r>
        <w:rPr>
          <w:b/>
          <w:sz w:val="24"/>
        </w:rPr>
        <w:t>Cost</w:t>
      </w:r>
      <w:r>
        <w:rPr>
          <w:b/>
          <w:spacing w:val="-5"/>
          <w:sz w:val="24"/>
        </w:rPr>
        <w:t> </w:t>
      </w:r>
      <w:r>
        <w:rPr>
          <w:sz w:val="24"/>
        </w:rPr>
        <w:t>captures</w:t>
      </w:r>
      <w:r>
        <w:rPr>
          <w:spacing w:val="-5"/>
          <w:sz w:val="24"/>
        </w:rPr>
        <w:t> </w:t>
      </w:r>
      <w:r>
        <w:rPr>
          <w:sz w:val="24"/>
        </w:rPr>
        <w:t>residents’</w:t>
      </w:r>
      <w:r>
        <w:rPr>
          <w:spacing w:val="-5"/>
          <w:sz w:val="24"/>
        </w:rPr>
        <w:t> </w:t>
      </w:r>
      <w:r>
        <w:rPr>
          <w:sz w:val="24"/>
        </w:rPr>
        <w:t>concerns</w:t>
      </w:r>
      <w:r>
        <w:rPr>
          <w:spacing w:val="-5"/>
          <w:sz w:val="24"/>
        </w:rPr>
        <w:t> </w:t>
      </w:r>
      <w:r>
        <w:rPr>
          <w:sz w:val="24"/>
        </w:rPr>
        <w:t>regarding</w:t>
      </w:r>
      <w:r>
        <w:rPr>
          <w:spacing w:val="-5"/>
          <w:sz w:val="24"/>
        </w:rPr>
        <w:t> </w:t>
      </w:r>
      <w:r>
        <w:rPr>
          <w:sz w:val="24"/>
        </w:rPr>
        <w:t>negative</w:t>
      </w:r>
      <w:r>
        <w:rPr>
          <w:spacing w:val="-5"/>
          <w:sz w:val="24"/>
        </w:rPr>
        <w:t> </w:t>
      </w:r>
      <w:r>
        <w:rPr>
          <w:sz w:val="24"/>
        </w:rPr>
        <w:t>consequences</w:t>
      </w:r>
      <w:r>
        <w:rPr>
          <w:spacing w:val="-5"/>
          <w:sz w:val="24"/>
        </w:rPr>
        <w:t> </w:t>
      </w:r>
      <w:r>
        <w:rPr>
          <w:sz w:val="24"/>
        </w:rPr>
        <w:t>associated with</w:t>
      </w:r>
      <w:r>
        <w:rPr>
          <w:spacing w:val="-3"/>
          <w:sz w:val="24"/>
        </w:rPr>
        <w:t> </w:t>
      </w:r>
      <w:r>
        <w:rPr>
          <w:sz w:val="24"/>
        </w:rPr>
        <w:t>casino</w:t>
      </w:r>
      <w:r>
        <w:rPr>
          <w:spacing w:val="-3"/>
          <w:sz w:val="24"/>
        </w:rPr>
        <w:t> </w:t>
      </w:r>
      <w:r>
        <w:rPr>
          <w:sz w:val="24"/>
        </w:rPr>
        <w:t>hotel</w:t>
      </w:r>
      <w:r>
        <w:rPr>
          <w:spacing w:val="-3"/>
          <w:sz w:val="24"/>
        </w:rPr>
        <w:t> </w:t>
      </w:r>
      <w:r>
        <w:rPr>
          <w:sz w:val="24"/>
        </w:rPr>
        <w:t>development,</w:t>
      </w:r>
      <w:r>
        <w:rPr>
          <w:spacing w:val="-3"/>
          <w:sz w:val="24"/>
        </w:rPr>
        <w:t> </w:t>
      </w:r>
      <w:r>
        <w:rPr>
          <w:sz w:val="24"/>
        </w:rPr>
        <w:t>such</w:t>
      </w:r>
      <w:r>
        <w:rPr>
          <w:spacing w:val="-3"/>
          <w:sz w:val="24"/>
        </w:rPr>
        <w:t> </w:t>
      </w:r>
      <w:r>
        <w:rPr>
          <w:sz w:val="24"/>
        </w:rPr>
        <w:t>as</w:t>
      </w:r>
      <w:r>
        <w:rPr>
          <w:spacing w:val="-3"/>
          <w:sz w:val="24"/>
        </w:rPr>
        <w:t> </w:t>
      </w:r>
      <w:r>
        <w:rPr>
          <w:sz w:val="24"/>
        </w:rPr>
        <w:t>gambling</w:t>
      </w:r>
      <w:r>
        <w:rPr>
          <w:spacing w:val="-3"/>
          <w:sz w:val="24"/>
        </w:rPr>
        <w:t> </w:t>
      </w:r>
      <w:r>
        <w:rPr>
          <w:sz w:val="24"/>
        </w:rPr>
        <w:t>addiction,</w:t>
      </w:r>
      <w:r>
        <w:rPr>
          <w:spacing w:val="-3"/>
          <w:sz w:val="24"/>
        </w:rPr>
        <w:t> </w:t>
      </w:r>
      <w:r>
        <w:rPr>
          <w:sz w:val="24"/>
        </w:rPr>
        <w:t>increased</w:t>
      </w:r>
      <w:r>
        <w:rPr>
          <w:spacing w:val="-3"/>
          <w:sz w:val="24"/>
        </w:rPr>
        <w:t> </w:t>
      </w:r>
      <w:r>
        <w:rPr>
          <w:sz w:val="24"/>
        </w:rPr>
        <w:t>crime,</w:t>
      </w:r>
      <w:r>
        <w:rPr>
          <w:spacing w:val="-3"/>
          <w:sz w:val="24"/>
        </w:rPr>
        <w:t> </w:t>
      </w:r>
      <w:r>
        <w:rPr>
          <w:sz w:val="24"/>
        </w:rPr>
        <w:t>disruption</w:t>
      </w:r>
      <w:r>
        <w:rPr>
          <w:spacing w:val="-3"/>
          <w:sz w:val="24"/>
        </w:rPr>
        <w:t> </w:t>
      </w:r>
      <w:r>
        <w:rPr>
          <w:sz w:val="24"/>
        </w:rPr>
        <w:t>of</w:t>
      </w:r>
    </w:p>
    <w:p>
      <w:pPr>
        <w:pStyle w:val="BodyText"/>
        <w:spacing w:line="212" w:lineRule="exact"/>
        <w:ind w:left="1782"/>
      </w:pPr>
      <w:r>
        <w:rPr/>
        <w:t>community</w:t>
      </w:r>
      <w:r>
        <w:rPr>
          <w:spacing w:val="-2"/>
        </w:rPr>
        <w:t> </w:t>
      </w:r>
      <w:r>
        <w:rPr/>
        <w:t>traditions, cultural commercialization, and threats to local </w:t>
      </w:r>
      <w:r>
        <w:rPr>
          <w:spacing w:val="-2"/>
        </w:rPr>
        <w:t>identity.</w:t>
      </w:r>
    </w:p>
    <w:p>
      <w:pPr>
        <w:pStyle w:val="ListParagraph"/>
        <w:numPr>
          <w:ilvl w:val="0"/>
          <w:numId w:val="22"/>
        </w:numPr>
        <w:tabs>
          <w:tab w:pos="1213" w:val="left" w:leader="none"/>
        </w:tabs>
        <w:spacing w:line="240" w:lineRule="auto" w:before="82" w:after="0"/>
        <w:ind w:left="1213" w:right="0" w:hanging="122"/>
        <w:jc w:val="left"/>
        <w:rPr>
          <w:sz w:val="24"/>
        </w:rPr>
      </w:pPr>
      <w:r>
        <w:rPr>
          <w:b/>
          <w:sz w:val="24"/>
        </w:rPr>
        <w:t>Satisfaction </w:t>
      </w:r>
      <w:r>
        <w:rPr>
          <w:sz w:val="24"/>
        </w:rPr>
        <w:t>reflects Appalachian residents’ overall approval of casino hotel </w:t>
      </w:r>
      <w:r>
        <w:rPr>
          <w:spacing w:val="-2"/>
          <w:sz w:val="24"/>
        </w:rPr>
        <w:t>development</w:t>
      </w:r>
    </w:p>
    <w:p>
      <w:pPr>
        <w:pStyle w:val="BodyText"/>
        <w:spacing w:before="63"/>
        <w:ind w:left="1436" w:right="1381"/>
      </w:pPr>
      <w:r>
        <w:rPr/>
        <w:t>and</w:t>
      </w:r>
      <w:r>
        <w:rPr>
          <w:spacing w:val="-4"/>
        </w:rPr>
        <w:t> </w:t>
      </w:r>
      <w:r>
        <w:rPr/>
        <w:t>their</w:t>
      </w:r>
      <w:r>
        <w:rPr>
          <w:spacing w:val="-4"/>
        </w:rPr>
        <w:t> </w:t>
      </w:r>
      <w:r>
        <w:rPr/>
        <w:t>evaluation</w:t>
      </w:r>
      <w:r>
        <w:rPr>
          <w:spacing w:val="-4"/>
        </w:rPr>
        <w:t> </w:t>
      </w:r>
      <w:r>
        <w:rPr/>
        <w:t>of</w:t>
      </w:r>
      <w:r>
        <w:rPr>
          <w:spacing w:val="-4"/>
        </w:rPr>
        <w:t> </w:t>
      </w:r>
      <w:r>
        <w:rPr/>
        <w:t>whether</w:t>
      </w:r>
      <w:r>
        <w:rPr>
          <w:spacing w:val="-4"/>
        </w:rPr>
        <w:t> </w:t>
      </w:r>
      <w:r>
        <w:rPr/>
        <w:t>such</w:t>
      </w:r>
      <w:r>
        <w:rPr>
          <w:spacing w:val="-4"/>
        </w:rPr>
        <w:t> </w:t>
      </w:r>
      <w:r>
        <w:rPr/>
        <w:t>projects</w:t>
      </w:r>
      <w:r>
        <w:rPr>
          <w:spacing w:val="-4"/>
        </w:rPr>
        <w:t> </w:t>
      </w:r>
      <w:r>
        <w:rPr/>
        <w:t>align</w:t>
      </w:r>
      <w:r>
        <w:rPr>
          <w:spacing w:val="-4"/>
        </w:rPr>
        <w:t> </w:t>
      </w:r>
      <w:r>
        <w:rPr/>
        <w:t>with</w:t>
      </w:r>
      <w:r>
        <w:rPr>
          <w:spacing w:val="-4"/>
        </w:rPr>
        <w:t> </w:t>
      </w:r>
      <w:r>
        <w:rPr/>
        <w:t>community</w:t>
      </w:r>
      <w:r>
        <w:rPr>
          <w:spacing w:val="-4"/>
        </w:rPr>
        <w:t> </w:t>
      </w:r>
      <w:r>
        <w:rPr/>
        <w:t>expectations</w:t>
      </w:r>
      <w:r>
        <w:rPr>
          <w:spacing w:val="-4"/>
        </w:rPr>
        <w:t> </w:t>
      </w:r>
      <w:r>
        <w:rPr/>
        <w:t>and regional values.</w:t>
      </w:r>
    </w:p>
    <w:p>
      <w:pPr>
        <w:pStyle w:val="ListParagraph"/>
        <w:numPr>
          <w:ilvl w:val="0"/>
          <w:numId w:val="22"/>
        </w:numPr>
        <w:tabs>
          <w:tab w:pos="1213" w:val="left" w:leader="none"/>
          <w:tab w:pos="1436" w:val="left" w:leader="none"/>
        </w:tabs>
        <w:spacing w:line="295" w:lineRule="auto" w:before="83" w:after="0"/>
        <w:ind w:left="1436" w:right="1911" w:hanging="345"/>
        <w:jc w:val="left"/>
        <w:rPr>
          <w:sz w:val="24"/>
        </w:rPr>
      </w:pPr>
      <w:r>
        <w:rPr>
          <w:b/>
          <w:sz w:val="24"/>
        </w:rPr>
        <w:t>Loyalty</w:t>
      </w:r>
      <w:r>
        <w:rPr>
          <w:b/>
          <w:spacing w:val="-5"/>
          <w:sz w:val="24"/>
        </w:rPr>
        <w:t> </w:t>
      </w:r>
      <w:r>
        <w:rPr>
          <w:sz w:val="24"/>
        </w:rPr>
        <w:t>represents</w:t>
      </w:r>
      <w:r>
        <w:rPr>
          <w:spacing w:val="-5"/>
          <w:sz w:val="24"/>
        </w:rPr>
        <w:t> </w:t>
      </w:r>
      <w:r>
        <w:rPr>
          <w:sz w:val="24"/>
        </w:rPr>
        <w:t>residents’</w:t>
      </w:r>
      <w:r>
        <w:rPr>
          <w:spacing w:val="-5"/>
          <w:sz w:val="24"/>
        </w:rPr>
        <w:t> </w:t>
      </w:r>
      <w:r>
        <w:rPr>
          <w:sz w:val="24"/>
        </w:rPr>
        <w:t>supportive</w:t>
      </w:r>
      <w:r>
        <w:rPr>
          <w:spacing w:val="-5"/>
          <w:sz w:val="24"/>
        </w:rPr>
        <w:t> </w:t>
      </w:r>
      <w:r>
        <w:rPr>
          <w:sz w:val="24"/>
        </w:rPr>
        <w:t>behavioral</w:t>
      </w:r>
      <w:r>
        <w:rPr>
          <w:spacing w:val="-5"/>
          <w:sz w:val="24"/>
        </w:rPr>
        <w:t> </w:t>
      </w:r>
      <w:r>
        <w:rPr>
          <w:sz w:val="24"/>
        </w:rPr>
        <w:t>intentions,</w:t>
      </w:r>
      <w:r>
        <w:rPr>
          <w:spacing w:val="-5"/>
          <w:sz w:val="24"/>
        </w:rPr>
        <w:t> </w:t>
      </w:r>
      <w:r>
        <w:rPr>
          <w:sz w:val="24"/>
        </w:rPr>
        <w:t>including</w:t>
      </w:r>
      <w:r>
        <w:rPr>
          <w:spacing w:val="-5"/>
          <w:sz w:val="24"/>
        </w:rPr>
        <w:t> </w:t>
      </w:r>
      <w:r>
        <w:rPr>
          <w:sz w:val="24"/>
        </w:rPr>
        <w:t>willingness</w:t>
      </w:r>
      <w:r>
        <w:rPr>
          <w:spacing w:val="-5"/>
          <w:sz w:val="24"/>
        </w:rPr>
        <w:t> </w:t>
      </w:r>
      <w:r>
        <w:rPr>
          <w:sz w:val="24"/>
        </w:rPr>
        <w:t>to revisit casino hotels and recommend them to others.</w:t>
      </w:r>
    </w:p>
    <w:p>
      <w:pPr>
        <w:pStyle w:val="ListParagraph"/>
        <w:spacing w:after="0" w:line="295" w:lineRule="auto"/>
        <w:jc w:val="left"/>
        <w:rPr>
          <w:sz w:val="24"/>
        </w:rPr>
        <w:sectPr>
          <w:pgSz w:w="12240" w:h="15840"/>
          <w:pgMar w:header="0" w:footer="706" w:top="620" w:bottom="960" w:left="720" w:right="0"/>
        </w:sectPr>
      </w:pPr>
    </w:p>
    <w:tbl>
      <w:tblPr>
        <w:tblW w:w="0" w:type="auto"/>
        <w:jc w:val="left"/>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620"/>
        <w:gridCol w:w="3940"/>
        <w:gridCol w:w="3820"/>
      </w:tblGrid>
      <w:tr>
        <w:trPr>
          <w:trHeight w:val="760" w:hRule="atLeast"/>
        </w:trPr>
        <w:tc>
          <w:tcPr>
            <w:tcW w:w="1620" w:type="dxa"/>
          </w:tcPr>
          <w:p>
            <w:pPr>
              <w:pStyle w:val="TableParagraph"/>
              <w:spacing w:before="116"/>
              <w:ind w:left="453" w:right="366" w:hanging="50"/>
              <w:rPr>
                <w:b/>
                <w:sz w:val="24"/>
              </w:rPr>
            </w:pPr>
            <w:r>
              <w:rPr>
                <w:b/>
                <w:spacing w:val="-2"/>
                <w:sz w:val="24"/>
              </w:rPr>
              <w:t>Benefits </w:t>
            </w:r>
            <w:r>
              <w:rPr>
                <w:b/>
                <w:sz w:val="24"/>
              </w:rPr>
              <w:t>&amp; Cost</w:t>
            </w:r>
          </w:p>
        </w:tc>
        <w:tc>
          <w:tcPr>
            <w:tcW w:w="3940" w:type="dxa"/>
          </w:tcPr>
          <w:p>
            <w:pPr>
              <w:pStyle w:val="TableParagraph"/>
              <w:spacing w:before="116"/>
              <w:ind w:left="23"/>
              <w:jc w:val="center"/>
              <w:rPr>
                <w:b/>
                <w:sz w:val="24"/>
              </w:rPr>
            </w:pPr>
            <w:r>
              <w:rPr>
                <w:b/>
                <w:spacing w:val="-2"/>
                <w:sz w:val="24"/>
              </w:rPr>
              <w:t>Proposition</w:t>
            </w:r>
          </w:p>
        </w:tc>
        <w:tc>
          <w:tcPr>
            <w:tcW w:w="3820" w:type="dxa"/>
          </w:tcPr>
          <w:p>
            <w:pPr>
              <w:pStyle w:val="TableParagraph"/>
              <w:spacing w:before="116"/>
              <w:ind w:left="1242" w:right="422" w:hanging="480"/>
              <w:rPr>
                <w:b/>
                <w:sz w:val="24"/>
              </w:rPr>
            </w:pPr>
            <w:r>
              <w:rPr>
                <w:b/>
                <w:sz w:val="24"/>
              </w:rPr>
              <w:t>Casino</w:t>
            </w:r>
            <w:r>
              <w:rPr>
                <w:b/>
                <w:spacing w:val="-15"/>
                <w:sz w:val="24"/>
              </w:rPr>
              <w:t> </w:t>
            </w:r>
            <w:r>
              <w:rPr>
                <w:b/>
                <w:sz w:val="24"/>
              </w:rPr>
              <w:t>Hotels</w:t>
            </w:r>
            <w:r>
              <w:rPr>
                <w:b/>
                <w:spacing w:val="-15"/>
                <w:sz w:val="24"/>
              </w:rPr>
              <w:t> </w:t>
            </w:r>
            <w:r>
              <w:rPr>
                <w:b/>
                <w:sz w:val="24"/>
              </w:rPr>
              <w:t>Context </w:t>
            </w:r>
            <w:r>
              <w:rPr>
                <w:b/>
                <w:spacing w:val="-2"/>
                <w:sz w:val="24"/>
              </w:rPr>
              <w:t>(Appalachia)</w:t>
            </w:r>
          </w:p>
        </w:tc>
      </w:tr>
      <w:tr>
        <w:trPr>
          <w:trHeight w:val="1199" w:hRule="atLeast"/>
        </w:trPr>
        <w:tc>
          <w:tcPr>
            <w:tcW w:w="1620" w:type="dxa"/>
          </w:tcPr>
          <w:p>
            <w:pPr>
              <w:pStyle w:val="TableParagraph"/>
              <w:spacing w:before="114"/>
              <w:ind w:left="231" w:right="367"/>
              <w:rPr>
                <w:b/>
                <w:sz w:val="24"/>
              </w:rPr>
            </w:pPr>
            <w:r>
              <w:rPr>
                <w:b/>
                <w:spacing w:val="-2"/>
                <w:sz w:val="24"/>
              </w:rPr>
              <w:t>Perceived Benefit</w:t>
            </w:r>
          </w:p>
        </w:tc>
        <w:tc>
          <w:tcPr>
            <w:tcW w:w="3940" w:type="dxa"/>
          </w:tcPr>
          <w:p>
            <w:pPr>
              <w:pStyle w:val="TableParagraph"/>
              <w:spacing w:before="114"/>
              <w:ind w:left="231" w:right="675"/>
              <w:rPr>
                <w:sz w:val="24"/>
              </w:rPr>
            </w:pPr>
            <w:r>
              <w:rPr>
                <w:sz w:val="24"/>
              </w:rPr>
              <w:t>Perceptions of positive outcomes</w:t>
            </w:r>
            <w:r>
              <w:rPr>
                <w:spacing w:val="40"/>
                <w:sz w:val="24"/>
              </w:rPr>
              <w:t> </w:t>
            </w:r>
            <w:r>
              <w:rPr>
                <w:sz w:val="24"/>
              </w:rPr>
              <w:t>gained</w:t>
            </w:r>
            <w:r>
              <w:rPr>
                <w:spacing w:val="-10"/>
                <w:sz w:val="24"/>
              </w:rPr>
              <w:t> </w:t>
            </w:r>
            <w:r>
              <w:rPr>
                <w:sz w:val="24"/>
              </w:rPr>
              <w:t>from</w:t>
            </w:r>
            <w:r>
              <w:rPr>
                <w:spacing w:val="-10"/>
                <w:sz w:val="24"/>
              </w:rPr>
              <w:t> </w:t>
            </w:r>
            <w:r>
              <w:rPr>
                <w:sz w:val="24"/>
              </w:rPr>
              <w:t>an </w:t>
            </w:r>
            <w:r>
              <w:rPr>
                <w:spacing w:val="-2"/>
                <w:sz w:val="24"/>
              </w:rPr>
              <w:t>exchange</w:t>
            </w:r>
          </w:p>
        </w:tc>
        <w:tc>
          <w:tcPr>
            <w:tcW w:w="3820" w:type="dxa"/>
          </w:tcPr>
          <w:p>
            <w:pPr>
              <w:pStyle w:val="TableParagraph"/>
              <w:numPr>
                <w:ilvl w:val="0"/>
                <w:numId w:val="23"/>
              </w:numPr>
              <w:tabs>
                <w:tab w:pos="366" w:val="left" w:leader="none"/>
              </w:tabs>
              <w:spacing w:line="240" w:lineRule="auto" w:before="244" w:after="0"/>
              <w:ind w:left="366" w:right="0" w:hanging="145"/>
              <w:jc w:val="left"/>
              <w:rPr>
                <w:sz w:val="24"/>
              </w:rPr>
            </w:pPr>
            <w:r>
              <w:rPr>
                <w:sz w:val="24"/>
              </w:rPr>
              <w:t>Perceived Emotional </w:t>
            </w:r>
            <w:r>
              <w:rPr>
                <w:spacing w:val="-2"/>
                <w:sz w:val="24"/>
              </w:rPr>
              <w:t>Benefits</w:t>
            </w:r>
          </w:p>
          <w:p>
            <w:pPr>
              <w:pStyle w:val="TableParagraph"/>
              <w:numPr>
                <w:ilvl w:val="0"/>
                <w:numId w:val="23"/>
              </w:numPr>
              <w:tabs>
                <w:tab w:pos="366" w:val="left" w:leader="none"/>
              </w:tabs>
              <w:spacing w:line="240" w:lineRule="auto" w:before="215" w:after="0"/>
              <w:ind w:left="366" w:right="0" w:hanging="145"/>
              <w:jc w:val="left"/>
              <w:rPr>
                <w:sz w:val="24"/>
              </w:rPr>
            </w:pPr>
            <w:r>
              <w:rPr>
                <w:sz w:val="24"/>
              </w:rPr>
              <w:t>Entertainment</w:t>
            </w:r>
            <w:r>
              <w:rPr>
                <w:spacing w:val="-9"/>
                <w:sz w:val="24"/>
              </w:rPr>
              <w:t> </w:t>
            </w:r>
            <w:r>
              <w:rPr>
                <w:sz w:val="24"/>
              </w:rPr>
              <w:t>Tourism</w:t>
            </w:r>
            <w:r>
              <w:rPr>
                <w:spacing w:val="-8"/>
                <w:sz w:val="24"/>
              </w:rPr>
              <w:t> </w:t>
            </w:r>
            <w:r>
              <w:rPr>
                <w:spacing w:val="-2"/>
                <w:sz w:val="24"/>
              </w:rPr>
              <w:t>Appeal</w:t>
            </w:r>
          </w:p>
        </w:tc>
      </w:tr>
      <w:tr>
        <w:trPr>
          <w:trHeight w:val="1019" w:hRule="atLeast"/>
        </w:trPr>
        <w:tc>
          <w:tcPr>
            <w:tcW w:w="1620" w:type="dxa"/>
          </w:tcPr>
          <w:p>
            <w:pPr>
              <w:pStyle w:val="TableParagraph"/>
              <w:spacing w:before="102"/>
              <w:ind w:left="231" w:right="367"/>
              <w:rPr>
                <w:b/>
                <w:sz w:val="24"/>
              </w:rPr>
            </w:pPr>
            <w:r>
              <w:rPr>
                <w:b/>
                <w:spacing w:val="-2"/>
                <w:sz w:val="24"/>
              </w:rPr>
              <w:t>Perceived </w:t>
            </w:r>
            <w:r>
              <w:rPr>
                <w:b/>
                <w:spacing w:val="-4"/>
                <w:sz w:val="24"/>
              </w:rPr>
              <w:t>Cost</w:t>
            </w:r>
          </w:p>
        </w:tc>
        <w:tc>
          <w:tcPr>
            <w:tcW w:w="3940" w:type="dxa"/>
          </w:tcPr>
          <w:p>
            <w:pPr>
              <w:pStyle w:val="TableParagraph"/>
              <w:spacing w:before="102"/>
              <w:ind w:left="231" w:right="675"/>
              <w:rPr>
                <w:sz w:val="24"/>
              </w:rPr>
            </w:pPr>
            <w:r>
              <w:rPr>
                <w:sz w:val="24"/>
              </w:rPr>
              <w:t>Perceptions of negative consequences</w:t>
            </w:r>
            <w:r>
              <w:rPr>
                <w:spacing w:val="35"/>
                <w:sz w:val="24"/>
              </w:rPr>
              <w:t> </w:t>
            </w:r>
            <w:r>
              <w:rPr>
                <w:sz w:val="24"/>
              </w:rPr>
              <w:t>or</w:t>
            </w:r>
            <w:r>
              <w:rPr>
                <w:spacing w:val="-13"/>
                <w:sz w:val="24"/>
              </w:rPr>
              <w:t> </w:t>
            </w:r>
            <w:r>
              <w:rPr>
                <w:sz w:val="24"/>
              </w:rPr>
              <w:t>sacrifices involved in the exchange</w:t>
            </w:r>
          </w:p>
        </w:tc>
        <w:tc>
          <w:tcPr>
            <w:tcW w:w="3820" w:type="dxa"/>
          </w:tcPr>
          <w:p>
            <w:pPr>
              <w:pStyle w:val="TableParagraph"/>
              <w:numPr>
                <w:ilvl w:val="0"/>
                <w:numId w:val="24"/>
              </w:numPr>
              <w:tabs>
                <w:tab w:pos="366" w:val="left" w:leader="none"/>
              </w:tabs>
              <w:spacing w:line="240" w:lineRule="auto" w:before="233" w:after="0"/>
              <w:ind w:left="366" w:right="0" w:hanging="145"/>
              <w:jc w:val="left"/>
              <w:rPr>
                <w:sz w:val="24"/>
              </w:rPr>
            </w:pPr>
            <w:r>
              <w:rPr>
                <w:sz w:val="24"/>
              </w:rPr>
              <w:t>Perceived Social </w:t>
            </w:r>
            <w:r>
              <w:rPr>
                <w:spacing w:val="-2"/>
                <w:sz w:val="24"/>
              </w:rPr>
              <w:t>Risks</w:t>
            </w:r>
          </w:p>
        </w:tc>
      </w:tr>
      <w:tr>
        <w:trPr>
          <w:trHeight w:val="1259" w:hRule="atLeast"/>
        </w:trPr>
        <w:tc>
          <w:tcPr>
            <w:tcW w:w="1620" w:type="dxa"/>
          </w:tcPr>
          <w:p>
            <w:pPr>
              <w:pStyle w:val="TableParagraph"/>
              <w:spacing w:before="115"/>
              <w:ind w:left="231"/>
              <w:rPr>
                <w:b/>
                <w:sz w:val="24"/>
              </w:rPr>
            </w:pPr>
            <w:r>
              <w:rPr>
                <w:b/>
                <w:spacing w:val="-2"/>
                <w:sz w:val="24"/>
              </w:rPr>
              <w:t>Satisfaction</w:t>
            </w:r>
          </w:p>
        </w:tc>
        <w:tc>
          <w:tcPr>
            <w:tcW w:w="3940" w:type="dxa"/>
          </w:tcPr>
          <w:p>
            <w:pPr>
              <w:pStyle w:val="TableParagraph"/>
              <w:spacing w:before="115"/>
              <w:ind w:left="231" w:right="675"/>
              <w:rPr>
                <w:sz w:val="24"/>
              </w:rPr>
            </w:pPr>
            <w:r>
              <w:rPr>
                <w:sz w:val="24"/>
              </w:rPr>
              <w:t>Overall</w:t>
            </w:r>
            <w:r>
              <w:rPr>
                <w:spacing w:val="-13"/>
                <w:sz w:val="24"/>
              </w:rPr>
              <w:t> </w:t>
            </w:r>
            <w:r>
              <w:rPr>
                <w:sz w:val="24"/>
              </w:rPr>
              <w:t>evaluative</w:t>
            </w:r>
            <w:r>
              <w:rPr>
                <w:spacing w:val="-13"/>
                <w:sz w:val="24"/>
              </w:rPr>
              <w:t> </w:t>
            </w:r>
            <w:r>
              <w:rPr>
                <w:sz w:val="24"/>
              </w:rPr>
              <w:t>judgment</w:t>
            </w:r>
            <w:r>
              <w:rPr>
                <w:spacing w:val="-13"/>
                <w:sz w:val="24"/>
              </w:rPr>
              <w:t> </w:t>
            </w:r>
            <w:r>
              <w:rPr>
                <w:sz w:val="24"/>
              </w:rPr>
              <w:t>of the</w:t>
            </w:r>
            <w:r>
              <w:rPr>
                <w:spacing w:val="40"/>
                <w:sz w:val="24"/>
              </w:rPr>
              <w:t> </w:t>
            </w:r>
            <w:r>
              <w:rPr>
                <w:sz w:val="24"/>
              </w:rPr>
              <w:t>exchange experience</w:t>
            </w:r>
          </w:p>
        </w:tc>
        <w:tc>
          <w:tcPr>
            <w:tcW w:w="3820" w:type="dxa"/>
          </w:tcPr>
          <w:p>
            <w:pPr>
              <w:pStyle w:val="TableParagraph"/>
              <w:numPr>
                <w:ilvl w:val="0"/>
                <w:numId w:val="25"/>
              </w:numPr>
              <w:tabs>
                <w:tab w:pos="366" w:val="left" w:leader="none"/>
              </w:tabs>
              <w:spacing w:line="240" w:lineRule="auto" w:before="245" w:after="0"/>
              <w:ind w:left="366" w:right="0" w:hanging="145"/>
              <w:jc w:val="left"/>
              <w:rPr>
                <w:sz w:val="24"/>
              </w:rPr>
            </w:pPr>
            <w:r>
              <w:rPr>
                <w:sz w:val="24"/>
              </w:rPr>
              <w:t>Resident Satisfaction </w:t>
            </w:r>
            <w:r>
              <w:rPr>
                <w:spacing w:val="-2"/>
                <w:sz w:val="24"/>
              </w:rPr>
              <w:t>(overall</w:t>
            </w:r>
          </w:p>
          <w:p>
            <w:pPr>
              <w:pStyle w:val="TableParagraph"/>
              <w:spacing w:before="85"/>
              <w:ind w:left="566" w:right="422"/>
              <w:rPr>
                <w:sz w:val="24"/>
              </w:rPr>
            </w:pPr>
            <w:r>
              <w:rPr>
                <w:sz w:val="24"/>
              </w:rPr>
              <w:t>approval/acceptance of casino</w:t>
            </w:r>
            <w:r>
              <w:rPr>
                <w:spacing w:val="-15"/>
                <w:sz w:val="24"/>
              </w:rPr>
              <w:t> </w:t>
            </w:r>
            <w:r>
              <w:rPr>
                <w:sz w:val="24"/>
              </w:rPr>
              <w:t>hotel</w:t>
            </w:r>
            <w:r>
              <w:rPr>
                <w:spacing w:val="-15"/>
                <w:sz w:val="24"/>
              </w:rPr>
              <w:t> </w:t>
            </w:r>
            <w:r>
              <w:rPr>
                <w:sz w:val="24"/>
              </w:rPr>
              <w:t>development)</w:t>
            </w:r>
          </w:p>
        </w:tc>
      </w:tr>
      <w:tr>
        <w:trPr>
          <w:trHeight w:val="1200" w:hRule="atLeast"/>
        </w:trPr>
        <w:tc>
          <w:tcPr>
            <w:tcW w:w="1620" w:type="dxa"/>
          </w:tcPr>
          <w:p>
            <w:pPr>
              <w:pStyle w:val="TableParagraph"/>
              <w:spacing w:before="104"/>
              <w:ind w:left="231"/>
              <w:rPr>
                <w:b/>
                <w:sz w:val="24"/>
              </w:rPr>
            </w:pPr>
            <w:r>
              <w:rPr>
                <w:b/>
                <w:spacing w:val="-2"/>
                <w:sz w:val="24"/>
              </w:rPr>
              <w:t>Loyalty</w:t>
            </w:r>
          </w:p>
        </w:tc>
        <w:tc>
          <w:tcPr>
            <w:tcW w:w="3940" w:type="dxa"/>
          </w:tcPr>
          <w:p>
            <w:pPr>
              <w:pStyle w:val="TableParagraph"/>
              <w:spacing w:before="104"/>
              <w:ind w:left="231" w:right="675"/>
              <w:rPr>
                <w:sz w:val="24"/>
              </w:rPr>
            </w:pPr>
            <w:r>
              <w:rPr>
                <w:sz w:val="24"/>
              </w:rPr>
              <w:t>Intentions</w:t>
            </w:r>
            <w:r>
              <w:rPr>
                <w:spacing w:val="-13"/>
                <w:sz w:val="24"/>
              </w:rPr>
              <w:t> </w:t>
            </w:r>
            <w:r>
              <w:rPr>
                <w:sz w:val="24"/>
              </w:rPr>
              <w:t>to</w:t>
            </w:r>
            <w:r>
              <w:rPr>
                <w:spacing w:val="-13"/>
                <w:sz w:val="24"/>
              </w:rPr>
              <w:t> </w:t>
            </w:r>
            <w:r>
              <w:rPr>
                <w:sz w:val="24"/>
              </w:rPr>
              <w:t>continue</w:t>
            </w:r>
            <w:r>
              <w:rPr>
                <w:spacing w:val="-13"/>
                <w:sz w:val="24"/>
              </w:rPr>
              <w:t> </w:t>
            </w:r>
            <w:r>
              <w:rPr>
                <w:sz w:val="24"/>
              </w:rPr>
              <w:t>support or</w:t>
            </w:r>
            <w:r>
              <w:rPr>
                <w:spacing w:val="40"/>
                <w:sz w:val="24"/>
              </w:rPr>
              <w:t> </w:t>
            </w:r>
            <w:r>
              <w:rPr>
                <w:sz w:val="24"/>
              </w:rPr>
              <w:t>engagement over time</w:t>
            </w:r>
          </w:p>
        </w:tc>
        <w:tc>
          <w:tcPr>
            <w:tcW w:w="3820" w:type="dxa"/>
          </w:tcPr>
          <w:p>
            <w:pPr>
              <w:pStyle w:val="TableParagraph"/>
              <w:numPr>
                <w:ilvl w:val="0"/>
                <w:numId w:val="26"/>
              </w:numPr>
              <w:tabs>
                <w:tab w:pos="366" w:val="left" w:leader="none"/>
              </w:tabs>
              <w:spacing w:line="240" w:lineRule="auto" w:before="234" w:after="0"/>
              <w:ind w:left="366" w:right="0" w:hanging="145"/>
              <w:jc w:val="left"/>
              <w:rPr>
                <w:sz w:val="24"/>
              </w:rPr>
            </w:pPr>
            <w:r>
              <w:rPr>
                <w:sz w:val="24"/>
              </w:rPr>
              <w:t>Revisit </w:t>
            </w:r>
            <w:r>
              <w:rPr>
                <w:spacing w:val="-2"/>
                <w:sz w:val="24"/>
              </w:rPr>
              <w:t>Intention</w:t>
            </w:r>
          </w:p>
          <w:p>
            <w:pPr>
              <w:pStyle w:val="TableParagraph"/>
              <w:numPr>
                <w:ilvl w:val="0"/>
                <w:numId w:val="26"/>
              </w:numPr>
              <w:tabs>
                <w:tab w:pos="366" w:val="left" w:leader="none"/>
              </w:tabs>
              <w:spacing w:line="240" w:lineRule="auto" w:before="228" w:after="0"/>
              <w:ind w:left="366" w:right="0" w:hanging="145"/>
              <w:jc w:val="left"/>
              <w:rPr>
                <w:sz w:val="24"/>
              </w:rPr>
            </w:pPr>
            <w:r>
              <w:rPr>
                <w:sz w:val="24"/>
              </w:rPr>
              <w:t>WOM </w:t>
            </w:r>
            <w:r>
              <w:rPr>
                <w:spacing w:val="-2"/>
                <w:sz w:val="24"/>
              </w:rPr>
              <w:t>Intention</w:t>
            </w:r>
          </w:p>
        </w:tc>
      </w:tr>
    </w:tbl>
    <w:p>
      <w:pPr>
        <w:pStyle w:val="Heading4"/>
        <w:spacing w:before="24"/>
        <w:ind w:left="0" w:right="252"/>
        <w:jc w:val="center"/>
      </w:pPr>
      <w:r>
        <w:rPr/>
        <w:t>Table</w:t>
      </w:r>
      <w:r>
        <w:rPr>
          <w:spacing w:val="-4"/>
        </w:rPr>
        <w:t> </w:t>
      </w:r>
      <w:r>
        <w:rPr/>
        <w:t>1.</w:t>
      </w:r>
      <w:r>
        <w:rPr>
          <w:spacing w:val="-4"/>
        </w:rPr>
        <w:t> </w:t>
      </w:r>
      <w:r>
        <w:rPr/>
        <w:t>Generic</w:t>
      </w:r>
      <w:r>
        <w:rPr>
          <w:spacing w:val="-4"/>
        </w:rPr>
        <w:t> </w:t>
      </w:r>
      <w:r>
        <w:rPr/>
        <w:t>The</w:t>
      </w:r>
      <w:r>
        <w:rPr>
          <w:spacing w:val="-4"/>
        </w:rPr>
        <w:t> </w:t>
      </w:r>
      <w:r>
        <w:rPr/>
        <w:t>Social</w:t>
      </w:r>
      <w:r>
        <w:rPr>
          <w:spacing w:val="-4"/>
        </w:rPr>
        <w:t> </w:t>
      </w:r>
      <w:r>
        <w:rPr/>
        <w:t>Exchange</w:t>
      </w:r>
      <w:r>
        <w:rPr>
          <w:spacing w:val="-3"/>
        </w:rPr>
        <w:t> </w:t>
      </w:r>
      <w:r>
        <w:rPr>
          <w:spacing w:val="-2"/>
        </w:rPr>
        <w:t>Theory</w:t>
      </w:r>
    </w:p>
    <w:p>
      <w:pPr>
        <w:pStyle w:val="BodyText"/>
        <w:spacing w:before="5"/>
        <w:rPr>
          <w:b/>
        </w:rPr>
      </w:pPr>
    </w:p>
    <w:p>
      <w:pPr>
        <w:pStyle w:val="BodyText"/>
        <w:spacing w:before="1"/>
        <w:ind w:left="716" w:right="1191"/>
      </w:pPr>
      <w:r>
        <w:rPr/>
        <w:t>Appalachian</w:t>
      </w:r>
      <w:r>
        <w:rPr>
          <w:spacing w:val="-1"/>
        </w:rPr>
        <w:t> </w:t>
      </w:r>
      <w:r>
        <w:rPr/>
        <w:t>residents</w:t>
      </w:r>
      <w:r>
        <w:rPr>
          <w:spacing w:val="-1"/>
        </w:rPr>
        <w:t> </w:t>
      </w:r>
      <w:r>
        <w:rPr/>
        <w:t>who</w:t>
      </w:r>
      <w:r>
        <w:rPr>
          <w:spacing w:val="-1"/>
        </w:rPr>
        <w:t> </w:t>
      </w:r>
      <w:r>
        <w:rPr/>
        <w:t>perceive</w:t>
      </w:r>
      <w:r>
        <w:rPr>
          <w:spacing w:val="-1"/>
        </w:rPr>
        <w:t> </w:t>
      </w:r>
      <w:r>
        <w:rPr/>
        <w:t>the</w:t>
      </w:r>
      <w:r>
        <w:rPr>
          <w:spacing w:val="-1"/>
        </w:rPr>
        <w:t> </w:t>
      </w:r>
      <w:r>
        <w:rPr/>
        <w:t>casino</w:t>
      </w:r>
      <w:r>
        <w:rPr>
          <w:spacing w:val="-1"/>
        </w:rPr>
        <w:t> </w:t>
      </w:r>
      <w:r>
        <w:rPr/>
        <w:t>hotel</w:t>
      </w:r>
      <w:r>
        <w:rPr>
          <w:spacing w:val="-1"/>
        </w:rPr>
        <w:t> </w:t>
      </w:r>
      <w:r>
        <w:rPr/>
        <w:t>as</w:t>
      </w:r>
      <w:r>
        <w:rPr>
          <w:spacing w:val="-1"/>
        </w:rPr>
        <w:t> </w:t>
      </w:r>
      <w:r>
        <w:rPr/>
        <w:t>an</w:t>
      </w:r>
      <w:r>
        <w:rPr>
          <w:spacing w:val="-1"/>
        </w:rPr>
        <w:t> </w:t>
      </w:r>
      <w:r>
        <w:rPr/>
        <w:t>attractive</w:t>
      </w:r>
      <w:r>
        <w:rPr>
          <w:spacing w:val="-1"/>
        </w:rPr>
        <w:t> </w:t>
      </w:r>
      <w:r>
        <w:rPr/>
        <w:t>and</w:t>
      </w:r>
      <w:r>
        <w:rPr>
          <w:spacing w:val="-1"/>
        </w:rPr>
        <w:t> </w:t>
      </w:r>
      <w:r>
        <w:rPr/>
        <w:t>enjoyable</w:t>
      </w:r>
      <w:r>
        <w:rPr>
          <w:spacing w:val="-1"/>
        </w:rPr>
        <w:t> </w:t>
      </w:r>
      <w:r>
        <w:rPr/>
        <w:t>entertainment destination are more likely to report higher satisfaction. Likewise, residents who experience emotional benefits—such as enjoyment, escape, and refreshment—are expected to evaluate the casino hotel more positively. In contrast, when residents perceive greater social stigma or disapproval</w:t>
      </w:r>
      <w:r>
        <w:rPr>
          <w:spacing w:val="-1"/>
        </w:rPr>
        <w:t> </w:t>
      </w:r>
      <w:r>
        <w:rPr/>
        <w:t>associated</w:t>
      </w:r>
      <w:r>
        <w:rPr>
          <w:spacing w:val="-1"/>
        </w:rPr>
        <w:t> </w:t>
      </w:r>
      <w:r>
        <w:rPr/>
        <w:t>with</w:t>
      </w:r>
      <w:r>
        <w:rPr>
          <w:spacing w:val="-1"/>
        </w:rPr>
        <w:t> </w:t>
      </w:r>
      <w:r>
        <w:rPr/>
        <w:t>visiting</w:t>
      </w:r>
      <w:r>
        <w:rPr>
          <w:spacing w:val="-1"/>
        </w:rPr>
        <w:t> </w:t>
      </w:r>
      <w:r>
        <w:rPr/>
        <w:t>the</w:t>
      </w:r>
      <w:r>
        <w:rPr>
          <w:spacing w:val="-1"/>
        </w:rPr>
        <w:t> </w:t>
      </w:r>
      <w:r>
        <w:rPr/>
        <w:t>casino</w:t>
      </w:r>
      <w:r>
        <w:rPr>
          <w:spacing w:val="-1"/>
        </w:rPr>
        <w:t> </w:t>
      </w:r>
      <w:r>
        <w:rPr/>
        <w:t>hotel,</w:t>
      </w:r>
      <w:r>
        <w:rPr>
          <w:spacing w:val="-1"/>
        </w:rPr>
        <w:t> </w:t>
      </w:r>
      <w:r>
        <w:rPr/>
        <w:t>their</w:t>
      </w:r>
      <w:r>
        <w:rPr>
          <w:spacing w:val="-1"/>
        </w:rPr>
        <w:t> </w:t>
      </w:r>
      <w:r>
        <w:rPr/>
        <w:t>satisfaction</w:t>
      </w:r>
      <w:r>
        <w:rPr>
          <w:spacing w:val="-1"/>
        </w:rPr>
        <w:t> </w:t>
      </w:r>
      <w:r>
        <w:rPr/>
        <w:t>is</w:t>
      </w:r>
      <w:r>
        <w:rPr>
          <w:spacing w:val="-1"/>
        </w:rPr>
        <w:t> </w:t>
      </w:r>
      <w:r>
        <w:rPr/>
        <w:t>likely</w:t>
      </w:r>
      <w:r>
        <w:rPr>
          <w:spacing w:val="-1"/>
        </w:rPr>
        <w:t> </w:t>
      </w:r>
      <w:r>
        <w:rPr/>
        <w:t>to</w:t>
      </w:r>
      <w:r>
        <w:rPr>
          <w:spacing w:val="-1"/>
        </w:rPr>
        <w:t> </w:t>
      </w:r>
      <w:r>
        <w:rPr/>
        <w:t>decline.</w:t>
      </w:r>
      <w:r>
        <w:rPr>
          <w:spacing w:val="-1"/>
        </w:rPr>
        <w:t> </w:t>
      </w:r>
      <w:r>
        <w:rPr/>
        <w:t>Higher levels of satisfaction, in turn, are expected to strengthen loyalty outcomes, such that satisfied residents</w:t>
      </w:r>
      <w:r>
        <w:rPr>
          <w:spacing w:val="-2"/>
        </w:rPr>
        <w:t> </w:t>
      </w:r>
      <w:r>
        <w:rPr/>
        <w:t>are</w:t>
      </w:r>
      <w:r>
        <w:rPr>
          <w:spacing w:val="-2"/>
        </w:rPr>
        <w:t> </w:t>
      </w:r>
      <w:r>
        <w:rPr/>
        <w:t>more</w:t>
      </w:r>
      <w:r>
        <w:rPr>
          <w:spacing w:val="-2"/>
        </w:rPr>
        <w:t> </w:t>
      </w:r>
      <w:r>
        <w:rPr/>
        <w:t>likely</w:t>
      </w:r>
      <w:r>
        <w:rPr>
          <w:spacing w:val="-2"/>
        </w:rPr>
        <w:t> </w:t>
      </w:r>
      <w:r>
        <w:rPr/>
        <w:t>to</w:t>
      </w:r>
      <w:r>
        <w:rPr>
          <w:spacing w:val="-2"/>
        </w:rPr>
        <w:t> </w:t>
      </w:r>
      <w:r>
        <w:rPr/>
        <w:t>intend</w:t>
      </w:r>
      <w:r>
        <w:rPr>
          <w:spacing w:val="-2"/>
        </w:rPr>
        <w:t> </w:t>
      </w:r>
      <w:r>
        <w:rPr/>
        <w:t>to</w:t>
      </w:r>
      <w:r>
        <w:rPr>
          <w:spacing w:val="-2"/>
        </w:rPr>
        <w:t> </w:t>
      </w:r>
      <w:r>
        <w:rPr/>
        <w:t>visit</w:t>
      </w:r>
      <w:r>
        <w:rPr>
          <w:spacing w:val="-2"/>
        </w:rPr>
        <w:t> </w:t>
      </w:r>
      <w:r>
        <w:rPr/>
        <w:t>or</w:t>
      </w:r>
      <w:r>
        <w:rPr>
          <w:spacing w:val="-2"/>
        </w:rPr>
        <w:t> </w:t>
      </w:r>
      <w:r>
        <w:rPr/>
        <w:t>revisit</w:t>
      </w:r>
      <w:r>
        <w:rPr>
          <w:spacing w:val="-2"/>
        </w:rPr>
        <w:t> </w:t>
      </w:r>
      <w:r>
        <w:rPr/>
        <w:t>the</w:t>
      </w:r>
      <w:r>
        <w:rPr>
          <w:spacing w:val="-2"/>
        </w:rPr>
        <w:t> </w:t>
      </w:r>
      <w:r>
        <w:rPr/>
        <w:t>casino</w:t>
      </w:r>
      <w:r>
        <w:rPr>
          <w:spacing w:val="-2"/>
        </w:rPr>
        <w:t> </w:t>
      </w:r>
      <w:r>
        <w:rPr/>
        <w:t>hotel</w:t>
      </w:r>
      <w:r>
        <w:rPr>
          <w:spacing w:val="-2"/>
        </w:rPr>
        <w:t> </w:t>
      </w:r>
      <w:r>
        <w:rPr/>
        <w:t>in</w:t>
      </w:r>
      <w:r>
        <w:rPr>
          <w:spacing w:val="-2"/>
        </w:rPr>
        <w:t> </w:t>
      </w:r>
      <w:r>
        <w:rPr/>
        <w:t>the</w:t>
      </w:r>
      <w:r>
        <w:rPr>
          <w:spacing w:val="-2"/>
        </w:rPr>
        <w:t> </w:t>
      </w:r>
      <w:r>
        <w:rPr/>
        <w:t>future</w:t>
      </w:r>
      <w:r>
        <w:rPr>
          <w:spacing w:val="-2"/>
        </w:rPr>
        <w:t> </w:t>
      </w:r>
      <w:r>
        <w:rPr/>
        <w:t>and</w:t>
      </w:r>
      <w:r>
        <w:rPr>
          <w:spacing w:val="-2"/>
        </w:rPr>
        <w:t> </w:t>
      </w:r>
      <w:r>
        <w:rPr/>
        <w:t>to</w:t>
      </w:r>
      <w:r>
        <w:rPr>
          <w:spacing w:val="-2"/>
        </w:rPr>
        <w:t> </w:t>
      </w:r>
      <w:r>
        <w:rPr/>
        <w:t>engage</w:t>
      </w:r>
      <w:r>
        <w:rPr>
          <w:spacing w:val="-2"/>
        </w:rPr>
        <w:t> </w:t>
      </w:r>
      <w:r>
        <w:rPr/>
        <w:t>in positive word-of-mouth by recommending it to others. Additionally, perceived social risk may reduce the perceived benefits of the casino hotel by weakening residents’ perceptions of its entertainment appeal and diminishing the emotional rewards associated with the experience.</w:t>
      </w:r>
    </w:p>
    <w:p>
      <w:pPr>
        <w:pStyle w:val="BodyText"/>
      </w:pPr>
    </w:p>
    <w:p>
      <w:pPr>
        <w:pStyle w:val="BodyText"/>
        <w:spacing w:before="1"/>
        <w:ind w:left="716" w:right="1619" w:firstLine="15"/>
      </w:pPr>
      <w:r>
        <w:rPr/>
        <w:t>This study proposes that residents’ satisfaction with a casino hotel is shaped by perceived benefits</w:t>
      </w:r>
      <w:r>
        <w:rPr>
          <w:spacing w:val="-4"/>
        </w:rPr>
        <w:t> </w:t>
      </w:r>
      <w:r>
        <w:rPr/>
        <w:t>and</w:t>
      </w:r>
      <w:r>
        <w:rPr>
          <w:spacing w:val="-4"/>
        </w:rPr>
        <w:t> </w:t>
      </w:r>
      <w:r>
        <w:rPr/>
        <w:t>perceived</w:t>
      </w:r>
      <w:r>
        <w:rPr>
          <w:spacing w:val="-4"/>
        </w:rPr>
        <w:t> </w:t>
      </w:r>
      <w:r>
        <w:rPr/>
        <w:t>costs.</w:t>
      </w:r>
      <w:r>
        <w:rPr>
          <w:spacing w:val="-4"/>
        </w:rPr>
        <w:t> </w:t>
      </w:r>
      <w:r>
        <w:rPr/>
        <w:t>Entertainment</w:t>
      </w:r>
      <w:r>
        <w:rPr>
          <w:spacing w:val="-4"/>
        </w:rPr>
        <w:t> </w:t>
      </w:r>
      <w:r>
        <w:rPr/>
        <w:t>tourism</w:t>
      </w:r>
      <w:r>
        <w:rPr>
          <w:spacing w:val="-4"/>
        </w:rPr>
        <w:t> </w:t>
      </w:r>
      <w:r>
        <w:rPr/>
        <w:t>appeal</w:t>
      </w:r>
      <w:r>
        <w:rPr>
          <w:spacing w:val="-4"/>
        </w:rPr>
        <w:t> </w:t>
      </w:r>
      <w:r>
        <w:rPr/>
        <w:t>and</w:t>
      </w:r>
      <w:r>
        <w:rPr>
          <w:spacing w:val="-4"/>
        </w:rPr>
        <w:t> </w:t>
      </w:r>
      <w:r>
        <w:rPr/>
        <w:t>emotional</w:t>
      </w:r>
      <w:r>
        <w:rPr>
          <w:spacing w:val="-4"/>
        </w:rPr>
        <w:t> </w:t>
      </w:r>
      <w:r>
        <w:rPr/>
        <w:t>benefits</w:t>
      </w:r>
      <w:r>
        <w:rPr>
          <w:spacing w:val="-4"/>
        </w:rPr>
        <w:t> </w:t>
      </w:r>
      <w:r>
        <w:rPr/>
        <w:t>are</w:t>
      </w:r>
      <w:r>
        <w:rPr>
          <w:spacing w:val="-4"/>
        </w:rPr>
        <w:t> </w:t>
      </w:r>
      <w:r>
        <w:rPr/>
        <w:t>expected to enhance satisfaction, whereas perceived social risk may diminish it due to concerns about stigma or social disapproval. In turn, satisfied residents are more likely to demonstrate loyalty through stronger revisit intentions and positive word-of-mouth. Furthermore, perceived social risk may weaken residents’ perceived benefits by reducing both entertainment appeal and emotional rewards. Figure 1 indicates the hypotheses will be tested.</w:t>
      </w:r>
    </w:p>
    <w:p>
      <w:pPr>
        <w:pStyle w:val="BodyText"/>
        <w:spacing w:after="0"/>
        <w:sectPr>
          <w:pgSz w:w="12240" w:h="15840"/>
          <w:pgMar w:header="0" w:footer="706" w:top="940" w:bottom="960" w:left="720" w:right="0"/>
        </w:sectPr>
      </w:pPr>
    </w:p>
    <w:p>
      <w:pPr>
        <w:spacing w:line="240" w:lineRule="auto"/>
        <w:ind w:left="2065" w:right="0" w:firstLine="0"/>
        <w:rPr>
          <w:sz w:val="20"/>
        </w:rPr>
      </w:pPr>
      <w:r>
        <w:rPr>
          <w:sz w:val="20"/>
        </w:rPr>
        <w:drawing>
          <wp:inline distT="0" distB="0" distL="0" distR="0">
            <wp:extent cx="4239954" cy="2865405"/>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85" cstate="print"/>
                    <a:stretch>
                      <a:fillRect/>
                    </a:stretch>
                  </pic:blipFill>
                  <pic:spPr>
                    <a:xfrm>
                      <a:off x="0" y="0"/>
                      <a:ext cx="4239954" cy="2865405"/>
                    </a:xfrm>
                    <a:prstGeom prst="rect">
                      <a:avLst/>
                    </a:prstGeom>
                  </pic:spPr>
                </pic:pic>
              </a:graphicData>
            </a:graphic>
          </wp:inline>
        </w:drawing>
      </w:r>
      <w:r>
        <w:rPr>
          <w:sz w:val="20"/>
        </w:rPr>
      </w:r>
    </w:p>
    <w:p>
      <w:pPr>
        <w:pStyle w:val="Heading4"/>
        <w:spacing w:before="59"/>
        <w:ind w:left="3237"/>
      </w:pPr>
      <w:r>
        <w:rPr/>
        <w:t>Figure</w:t>
      </w:r>
      <w:r>
        <w:rPr>
          <w:spacing w:val="-2"/>
        </w:rPr>
        <w:t> </w:t>
      </w:r>
      <w:r>
        <w:rPr/>
        <w:t>1.</w:t>
      </w:r>
      <w:r>
        <w:rPr>
          <w:spacing w:val="-2"/>
        </w:rPr>
        <w:t> </w:t>
      </w:r>
      <w:r>
        <w:rPr/>
        <w:t>Research</w:t>
      </w:r>
      <w:r>
        <w:rPr>
          <w:spacing w:val="-2"/>
        </w:rPr>
        <w:t> </w:t>
      </w:r>
      <w:r>
        <w:rPr/>
        <w:t>Model</w:t>
      </w:r>
      <w:r>
        <w:rPr>
          <w:spacing w:val="-2"/>
        </w:rPr>
        <w:t> </w:t>
      </w:r>
      <w:r>
        <w:rPr/>
        <w:t>and</w:t>
      </w:r>
      <w:r>
        <w:rPr>
          <w:spacing w:val="-2"/>
        </w:rPr>
        <w:t> Hypotheses</w:t>
      </w:r>
    </w:p>
    <w:p>
      <w:pPr>
        <w:pStyle w:val="BodyText"/>
        <w:spacing w:before="38"/>
        <w:rPr>
          <w:b/>
        </w:rPr>
      </w:pPr>
    </w:p>
    <w:p>
      <w:pPr>
        <w:pStyle w:val="BodyText"/>
        <w:spacing w:before="1"/>
        <w:ind w:left="716"/>
      </w:pPr>
      <w:r>
        <w:rPr>
          <w:spacing w:val="-2"/>
        </w:rPr>
        <w:t>Perceived</w:t>
      </w:r>
      <w:r>
        <w:rPr>
          <w:spacing w:val="-7"/>
        </w:rPr>
        <w:t> </w:t>
      </w:r>
      <w:r>
        <w:rPr>
          <w:spacing w:val="-2"/>
        </w:rPr>
        <w:t>Benefits</w:t>
      </w:r>
      <w:r>
        <w:rPr>
          <w:spacing w:val="-4"/>
        </w:rPr>
        <w:t> </w:t>
      </w:r>
      <w:r>
        <w:rPr>
          <w:spacing w:val="-2"/>
        </w:rPr>
        <w:t>→</w:t>
      </w:r>
      <w:r>
        <w:rPr>
          <w:spacing w:val="-3"/>
        </w:rPr>
        <w:t> </w:t>
      </w:r>
      <w:r>
        <w:rPr>
          <w:spacing w:val="-2"/>
        </w:rPr>
        <w:t>Satisfaction</w:t>
      </w:r>
    </w:p>
    <w:p>
      <w:pPr>
        <w:pStyle w:val="BodyText"/>
        <w:spacing w:before="35"/>
        <w:ind w:left="1436" w:right="2550"/>
      </w:pPr>
      <w:r>
        <w:rPr/>
        <w:t>H1a:</w:t>
      </w:r>
      <w:r>
        <w:rPr>
          <w:spacing w:val="-6"/>
        </w:rPr>
        <w:t> </w:t>
      </w:r>
      <w:r>
        <w:rPr/>
        <w:t>Entertainment</w:t>
      </w:r>
      <w:r>
        <w:rPr>
          <w:spacing w:val="-6"/>
        </w:rPr>
        <w:t> </w:t>
      </w:r>
      <w:r>
        <w:rPr/>
        <w:t>tourism</w:t>
      </w:r>
      <w:r>
        <w:rPr>
          <w:spacing w:val="-6"/>
        </w:rPr>
        <w:t> </w:t>
      </w:r>
      <w:r>
        <w:rPr/>
        <w:t>appeal</w:t>
      </w:r>
      <w:r>
        <w:rPr>
          <w:spacing w:val="-6"/>
        </w:rPr>
        <w:t> </w:t>
      </w:r>
      <w:r>
        <w:rPr/>
        <w:t>positively</w:t>
      </w:r>
      <w:r>
        <w:rPr>
          <w:spacing w:val="-6"/>
        </w:rPr>
        <w:t> </w:t>
      </w:r>
      <w:r>
        <w:rPr/>
        <w:t>influences</w:t>
      </w:r>
      <w:r>
        <w:rPr>
          <w:spacing w:val="-6"/>
        </w:rPr>
        <w:t> </w:t>
      </w:r>
      <w:r>
        <w:rPr/>
        <w:t>resident</w:t>
      </w:r>
      <w:r>
        <w:rPr>
          <w:spacing w:val="-6"/>
        </w:rPr>
        <w:t> </w:t>
      </w:r>
      <w:r>
        <w:rPr/>
        <w:t>satisfaction. H1b: Perceived emotional benefits positively influence resident satisfaction.</w:t>
      </w:r>
    </w:p>
    <w:p>
      <w:pPr>
        <w:pStyle w:val="BodyText"/>
        <w:spacing w:before="139"/>
      </w:pPr>
    </w:p>
    <w:p>
      <w:pPr>
        <w:pStyle w:val="BodyText"/>
        <w:ind w:left="716"/>
      </w:pPr>
      <w:r>
        <w:rPr>
          <w:spacing w:val="-2"/>
        </w:rPr>
        <w:t>Perceived</w:t>
      </w:r>
      <w:r>
        <w:rPr>
          <w:spacing w:val="-10"/>
        </w:rPr>
        <w:t> </w:t>
      </w:r>
      <w:r>
        <w:rPr>
          <w:spacing w:val="-2"/>
        </w:rPr>
        <w:t>Cost</w:t>
      </w:r>
      <w:r>
        <w:rPr>
          <w:spacing w:val="-10"/>
        </w:rPr>
        <w:t> </w:t>
      </w:r>
      <w:r>
        <w:rPr>
          <w:spacing w:val="-2"/>
        </w:rPr>
        <w:t>→</w:t>
      </w:r>
      <w:r>
        <w:rPr>
          <w:spacing w:val="-8"/>
        </w:rPr>
        <w:t> </w:t>
      </w:r>
      <w:r>
        <w:rPr>
          <w:spacing w:val="-2"/>
        </w:rPr>
        <w:t>Satisfaction</w:t>
      </w:r>
    </w:p>
    <w:p>
      <w:pPr>
        <w:pStyle w:val="BodyText"/>
        <w:spacing w:before="85"/>
        <w:ind w:left="1436"/>
      </w:pPr>
      <w:r>
        <w:rPr/>
        <w:t>H2: Perceived social risk negatively influences resident </w:t>
      </w:r>
      <w:r>
        <w:rPr>
          <w:spacing w:val="-2"/>
        </w:rPr>
        <w:t>satisfaction.</w:t>
      </w:r>
    </w:p>
    <w:p>
      <w:pPr>
        <w:pStyle w:val="BodyText"/>
        <w:spacing w:before="127"/>
      </w:pPr>
    </w:p>
    <w:p>
      <w:pPr>
        <w:pStyle w:val="BodyText"/>
        <w:ind w:left="731"/>
      </w:pPr>
      <w:r>
        <w:rPr>
          <w:spacing w:val="-4"/>
        </w:rPr>
        <w:t>Satisfaction</w:t>
      </w:r>
      <w:r>
        <w:rPr>
          <w:spacing w:val="-3"/>
        </w:rPr>
        <w:t> </w:t>
      </w:r>
      <w:r>
        <w:rPr>
          <w:spacing w:val="-4"/>
        </w:rPr>
        <w:t>→</w:t>
      </w:r>
      <w:r>
        <w:rPr>
          <w:spacing w:val="-1"/>
        </w:rPr>
        <w:t> </w:t>
      </w:r>
      <w:r>
        <w:rPr>
          <w:spacing w:val="-4"/>
        </w:rPr>
        <w:t>Loyalty</w:t>
      </w:r>
    </w:p>
    <w:p>
      <w:pPr>
        <w:pStyle w:val="BodyText"/>
        <w:spacing w:before="85"/>
        <w:ind w:left="1436"/>
      </w:pPr>
      <w:r>
        <w:rPr/>
        <w:t>H3a: Resident satisfaction positively influences revisit </w:t>
      </w:r>
      <w:r>
        <w:rPr>
          <w:spacing w:val="-2"/>
        </w:rPr>
        <w:t>intention.</w:t>
      </w:r>
    </w:p>
    <w:p>
      <w:pPr>
        <w:pStyle w:val="BodyText"/>
        <w:ind w:left="1436"/>
      </w:pPr>
      <w:r>
        <w:rPr/>
        <w:t>H3b: Resident satisfaction positively influences word-of-mouth (WOM) </w:t>
      </w:r>
      <w:r>
        <w:rPr>
          <w:spacing w:val="-2"/>
        </w:rPr>
        <w:t>intention.</w:t>
      </w:r>
    </w:p>
    <w:p>
      <w:pPr>
        <w:pStyle w:val="BodyText"/>
        <w:spacing w:before="127"/>
      </w:pPr>
    </w:p>
    <w:p>
      <w:pPr>
        <w:pStyle w:val="BodyText"/>
        <w:ind w:left="716"/>
      </w:pPr>
      <w:r>
        <w:rPr/>
        <w:t>Perceived</w:t>
      </w:r>
      <w:r>
        <w:rPr>
          <w:spacing w:val="-15"/>
        </w:rPr>
        <w:t> </w:t>
      </w:r>
      <w:r>
        <w:rPr/>
        <w:t>Cost</w:t>
      </w:r>
      <w:r>
        <w:rPr>
          <w:spacing w:val="-14"/>
        </w:rPr>
        <w:t> </w:t>
      </w:r>
      <w:r>
        <w:rPr/>
        <w:t>→</w:t>
      </w:r>
      <w:r>
        <w:rPr>
          <w:spacing w:val="-13"/>
        </w:rPr>
        <w:t> </w:t>
      </w:r>
      <w:r>
        <w:rPr/>
        <w:t>Perceived</w:t>
      </w:r>
      <w:r>
        <w:rPr>
          <w:spacing w:val="-14"/>
        </w:rPr>
        <w:t> </w:t>
      </w:r>
      <w:r>
        <w:rPr>
          <w:spacing w:val="-2"/>
        </w:rPr>
        <w:t>Benefits</w:t>
      </w:r>
    </w:p>
    <w:p>
      <w:pPr>
        <w:pStyle w:val="BodyText"/>
        <w:spacing w:before="85"/>
        <w:ind w:left="1436" w:right="2135"/>
      </w:pPr>
      <w:r>
        <w:rPr/>
        <w:t>H4a:</w:t>
      </w:r>
      <w:r>
        <w:rPr>
          <w:spacing w:val="-5"/>
        </w:rPr>
        <w:t> </w:t>
      </w:r>
      <w:r>
        <w:rPr/>
        <w:t>Perceived</w:t>
      </w:r>
      <w:r>
        <w:rPr>
          <w:spacing w:val="-5"/>
        </w:rPr>
        <w:t> </w:t>
      </w:r>
      <w:r>
        <w:rPr/>
        <w:t>social</w:t>
      </w:r>
      <w:r>
        <w:rPr>
          <w:spacing w:val="-5"/>
        </w:rPr>
        <w:t> </w:t>
      </w:r>
      <w:r>
        <w:rPr/>
        <w:t>risk</w:t>
      </w:r>
      <w:r>
        <w:rPr>
          <w:spacing w:val="-5"/>
        </w:rPr>
        <w:t> </w:t>
      </w:r>
      <w:r>
        <w:rPr/>
        <w:t>negatively</w:t>
      </w:r>
      <w:r>
        <w:rPr>
          <w:spacing w:val="-5"/>
        </w:rPr>
        <w:t> </w:t>
      </w:r>
      <w:r>
        <w:rPr/>
        <w:t>influences</w:t>
      </w:r>
      <w:r>
        <w:rPr>
          <w:spacing w:val="-5"/>
        </w:rPr>
        <w:t> </w:t>
      </w:r>
      <w:r>
        <w:rPr/>
        <w:t>entertainment</w:t>
      </w:r>
      <w:r>
        <w:rPr>
          <w:spacing w:val="-5"/>
        </w:rPr>
        <w:t> </w:t>
      </w:r>
      <w:r>
        <w:rPr/>
        <w:t>tourism</w:t>
      </w:r>
      <w:r>
        <w:rPr>
          <w:spacing w:val="-5"/>
        </w:rPr>
        <w:t> </w:t>
      </w:r>
      <w:r>
        <w:rPr/>
        <w:t>appeal. H4b: Perceived social risk negatively influences perceived emotional </w:t>
      </w:r>
      <w:r>
        <w:rPr>
          <w:spacing w:val="-2"/>
        </w:rPr>
        <w:t>benefits.</w:t>
      </w:r>
    </w:p>
    <w:p>
      <w:pPr>
        <w:pStyle w:val="BodyText"/>
        <w:spacing w:before="9"/>
      </w:pPr>
    </w:p>
    <w:p>
      <w:pPr>
        <w:spacing w:line="376" w:lineRule="auto" w:before="0"/>
        <w:ind w:left="731" w:right="8219" w:firstLine="0"/>
        <w:jc w:val="left"/>
        <w:rPr>
          <w:b/>
          <w:sz w:val="24"/>
        </w:rPr>
      </w:pPr>
      <w:r>
        <w:rPr>
          <w:b/>
          <w:color w:val="212121"/>
          <w:spacing w:val="-2"/>
          <w:sz w:val="24"/>
        </w:rPr>
        <w:t>Methodology</w:t>
      </w:r>
      <w:r>
        <w:rPr>
          <w:b/>
          <w:color w:val="212121"/>
          <w:spacing w:val="80"/>
          <w:sz w:val="24"/>
        </w:rPr>
        <w:t> </w:t>
      </w:r>
      <w:r>
        <w:rPr>
          <w:b/>
          <w:color w:val="212121"/>
          <w:sz w:val="24"/>
        </w:rPr>
        <w:t>Instrument</w:t>
      </w:r>
      <w:r>
        <w:rPr>
          <w:b/>
          <w:color w:val="212121"/>
          <w:spacing w:val="-15"/>
          <w:sz w:val="24"/>
        </w:rPr>
        <w:t> </w:t>
      </w:r>
      <w:r>
        <w:rPr>
          <w:b/>
          <w:color w:val="212121"/>
          <w:sz w:val="24"/>
        </w:rPr>
        <w:t>Development</w:t>
      </w:r>
    </w:p>
    <w:p>
      <w:pPr>
        <w:pStyle w:val="BodyText"/>
        <w:ind w:left="731" w:right="1725" w:hanging="15"/>
      </w:pPr>
      <w:r>
        <w:rPr/>
        <w:t>Measurement items were adapted from established, validated scales and tailored to the study context. Perceived emotional benefits were measured using items drawn from Voss, Spangenberg, and Grohmann (2003). Entertainment tourism appeal was assessed with items capturing</w:t>
      </w:r>
      <w:r>
        <w:rPr>
          <w:spacing w:val="-4"/>
        </w:rPr>
        <w:t> </w:t>
      </w:r>
      <w:r>
        <w:rPr/>
        <w:t>enjoyment,</w:t>
      </w:r>
      <w:r>
        <w:rPr>
          <w:spacing w:val="-4"/>
        </w:rPr>
        <w:t> </w:t>
      </w:r>
      <w:r>
        <w:rPr/>
        <w:t>refreshment,</w:t>
      </w:r>
      <w:r>
        <w:rPr>
          <w:spacing w:val="-4"/>
        </w:rPr>
        <w:t> </w:t>
      </w:r>
      <w:r>
        <w:rPr/>
        <w:t>and</w:t>
      </w:r>
      <w:r>
        <w:rPr>
          <w:spacing w:val="-4"/>
        </w:rPr>
        <w:t> </w:t>
      </w:r>
      <w:r>
        <w:rPr/>
        <w:t>escape,</w:t>
      </w:r>
      <w:r>
        <w:rPr>
          <w:spacing w:val="-4"/>
        </w:rPr>
        <w:t> </w:t>
      </w:r>
      <w:r>
        <w:rPr/>
        <w:t>based</w:t>
      </w:r>
      <w:r>
        <w:rPr>
          <w:spacing w:val="-4"/>
        </w:rPr>
        <w:t> </w:t>
      </w:r>
      <w:r>
        <w:rPr/>
        <w:t>on</w:t>
      </w:r>
      <w:r>
        <w:rPr>
          <w:spacing w:val="-4"/>
        </w:rPr>
        <w:t> </w:t>
      </w:r>
      <w:r>
        <w:rPr/>
        <w:t>the</w:t>
      </w:r>
      <w:r>
        <w:rPr>
          <w:spacing w:val="-4"/>
        </w:rPr>
        <w:t> </w:t>
      </w:r>
      <w:r>
        <w:rPr/>
        <w:t>entertainment</w:t>
      </w:r>
      <w:r>
        <w:rPr>
          <w:spacing w:val="-4"/>
        </w:rPr>
        <w:t> </w:t>
      </w:r>
      <w:r>
        <w:rPr/>
        <w:t>tourism</w:t>
      </w:r>
      <w:r>
        <w:rPr>
          <w:spacing w:val="-4"/>
        </w:rPr>
        <w:t> </w:t>
      </w:r>
      <w:r>
        <w:rPr/>
        <w:t>experience scale (Luo et al., 2020) and the memorable tourism experience framework (Kim et al., 2012). Perceived social risk was measured following Stone and Grønhaug (1993), while resident satisfaction was adapted from Spreng, MacKenzie, and Olshavsky (1996). Revisit intention was</w:t>
      </w:r>
      <w:r>
        <w:rPr>
          <w:spacing w:val="40"/>
        </w:rPr>
        <w:t> </w:t>
      </w:r>
      <w:r>
        <w:rPr/>
        <w:t>assessed using items from Coyne and Thorson (2001), and word-of-mouth (WOM) intention was</w:t>
      </w:r>
      <w:r>
        <w:rPr>
          <w:spacing w:val="40"/>
        </w:rPr>
        <w:t> </w:t>
      </w:r>
      <w:r>
        <w:rPr/>
        <w:t>measured based on Brown et al. (2005). All items were rated on a five-point Likert scale ranging</w:t>
      </w:r>
      <w:r>
        <w:rPr>
          <w:spacing w:val="40"/>
        </w:rPr>
        <w:t> </w:t>
      </w:r>
      <w:r>
        <w:rPr/>
        <w:t>from 1 (strongly disagree) to 5 (strongly agree).</w:t>
      </w:r>
    </w:p>
    <w:p>
      <w:pPr>
        <w:pStyle w:val="BodyText"/>
        <w:spacing w:after="0"/>
        <w:sectPr>
          <w:pgSz w:w="12240" w:h="15840"/>
          <w:pgMar w:header="0" w:footer="706" w:top="740" w:bottom="960" w:left="720" w:right="0"/>
        </w:sectPr>
      </w:pPr>
    </w:p>
    <w:p>
      <w:pPr>
        <w:pStyle w:val="Heading4"/>
        <w:spacing w:before="60"/>
        <w:ind w:left="731"/>
      </w:pPr>
      <w:r>
        <w:rPr/>
        <w:t>Data </w:t>
      </w:r>
      <w:r>
        <w:rPr>
          <w:spacing w:val="-2"/>
        </w:rPr>
        <w:t>Administration</w:t>
      </w:r>
    </w:p>
    <w:p>
      <w:pPr>
        <w:pStyle w:val="BodyText"/>
        <w:spacing w:line="242" w:lineRule="auto" w:before="272"/>
        <w:ind w:left="731" w:right="1344"/>
      </w:pPr>
      <w:r>
        <w:rPr/>
        <w:t>The</w:t>
      </w:r>
      <w:r>
        <w:rPr>
          <w:spacing w:val="-3"/>
        </w:rPr>
        <w:t> </w:t>
      </w:r>
      <w:r>
        <w:rPr/>
        <w:t>study</w:t>
      </w:r>
      <w:r>
        <w:rPr>
          <w:spacing w:val="-3"/>
        </w:rPr>
        <w:t> </w:t>
      </w:r>
      <w:r>
        <w:rPr/>
        <w:t>will</w:t>
      </w:r>
      <w:r>
        <w:rPr>
          <w:spacing w:val="-3"/>
        </w:rPr>
        <w:t> </w:t>
      </w:r>
      <w:r>
        <w:rPr/>
        <w:t>collect</w:t>
      </w:r>
      <w:r>
        <w:rPr>
          <w:spacing w:val="-3"/>
        </w:rPr>
        <w:t> </w:t>
      </w:r>
      <w:r>
        <w:rPr/>
        <w:t>quantitative</w:t>
      </w:r>
      <w:r>
        <w:rPr>
          <w:spacing w:val="-3"/>
        </w:rPr>
        <w:t> </w:t>
      </w:r>
      <w:r>
        <w:rPr/>
        <w:t>survey</w:t>
      </w:r>
      <w:r>
        <w:rPr>
          <w:spacing w:val="-3"/>
        </w:rPr>
        <w:t> </w:t>
      </w:r>
      <w:r>
        <w:rPr/>
        <w:t>data</w:t>
      </w:r>
      <w:r>
        <w:rPr>
          <w:spacing w:val="-3"/>
        </w:rPr>
        <w:t> </w:t>
      </w:r>
      <w:r>
        <w:rPr/>
        <w:t>from</w:t>
      </w:r>
      <w:r>
        <w:rPr>
          <w:spacing w:val="-3"/>
        </w:rPr>
        <w:t> </w:t>
      </w:r>
      <w:r>
        <w:rPr/>
        <w:t>residents</w:t>
      </w:r>
      <w:r>
        <w:rPr>
          <w:spacing w:val="-3"/>
        </w:rPr>
        <w:t> </w:t>
      </w:r>
      <w:r>
        <w:rPr/>
        <w:t>in</w:t>
      </w:r>
      <w:r>
        <w:rPr>
          <w:spacing w:val="-3"/>
        </w:rPr>
        <w:t> </w:t>
      </w:r>
      <w:r>
        <w:rPr/>
        <w:t>the</w:t>
      </w:r>
      <w:r>
        <w:rPr>
          <w:spacing w:val="-3"/>
        </w:rPr>
        <w:t> </w:t>
      </w:r>
      <w:r>
        <w:rPr/>
        <w:t>Appalachian</w:t>
      </w:r>
      <w:r>
        <w:rPr>
          <w:spacing w:val="-3"/>
        </w:rPr>
        <w:t> </w:t>
      </w:r>
      <w:r>
        <w:rPr/>
        <w:t>region</w:t>
      </w:r>
      <w:r>
        <w:rPr>
          <w:spacing w:val="-3"/>
        </w:rPr>
        <w:t> </w:t>
      </w:r>
      <w:r>
        <w:rPr/>
        <w:t>through</w:t>
      </w:r>
      <w:r>
        <w:rPr>
          <w:spacing w:val="40"/>
        </w:rPr>
        <w:t> </w:t>
      </w:r>
      <w:r>
        <w:rPr/>
        <w:t>a regional marketing research firm that specializes in Appalachian communities. Although online platforms such as Amazon Mechanical Turk (MTurk) offer cost efficiency, they may not reliably reach individuals who live in or strongly identify with the Appalachian population. Partnering with a regional research firm is expected to provide more accurate geographic targeting, stronger verification of residency, and closer alignment with the study’s population of interest.</w:t>
      </w:r>
    </w:p>
    <w:p>
      <w:pPr>
        <w:pStyle w:val="BodyText"/>
        <w:spacing w:before="5"/>
      </w:pPr>
    </w:p>
    <w:p>
      <w:pPr>
        <w:pStyle w:val="BodyText"/>
        <w:spacing w:line="283" w:lineRule="auto"/>
        <w:ind w:left="731" w:right="1355"/>
      </w:pPr>
      <w:r>
        <w:rPr>
          <w:w w:val="105"/>
        </w:rPr>
        <w:t>The proposed research model and hypotheses will be tested using structural equation modeling</w:t>
      </w:r>
      <w:r>
        <w:rPr>
          <w:spacing w:val="40"/>
          <w:w w:val="105"/>
        </w:rPr>
        <w:t> </w:t>
      </w:r>
      <w:r>
        <w:rPr>
          <w:w w:val="105"/>
        </w:rPr>
        <w:t>(SEM) with maximum likelihood estimation in AMOS. Model ﬁt will be assessed using χ², χ²/df,</w:t>
      </w:r>
      <w:r>
        <w:rPr>
          <w:spacing w:val="80"/>
          <w:w w:val="105"/>
        </w:rPr>
        <w:t> </w:t>
      </w:r>
      <w:r>
        <w:rPr>
          <w:w w:val="105"/>
        </w:rPr>
        <w:t>the Comparative Fit Index (CFI), the Tucker–Lewis Index (TLI), and the Root Mean Square</w:t>
      </w:r>
      <w:r>
        <w:rPr>
          <w:spacing w:val="40"/>
          <w:w w:val="105"/>
        </w:rPr>
        <w:t> </w:t>
      </w:r>
      <w:r>
        <w:rPr>
          <w:w w:val="105"/>
        </w:rPr>
        <w:t>Error of Approximation (RMSEA). A two-step SEM approach will be employed. First,</w:t>
      </w:r>
      <w:r>
        <w:rPr>
          <w:spacing w:val="40"/>
          <w:w w:val="105"/>
        </w:rPr>
        <w:t> </w:t>
      </w:r>
      <w:r>
        <w:rPr>
          <w:w w:val="105"/>
        </w:rPr>
        <w:t>conﬁrmatory factor analysis (CFA) will be conducted to evaluate the measurement</w:t>
      </w:r>
      <w:r>
        <w:rPr>
          <w:spacing w:val="-14"/>
          <w:w w:val="105"/>
        </w:rPr>
        <w:t> </w:t>
      </w:r>
      <w:r>
        <w:rPr>
          <w:w w:val="105"/>
        </w:rPr>
        <w:t>model.</w:t>
      </w:r>
      <w:r>
        <w:rPr>
          <w:spacing w:val="36"/>
          <w:w w:val="105"/>
        </w:rPr>
        <w:t> </w:t>
      </w:r>
      <w:r>
        <w:rPr>
          <w:w w:val="105"/>
        </w:rPr>
        <w:t>Reliability</w:t>
      </w:r>
      <w:r>
        <w:rPr>
          <w:spacing w:val="-14"/>
          <w:w w:val="105"/>
        </w:rPr>
        <w:t> </w:t>
      </w:r>
      <w:r>
        <w:rPr>
          <w:w w:val="105"/>
        </w:rPr>
        <w:t>will</w:t>
      </w:r>
      <w:r>
        <w:rPr>
          <w:spacing w:val="-14"/>
          <w:w w:val="105"/>
        </w:rPr>
        <w:t> </w:t>
      </w:r>
      <w:r>
        <w:rPr>
          <w:w w:val="105"/>
        </w:rPr>
        <w:t>be</w:t>
      </w:r>
      <w:r>
        <w:rPr>
          <w:spacing w:val="-14"/>
          <w:w w:val="105"/>
        </w:rPr>
        <w:t> </w:t>
      </w:r>
      <w:r>
        <w:rPr>
          <w:w w:val="105"/>
        </w:rPr>
        <w:t>assessed</w:t>
      </w:r>
      <w:r>
        <w:rPr>
          <w:spacing w:val="-14"/>
          <w:w w:val="105"/>
        </w:rPr>
        <w:t> </w:t>
      </w:r>
      <w:r>
        <w:rPr>
          <w:w w:val="105"/>
        </w:rPr>
        <w:t>using</w:t>
      </w:r>
      <w:r>
        <w:rPr>
          <w:spacing w:val="-14"/>
          <w:w w:val="105"/>
        </w:rPr>
        <w:t> </w:t>
      </w:r>
      <w:r>
        <w:rPr>
          <w:w w:val="105"/>
        </w:rPr>
        <w:t>Cronbach’s</w:t>
      </w:r>
      <w:r>
        <w:rPr>
          <w:spacing w:val="-14"/>
          <w:w w:val="105"/>
        </w:rPr>
        <w:t> </w:t>
      </w:r>
      <w:r>
        <w:rPr>
          <w:w w:val="105"/>
        </w:rPr>
        <w:t>α</w:t>
      </w:r>
      <w:r>
        <w:rPr>
          <w:spacing w:val="-14"/>
          <w:w w:val="105"/>
        </w:rPr>
        <w:t> </w:t>
      </w:r>
      <w:r>
        <w:rPr>
          <w:w w:val="105"/>
        </w:rPr>
        <w:t>and</w:t>
      </w:r>
      <w:r>
        <w:rPr>
          <w:spacing w:val="-14"/>
          <w:w w:val="105"/>
        </w:rPr>
        <w:t> </w:t>
      </w:r>
      <w:r>
        <w:rPr>
          <w:w w:val="105"/>
        </w:rPr>
        <w:t>composite</w:t>
      </w:r>
      <w:r>
        <w:rPr>
          <w:spacing w:val="-14"/>
          <w:w w:val="105"/>
        </w:rPr>
        <w:t> </w:t>
      </w:r>
      <w:r>
        <w:rPr>
          <w:w w:val="105"/>
        </w:rPr>
        <w:t>reliability (CR), while convergent</w:t>
      </w:r>
      <w:r>
        <w:rPr>
          <w:spacing w:val="80"/>
          <w:w w:val="105"/>
        </w:rPr>
        <w:t> </w:t>
      </w:r>
      <w:r>
        <w:rPr>
          <w:w w:val="105"/>
        </w:rPr>
        <w:t>and discriminant validity will be examined using AVE-based criteria.</w:t>
      </w:r>
      <w:r>
        <w:rPr>
          <w:spacing w:val="-2"/>
          <w:w w:val="105"/>
        </w:rPr>
        <w:t> </w:t>
      </w:r>
      <w:r>
        <w:rPr>
          <w:w w:val="105"/>
        </w:rPr>
        <w:t>Acceptable</w:t>
      </w:r>
      <w:r>
        <w:rPr>
          <w:spacing w:val="-2"/>
          <w:w w:val="105"/>
        </w:rPr>
        <w:t> </w:t>
      </w:r>
      <w:r>
        <w:rPr>
          <w:w w:val="105"/>
        </w:rPr>
        <w:t>ﬁt</w:t>
      </w:r>
      <w:r>
        <w:rPr>
          <w:spacing w:val="-2"/>
          <w:w w:val="105"/>
        </w:rPr>
        <w:t> </w:t>
      </w:r>
      <w:r>
        <w:rPr>
          <w:w w:val="105"/>
        </w:rPr>
        <w:t>will</w:t>
      </w:r>
      <w:r>
        <w:rPr>
          <w:spacing w:val="-2"/>
          <w:w w:val="105"/>
        </w:rPr>
        <w:t> </w:t>
      </w:r>
      <w:r>
        <w:rPr>
          <w:w w:val="105"/>
        </w:rPr>
        <w:t>be</w:t>
      </w:r>
      <w:r>
        <w:rPr>
          <w:spacing w:val="40"/>
          <w:w w:val="105"/>
        </w:rPr>
        <w:t> </w:t>
      </w:r>
      <w:r>
        <w:rPr>
          <w:w w:val="105"/>
        </w:rPr>
        <w:t>determined</w:t>
      </w:r>
      <w:r>
        <w:rPr>
          <w:spacing w:val="-2"/>
          <w:w w:val="105"/>
        </w:rPr>
        <w:t> </w:t>
      </w:r>
      <w:r>
        <w:rPr>
          <w:w w:val="105"/>
        </w:rPr>
        <w:t>based</w:t>
      </w:r>
      <w:r>
        <w:rPr>
          <w:spacing w:val="-2"/>
          <w:w w:val="105"/>
        </w:rPr>
        <w:t> </w:t>
      </w:r>
      <w:r>
        <w:rPr>
          <w:w w:val="105"/>
        </w:rPr>
        <w:t>on</w:t>
      </w:r>
      <w:r>
        <w:rPr>
          <w:spacing w:val="-2"/>
          <w:w w:val="105"/>
        </w:rPr>
        <w:t> </w:t>
      </w:r>
      <w:r>
        <w:rPr>
          <w:w w:val="105"/>
        </w:rPr>
        <w:t>recommended</w:t>
      </w:r>
      <w:r>
        <w:rPr>
          <w:spacing w:val="-2"/>
          <w:w w:val="105"/>
        </w:rPr>
        <w:t> </w:t>
      </w:r>
      <w:r>
        <w:rPr>
          <w:w w:val="105"/>
        </w:rPr>
        <w:t>thresholds</w:t>
      </w:r>
      <w:r>
        <w:rPr>
          <w:spacing w:val="-2"/>
          <w:w w:val="105"/>
        </w:rPr>
        <w:t> </w:t>
      </w:r>
      <w:r>
        <w:rPr>
          <w:w w:val="105"/>
        </w:rPr>
        <w:t>(CFI</w:t>
      </w:r>
      <w:r>
        <w:rPr>
          <w:spacing w:val="-2"/>
          <w:w w:val="105"/>
        </w:rPr>
        <w:t> </w:t>
      </w:r>
      <w:r>
        <w:rPr>
          <w:w w:val="105"/>
        </w:rPr>
        <w:t>and</w:t>
      </w:r>
      <w:r>
        <w:rPr>
          <w:spacing w:val="-2"/>
          <w:w w:val="105"/>
        </w:rPr>
        <w:t> </w:t>
      </w:r>
      <w:r>
        <w:rPr>
          <w:w w:val="105"/>
        </w:rPr>
        <w:t>TLI</w:t>
      </w:r>
      <w:r>
        <w:rPr>
          <w:spacing w:val="-2"/>
          <w:w w:val="105"/>
        </w:rPr>
        <w:t> </w:t>
      </w:r>
      <w:r>
        <w:rPr>
          <w:w w:val="105"/>
        </w:rPr>
        <w:t>≥ 0.90; RMSEA ≤ 0.08). Second,</w:t>
      </w:r>
      <w:r>
        <w:rPr>
          <w:spacing w:val="40"/>
          <w:w w:val="105"/>
        </w:rPr>
        <w:t> </w:t>
      </w:r>
      <w:r>
        <w:rPr>
          <w:w w:val="105"/>
        </w:rPr>
        <w:t>the structural model will be estimated to test the proposed relationships among entertainment</w:t>
      </w:r>
      <w:r>
        <w:rPr>
          <w:spacing w:val="40"/>
          <w:w w:val="105"/>
        </w:rPr>
        <w:t> </w:t>
      </w:r>
      <w:r>
        <w:rPr>
          <w:w w:val="105"/>
        </w:rPr>
        <w:t>tourism appeal, emotional beneﬁts, perceived social risk, resident satisfaction, and loyalty</w:t>
      </w:r>
      <w:r>
        <w:rPr>
          <w:spacing w:val="40"/>
          <w:w w:val="105"/>
        </w:rPr>
        <w:t> </w:t>
      </w:r>
      <w:r>
        <w:rPr>
          <w:w w:val="105"/>
        </w:rPr>
        <w:t>outcomes (revisit and WOM intentions). This analysis is expected to provide insight into how</w:t>
      </w:r>
      <w:r>
        <w:rPr>
          <w:spacing w:val="40"/>
          <w:w w:val="105"/>
        </w:rPr>
        <w:t> </w:t>
      </w:r>
      <w:r>
        <w:rPr>
          <w:w w:val="105"/>
        </w:rPr>
        <w:t>residents’ perceived beneﬁts and social costs shape satisfaction and behavioral intentions in the</w:t>
      </w:r>
      <w:r>
        <w:rPr>
          <w:spacing w:val="40"/>
          <w:w w:val="105"/>
        </w:rPr>
        <w:t> </w:t>
      </w:r>
      <w:r>
        <w:rPr>
          <w:w w:val="105"/>
        </w:rPr>
        <w:t>casino tourism context.</w:t>
      </w:r>
    </w:p>
    <w:p>
      <w:pPr>
        <w:pStyle w:val="Heading4"/>
        <w:spacing w:before="264"/>
        <w:ind w:left="731"/>
      </w:pPr>
      <w:r>
        <w:rPr/>
        <w:t>Prospected</w:t>
      </w:r>
      <w:r>
        <w:rPr>
          <w:spacing w:val="-5"/>
        </w:rPr>
        <w:t> </w:t>
      </w:r>
      <w:r>
        <w:rPr>
          <w:spacing w:val="-2"/>
        </w:rPr>
        <w:t>Results</w:t>
      </w:r>
    </w:p>
    <w:p>
      <w:pPr>
        <w:pStyle w:val="BodyText"/>
        <w:spacing w:before="272"/>
        <w:ind w:left="731" w:right="1442"/>
      </w:pPr>
      <w:r>
        <w:rPr/>
        <w:t>Consistent with Social Exchange Theory, the proposed model is expected to show that local residents’ satisfaction with casino hotels is shaped by perceived benefits and perceived costs. Entertainment tourism appeal and perceived emotional benefits are anticipated to positively influence resident satisfaction (H1a–H1b), whereas perceived social risk is expected to reduce satisfaction</w:t>
      </w:r>
      <w:r>
        <w:rPr>
          <w:spacing w:val="-4"/>
        </w:rPr>
        <w:t> </w:t>
      </w:r>
      <w:r>
        <w:rPr/>
        <w:t>(H2).</w:t>
      </w:r>
      <w:r>
        <w:rPr>
          <w:spacing w:val="-4"/>
        </w:rPr>
        <w:t> </w:t>
      </w:r>
      <w:r>
        <w:rPr/>
        <w:t>Social</w:t>
      </w:r>
      <w:r>
        <w:rPr>
          <w:spacing w:val="-4"/>
        </w:rPr>
        <w:t> </w:t>
      </w:r>
      <w:r>
        <w:rPr/>
        <w:t>risk</w:t>
      </w:r>
      <w:r>
        <w:rPr>
          <w:spacing w:val="-4"/>
        </w:rPr>
        <w:t> </w:t>
      </w:r>
      <w:r>
        <w:rPr/>
        <w:t>may</w:t>
      </w:r>
      <w:r>
        <w:rPr>
          <w:spacing w:val="-4"/>
        </w:rPr>
        <w:t> </w:t>
      </w:r>
      <w:r>
        <w:rPr/>
        <w:t>also</w:t>
      </w:r>
      <w:r>
        <w:rPr>
          <w:spacing w:val="-4"/>
        </w:rPr>
        <w:t> </w:t>
      </w:r>
      <w:r>
        <w:rPr/>
        <w:t>weaken</w:t>
      </w:r>
      <w:r>
        <w:rPr>
          <w:spacing w:val="-4"/>
        </w:rPr>
        <w:t> </w:t>
      </w:r>
      <w:r>
        <w:rPr/>
        <w:t>residents’</w:t>
      </w:r>
      <w:r>
        <w:rPr>
          <w:spacing w:val="-4"/>
        </w:rPr>
        <w:t> </w:t>
      </w:r>
      <w:r>
        <w:rPr/>
        <w:t>perceptions</w:t>
      </w:r>
      <w:r>
        <w:rPr>
          <w:spacing w:val="-4"/>
        </w:rPr>
        <w:t> </w:t>
      </w:r>
      <w:r>
        <w:rPr/>
        <w:t>of</w:t>
      </w:r>
      <w:r>
        <w:rPr>
          <w:spacing w:val="-4"/>
        </w:rPr>
        <w:t> </w:t>
      </w:r>
      <w:r>
        <w:rPr/>
        <w:t>entertainment</w:t>
      </w:r>
      <w:r>
        <w:rPr>
          <w:spacing w:val="-4"/>
        </w:rPr>
        <w:t> </w:t>
      </w:r>
      <w:r>
        <w:rPr/>
        <w:t>appeal</w:t>
      </w:r>
      <w:r>
        <w:rPr>
          <w:spacing w:val="-4"/>
        </w:rPr>
        <w:t> </w:t>
      </w:r>
      <w:r>
        <w:rPr/>
        <w:t>and emotional benefits (H4a–H4b). In turn, resident satisfaction is expected to positively predict revisit intention and word-of-mouth intention (H3a–H3b), highlighting satisfaction as a key driver of loyalty outcomes.</w:t>
      </w:r>
    </w:p>
    <w:p>
      <w:pPr>
        <w:pStyle w:val="BodyText"/>
        <w:spacing w:before="168"/>
      </w:pPr>
    </w:p>
    <w:p>
      <w:pPr>
        <w:pStyle w:val="Heading4"/>
        <w:spacing w:before="1"/>
        <w:ind w:left="731"/>
      </w:pPr>
      <w:r>
        <w:rPr/>
        <w:t>Possible</w:t>
      </w:r>
      <w:r>
        <w:rPr>
          <w:spacing w:val="-3"/>
        </w:rPr>
        <w:t> </w:t>
      </w:r>
      <w:r>
        <w:rPr/>
        <w:t>Theoretical</w:t>
      </w:r>
      <w:r>
        <w:rPr>
          <w:spacing w:val="-2"/>
        </w:rPr>
        <w:t> Contributions</w:t>
      </w:r>
    </w:p>
    <w:p>
      <w:pPr>
        <w:pStyle w:val="BodyText"/>
        <w:spacing w:before="272"/>
        <w:ind w:left="731" w:right="1381"/>
      </w:pPr>
      <w:r>
        <w:rPr/>
        <w:t>This</w:t>
      </w:r>
      <w:r>
        <w:rPr>
          <w:spacing w:val="-3"/>
        </w:rPr>
        <w:t> </w:t>
      </w:r>
      <w:r>
        <w:rPr/>
        <w:t>study</w:t>
      </w:r>
      <w:r>
        <w:rPr>
          <w:spacing w:val="-3"/>
        </w:rPr>
        <w:t> </w:t>
      </w:r>
      <w:r>
        <w:rPr/>
        <w:t>may</w:t>
      </w:r>
      <w:r>
        <w:rPr>
          <w:spacing w:val="-3"/>
        </w:rPr>
        <w:t> </w:t>
      </w:r>
      <w:r>
        <w:rPr/>
        <w:t>contribute</w:t>
      </w:r>
      <w:r>
        <w:rPr>
          <w:spacing w:val="-3"/>
        </w:rPr>
        <w:t> </w:t>
      </w:r>
      <w:r>
        <w:rPr/>
        <w:t>to</w:t>
      </w:r>
      <w:r>
        <w:rPr>
          <w:spacing w:val="-3"/>
        </w:rPr>
        <w:t> </w:t>
      </w:r>
      <w:r>
        <w:rPr/>
        <w:t>the</w:t>
      </w:r>
      <w:r>
        <w:rPr>
          <w:spacing w:val="-3"/>
        </w:rPr>
        <w:t> </w:t>
      </w:r>
      <w:r>
        <w:rPr/>
        <w:t>casino</w:t>
      </w:r>
      <w:r>
        <w:rPr>
          <w:spacing w:val="-3"/>
        </w:rPr>
        <w:t> </w:t>
      </w:r>
      <w:r>
        <w:rPr/>
        <w:t>tourism</w:t>
      </w:r>
      <w:r>
        <w:rPr>
          <w:spacing w:val="-3"/>
        </w:rPr>
        <w:t> </w:t>
      </w:r>
      <w:r>
        <w:rPr/>
        <w:t>and</w:t>
      </w:r>
      <w:r>
        <w:rPr>
          <w:spacing w:val="-3"/>
        </w:rPr>
        <w:t> </w:t>
      </w:r>
      <w:r>
        <w:rPr/>
        <w:t>hospitality</w:t>
      </w:r>
      <w:r>
        <w:rPr>
          <w:spacing w:val="-3"/>
        </w:rPr>
        <w:t> </w:t>
      </w:r>
      <w:r>
        <w:rPr/>
        <w:t>literature</w:t>
      </w:r>
      <w:r>
        <w:rPr>
          <w:spacing w:val="-3"/>
        </w:rPr>
        <w:t> </w:t>
      </w:r>
      <w:r>
        <w:rPr/>
        <w:t>in</w:t>
      </w:r>
      <w:r>
        <w:rPr>
          <w:spacing w:val="-3"/>
        </w:rPr>
        <w:t> </w:t>
      </w:r>
      <w:r>
        <w:rPr/>
        <w:t>several</w:t>
      </w:r>
      <w:r>
        <w:rPr>
          <w:spacing w:val="-3"/>
        </w:rPr>
        <w:t> </w:t>
      </w:r>
      <w:r>
        <w:rPr/>
        <w:t>ways.</w:t>
      </w:r>
      <w:r>
        <w:rPr>
          <w:spacing w:val="-3"/>
        </w:rPr>
        <w:t> </w:t>
      </w:r>
      <w:r>
        <w:rPr/>
        <w:t>First,</w:t>
      </w:r>
      <w:r>
        <w:rPr>
          <w:spacing w:val="-3"/>
        </w:rPr>
        <w:t> </w:t>
      </w:r>
      <w:r>
        <w:rPr/>
        <w:t>it may extend Social Exchange Theory by suggesting that local residents evaluate casino hotels through a balance of perceived benefits (entertainment appeal and emotional rewards) and perceived costs (social risk). Second, by integrating entertainment tourism appeal and emotional benefits into a satisfaction–loyalty framework, the study could highlight the importance of experiential</w:t>
      </w:r>
      <w:r>
        <w:rPr>
          <w:spacing w:val="-4"/>
        </w:rPr>
        <w:t> </w:t>
      </w:r>
      <w:r>
        <w:rPr/>
        <w:t>value</w:t>
      </w:r>
      <w:r>
        <w:rPr>
          <w:spacing w:val="-4"/>
        </w:rPr>
        <w:t> </w:t>
      </w:r>
      <w:r>
        <w:rPr/>
        <w:t>in</w:t>
      </w:r>
      <w:r>
        <w:rPr>
          <w:spacing w:val="-4"/>
        </w:rPr>
        <w:t> </w:t>
      </w:r>
      <w:r>
        <w:rPr/>
        <w:t>shaping</w:t>
      </w:r>
      <w:r>
        <w:rPr>
          <w:spacing w:val="-4"/>
        </w:rPr>
        <w:t> </w:t>
      </w:r>
      <w:r>
        <w:rPr/>
        <w:t>resident</w:t>
      </w:r>
      <w:r>
        <w:rPr>
          <w:spacing w:val="-4"/>
        </w:rPr>
        <w:t> </w:t>
      </w:r>
      <w:r>
        <w:rPr/>
        <w:t>responses</w:t>
      </w:r>
      <w:r>
        <w:rPr>
          <w:spacing w:val="-4"/>
        </w:rPr>
        <w:t> </w:t>
      </w:r>
      <w:r>
        <w:rPr/>
        <w:t>to</w:t>
      </w:r>
      <w:r>
        <w:rPr>
          <w:spacing w:val="-4"/>
        </w:rPr>
        <w:t> </w:t>
      </w:r>
      <w:r>
        <w:rPr/>
        <w:t>casino</w:t>
      </w:r>
      <w:r>
        <w:rPr>
          <w:spacing w:val="-4"/>
        </w:rPr>
        <w:t> </w:t>
      </w:r>
      <w:r>
        <w:rPr/>
        <w:t>hotel</w:t>
      </w:r>
      <w:r>
        <w:rPr>
          <w:spacing w:val="-4"/>
        </w:rPr>
        <w:t> </w:t>
      </w:r>
      <w:r>
        <w:rPr/>
        <w:t>development.</w:t>
      </w:r>
      <w:r>
        <w:rPr>
          <w:spacing w:val="-4"/>
        </w:rPr>
        <w:t> </w:t>
      </w:r>
      <w:r>
        <w:rPr/>
        <w:t>Third,</w:t>
      </w:r>
      <w:r>
        <w:rPr>
          <w:spacing w:val="-4"/>
        </w:rPr>
        <w:t> </w:t>
      </w:r>
      <w:r>
        <w:rPr/>
        <w:t>the</w:t>
      </w:r>
      <w:r>
        <w:rPr>
          <w:spacing w:val="-4"/>
        </w:rPr>
        <w:t> </w:t>
      </w:r>
      <w:r>
        <w:rPr/>
        <w:t>inclusion of perceived social risk may broaden existing loyalty models by emphasizing the role of social stigma and community perceptions as potential barriers that can undermine satisfaction and behavioral intentions. Overall, this research may shift attention beyond tourists to the host community,</w:t>
      </w:r>
      <w:r>
        <w:rPr>
          <w:spacing w:val="-2"/>
        </w:rPr>
        <w:t> </w:t>
      </w:r>
      <w:r>
        <w:rPr/>
        <w:t>offering</w:t>
      </w:r>
      <w:r>
        <w:rPr>
          <w:spacing w:val="-2"/>
        </w:rPr>
        <w:t> </w:t>
      </w:r>
      <w:r>
        <w:rPr/>
        <w:t>a</w:t>
      </w:r>
      <w:r>
        <w:rPr>
          <w:spacing w:val="-2"/>
        </w:rPr>
        <w:t> </w:t>
      </w:r>
      <w:r>
        <w:rPr/>
        <w:t>more</w:t>
      </w:r>
      <w:r>
        <w:rPr>
          <w:spacing w:val="-2"/>
        </w:rPr>
        <w:t> </w:t>
      </w:r>
      <w:r>
        <w:rPr/>
        <w:t>comprehensive</w:t>
      </w:r>
      <w:r>
        <w:rPr>
          <w:spacing w:val="-2"/>
        </w:rPr>
        <w:t> </w:t>
      </w:r>
      <w:r>
        <w:rPr/>
        <w:t>understanding</w:t>
      </w:r>
      <w:r>
        <w:rPr>
          <w:spacing w:val="-2"/>
        </w:rPr>
        <w:t> </w:t>
      </w:r>
      <w:r>
        <w:rPr/>
        <w:t>of</w:t>
      </w:r>
      <w:r>
        <w:rPr>
          <w:spacing w:val="-2"/>
        </w:rPr>
        <w:t> </w:t>
      </w:r>
      <w:r>
        <w:rPr/>
        <w:t>resident-based</w:t>
      </w:r>
      <w:r>
        <w:rPr>
          <w:spacing w:val="-2"/>
        </w:rPr>
        <w:t> </w:t>
      </w:r>
      <w:r>
        <w:rPr/>
        <w:t>loyalty</w:t>
      </w:r>
      <w:r>
        <w:rPr>
          <w:spacing w:val="-2"/>
        </w:rPr>
        <w:t> </w:t>
      </w:r>
      <w:r>
        <w:rPr/>
        <w:t>formation</w:t>
      </w:r>
      <w:r>
        <w:rPr>
          <w:spacing w:val="-2"/>
        </w:rPr>
        <w:t> </w:t>
      </w:r>
      <w:r>
        <w:rPr/>
        <w:t>in emerging casino tourism destinations.</w:t>
      </w:r>
    </w:p>
    <w:p>
      <w:pPr>
        <w:pStyle w:val="BodyText"/>
        <w:spacing w:after="0"/>
        <w:sectPr>
          <w:pgSz w:w="12240" w:h="15840"/>
          <w:pgMar w:header="0" w:footer="706" w:top="640" w:bottom="960" w:left="720" w:right="0"/>
        </w:sectPr>
      </w:pPr>
    </w:p>
    <w:p>
      <w:pPr>
        <w:pStyle w:val="Heading4"/>
        <w:spacing w:before="60"/>
        <w:ind w:left="731"/>
      </w:pPr>
      <w:r>
        <w:rPr>
          <w:spacing w:val="-2"/>
        </w:rPr>
        <w:t>References</w:t>
      </w:r>
    </w:p>
    <w:p>
      <w:pPr>
        <w:pStyle w:val="BodyText"/>
        <w:spacing w:line="230" w:lineRule="auto" w:before="272"/>
        <w:ind w:left="731" w:right="1307"/>
        <w:jc w:val="both"/>
      </w:pPr>
      <w:r>
        <w:rPr>
          <w:color w:val="212121"/>
        </w:rPr>
        <w:t>Brown, T. J., Barry, T. E., Dacin, P. A., &amp; Gunst, R. F. (2005). Spreading</w:t>
      </w:r>
      <w:r>
        <w:rPr>
          <w:color w:val="212121"/>
          <w:spacing w:val="-7"/>
        </w:rPr>
        <w:t> </w:t>
      </w:r>
      <w:r>
        <w:rPr>
          <w:color w:val="212121"/>
        </w:rPr>
        <w:t>the</w:t>
      </w:r>
      <w:r>
        <w:rPr>
          <w:color w:val="212121"/>
          <w:spacing w:val="-7"/>
        </w:rPr>
        <w:t> </w:t>
      </w:r>
      <w:r>
        <w:rPr>
          <w:color w:val="212121"/>
        </w:rPr>
        <w:t>word:</w:t>
      </w:r>
      <w:r>
        <w:rPr>
          <w:color w:val="212121"/>
          <w:spacing w:val="-7"/>
        </w:rPr>
        <w:t> </w:t>
      </w:r>
      <w:r>
        <w:rPr>
          <w:color w:val="212121"/>
        </w:rPr>
        <w:t>Investigating antecedents of</w:t>
      </w:r>
      <w:r>
        <w:rPr>
          <w:color w:val="212121"/>
          <w:spacing w:val="-3"/>
        </w:rPr>
        <w:t> </w:t>
      </w:r>
      <w:r>
        <w:rPr>
          <w:color w:val="212121"/>
        </w:rPr>
        <w:t>consumers’</w:t>
      </w:r>
      <w:r>
        <w:rPr>
          <w:color w:val="212121"/>
          <w:spacing w:val="-3"/>
        </w:rPr>
        <w:t> </w:t>
      </w:r>
      <w:r>
        <w:rPr>
          <w:color w:val="212121"/>
        </w:rPr>
        <w:t>positive</w:t>
      </w:r>
      <w:r>
        <w:rPr>
          <w:color w:val="212121"/>
          <w:spacing w:val="-3"/>
        </w:rPr>
        <w:t> </w:t>
      </w:r>
      <w:r>
        <w:rPr>
          <w:color w:val="212121"/>
        </w:rPr>
        <w:t>word-of-mouth</w:t>
      </w:r>
      <w:r>
        <w:rPr>
          <w:color w:val="212121"/>
          <w:spacing w:val="-3"/>
        </w:rPr>
        <w:t> </w:t>
      </w:r>
      <w:r>
        <w:rPr>
          <w:color w:val="212121"/>
        </w:rPr>
        <w:t>intentions</w:t>
      </w:r>
      <w:r>
        <w:rPr>
          <w:color w:val="212121"/>
          <w:spacing w:val="-3"/>
        </w:rPr>
        <w:t> </w:t>
      </w:r>
      <w:r>
        <w:rPr>
          <w:color w:val="212121"/>
        </w:rPr>
        <w:t>and</w:t>
      </w:r>
      <w:r>
        <w:rPr>
          <w:color w:val="212121"/>
          <w:spacing w:val="-3"/>
        </w:rPr>
        <w:t> </w:t>
      </w:r>
      <w:r>
        <w:rPr>
          <w:color w:val="212121"/>
        </w:rPr>
        <w:t>behaviors</w:t>
      </w:r>
      <w:r>
        <w:rPr>
          <w:color w:val="212121"/>
          <w:spacing w:val="-3"/>
        </w:rPr>
        <w:t> </w:t>
      </w:r>
      <w:r>
        <w:rPr>
          <w:color w:val="212121"/>
        </w:rPr>
        <w:t>in</w:t>
      </w:r>
      <w:r>
        <w:rPr>
          <w:color w:val="212121"/>
          <w:spacing w:val="-3"/>
        </w:rPr>
        <w:t> </w:t>
      </w:r>
      <w:r>
        <w:rPr>
          <w:color w:val="212121"/>
        </w:rPr>
        <w:t>a</w:t>
      </w:r>
      <w:r>
        <w:rPr>
          <w:color w:val="212121"/>
          <w:spacing w:val="-3"/>
        </w:rPr>
        <w:t> </w:t>
      </w:r>
      <w:r>
        <w:rPr>
          <w:color w:val="212121"/>
        </w:rPr>
        <w:t>retailing</w:t>
      </w:r>
      <w:r>
        <w:rPr>
          <w:color w:val="212121"/>
          <w:spacing w:val="40"/>
        </w:rPr>
        <w:t> </w:t>
      </w:r>
      <w:r>
        <w:rPr>
          <w:color w:val="212121"/>
        </w:rPr>
        <w:t>context. </w:t>
      </w:r>
      <w:r>
        <w:rPr>
          <w:i/>
          <w:color w:val="212121"/>
        </w:rPr>
        <w:t>Journal of the academy of marketing science</w:t>
      </w:r>
      <w:r>
        <w:rPr>
          <w:color w:val="212121"/>
        </w:rPr>
        <w:t>, </w:t>
      </w:r>
      <w:r>
        <w:rPr>
          <w:i/>
          <w:color w:val="212121"/>
        </w:rPr>
        <w:t>33</w:t>
      </w:r>
      <w:r>
        <w:rPr>
          <w:color w:val="212121"/>
        </w:rPr>
        <w:t>(2), 123-138.</w:t>
      </w:r>
    </w:p>
    <w:p>
      <w:pPr>
        <w:pStyle w:val="BodyText"/>
        <w:spacing w:before="4"/>
      </w:pPr>
    </w:p>
    <w:p>
      <w:pPr>
        <w:pStyle w:val="BodyText"/>
        <w:spacing w:line="228" w:lineRule="auto" w:before="1"/>
        <w:ind w:left="731" w:right="1379"/>
        <w:jc w:val="both"/>
      </w:pPr>
      <w:r>
        <w:rPr>
          <w:color w:val="212121"/>
        </w:rPr>
        <w:t>Coyle,</w:t>
      </w:r>
      <w:r>
        <w:rPr>
          <w:color w:val="212121"/>
          <w:spacing w:val="-3"/>
        </w:rPr>
        <w:t> </w:t>
      </w:r>
      <w:r>
        <w:rPr>
          <w:color w:val="212121"/>
        </w:rPr>
        <w:t>J.</w:t>
      </w:r>
      <w:r>
        <w:rPr>
          <w:color w:val="212121"/>
          <w:spacing w:val="-3"/>
        </w:rPr>
        <w:t> </w:t>
      </w:r>
      <w:r>
        <w:rPr>
          <w:color w:val="212121"/>
        </w:rPr>
        <w:t>R.,</w:t>
      </w:r>
      <w:r>
        <w:rPr>
          <w:color w:val="212121"/>
          <w:spacing w:val="-3"/>
        </w:rPr>
        <w:t> </w:t>
      </w:r>
      <w:r>
        <w:rPr>
          <w:color w:val="212121"/>
        </w:rPr>
        <w:t>&amp;</w:t>
      </w:r>
      <w:r>
        <w:rPr>
          <w:color w:val="212121"/>
          <w:spacing w:val="-3"/>
        </w:rPr>
        <w:t> </w:t>
      </w:r>
      <w:r>
        <w:rPr>
          <w:color w:val="212121"/>
        </w:rPr>
        <w:t>Thorson,</w:t>
      </w:r>
      <w:r>
        <w:rPr>
          <w:color w:val="212121"/>
          <w:spacing w:val="-3"/>
        </w:rPr>
        <w:t> </w:t>
      </w:r>
      <w:r>
        <w:rPr>
          <w:color w:val="212121"/>
        </w:rPr>
        <w:t>E.</w:t>
      </w:r>
      <w:r>
        <w:rPr>
          <w:color w:val="212121"/>
          <w:spacing w:val="-3"/>
        </w:rPr>
        <w:t> </w:t>
      </w:r>
      <w:r>
        <w:rPr>
          <w:color w:val="212121"/>
        </w:rPr>
        <w:t>(2001).</w:t>
      </w:r>
      <w:r>
        <w:rPr>
          <w:color w:val="212121"/>
          <w:spacing w:val="-3"/>
        </w:rPr>
        <w:t> </w:t>
      </w:r>
      <w:r>
        <w:rPr>
          <w:color w:val="212121"/>
        </w:rPr>
        <w:t>The</w:t>
      </w:r>
      <w:r>
        <w:rPr>
          <w:color w:val="212121"/>
          <w:spacing w:val="-3"/>
        </w:rPr>
        <w:t> </w:t>
      </w:r>
      <w:r>
        <w:rPr>
          <w:color w:val="212121"/>
        </w:rPr>
        <w:t>effects</w:t>
      </w:r>
      <w:r>
        <w:rPr>
          <w:color w:val="212121"/>
          <w:spacing w:val="-3"/>
        </w:rPr>
        <w:t> </w:t>
      </w:r>
      <w:r>
        <w:rPr>
          <w:color w:val="212121"/>
        </w:rPr>
        <w:t>of</w:t>
      </w:r>
      <w:r>
        <w:rPr>
          <w:color w:val="212121"/>
          <w:spacing w:val="-3"/>
        </w:rPr>
        <w:t> </w:t>
      </w:r>
      <w:r>
        <w:rPr>
          <w:color w:val="212121"/>
        </w:rPr>
        <w:t>progressive</w:t>
      </w:r>
      <w:r>
        <w:rPr>
          <w:color w:val="212121"/>
          <w:spacing w:val="-3"/>
        </w:rPr>
        <w:t> </w:t>
      </w:r>
      <w:r>
        <w:rPr>
          <w:color w:val="212121"/>
        </w:rPr>
        <w:t>levels</w:t>
      </w:r>
      <w:r>
        <w:rPr>
          <w:color w:val="212121"/>
          <w:spacing w:val="-3"/>
        </w:rPr>
        <w:t> </w:t>
      </w:r>
      <w:r>
        <w:rPr>
          <w:color w:val="212121"/>
        </w:rPr>
        <w:t>of</w:t>
      </w:r>
      <w:r>
        <w:rPr>
          <w:color w:val="212121"/>
          <w:spacing w:val="-3"/>
        </w:rPr>
        <w:t> </w:t>
      </w:r>
      <w:r>
        <w:rPr>
          <w:color w:val="212121"/>
        </w:rPr>
        <w:t>interactivity</w:t>
      </w:r>
      <w:r>
        <w:rPr>
          <w:color w:val="212121"/>
          <w:spacing w:val="-3"/>
        </w:rPr>
        <w:t> </w:t>
      </w:r>
      <w:r>
        <w:rPr>
          <w:color w:val="212121"/>
        </w:rPr>
        <w:t>and</w:t>
      </w:r>
      <w:r>
        <w:rPr>
          <w:color w:val="212121"/>
          <w:spacing w:val="-3"/>
        </w:rPr>
        <w:t> </w:t>
      </w:r>
      <w:r>
        <w:rPr>
          <w:color w:val="212121"/>
        </w:rPr>
        <w:t>vividness in web marketing sites. </w:t>
      </w:r>
      <w:r>
        <w:rPr>
          <w:i/>
          <w:color w:val="212121"/>
        </w:rPr>
        <w:t>Journal of advertising</w:t>
      </w:r>
      <w:r>
        <w:rPr>
          <w:color w:val="212121"/>
        </w:rPr>
        <w:t>, </w:t>
      </w:r>
      <w:r>
        <w:rPr>
          <w:i/>
          <w:color w:val="212121"/>
        </w:rPr>
        <w:t>30</w:t>
      </w:r>
      <w:r>
        <w:rPr>
          <w:color w:val="212121"/>
        </w:rPr>
        <w:t>(3), 65-77.</w:t>
      </w:r>
    </w:p>
    <w:p>
      <w:pPr>
        <w:pStyle w:val="BodyText"/>
        <w:spacing w:before="7"/>
      </w:pPr>
    </w:p>
    <w:p>
      <w:pPr>
        <w:spacing w:line="232" w:lineRule="auto" w:before="0"/>
        <w:ind w:left="731" w:right="1381" w:firstLine="0"/>
        <w:jc w:val="left"/>
        <w:rPr>
          <w:sz w:val="24"/>
        </w:rPr>
      </w:pPr>
      <w:r>
        <w:rPr>
          <w:color w:val="212121"/>
          <w:sz w:val="24"/>
        </w:rPr>
        <w:t>Homans,</w:t>
      </w:r>
      <w:r>
        <w:rPr>
          <w:color w:val="212121"/>
          <w:spacing w:val="-3"/>
          <w:sz w:val="24"/>
        </w:rPr>
        <w:t> </w:t>
      </w:r>
      <w:r>
        <w:rPr>
          <w:color w:val="212121"/>
          <w:sz w:val="24"/>
        </w:rPr>
        <w:t>G.</w:t>
      </w:r>
      <w:r>
        <w:rPr>
          <w:color w:val="212121"/>
          <w:spacing w:val="-3"/>
          <w:sz w:val="24"/>
        </w:rPr>
        <w:t> </w:t>
      </w:r>
      <w:r>
        <w:rPr>
          <w:color w:val="212121"/>
          <w:sz w:val="24"/>
        </w:rPr>
        <w:t>C.</w:t>
      </w:r>
      <w:r>
        <w:rPr>
          <w:color w:val="212121"/>
          <w:spacing w:val="-3"/>
          <w:sz w:val="24"/>
        </w:rPr>
        <w:t> </w:t>
      </w:r>
      <w:r>
        <w:rPr>
          <w:color w:val="212121"/>
          <w:sz w:val="24"/>
        </w:rPr>
        <w:t>(1958).</w:t>
      </w:r>
      <w:r>
        <w:rPr>
          <w:color w:val="212121"/>
          <w:spacing w:val="-3"/>
          <w:sz w:val="24"/>
        </w:rPr>
        <w:t> </w:t>
      </w:r>
      <w:r>
        <w:rPr>
          <w:color w:val="212121"/>
          <w:sz w:val="24"/>
        </w:rPr>
        <w:t>Social</w:t>
      </w:r>
      <w:r>
        <w:rPr>
          <w:color w:val="212121"/>
          <w:spacing w:val="-3"/>
          <w:sz w:val="24"/>
        </w:rPr>
        <w:t> </w:t>
      </w:r>
      <w:r>
        <w:rPr>
          <w:color w:val="212121"/>
          <w:sz w:val="24"/>
        </w:rPr>
        <w:t>behavior</w:t>
      </w:r>
      <w:r>
        <w:rPr>
          <w:color w:val="212121"/>
          <w:spacing w:val="-3"/>
          <w:sz w:val="24"/>
        </w:rPr>
        <w:t> </w:t>
      </w:r>
      <w:r>
        <w:rPr>
          <w:color w:val="212121"/>
          <w:sz w:val="24"/>
        </w:rPr>
        <w:t>as</w:t>
      </w:r>
      <w:r>
        <w:rPr>
          <w:color w:val="212121"/>
          <w:spacing w:val="-3"/>
          <w:sz w:val="24"/>
        </w:rPr>
        <w:t> </w:t>
      </w:r>
      <w:r>
        <w:rPr>
          <w:color w:val="212121"/>
          <w:sz w:val="24"/>
        </w:rPr>
        <w:t>exchange.</w:t>
      </w:r>
      <w:r>
        <w:rPr>
          <w:color w:val="212121"/>
          <w:spacing w:val="-3"/>
          <w:sz w:val="24"/>
        </w:rPr>
        <w:t> </w:t>
      </w:r>
      <w:r>
        <w:rPr>
          <w:i/>
          <w:color w:val="212121"/>
          <w:sz w:val="24"/>
        </w:rPr>
        <w:t>American</w:t>
      </w:r>
      <w:r>
        <w:rPr>
          <w:i/>
          <w:color w:val="212121"/>
          <w:spacing w:val="-3"/>
          <w:sz w:val="24"/>
        </w:rPr>
        <w:t> </w:t>
      </w:r>
      <w:r>
        <w:rPr>
          <w:i/>
          <w:color w:val="212121"/>
          <w:sz w:val="24"/>
        </w:rPr>
        <w:t>journal</w:t>
      </w:r>
      <w:r>
        <w:rPr>
          <w:i/>
          <w:color w:val="212121"/>
          <w:spacing w:val="-3"/>
          <w:sz w:val="24"/>
        </w:rPr>
        <w:t> </w:t>
      </w:r>
      <w:r>
        <w:rPr>
          <w:i/>
          <w:color w:val="212121"/>
          <w:sz w:val="24"/>
        </w:rPr>
        <w:t>of</w:t>
      </w:r>
      <w:r>
        <w:rPr>
          <w:i/>
          <w:color w:val="212121"/>
          <w:spacing w:val="-3"/>
          <w:sz w:val="24"/>
        </w:rPr>
        <w:t> </w:t>
      </w:r>
      <w:r>
        <w:rPr>
          <w:i/>
          <w:color w:val="212121"/>
          <w:sz w:val="24"/>
        </w:rPr>
        <w:t>sociology</w:t>
      </w:r>
      <w:r>
        <w:rPr>
          <w:color w:val="212121"/>
          <w:sz w:val="24"/>
        </w:rPr>
        <w:t>,</w:t>
      </w:r>
      <w:r>
        <w:rPr>
          <w:color w:val="212121"/>
          <w:spacing w:val="-3"/>
          <w:sz w:val="24"/>
        </w:rPr>
        <w:t> </w:t>
      </w:r>
      <w:r>
        <w:rPr>
          <w:i/>
          <w:color w:val="212121"/>
          <w:sz w:val="24"/>
        </w:rPr>
        <w:t>63</w:t>
      </w:r>
      <w:r>
        <w:rPr>
          <w:color w:val="212121"/>
          <w:sz w:val="24"/>
        </w:rPr>
        <w:t>(6),</w:t>
      </w:r>
      <w:r>
        <w:rPr>
          <w:color w:val="212121"/>
          <w:spacing w:val="-3"/>
          <w:sz w:val="24"/>
        </w:rPr>
        <w:t> </w:t>
      </w:r>
      <w:r>
        <w:rPr>
          <w:color w:val="212121"/>
          <w:sz w:val="24"/>
        </w:rPr>
        <w:t>597-</w:t>
      </w:r>
      <w:r>
        <w:rPr>
          <w:color w:val="212121"/>
          <w:spacing w:val="-4"/>
          <w:sz w:val="24"/>
        </w:rPr>
        <w:t>606.</w:t>
      </w:r>
    </w:p>
    <w:p>
      <w:pPr>
        <w:pStyle w:val="BodyText"/>
        <w:spacing w:before="41"/>
      </w:pPr>
    </w:p>
    <w:p>
      <w:pPr>
        <w:pStyle w:val="BodyText"/>
        <w:spacing w:line="228" w:lineRule="auto"/>
        <w:ind w:left="731" w:right="1381"/>
      </w:pPr>
      <w:r>
        <w:rPr>
          <w:color w:val="212121"/>
        </w:rPr>
        <w:t>Kim,</w:t>
      </w:r>
      <w:r>
        <w:rPr>
          <w:color w:val="212121"/>
          <w:spacing w:val="-3"/>
        </w:rPr>
        <w:t> </w:t>
      </w:r>
      <w:r>
        <w:rPr>
          <w:color w:val="212121"/>
        </w:rPr>
        <w:t>J.</w:t>
      </w:r>
      <w:r>
        <w:rPr>
          <w:color w:val="212121"/>
          <w:spacing w:val="-3"/>
        </w:rPr>
        <w:t> </w:t>
      </w:r>
      <w:r>
        <w:rPr>
          <w:color w:val="212121"/>
        </w:rPr>
        <w:t>H.,</w:t>
      </w:r>
      <w:r>
        <w:rPr>
          <w:color w:val="212121"/>
          <w:spacing w:val="-3"/>
        </w:rPr>
        <w:t> </w:t>
      </w:r>
      <w:r>
        <w:rPr>
          <w:color w:val="212121"/>
        </w:rPr>
        <w:t>Ritchie,</w:t>
      </w:r>
      <w:r>
        <w:rPr>
          <w:color w:val="212121"/>
          <w:spacing w:val="-3"/>
        </w:rPr>
        <w:t> </w:t>
      </w:r>
      <w:r>
        <w:rPr>
          <w:color w:val="212121"/>
        </w:rPr>
        <w:t>J.</w:t>
      </w:r>
      <w:r>
        <w:rPr>
          <w:color w:val="212121"/>
          <w:spacing w:val="-3"/>
        </w:rPr>
        <w:t> </w:t>
      </w:r>
      <w:r>
        <w:rPr>
          <w:color w:val="212121"/>
        </w:rPr>
        <w:t>B.,</w:t>
      </w:r>
      <w:r>
        <w:rPr>
          <w:color w:val="212121"/>
          <w:spacing w:val="-3"/>
        </w:rPr>
        <w:t> </w:t>
      </w:r>
      <w:r>
        <w:rPr>
          <w:color w:val="212121"/>
        </w:rPr>
        <w:t>&amp;</w:t>
      </w:r>
      <w:r>
        <w:rPr>
          <w:color w:val="212121"/>
          <w:spacing w:val="-3"/>
        </w:rPr>
        <w:t> </w:t>
      </w:r>
      <w:r>
        <w:rPr>
          <w:color w:val="212121"/>
        </w:rPr>
        <w:t>McCormick,</w:t>
      </w:r>
      <w:r>
        <w:rPr>
          <w:color w:val="212121"/>
          <w:spacing w:val="-3"/>
        </w:rPr>
        <w:t> </w:t>
      </w:r>
      <w:r>
        <w:rPr>
          <w:color w:val="212121"/>
        </w:rPr>
        <w:t>B.</w:t>
      </w:r>
      <w:r>
        <w:rPr>
          <w:color w:val="212121"/>
          <w:spacing w:val="-3"/>
        </w:rPr>
        <w:t> </w:t>
      </w:r>
      <w:r>
        <w:rPr>
          <w:color w:val="212121"/>
        </w:rPr>
        <w:t>(2012).</w:t>
      </w:r>
      <w:r>
        <w:rPr>
          <w:color w:val="212121"/>
          <w:spacing w:val="-3"/>
        </w:rPr>
        <w:t> </w:t>
      </w:r>
      <w:r>
        <w:rPr>
          <w:color w:val="212121"/>
        </w:rPr>
        <w:t>Development</w:t>
      </w:r>
      <w:r>
        <w:rPr>
          <w:color w:val="212121"/>
          <w:spacing w:val="-3"/>
        </w:rPr>
        <w:t> </w:t>
      </w:r>
      <w:r>
        <w:rPr>
          <w:color w:val="212121"/>
        </w:rPr>
        <w:t>of</w:t>
      </w:r>
      <w:r>
        <w:rPr>
          <w:color w:val="212121"/>
          <w:spacing w:val="-3"/>
        </w:rPr>
        <w:t> </w:t>
      </w:r>
      <w:r>
        <w:rPr>
          <w:color w:val="212121"/>
        </w:rPr>
        <w:t>a</w:t>
      </w:r>
      <w:r>
        <w:rPr>
          <w:color w:val="212121"/>
          <w:spacing w:val="-3"/>
        </w:rPr>
        <w:t> </w:t>
      </w:r>
      <w:r>
        <w:rPr>
          <w:color w:val="212121"/>
        </w:rPr>
        <w:t>scale</w:t>
      </w:r>
      <w:r>
        <w:rPr>
          <w:color w:val="212121"/>
          <w:spacing w:val="-3"/>
        </w:rPr>
        <w:t> </w:t>
      </w:r>
      <w:r>
        <w:rPr>
          <w:color w:val="212121"/>
        </w:rPr>
        <w:t>to</w:t>
      </w:r>
      <w:r>
        <w:rPr>
          <w:color w:val="212121"/>
          <w:spacing w:val="-3"/>
        </w:rPr>
        <w:t> </w:t>
      </w:r>
      <w:r>
        <w:rPr>
          <w:color w:val="212121"/>
        </w:rPr>
        <w:t>measure memorable</w:t>
      </w:r>
      <w:r>
        <w:rPr>
          <w:color w:val="212121"/>
          <w:spacing w:val="40"/>
        </w:rPr>
        <w:t> </w:t>
      </w:r>
      <w:r>
        <w:rPr>
          <w:color w:val="212121"/>
        </w:rPr>
        <w:t>tourism experiences. </w:t>
      </w:r>
      <w:r>
        <w:rPr>
          <w:i/>
          <w:color w:val="212121"/>
        </w:rPr>
        <w:t>Journal of Travel research</w:t>
      </w:r>
      <w:r>
        <w:rPr>
          <w:color w:val="212121"/>
        </w:rPr>
        <w:t>, </w:t>
      </w:r>
      <w:r>
        <w:rPr>
          <w:i/>
          <w:color w:val="212121"/>
        </w:rPr>
        <w:t>51</w:t>
      </w:r>
      <w:r>
        <w:rPr>
          <w:color w:val="212121"/>
        </w:rPr>
        <w:t>(1), 12-25.</w:t>
      </w:r>
    </w:p>
    <w:p>
      <w:pPr>
        <w:pStyle w:val="BodyText"/>
        <w:spacing w:before="7"/>
      </w:pPr>
    </w:p>
    <w:p>
      <w:pPr>
        <w:pStyle w:val="BodyText"/>
        <w:spacing w:line="230" w:lineRule="auto"/>
        <w:ind w:left="731" w:right="1191"/>
      </w:pPr>
      <w:r>
        <w:rPr>
          <w:color w:val="212121"/>
        </w:rPr>
        <w:t>Luo, J. M., Lam, C. F., &amp; Fan, D. X. (2020). The development of measurement scale for entertainment</w:t>
      </w:r>
      <w:r>
        <w:rPr>
          <w:color w:val="212121"/>
          <w:spacing w:val="-6"/>
        </w:rPr>
        <w:t> </w:t>
      </w:r>
      <w:r>
        <w:rPr>
          <w:color w:val="212121"/>
        </w:rPr>
        <w:t>tourism</w:t>
      </w:r>
      <w:r>
        <w:rPr>
          <w:color w:val="212121"/>
          <w:spacing w:val="-6"/>
        </w:rPr>
        <w:t> </w:t>
      </w:r>
      <w:r>
        <w:rPr>
          <w:color w:val="212121"/>
        </w:rPr>
        <w:t>experience:</w:t>
      </w:r>
      <w:r>
        <w:rPr>
          <w:color w:val="212121"/>
          <w:spacing w:val="-6"/>
        </w:rPr>
        <w:t> </w:t>
      </w:r>
      <w:r>
        <w:rPr>
          <w:color w:val="212121"/>
        </w:rPr>
        <w:t>A</w:t>
      </w:r>
      <w:r>
        <w:rPr>
          <w:color w:val="212121"/>
          <w:spacing w:val="-6"/>
        </w:rPr>
        <w:t> </w:t>
      </w:r>
      <w:r>
        <w:rPr>
          <w:color w:val="212121"/>
        </w:rPr>
        <w:t>case</w:t>
      </w:r>
      <w:r>
        <w:rPr>
          <w:color w:val="212121"/>
          <w:spacing w:val="-6"/>
        </w:rPr>
        <w:t> </w:t>
      </w:r>
      <w:r>
        <w:rPr>
          <w:color w:val="212121"/>
        </w:rPr>
        <w:t>study</w:t>
      </w:r>
      <w:r>
        <w:rPr>
          <w:color w:val="212121"/>
          <w:spacing w:val="-6"/>
        </w:rPr>
        <w:t> </w:t>
      </w:r>
      <w:r>
        <w:rPr>
          <w:color w:val="212121"/>
        </w:rPr>
        <w:t>in</w:t>
      </w:r>
      <w:r>
        <w:rPr>
          <w:color w:val="212121"/>
          <w:spacing w:val="-6"/>
        </w:rPr>
        <w:t> </w:t>
      </w:r>
      <w:r>
        <w:rPr>
          <w:color w:val="212121"/>
        </w:rPr>
        <w:t>Macau.</w:t>
      </w:r>
      <w:r>
        <w:rPr>
          <w:color w:val="212121"/>
          <w:spacing w:val="-6"/>
        </w:rPr>
        <w:t> </w:t>
      </w:r>
      <w:r>
        <w:rPr>
          <w:i/>
          <w:color w:val="212121"/>
        </w:rPr>
        <w:t>Current</w:t>
      </w:r>
      <w:r>
        <w:rPr>
          <w:i/>
          <w:color w:val="212121"/>
          <w:spacing w:val="-6"/>
        </w:rPr>
        <w:t> </w:t>
      </w:r>
      <w:r>
        <w:rPr>
          <w:i/>
          <w:color w:val="212121"/>
        </w:rPr>
        <w:t>Issues</w:t>
      </w:r>
      <w:r>
        <w:rPr>
          <w:i/>
          <w:color w:val="212121"/>
          <w:spacing w:val="-6"/>
        </w:rPr>
        <w:t> </w:t>
      </w:r>
      <w:r>
        <w:rPr>
          <w:i/>
          <w:color w:val="212121"/>
        </w:rPr>
        <w:t>in</w:t>
      </w:r>
      <w:r>
        <w:rPr>
          <w:i/>
          <w:color w:val="212121"/>
          <w:spacing w:val="-6"/>
        </w:rPr>
        <w:t> </w:t>
      </w:r>
      <w:r>
        <w:rPr>
          <w:i/>
          <w:color w:val="212121"/>
        </w:rPr>
        <w:t>Tourism</w:t>
      </w:r>
      <w:r>
        <w:rPr>
          <w:color w:val="212121"/>
        </w:rPr>
        <w:t>,</w:t>
      </w:r>
      <w:r>
        <w:rPr>
          <w:color w:val="212121"/>
          <w:spacing w:val="-6"/>
        </w:rPr>
        <w:t> </w:t>
      </w:r>
      <w:r>
        <w:rPr>
          <w:i/>
          <w:color w:val="212121"/>
        </w:rPr>
        <w:t>23</w:t>
      </w:r>
      <w:r>
        <w:rPr>
          <w:color w:val="212121"/>
        </w:rPr>
        <w:t>(7),</w:t>
      </w:r>
      <w:r>
        <w:rPr>
          <w:color w:val="212121"/>
          <w:spacing w:val="-6"/>
        </w:rPr>
        <w:t> </w:t>
      </w:r>
      <w:r>
        <w:rPr>
          <w:color w:val="212121"/>
        </w:rPr>
        <w:t>852-</w:t>
      </w:r>
      <w:r>
        <w:rPr>
          <w:color w:val="212121"/>
          <w:spacing w:val="-4"/>
        </w:rPr>
        <w:t>866.</w:t>
      </w:r>
    </w:p>
    <w:p>
      <w:pPr>
        <w:pStyle w:val="BodyText"/>
        <w:spacing w:before="4"/>
      </w:pPr>
    </w:p>
    <w:p>
      <w:pPr>
        <w:spacing w:line="232" w:lineRule="auto" w:before="0"/>
        <w:ind w:left="731" w:right="1191" w:firstLine="0"/>
        <w:jc w:val="left"/>
        <w:rPr>
          <w:sz w:val="24"/>
        </w:rPr>
      </w:pPr>
      <w:r>
        <w:rPr>
          <w:color w:val="212121"/>
          <w:sz w:val="24"/>
        </w:rPr>
        <w:t>Ap,</w:t>
      </w:r>
      <w:r>
        <w:rPr>
          <w:color w:val="212121"/>
          <w:spacing w:val="-4"/>
          <w:sz w:val="24"/>
        </w:rPr>
        <w:t> </w:t>
      </w:r>
      <w:r>
        <w:rPr>
          <w:color w:val="212121"/>
          <w:sz w:val="24"/>
        </w:rPr>
        <w:t>J.</w:t>
      </w:r>
      <w:r>
        <w:rPr>
          <w:color w:val="212121"/>
          <w:spacing w:val="-4"/>
          <w:sz w:val="24"/>
        </w:rPr>
        <w:t> </w:t>
      </w:r>
      <w:r>
        <w:rPr>
          <w:color w:val="212121"/>
          <w:sz w:val="24"/>
        </w:rPr>
        <w:t>(1992).</w:t>
      </w:r>
      <w:r>
        <w:rPr>
          <w:color w:val="212121"/>
          <w:spacing w:val="-4"/>
          <w:sz w:val="24"/>
        </w:rPr>
        <w:t> </w:t>
      </w:r>
      <w:r>
        <w:rPr>
          <w:color w:val="212121"/>
          <w:sz w:val="24"/>
        </w:rPr>
        <w:t>Residents'</w:t>
      </w:r>
      <w:r>
        <w:rPr>
          <w:color w:val="212121"/>
          <w:spacing w:val="-4"/>
          <w:sz w:val="24"/>
        </w:rPr>
        <w:t> </w:t>
      </w:r>
      <w:r>
        <w:rPr>
          <w:color w:val="212121"/>
          <w:sz w:val="24"/>
        </w:rPr>
        <w:t>perceptions</w:t>
      </w:r>
      <w:r>
        <w:rPr>
          <w:color w:val="212121"/>
          <w:spacing w:val="-4"/>
          <w:sz w:val="24"/>
        </w:rPr>
        <w:t> </w:t>
      </w:r>
      <w:r>
        <w:rPr>
          <w:color w:val="212121"/>
          <w:sz w:val="24"/>
        </w:rPr>
        <w:t>on</w:t>
      </w:r>
      <w:r>
        <w:rPr>
          <w:color w:val="212121"/>
          <w:spacing w:val="-4"/>
          <w:sz w:val="24"/>
        </w:rPr>
        <w:t> </w:t>
      </w:r>
      <w:r>
        <w:rPr>
          <w:color w:val="212121"/>
          <w:sz w:val="24"/>
        </w:rPr>
        <w:t>tourism</w:t>
      </w:r>
      <w:r>
        <w:rPr>
          <w:color w:val="212121"/>
          <w:spacing w:val="-4"/>
          <w:sz w:val="24"/>
        </w:rPr>
        <w:t> </w:t>
      </w:r>
      <w:r>
        <w:rPr>
          <w:color w:val="212121"/>
          <w:sz w:val="24"/>
        </w:rPr>
        <w:t>impacts.</w:t>
      </w:r>
      <w:r>
        <w:rPr>
          <w:color w:val="212121"/>
          <w:spacing w:val="-4"/>
          <w:sz w:val="24"/>
        </w:rPr>
        <w:t> </w:t>
      </w:r>
      <w:r>
        <w:rPr>
          <w:i/>
          <w:color w:val="212121"/>
          <w:sz w:val="24"/>
        </w:rPr>
        <w:t>Annals</w:t>
      </w:r>
      <w:r>
        <w:rPr>
          <w:i/>
          <w:color w:val="212121"/>
          <w:spacing w:val="-4"/>
          <w:sz w:val="24"/>
        </w:rPr>
        <w:t> </w:t>
      </w:r>
      <w:r>
        <w:rPr>
          <w:i/>
          <w:color w:val="212121"/>
          <w:sz w:val="24"/>
        </w:rPr>
        <w:t>of</w:t>
      </w:r>
      <w:r>
        <w:rPr>
          <w:i/>
          <w:color w:val="212121"/>
          <w:spacing w:val="-4"/>
          <w:sz w:val="24"/>
        </w:rPr>
        <w:t> </w:t>
      </w:r>
      <w:r>
        <w:rPr>
          <w:i/>
          <w:color w:val="212121"/>
          <w:sz w:val="24"/>
        </w:rPr>
        <w:t>tourism</w:t>
      </w:r>
      <w:r>
        <w:rPr>
          <w:i/>
          <w:color w:val="212121"/>
          <w:spacing w:val="-4"/>
          <w:sz w:val="24"/>
        </w:rPr>
        <w:t> </w:t>
      </w:r>
      <w:r>
        <w:rPr>
          <w:i/>
          <w:color w:val="212121"/>
          <w:sz w:val="24"/>
        </w:rPr>
        <w:t>Research</w:t>
      </w:r>
      <w:r>
        <w:rPr>
          <w:color w:val="212121"/>
          <w:sz w:val="24"/>
        </w:rPr>
        <w:t>,</w:t>
      </w:r>
      <w:r>
        <w:rPr>
          <w:color w:val="212121"/>
          <w:spacing w:val="-4"/>
          <w:sz w:val="24"/>
        </w:rPr>
        <w:t> </w:t>
      </w:r>
      <w:r>
        <w:rPr>
          <w:i/>
          <w:color w:val="212121"/>
          <w:sz w:val="24"/>
        </w:rPr>
        <w:t>19</w:t>
      </w:r>
      <w:r>
        <w:rPr>
          <w:color w:val="212121"/>
          <w:sz w:val="24"/>
        </w:rPr>
        <w:t>(4),</w:t>
      </w:r>
      <w:r>
        <w:rPr>
          <w:color w:val="212121"/>
          <w:spacing w:val="-4"/>
          <w:sz w:val="24"/>
        </w:rPr>
        <w:t> </w:t>
      </w:r>
      <w:r>
        <w:rPr>
          <w:color w:val="212121"/>
          <w:sz w:val="24"/>
        </w:rPr>
        <w:t>665-</w:t>
      </w:r>
      <w:r>
        <w:rPr>
          <w:color w:val="212121"/>
          <w:spacing w:val="-4"/>
          <w:sz w:val="24"/>
        </w:rPr>
        <w:t>690.</w:t>
      </w:r>
    </w:p>
    <w:p>
      <w:pPr>
        <w:pStyle w:val="BodyText"/>
        <w:spacing w:before="3"/>
      </w:pPr>
    </w:p>
    <w:p>
      <w:pPr>
        <w:pStyle w:val="BodyText"/>
        <w:spacing w:line="228" w:lineRule="auto"/>
        <w:ind w:left="731" w:right="1619" w:firstLine="15"/>
      </w:pPr>
      <w:r>
        <w:rPr>
          <w:color w:val="212121"/>
        </w:rPr>
        <w:t>Spreng,</w:t>
      </w:r>
      <w:r>
        <w:rPr>
          <w:color w:val="212121"/>
          <w:spacing w:val="-6"/>
        </w:rPr>
        <w:t> </w:t>
      </w:r>
      <w:r>
        <w:rPr>
          <w:color w:val="212121"/>
        </w:rPr>
        <w:t>R.</w:t>
      </w:r>
      <w:r>
        <w:rPr>
          <w:color w:val="212121"/>
          <w:spacing w:val="-6"/>
        </w:rPr>
        <w:t> </w:t>
      </w:r>
      <w:r>
        <w:rPr>
          <w:color w:val="212121"/>
        </w:rPr>
        <w:t>A.,</w:t>
      </w:r>
      <w:r>
        <w:rPr>
          <w:color w:val="212121"/>
          <w:spacing w:val="-6"/>
        </w:rPr>
        <w:t> </w:t>
      </w:r>
      <w:r>
        <w:rPr>
          <w:color w:val="212121"/>
        </w:rPr>
        <w:t>MacKenzie,</w:t>
      </w:r>
      <w:r>
        <w:rPr>
          <w:color w:val="212121"/>
          <w:spacing w:val="-6"/>
        </w:rPr>
        <w:t> </w:t>
      </w:r>
      <w:r>
        <w:rPr>
          <w:color w:val="212121"/>
        </w:rPr>
        <w:t>S.</w:t>
      </w:r>
      <w:r>
        <w:rPr>
          <w:color w:val="212121"/>
          <w:spacing w:val="-6"/>
        </w:rPr>
        <w:t> </w:t>
      </w:r>
      <w:r>
        <w:rPr>
          <w:color w:val="212121"/>
        </w:rPr>
        <w:t>B.,</w:t>
      </w:r>
      <w:r>
        <w:rPr>
          <w:color w:val="212121"/>
          <w:spacing w:val="-6"/>
        </w:rPr>
        <w:t> </w:t>
      </w:r>
      <w:r>
        <w:rPr>
          <w:color w:val="212121"/>
        </w:rPr>
        <w:t>&amp;</w:t>
      </w:r>
      <w:r>
        <w:rPr>
          <w:color w:val="212121"/>
          <w:spacing w:val="-6"/>
        </w:rPr>
        <w:t> </w:t>
      </w:r>
      <w:r>
        <w:rPr>
          <w:color w:val="212121"/>
        </w:rPr>
        <w:t>Olshavsky,</w:t>
      </w:r>
      <w:r>
        <w:rPr>
          <w:color w:val="212121"/>
          <w:spacing w:val="-6"/>
        </w:rPr>
        <w:t> </w:t>
      </w:r>
      <w:r>
        <w:rPr>
          <w:color w:val="212121"/>
        </w:rPr>
        <w:t>R.</w:t>
      </w:r>
      <w:r>
        <w:rPr>
          <w:color w:val="212121"/>
          <w:spacing w:val="-6"/>
        </w:rPr>
        <w:t> </w:t>
      </w:r>
      <w:r>
        <w:rPr>
          <w:color w:val="212121"/>
        </w:rPr>
        <w:t>W.</w:t>
      </w:r>
      <w:r>
        <w:rPr>
          <w:color w:val="212121"/>
          <w:spacing w:val="-6"/>
        </w:rPr>
        <w:t> </w:t>
      </w:r>
      <w:r>
        <w:rPr>
          <w:color w:val="212121"/>
        </w:rPr>
        <w:t>(1996).</w:t>
      </w:r>
      <w:r>
        <w:rPr>
          <w:color w:val="212121"/>
          <w:spacing w:val="-6"/>
        </w:rPr>
        <w:t> </w:t>
      </w:r>
      <w:r>
        <w:rPr>
          <w:color w:val="212121"/>
        </w:rPr>
        <w:t>A</w:t>
      </w:r>
      <w:r>
        <w:rPr>
          <w:color w:val="212121"/>
          <w:spacing w:val="-6"/>
        </w:rPr>
        <w:t> </w:t>
      </w:r>
      <w:r>
        <w:rPr>
          <w:color w:val="212121"/>
        </w:rPr>
        <w:t>reexamination</w:t>
      </w:r>
      <w:r>
        <w:rPr>
          <w:color w:val="212121"/>
          <w:spacing w:val="-6"/>
        </w:rPr>
        <w:t> </w:t>
      </w:r>
      <w:r>
        <w:rPr>
          <w:color w:val="212121"/>
        </w:rPr>
        <w:t>of</w:t>
      </w:r>
      <w:r>
        <w:rPr>
          <w:color w:val="212121"/>
          <w:spacing w:val="-6"/>
        </w:rPr>
        <w:t> </w:t>
      </w:r>
      <w:r>
        <w:rPr>
          <w:color w:val="212121"/>
        </w:rPr>
        <w:t>the determinants</w:t>
      </w:r>
      <w:r>
        <w:rPr>
          <w:color w:val="212121"/>
          <w:spacing w:val="40"/>
        </w:rPr>
        <w:t> </w:t>
      </w:r>
      <w:r>
        <w:rPr>
          <w:color w:val="212121"/>
        </w:rPr>
        <w:t>of consumer satisfaction. </w:t>
      </w:r>
      <w:r>
        <w:rPr>
          <w:i/>
          <w:color w:val="212121"/>
        </w:rPr>
        <w:t>Journal of marketing</w:t>
      </w:r>
      <w:r>
        <w:rPr>
          <w:color w:val="212121"/>
        </w:rPr>
        <w:t>, </w:t>
      </w:r>
      <w:r>
        <w:rPr>
          <w:i/>
          <w:color w:val="212121"/>
        </w:rPr>
        <w:t>60</w:t>
      </w:r>
      <w:r>
        <w:rPr>
          <w:color w:val="212121"/>
        </w:rPr>
        <w:t>(3), 15-32.</w:t>
      </w:r>
    </w:p>
    <w:p>
      <w:pPr>
        <w:pStyle w:val="BodyText"/>
        <w:spacing w:before="7"/>
      </w:pPr>
    </w:p>
    <w:p>
      <w:pPr>
        <w:spacing w:line="232" w:lineRule="auto" w:before="0"/>
        <w:ind w:left="731" w:right="1191" w:firstLine="15"/>
        <w:jc w:val="left"/>
        <w:rPr>
          <w:sz w:val="24"/>
        </w:rPr>
      </w:pPr>
      <w:r>
        <w:rPr>
          <w:color w:val="212121"/>
          <w:sz w:val="24"/>
        </w:rPr>
        <w:t>Stone,</w:t>
      </w:r>
      <w:r>
        <w:rPr>
          <w:color w:val="212121"/>
          <w:spacing w:val="-3"/>
          <w:sz w:val="24"/>
        </w:rPr>
        <w:t> </w:t>
      </w:r>
      <w:r>
        <w:rPr>
          <w:color w:val="212121"/>
          <w:sz w:val="24"/>
        </w:rPr>
        <w:t>R.</w:t>
      </w:r>
      <w:r>
        <w:rPr>
          <w:color w:val="212121"/>
          <w:spacing w:val="-3"/>
          <w:sz w:val="24"/>
        </w:rPr>
        <w:t> </w:t>
      </w:r>
      <w:r>
        <w:rPr>
          <w:color w:val="212121"/>
          <w:sz w:val="24"/>
        </w:rPr>
        <w:t>N.,</w:t>
      </w:r>
      <w:r>
        <w:rPr>
          <w:color w:val="212121"/>
          <w:spacing w:val="-3"/>
          <w:sz w:val="24"/>
        </w:rPr>
        <w:t> </w:t>
      </w:r>
      <w:r>
        <w:rPr>
          <w:color w:val="212121"/>
          <w:sz w:val="24"/>
        </w:rPr>
        <w:t>&amp;</w:t>
      </w:r>
      <w:r>
        <w:rPr>
          <w:color w:val="212121"/>
          <w:spacing w:val="-3"/>
          <w:sz w:val="24"/>
        </w:rPr>
        <w:t> </w:t>
      </w:r>
      <w:r>
        <w:rPr>
          <w:color w:val="212121"/>
          <w:sz w:val="24"/>
        </w:rPr>
        <w:t>Grønhaug,</w:t>
      </w:r>
      <w:r>
        <w:rPr>
          <w:color w:val="212121"/>
          <w:spacing w:val="-3"/>
          <w:sz w:val="24"/>
        </w:rPr>
        <w:t> </w:t>
      </w:r>
      <w:r>
        <w:rPr>
          <w:color w:val="212121"/>
          <w:sz w:val="24"/>
        </w:rPr>
        <w:t>K.</w:t>
      </w:r>
      <w:r>
        <w:rPr>
          <w:color w:val="212121"/>
          <w:spacing w:val="-3"/>
          <w:sz w:val="24"/>
        </w:rPr>
        <w:t> </w:t>
      </w:r>
      <w:r>
        <w:rPr>
          <w:color w:val="212121"/>
          <w:sz w:val="24"/>
        </w:rPr>
        <w:t>(1993).</w:t>
      </w:r>
      <w:r>
        <w:rPr>
          <w:color w:val="212121"/>
          <w:spacing w:val="-3"/>
          <w:sz w:val="24"/>
        </w:rPr>
        <w:t> </w:t>
      </w:r>
      <w:r>
        <w:rPr>
          <w:color w:val="212121"/>
          <w:sz w:val="24"/>
        </w:rPr>
        <w:t>Perceived</w:t>
      </w:r>
      <w:r>
        <w:rPr>
          <w:color w:val="212121"/>
          <w:spacing w:val="-3"/>
          <w:sz w:val="24"/>
        </w:rPr>
        <w:t> </w:t>
      </w:r>
      <w:r>
        <w:rPr>
          <w:color w:val="212121"/>
          <w:sz w:val="24"/>
        </w:rPr>
        <w:t>risk:</w:t>
      </w:r>
      <w:r>
        <w:rPr>
          <w:color w:val="212121"/>
          <w:spacing w:val="-3"/>
          <w:sz w:val="24"/>
        </w:rPr>
        <w:t> </w:t>
      </w:r>
      <w:r>
        <w:rPr>
          <w:color w:val="212121"/>
          <w:sz w:val="24"/>
        </w:rPr>
        <w:t>Further</w:t>
      </w:r>
      <w:r>
        <w:rPr>
          <w:color w:val="212121"/>
          <w:spacing w:val="-3"/>
          <w:sz w:val="24"/>
        </w:rPr>
        <w:t> </w:t>
      </w:r>
      <w:r>
        <w:rPr>
          <w:color w:val="212121"/>
          <w:sz w:val="24"/>
        </w:rPr>
        <w:t>considerations</w:t>
      </w:r>
      <w:r>
        <w:rPr>
          <w:color w:val="212121"/>
          <w:spacing w:val="-3"/>
          <w:sz w:val="24"/>
        </w:rPr>
        <w:t> </w:t>
      </w:r>
      <w:r>
        <w:rPr>
          <w:color w:val="212121"/>
          <w:sz w:val="24"/>
        </w:rPr>
        <w:t>for</w:t>
      </w:r>
      <w:r>
        <w:rPr>
          <w:color w:val="212121"/>
          <w:spacing w:val="-3"/>
          <w:sz w:val="24"/>
        </w:rPr>
        <w:t> </w:t>
      </w:r>
      <w:r>
        <w:rPr>
          <w:color w:val="212121"/>
          <w:sz w:val="24"/>
        </w:rPr>
        <w:t>the</w:t>
      </w:r>
      <w:r>
        <w:rPr>
          <w:color w:val="212121"/>
          <w:spacing w:val="-3"/>
          <w:sz w:val="24"/>
        </w:rPr>
        <w:t> </w:t>
      </w:r>
      <w:r>
        <w:rPr>
          <w:color w:val="212121"/>
          <w:sz w:val="24"/>
        </w:rPr>
        <w:t>marketing discipline. </w:t>
      </w:r>
      <w:r>
        <w:rPr>
          <w:i/>
          <w:color w:val="212121"/>
          <w:sz w:val="24"/>
        </w:rPr>
        <w:t>European Journal of marketing</w:t>
      </w:r>
      <w:r>
        <w:rPr>
          <w:color w:val="212121"/>
          <w:sz w:val="24"/>
        </w:rPr>
        <w:t>, </w:t>
      </w:r>
      <w:r>
        <w:rPr>
          <w:i/>
          <w:color w:val="212121"/>
          <w:sz w:val="24"/>
        </w:rPr>
        <w:t>27</w:t>
      </w:r>
      <w:r>
        <w:rPr>
          <w:color w:val="212121"/>
          <w:sz w:val="24"/>
        </w:rPr>
        <w:t>(3), 39-50.</w:t>
      </w:r>
    </w:p>
    <w:p>
      <w:pPr>
        <w:pStyle w:val="BodyText"/>
        <w:spacing w:before="3"/>
      </w:pPr>
    </w:p>
    <w:p>
      <w:pPr>
        <w:pStyle w:val="BodyText"/>
        <w:spacing w:line="228" w:lineRule="auto"/>
        <w:ind w:left="731" w:right="1191"/>
      </w:pPr>
      <w:r>
        <w:rPr>
          <w:color w:val="212121"/>
        </w:rPr>
        <w:t>Voss,</w:t>
      </w:r>
      <w:r>
        <w:rPr>
          <w:color w:val="212121"/>
          <w:spacing w:val="-6"/>
        </w:rPr>
        <w:t> </w:t>
      </w:r>
      <w:r>
        <w:rPr>
          <w:color w:val="212121"/>
        </w:rPr>
        <w:t>K.</w:t>
      </w:r>
      <w:r>
        <w:rPr>
          <w:color w:val="212121"/>
          <w:spacing w:val="-6"/>
        </w:rPr>
        <w:t> </w:t>
      </w:r>
      <w:r>
        <w:rPr>
          <w:color w:val="212121"/>
        </w:rPr>
        <w:t>E.,</w:t>
      </w:r>
      <w:r>
        <w:rPr>
          <w:color w:val="212121"/>
          <w:spacing w:val="-6"/>
        </w:rPr>
        <w:t> </w:t>
      </w:r>
      <w:r>
        <w:rPr>
          <w:color w:val="212121"/>
        </w:rPr>
        <w:t>Spangenberg,</w:t>
      </w:r>
      <w:r>
        <w:rPr>
          <w:color w:val="212121"/>
          <w:spacing w:val="-6"/>
        </w:rPr>
        <w:t> </w:t>
      </w:r>
      <w:r>
        <w:rPr>
          <w:color w:val="212121"/>
        </w:rPr>
        <w:t>E.</w:t>
      </w:r>
      <w:r>
        <w:rPr>
          <w:color w:val="212121"/>
          <w:spacing w:val="-6"/>
        </w:rPr>
        <w:t> </w:t>
      </w:r>
      <w:r>
        <w:rPr>
          <w:color w:val="212121"/>
        </w:rPr>
        <w:t>R.,</w:t>
      </w:r>
      <w:r>
        <w:rPr>
          <w:color w:val="212121"/>
          <w:spacing w:val="-6"/>
        </w:rPr>
        <w:t> </w:t>
      </w:r>
      <w:r>
        <w:rPr>
          <w:color w:val="212121"/>
        </w:rPr>
        <w:t>&amp;</w:t>
      </w:r>
      <w:r>
        <w:rPr>
          <w:color w:val="212121"/>
          <w:spacing w:val="-6"/>
        </w:rPr>
        <w:t> </w:t>
      </w:r>
      <w:r>
        <w:rPr>
          <w:color w:val="212121"/>
        </w:rPr>
        <w:t>Grohmann,</w:t>
      </w:r>
      <w:r>
        <w:rPr>
          <w:color w:val="212121"/>
          <w:spacing w:val="-6"/>
        </w:rPr>
        <w:t> </w:t>
      </w:r>
      <w:r>
        <w:rPr>
          <w:color w:val="212121"/>
        </w:rPr>
        <w:t>B.</w:t>
      </w:r>
      <w:r>
        <w:rPr>
          <w:color w:val="212121"/>
          <w:spacing w:val="-6"/>
        </w:rPr>
        <w:t> </w:t>
      </w:r>
      <w:r>
        <w:rPr>
          <w:color w:val="212121"/>
        </w:rPr>
        <w:t>(2003).</w:t>
      </w:r>
      <w:r>
        <w:rPr>
          <w:color w:val="212121"/>
          <w:spacing w:val="-6"/>
        </w:rPr>
        <w:t> </w:t>
      </w:r>
      <w:r>
        <w:rPr>
          <w:color w:val="212121"/>
        </w:rPr>
        <w:t>Measuring</w:t>
      </w:r>
      <w:r>
        <w:rPr>
          <w:color w:val="212121"/>
          <w:spacing w:val="-6"/>
        </w:rPr>
        <w:t> </w:t>
      </w:r>
      <w:r>
        <w:rPr>
          <w:color w:val="212121"/>
        </w:rPr>
        <w:t>the</w:t>
      </w:r>
      <w:r>
        <w:rPr>
          <w:color w:val="212121"/>
          <w:spacing w:val="-6"/>
        </w:rPr>
        <w:t> </w:t>
      </w:r>
      <w:r>
        <w:rPr>
          <w:color w:val="212121"/>
        </w:rPr>
        <w:t>hedonic</w:t>
      </w:r>
      <w:r>
        <w:rPr>
          <w:color w:val="212121"/>
          <w:spacing w:val="-6"/>
        </w:rPr>
        <w:t> </w:t>
      </w:r>
      <w:r>
        <w:rPr>
          <w:color w:val="212121"/>
        </w:rPr>
        <w:t>and</w:t>
      </w:r>
      <w:r>
        <w:rPr>
          <w:color w:val="212121"/>
          <w:spacing w:val="-6"/>
        </w:rPr>
        <w:t> </w:t>
      </w:r>
      <w:r>
        <w:rPr>
          <w:color w:val="212121"/>
        </w:rPr>
        <w:t>utilitarian dimensions of consumer attitude. </w:t>
      </w:r>
      <w:r>
        <w:rPr>
          <w:i/>
          <w:color w:val="212121"/>
        </w:rPr>
        <w:t>Journal of marketing research</w:t>
      </w:r>
      <w:r>
        <w:rPr>
          <w:color w:val="212121"/>
        </w:rPr>
        <w:t>, </w:t>
      </w:r>
      <w:r>
        <w:rPr>
          <w:i/>
          <w:color w:val="212121"/>
        </w:rPr>
        <w:t>40</w:t>
      </w:r>
      <w:r>
        <w:rPr>
          <w:color w:val="212121"/>
        </w:rPr>
        <w:t>(3), 310-320.</w:t>
      </w:r>
    </w:p>
    <w:p>
      <w:pPr>
        <w:pStyle w:val="BodyText"/>
        <w:spacing w:after="0" w:line="228" w:lineRule="auto"/>
        <w:sectPr>
          <w:pgSz w:w="12240" w:h="15840"/>
          <w:pgMar w:header="0" w:footer="706" w:top="640" w:bottom="960" w:left="720" w:right="0"/>
        </w:sectPr>
      </w:pPr>
    </w:p>
    <w:p>
      <w:pPr>
        <w:pStyle w:val="Heading3"/>
        <w:ind w:left="2649" w:right="1725" w:hanging="513"/>
        <w:jc w:val="left"/>
      </w:pPr>
      <w:bookmarkStart w:name="Faculty Members’ Responses to a Seminar " w:id="58"/>
      <w:bookmarkEnd w:id="58"/>
      <w:r>
        <w:rPr>
          <w:b w:val="0"/>
        </w:rPr>
      </w:r>
      <w:r>
        <w:rPr/>
        <w:t>Faculty</w:t>
      </w:r>
      <w:r>
        <w:rPr>
          <w:spacing w:val="-5"/>
        </w:rPr>
        <w:t> </w:t>
      </w:r>
      <w:r>
        <w:rPr/>
        <w:t>Members’</w:t>
      </w:r>
      <w:r>
        <w:rPr>
          <w:spacing w:val="-5"/>
        </w:rPr>
        <w:t> </w:t>
      </w:r>
      <w:r>
        <w:rPr/>
        <w:t>Responses</w:t>
      </w:r>
      <w:r>
        <w:rPr>
          <w:spacing w:val="-5"/>
        </w:rPr>
        <w:t> </w:t>
      </w:r>
      <w:r>
        <w:rPr/>
        <w:t>to</w:t>
      </w:r>
      <w:r>
        <w:rPr>
          <w:spacing w:val="-5"/>
        </w:rPr>
        <w:t> </w:t>
      </w:r>
      <w:r>
        <w:rPr/>
        <w:t>a</w:t>
      </w:r>
      <w:r>
        <w:rPr>
          <w:spacing w:val="-5"/>
        </w:rPr>
        <w:t> </w:t>
      </w:r>
      <w:r>
        <w:rPr/>
        <w:t>Seminar</w:t>
      </w:r>
      <w:r>
        <w:rPr>
          <w:spacing w:val="-5"/>
        </w:rPr>
        <w:t> </w:t>
      </w:r>
      <w:r>
        <w:rPr/>
        <w:t>on</w:t>
      </w:r>
      <w:r>
        <w:rPr>
          <w:spacing w:val="-5"/>
        </w:rPr>
        <w:t> </w:t>
      </w:r>
      <w:r>
        <w:rPr/>
        <w:t>the</w:t>
      </w:r>
      <w:r>
        <w:rPr>
          <w:spacing w:val="-5"/>
        </w:rPr>
        <w:t> </w:t>
      </w:r>
      <w:r>
        <w:rPr/>
        <w:t>Use</w:t>
      </w:r>
      <w:r>
        <w:rPr>
          <w:spacing w:val="-5"/>
        </w:rPr>
        <w:t> </w:t>
      </w:r>
      <w:r>
        <w:rPr/>
        <w:t>of </w:t>
      </w:r>
      <w:bookmarkStart w:name="h.w4yqatzdcmhk" w:id="59"/>
      <w:bookmarkEnd w:id="59"/>
      <w:r>
        <w:rPr/>
        <w:t>A</w:t>
      </w:r>
      <w:r>
        <w:rPr/>
        <w:t>rtificial Intelligence in Teaching and Research</w:t>
      </w:r>
    </w:p>
    <w:p>
      <w:pPr>
        <w:pStyle w:val="BodyText"/>
        <w:spacing w:before="2"/>
        <w:rPr>
          <w:b/>
          <w:sz w:val="16"/>
        </w:rPr>
      </w:pPr>
    </w:p>
    <w:p>
      <w:pPr>
        <w:pStyle w:val="BodyText"/>
        <w:spacing w:after="0"/>
        <w:rPr>
          <w:b/>
          <w:sz w:val="16"/>
        </w:rPr>
        <w:sectPr>
          <w:pgSz w:w="12240" w:h="15840"/>
          <w:pgMar w:header="0" w:footer="706" w:top="640" w:bottom="960" w:left="720" w:right="0"/>
        </w:sectPr>
      </w:pPr>
    </w:p>
    <w:p>
      <w:pPr>
        <w:pStyle w:val="BodyText"/>
        <w:spacing w:before="139"/>
        <w:ind w:left="1264" w:right="385" w:hanging="30"/>
        <w:jc w:val="center"/>
      </w:pPr>
      <w:r>
        <w:rPr/>
        <w:t>Fulk, H. Kevin College</w:t>
      </w:r>
      <w:r>
        <w:rPr>
          <w:spacing w:val="-15"/>
        </w:rPr>
        <w:t> </w:t>
      </w:r>
      <w:r>
        <w:rPr/>
        <w:t>of</w:t>
      </w:r>
      <w:r>
        <w:rPr>
          <w:spacing w:val="-15"/>
        </w:rPr>
        <w:t> </w:t>
      </w:r>
      <w:r>
        <w:rPr/>
        <w:t>Business</w:t>
      </w:r>
    </w:p>
    <w:p>
      <w:pPr>
        <w:pStyle w:val="BodyText"/>
        <w:spacing w:line="232" w:lineRule="auto"/>
        <w:ind w:left="832"/>
        <w:jc w:val="center"/>
      </w:pPr>
      <w:r>
        <w:rPr/>
        <w:t>Western</w:t>
      </w:r>
      <w:r>
        <w:rPr>
          <w:spacing w:val="-15"/>
        </w:rPr>
        <w:t> </w:t>
      </w:r>
      <w:r>
        <w:rPr/>
        <w:t>Carolina</w:t>
      </w:r>
      <w:r>
        <w:rPr>
          <w:spacing w:val="-15"/>
        </w:rPr>
        <w:t> </w:t>
      </w:r>
      <w:r>
        <w:rPr/>
        <w:t>University Forsyth 203</w:t>
      </w:r>
    </w:p>
    <w:p>
      <w:pPr>
        <w:pStyle w:val="BodyText"/>
        <w:spacing w:before="4"/>
        <w:ind w:left="1144" w:right="272"/>
        <w:jc w:val="center"/>
      </w:pPr>
      <w:r>
        <w:rPr/>
        <w:t>Cullowhee,</w:t>
      </w:r>
      <w:r>
        <w:rPr>
          <w:spacing w:val="-15"/>
        </w:rPr>
        <w:t> </w:t>
      </w:r>
      <w:r>
        <w:rPr/>
        <w:t>NC</w:t>
      </w:r>
      <w:r>
        <w:rPr>
          <w:spacing w:val="-15"/>
        </w:rPr>
        <w:t> </w:t>
      </w:r>
      <w:r>
        <w:rPr/>
        <w:t>28723 </w:t>
      </w:r>
      <w:hyperlink r:id="rId86">
        <w:r>
          <w:rPr>
            <w:spacing w:val="-2"/>
          </w:rPr>
          <w:t>hfulk@wcu.edu</w:t>
        </w:r>
      </w:hyperlink>
      <w:r>
        <w:rPr>
          <w:spacing w:val="-2"/>
        </w:rPr>
        <w:t> 828.227.7412</w:t>
      </w:r>
    </w:p>
    <w:p>
      <w:pPr>
        <w:pStyle w:val="BodyText"/>
        <w:ind w:left="873"/>
        <w:jc w:val="center"/>
      </w:pPr>
      <w:r>
        <w:rPr/>
        <w:t>(Contact </w:t>
      </w:r>
      <w:r>
        <w:rPr>
          <w:spacing w:val="-2"/>
        </w:rPr>
        <w:t>Author)</w:t>
      </w:r>
    </w:p>
    <w:p>
      <w:pPr>
        <w:pStyle w:val="BodyText"/>
        <w:spacing w:before="275"/>
        <w:ind w:left="1264" w:right="385" w:hanging="11"/>
        <w:jc w:val="center"/>
      </w:pPr>
      <w:r>
        <w:rPr/>
        <w:t>Dills, Angela College</w:t>
      </w:r>
      <w:r>
        <w:rPr>
          <w:spacing w:val="-15"/>
        </w:rPr>
        <w:t> </w:t>
      </w:r>
      <w:r>
        <w:rPr/>
        <w:t>of</w:t>
      </w:r>
      <w:r>
        <w:rPr>
          <w:spacing w:val="-15"/>
        </w:rPr>
        <w:t> </w:t>
      </w:r>
      <w:r>
        <w:rPr/>
        <w:t>Business</w:t>
      </w:r>
    </w:p>
    <w:p>
      <w:pPr>
        <w:pStyle w:val="BodyText"/>
        <w:spacing w:line="228" w:lineRule="auto" w:before="1"/>
        <w:ind w:left="832"/>
        <w:jc w:val="center"/>
      </w:pPr>
      <w:r>
        <w:rPr/>
        <w:t>Western</w:t>
      </w:r>
      <w:r>
        <w:rPr>
          <w:spacing w:val="-15"/>
        </w:rPr>
        <w:t> </w:t>
      </w:r>
      <w:r>
        <w:rPr/>
        <w:t>Carolina</w:t>
      </w:r>
      <w:r>
        <w:rPr>
          <w:spacing w:val="-15"/>
        </w:rPr>
        <w:t> </w:t>
      </w:r>
      <w:r>
        <w:rPr/>
        <w:t>University Forsyth 224A</w:t>
      </w:r>
    </w:p>
    <w:p>
      <w:pPr>
        <w:pStyle w:val="BodyText"/>
        <w:spacing w:before="12"/>
        <w:ind w:left="1144" w:right="272"/>
        <w:jc w:val="center"/>
      </w:pPr>
      <w:r>
        <w:rPr/>
        <w:t>Cullowhee,</w:t>
      </w:r>
      <w:r>
        <w:rPr>
          <w:spacing w:val="-15"/>
        </w:rPr>
        <w:t> </w:t>
      </w:r>
      <w:r>
        <w:rPr/>
        <w:t>NC</w:t>
      </w:r>
      <w:r>
        <w:rPr>
          <w:spacing w:val="-15"/>
        </w:rPr>
        <w:t> </w:t>
      </w:r>
      <w:r>
        <w:rPr/>
        <w:t>28723 </w:t>
      </w:r>
      <w:hyperlink r:id="rId87">
        <w:r>
          <w:rPr>
            <w:spacing w:val="-2"/>
          </w:rPr>
          <w:t>akdills@wcu.edu</w:t>
        </w:r>
      </w:hyperlink>
      <w:r>
        <w:rPr>
          <w:spacing w:val="-2"/>
        </w:rPr>
        <w:t> 828.227.3329</w:t>
      </w:r>
    </w:p>
    <w:p>
      <w:pPr>
        <w:pStyle w:val="BodyText"/>
        <w:spacing w:before="270"/>
        <w:ind w:left="1264" w:right="385" w:hanging="7"/>
        <w:jc w:val="center"/>
      </w:pPr>
      <w:r>
        <w:rPr/>
        <w:t>Kirkland, Christine College of </w:t>
      </w:r>
      <w:r>
        <w:rPr>
          <w:spacing w:val="-2"/>
        </w:rPr>
        <w:t>Business</w:t>
      </w:r>
    </w:p>
    <w:p>
      <w:pPr>
        <w:pStyle w:val="BodyText"/>
        <w:spacing w:line="228" w:lineRule="auto" w:before="1"/>
        <w:ind w:left="832"/>
        <w:jc w:val="center"/>
      </w:pPr>
      <w:r>
        <w:rPr/>
        <w:t>Western</w:t>
      </w:r>
      <w:r>
        <w:rPr>
          <w:spacing w:val="-15"/>
        </w:rPr>
        <w:t> </w:t>
      </w:r>
      <w:r>
        <w:rPr/>
        <w:t>Carolina</w:t>
      </w:r>
      <w:r>
        <w:rPr>
          <w:spacing w:val="-15"/>
        </w:rPr>
        <w:t> </w:t>
      </w:r>
      <w:r>
        <w:rPr/>
        <w:t>University Forsyth 241</w:t>
      </w:r>
    </w:p>
    <w:p>
      <w:pPr>
        <w:pStyle w:val="BodyText"/>
        <w:spacing w:before="8"/>
        <w:ind w:left="1144" w:right="272"/>
        <w:jc w:val="center"/>
      </w:pPr>
      <w:r>
        <w:rPr/>
        <w:t>Cullowhee,</w:t>
      </w:r>
      <w:r>
        <w:rPr>
          <w:spacing w:val="-15"/>
        </w:rPr>
        <w:t> </w:t>
      </w:r>
      <w:r>
        <w:rPr/>
        <w:t>NC</w:t>
      </w:r>
      <w:r>
        <w:rPr>
          <w:spacing w:val="-15"/>
        </w:rPr>
        <w:t> </w:t>
      </w:r>
      <w:r>
        <w:rPr/>
        <w:t>28723 </w:t>
      </w:r>
      <w:hyperlink r:id="rId88">
        <w:r>
          <w:rPr>
            <w:spacing w:val="-2"/>
          </w:rPr>
          <w:t>ckirkland@wcu.edu</w:t>
        </w:r>
      </w:hyperlink>
      <w:r>
        <w:rPr>
          <w:spacing w:val="-2"/>
        </w:rPr>
        <w:t> 828.227.3009</w:t>
      </w:r>
    </w:p>
    <w:p>
      <w:pPr>
        <w:pStyle w:val="BodyText"/>
        <w:spacing w:line="230" w:lineRule="auto" w:before="269"/>
        <w:ind w:left="1095" w:right="246"/>
        <w:jc w:val="center"/>
      </w:pPr>
      <w:r>
        <w:rPr>
          <w:spacing w:val="-2"/>
        </w:rPr>
        <w:t>Garrido-Lopez, </w:t>
      </w:r>
      <w:r>
        <w:rPr/>
        <w:t>Mariano</w:t>
      </w:r>
      <w:r>
        <w:rPr>
          <w:spacing w:val="-15"/>
        </w:rPr>
        <w:t> </w:t>
      </w:r>
      <w:r>
        <w:rPr/>
        <w:t>College</w:t>
      </w:r>
      <w:r>
        <w:rPr>
          <w:spacing w:val="-15"/>
        </w:rPr>
        <w:t> </w:t>
      </w:r>
      <w:r>
        <w:rPr/>
        <w:t>of </w:t>
      </w:r>
      <w:r>
        <w:rPr>
          <w:spacing w:val="-2"/>
        </w:rPr>
        <w:t>Business</w:t>
      </w:r>
    </w:p>
    <w:p>
      <w:pPr>
        <w:pStyle w:val="BodyText"/>
        <w:spacing w:line="232" w:lineRule="auto" w:before="4"/>
        <w:ind w:left="832"/>
        <w:jc w:val="center"/>
      </w:pPr>
      <w:r>
        <w:rPr/>
        <w:t>Western</w:t>
      </w:r>
      <w:r>
        <w:rPr>
          <w:spacing w:val="-15"/>
        </w:rPr>
        <w:t> </w:t>
      </w:r>
      <w:r>
        <w:rPr/>
        <w:t>Carolina</w:t>
      </w:r>
      <w:r>
        <w:rPr>
          <w:spacing w:val="-15"/>
        </w:rPr>
        <w:t> </w:t>
      </w:r>
      <w:r>
        <w:rPr/>
        <w:t>University Forsyth 104G</w:t>
      </w:r>
    </w:p>
    <w:p>
      <w:pPr>
        <w:pStyle w:val="BodyText"/>
        <w:ind w:left="1125" w:right="291"/>
        <w:jc w:val="center"/>
      </w:pPr>
      <w:r>
        <w:rPr/>
        <w:t>Cullowhee,</w:t>
      </w:r>
      <w:r>
        <w:rPr>
          <w:spacing w:val="-15"/>
        </w:rPr>
        <w:t> </w:t>
      </w:r>
      <w:r>
        <w:rPr/>
        <w:t>NC</w:t>
      </w:r>
      <w:r>
        <w:rPr>
          <w:spacing w:val="-15"/>
        </w:rPr>
        <w:t> </w:t>
      </w:r>
      <w:r>
        <w:rPr/>
        <w:t>28723 </w:t>
      </w:r>
      <w:hyperlink r:id="rId89">
        <w:r>
          <w:rPr>
            <w:spacing w:val="-2"/>
          </w:rPr>
          <w:t>mglopez@wcu.edu</w:t>
        </w:r>
      </w:hyperlink>
      <w:r>
        <w:rPr>
          <w:spacing w:val="-2"/>
        </w:rPr>
        <w:t> 828.227.2889</w:t>
      </w:r>
    </w:p>
    <w:p>
      <w:pPr>
        <w:pStyle w:val="BodyText"/>
      </w:pPr>
      <w:r>
        <w:rPr/>
        <w:br w:type="column"/>
      </w:r>
      <w:r>
        <w:rPr/>
      </w:r>
    </w:p>
    <w:p>
      <w:pPr>
        <w:pStyle w:val="BodyText"/>
      </w:pPr>
    </w:p>
    <w:p>
      <w:pPr>
        <w:pStyle w:val="BodyText"/>
      </w:pPr>
    </w:p>
    <w:p>
      <w:pPr>
        <w:pStyle w:val="BodyText"/>
      </w:pPr>
    </w:p>
    <w:p>
      <w:pPr>
        <w:pStyle w:val="BodyText"/>
      </w:pPr>
    </w:p>
    <w:p>
      <w:pPr>
        <w:pStyle w:val="BodyText"/>
        <w:spacing w:before="90"/>
      </w:pPr>
    </w:p>
    <w:p>
      <w:pPr>
        <w:pStyle w:val="BodyText"/>
        <w:ind w:left="802" w:firstLine="224"/>
      </w:pPr>
      <w:r>
        <w:rPr/>
        <w:t>White,</w:t>
      </w:r>
      <w:r>
        <w:rPr>
          <w:spacing w:val="-15"/>
        </w:rPr>
        <w:t> </w:t>
      </w:r>
      <w:r>
        <w:rPr/>
        <w:t>Barbara</w:t>
      </w:r>
      <w:r>
        <w:rPr>
          <w:spacing w:val="-15"/>
        </w:rPr>
        <w:t> </w:t>
      </w:r>
      <w:r>
        <w:rPr/>
        <w:t>Jo College of </w:t>
      </w:r>
      <w:r>
        <w:rPr>
          <w:spacing w:val="-2"/>
        </w:rPr>
        <w:t>Business</w:t>
      </w:r>
    </w:p>
    <w:p>
      <w:pPr>
        <w:pStyle w:val="BodyText"/>
        <w:ind w:left="321" w:right="31"/>
        <w:jc w:val="center"/>
      </w:pPr>
      <w:r>
        <w:rPr/>
        <w:t>Western</w:t>
      </w:r>
      <w:r>
        <w:rPr>
          <w:spacing w:val="-15"/>
        </w:rPr>
        <w:t> </w:t>
      </w:r>
      <w:r>
        <w:rPr/>
        <w:t>Carolina</w:t>
      </w:r>
      <w:r>
        <w:rPr>
          <w:spacing w:val="-15"/>
        </w:rPr>
        <w:t> </w:t>
      </w:r>
      <w:r>
        <w:rPr/>
        <w:t>University Forsyth 226E</w:t>
      </w:r>
    </w:p>
    <w:p>
      <w:pPr>
        <w:pStyle w:val="BodyText"/>
        <w:spacing w:before="3"/>
        <w:ind w:left="312" w:right="31"/>
        <w:jc w:val="center"/>
      </w:pPr>
      <w:r>
        <w:rPr/>
        <w:t>Cullowhee,</w:t>
      </w:r>
      <w:r>
        <w:rPr>
          <w:spacing w:val="-15"/>
        </w:rPr>
        <w:t> </w:t>
      </w:r>
      <w:r>
        <w:rPr/>
        <w:t>NC</w:t>
      </w:r>
      <w:r>
        <w:rPr>
          <w:spacing w:val="-15"/>
        </w:rPr>
        <w:t> </w:t>
      </w:r>
      <w:r>
        <w:rPr/>
        <w:t>28723 </w:t>
      </w:r>
      <w:hyperlink r:id="rId39">
        <w:r>
          <w:rPr>
            <w:spacing w:val="-2"/>
          </w:rPr>
          <w:t>whiteb@wcu.edu</w:t>
        </w:r>
      </w:hyperlink>
      <w:r>
        <w:rPr>
          <w:spacing w:val="-2"/>
        </w:rPr>
        <w:t> 828.227.7193</w:t>
      </w:r>
    </w:p>
    <w:p>
      <w:pPr>
        <w:pStyle w:val="BodyText"/>
      </w:pPr>
    </w:p>
    <w:p>
      <w:pPr>
        <w:pStyle w:val="BodyText"/>
        <w:ind w:left="802" w:right="528" w:firstLine="3"/>
        <w:jc w:val="center"/>
      </w:pPr>
      <w:r>
        <w:rPr/>
        <w:t>Giordano, Joe College</w:t>
      </w:r>
      <w:r>
        <w:rPr>
          <w:spacing w:val="-15"/>
        </w:rPr>
        <w:t> </w:t>
      </w:r>
      <w:r>
        <w:rPr/>
        <w:t>of</w:t>
      </w:r>
      <w:r>
        <w:rPr>
          <w:spacing w:val="-15"/>
        </w:rPr>
        <w:t> </w:t>
      </w:r>
      <w:r>
        <w:rPr/>
        <w:t>Business</w:t>
      </w:r>
    </w:p>
    <w:p>
      <w:pPr>
        <w:pStyle w:val="BodyText"/>
        <w:ind w:left="321" w:right="31"/>
        <w:jc w:val="center"/>
      </w:pPr>
      <w:r>
        <w:rPr/>
        <w:t>Western</w:t>
      </w:r>
      <w:r>
        <w:rPr>
          <w:spacing w:val="-15"/>
        </w:rPr>
        <w:t> </w:t>
      </w:r>
      <w:r>
        <w:rPr/>
        <w:t>Carolina</w:t>
      </w:r>
      <w:r>
        <w:rPr>
          <w:spacing w:val="-15"/>
        </w:rPr>
        <w:t> </w:t>
      </w:r>
      <w:r>
        <w:rPr/>
        <w:t>University Forsyth 207</w:t>
      </w:r>
    </w:p>
    <w:p>
      <w:pPr>
        <w:pStyle w:val="BodyText"/>
        <w:spacing w:before="11"/>
        <w:ind w:left="312" w:right="31"/>
        <w:jc w:val="center"/>
      </w:pPr>
      <w:r>
        <w:rPr/>
        <w:t>Cullowhee,</w:t>
      </w:r>
      <w:r>
        <w:rPr>
          <w:spacing w:val="-15"/>
        </w:rPr>
        <w:t> </w:t>
      </w:r>
      <w:r>
        <w:rPr/>
        <w:t>NC</w:t>
      </w:r>
      <w:r>
        <w:rPr>
          <w:spacing w:val="-15"/>
        </w:rPr>
        <w:t> </w:t>
      </w:r>
      <w:r>
        <w:rPr/>
        <w:t>28723 </w:t>
      </w:r>
      <w:hyperlink r:id="rId90">
        <w:r>
          <w:rPr>
            <w:spacing w:val="-2"/>
          </w:rPr>
          <w:t>jgiordano@wcu.edu</w:t>
        </w:r>
      </w:hyperlink>
      <w:r>
        <w:rPr>
          <w:spacing w:val="-2"/>
        </w:rPr>
        <w:t> 828.227.3087</w:t>
      </w:r>
    </w:p>
    <w:p>
      <w:pPr>
        <w:pStyle w:val="BodyText"/>
        <w:spacing w:before="270"/>
        <w:ind w:left="606" w:right="317"/>
        <w:jc w:val="center"/>
      </w:pPr>
      <w:r>
        <w:rPr>
          <w:spacing w:val="-2"/>
        </w:rPr>
        <w:t>Alimohammadirokni, </w:t>
      </w:r>
      <w:r>
        <w:rPr/>
        <w:t>Kia College of </w:t>
      </w:r>
      <w:r>
        <w:rPr>
          <w:spacing w:val="-2"/>
        </w:rPr>
        <w:t>Business</w:t>
      </w:r>
    </w:p>
    <w:p>
      <w:pPr>
        <w:pStyle w:val="BodyText"/>
        <w:spacing w:before="1"/>
        <w:ind w:left="321" w:right="31"/>
        <w:jc w:val="center"/>
      </w:pPr>
      <w:r>
        <w:rPr/>
        <w:t>Western</w:t>
      </w:r>
      <w:r>
        <w:rPr>
          <w:spacing w:val="-15"/>
        </w:rPr>
        <w:t> </w:t>
      </w:r>
      <w:r>
        <w:rPr/>
        <w:t>Carolina</w:t>
      </w:r>
      <w:r>
        <w:rPr>
          <w:spacing w:val="-15"/>
        </w:rPr>
        <w:t> </w:t>
      </w:r>
      <w:r>
        <w:rPr/>
        <w:t>University Forsyth 224C</w:t>
      </w:r>
    </w:p>
    <w:p>
      <w:pPr>
        <w:pStyle w:val="BodyText"/>
        <w:spacing w:before="7"/>
        <w:ind w:left="212" w:firstLine="66"/>
        <w:jc w:val="center"/>
      </w:pPr>
      <w:r>
        <w:rPr/>
        <w:t>Cullowhee, NC 28723 </w:t>
      </w:r>
      <w:hyperlink r:id="rId91">
        <w:r>
          <w:rPr>
            <w:spacing w:val="-2"/>
          </w:rPr>
          <w:t>malimohammadirokni@wcu.ed</w:t>
        </w:r>
      </w:hyperlink>
      <w:r>
        <w:rPr>
          <w:spacing w:val="-2"/>
        </w:rPr>
        <w:t> </w:t>
      </w:r>
      <w:r>
        <w:rPr/>
        <w:t>u 828.227.3525</w:t>
      </w:r>
    </w:p>
    <w:p>
      <w:pPr>
        <w:pStyle w:val="BodyText"/>
        <w:spacing w:before="90"/>
        <w:ind w:left="689" w:right="1643" w:firstLine="423"/>
      </w:pPr>
      <w:r>
        <w:rPr/>
        <w:br w:type="column"/>
      </w:r>
      <w:r>
        <w:rPr/>
        <w:t>Hillon, Yue College</w:t>
      </w:r>
      <w:r>
        <w:rPr>
          <w:spacing w:val="-15"/>
        </w:rPr>
        <w:t> </w:t>
      </w:r>
      <w:r>
        <w:rPr/>
        <w:t>of</w:t>
      </w:r>
      <w:r>
        <w:rPr>
          <w:spacing w:val="-15"/>
        </w:rPr>
        <w:t> </w:t>
      </w:r>
      <w:r>
        <w:rPr/>
        <w:t>Business</w:t>
      </w:r>
    </w:p>
    <w:p>
      <w:pPr>
        <w:pStyle w:val="BodyText"/>
        <w:ind w:left="918" w:right="1578" w:hanging="631"/>
      </w:pPr>
      <w:r>
        <w:rPr/>
        <w:t>Western</w:t>
      </w:r>
      <w:r>
        <w:rPr>
          <w:spacing w:val="-15"/>
        </w:rPr>
        <w:t> </w:t>
      </w:r>
      <w:r>
        <w:rPr/>
        <w:t>Carolina</w:t>
      </w:r>
      <w:r>
        <w:rPr>
          <w:spacing w:val="-15"/>
        </w:rPr>
        <w:t> </w:t>
      </w:r>
      <w:r>
        <w:rPr/>
        <w:t>University Forsyth 212A Cullowhee, NC</w:t>
      </w:r>
    </w:p>
    <w:p>
      <w:pPr>
        <w:pStyle w:val="BodyText"/>
        <w:spacing w:before="3"/>
        <w:ind w:left="259" w:right="1542"/>
        <w:jc w:val="center"/>
      </w:pPr>
      <w:r>
        <w:rPr/>
        <w:t>28723 </w:t>
      </w:r>
      <w:hyperlink r:id="rId92">
        <w:r>
          <w:rPr>
            <w:spacing w:val="-2"/>
          </w:rPr>
          <w:t>ycai@wcu.edu</w:t>
        </w:r>
      </w:hyperlink>
    </w:p>
    <w:p>
      <w:pPr>
        <w:pStyle w:val="BodyText"/>
        <w:spacing w:before="6"/>
        <w:ind w:left="259" w:right="1542"/>
        <w:jc w:val="center"/>
      </w:pPr>
      <w:r>
        <w:rPr>
          <w:spacing w:val="-2"/>
        </w:rPr>
        <w:t>828.227.3588</w:t>
      </w:r>
    </w:p>
    <w:p>
      <w:pPr>
        <w:pStyle w:val="BodyText"/>
        <w:spacing w:before="11"/>
      </w:pPr>
    </w:p>
    <w:p>
      <w:pPr>
        <w:pStyle w:val="BodyText"/>
        <w:ind w:left="689" w:right="1643" w:hanging="19"/>
      </w:pPr>
      <w:r>
        <w:rPr/>
        <w:t>Thompson, Erica College</w:t>
      </w:r>
      <w:r>
        <w:rPr>
          <w:spacing w:val="-15"/>
        </w:rPr>
        <w:t> </w:t>
      </w:r>
      <w:r>
        <w:rPr/>
        <w:t>of</w:t>
      </w:r>
      <w:r>
        <w:rPr>
          <w:spacing w:val="-15"/>
        </w:rPr>
        <w:t> </w:t>
      </w:r>
      <w:r>
        <w:rPr/>
        <w:t>Business</w:t>
      </w:r>
    </w:p>
    <w:p>
      <w:pPr>
        <w:pStyle w:val="BodyText"/>
        <w:spacing w:line="244" w:lineRule="auto"/>
        <w:ind w:left="918" w:right="1578" w:hanging="631"/>
      </w:pPr>
      <w:r>
        <w:rPr/>
        <w:t>Western</w:t>
      </w:r>
      <w:r>
        <w:rPr>
          <w:spacing w:val="-15"/>
        </w:rPr>
        <w:t> </w:t>
      </w:r>
      <w:r>
        <w:rPr/>
        <w:t>Carolina</w:t>
      </w:r>
      <w:r>
        <w:rPr>
          <w:spacing w:val="-15"/>
        </w:rPr>
        <w:t> </w:t>
      </w:r>
      <w:r>
        <w:rPr/>
        <w:t>University Forsyth 226I Cullowhee, NC</w:t>
      </w:r>
    </w:p>
    <w:p>
      <w:pPr>
        <w:pStyle w:val="BodyText"/>
        <w:spacing w:line="270" w:lineRule="exact"/>
        <w:ind w:left="259" w:right="1542"/>
        <w:jc w:val="center"/>
      </w:pPr>
      <w:r>
        <w:rPr>
          <w:spacing w:val="-2"/>
        </w:rPr>
        <w:t>28723</w:t>
      </w:r>
    </w:p>
    <w:p>
      <w:pPr>
        <w:pStyle w:val="BodyText"/>
        <w:ind w:left="258" w:right="1542"/>
        <w:jc w:val="center"/>
      </w:pPr>
      <w:hyperlink r:id="rId93">
        <w:r>
          <w:rPr>
            <w:spacing w:val="-2"/>
          </w:rPr>
          <w:t>ethompson@wcu.edu</w:t>
        </w:r>
      </w:hyperlink>
      <w:r>
        <w:rPr>
          <w:spacing w:val="-2"/>
        </w:rPr>
        <w:t> 828.227.2487</w:t>
      </w:r>
    </w:p>
    <w:p>
      <w:pPr>
        <w:pStyle w:val="BodyText"/>
        <w:spacing w:before="5"/>
      </w:pPr>
    </w:p>
    <w:p>
      <w:pPr>
        <w:pStyle w:val="BodyText"/>
        <w:ind w:left="689" w:right="2003" w:firstLine="49"/>
        <w:jc w:val="center"/>
      </w:pPr>
      <w:r>
        <w:rPr/>
        <w:t>Bradbury, Dan R. College of </w:t>
      </w:r>
      <w:r>
        <w:rPr>
          <w:spacing w:val="-2"/>
        </w:rPr>
        <w:t>Business</w:t>
      </w:r>
    </w:p>
    <w:p>
      <w:pPr>
        <w:pStyle w:val="BodyText"/>
        <w:ind w:right="1298"/>
        <w:jc w:val="center"/>
      </w:pPr>
      <w:r>
        <w:rPr/>
        <w:t>Western</w:t>
      </w:r>
      <w:r>
        <w:rPr>
          <w:spacing w:val="-15"/>
        </w:rPr>
        <w:t> </w:t>
      </w:r>
      <w:r>
        <w:rPr/>
        <w:t>Carolina</w:t>
      </w:r>
      <w:r>
        <w:rPr>
          <w:spacing w:val="-15"/>
        </w:rPr>
        <w:t> </w:t>
      </w:r>
      <w:r>
        <w:rPr/>
        <w:t>University Forsyth 321</w:t>
      </w:r>
    </w:p>
    <w:p>
      <w:pPr>
        <w:pStyle w:val="BodyText"/>
        <w:spacing w:before="6"/>
        <w:ind w:left="651" w:right="1934"/>
        <w:jc w:val="center"/>
      </w:pPr>
      <w:r>
        <w:rPr/>
        <w:t>Cullowhee,</w:t>
      </w:r>
      <w:r>
        <w:rPr>
          <w:spacing w:val="-15"/>
        </w:rPr>
        <w:t> </w:t>
      </w:r>
      <w:r>
        <w:rPr/>
        <w:t>NC </w:t>
      </w:r>
      <w:r>
        <w:rPr>
          <w:spacing w:val="-2"/>
        </w:rPr>
        <w:t>28723</w:t>
      </w:r>
    </w:p>
    <w:p>
      <w:pPr>
        <w:pStyle w:val="BodyText"/>
        <w:spacing w:line="249" w:lineRule="auto"/>
        <w:ind w:left="258" w:right="1542"/>
        <w:jc w:val="center"/>
      </w:pPr>
      <w:hyperlink r:id="rId38">
        <w:r>
          <w:rPr>
            <w:spacing w:val="-2"/>
          </w:rPr>
          <w:t>dbradbury@wcu.edu</w:t>
        </w:r>
      </w:hyperlink>
      <w:r>
        <w:rPr>
          <w:spacing w:val="-2"/>
        </w:rPr>
        <w:t> 828.227.3713</w:t>
      </w:r>
    </w:p>
    <w:p>
      <w:pPr>
        <w:pStyle w:val="BodyText"/>
        <w:spacing w:before="259"/>
        <w:ind w:left="689" w:right="2003" w:firstLine="18"/>
        <w:jc w:val="center"/>
      </w:pPr>
      <w:r>
        <w:rPr/>
        <w:t>Large, Rady College</w:t>
      </w:r>
      <w:r>
        <w:rPr>
          <w:spacing w:val="-15"/>
        </w:rPr>
        <w:t> </w:t>
      </w:r>
      <w:r>
        <w:rPr/>
        <w:t>of</w:t>
      </w:r>
      <w:r>
        <w:rPr>
          <w:spacing w:val="-15"/>
        </w:rPr>
        <w:t> </w:t>
      </w:r>
      <w:r>
        <w:rPr/>
        <w:t>Business</w:t>
      </w:r>
    </w:p>
    <w:p>
      <w:pPr>
        <w:pStyle w:val="BodyText"/>
        <w:ind w:right="1298"/>
        <w:jc w:val="center"/>
      </w:pPr>
      <w:r>
        <w:rPr/>
        <w:t>Western</w:t>
      </w:r>
      <w:r>
        <w:rPr>
          <w:spacing w:val="-15"/>
        </w:rPr>
        <w:t> </w:t>
      </w:r>
      <w:r>
        <w:rPr/>
        <w:t>Carolina</w:t>
      </w:r>
      <w:r>
        <w:rPr>
          <w:spacing w:val="-15"/>
        </w:rPr>
        <w:t> </w:t>
      </w:r>
      <w:r>
        <w:rPr/>
        <w:t>University Forsyth 204</w:t>
      </w:r>
    </w:p>
    <w:p>
      <w:pPr>
        <w:pStyle w:val="BodyText"/>
        <w:spacing w:before="2"/>
        <w:ind w:left="651" w:right="1934"/>
        <w:jc w:val="center"/>
      </w:pPr>
      <w:r>
        <w:rPr/>
        <w:t>Cullowhee,</w:t>
      </w:r>
      <w:r>
        <w:rPr>
          <w:spacing w:val="-15"/>
        </w:rPr>
        <w:t> </w:t>
      </w:r>
      <w:r>
        <w:rPr/>
        <w:t>NC </w:t>
      </w:r>
      <w:r>
        <w:rPr>
          <w:spacing w:val="-2"/>
        </w:rPr>
        <w:t>28723</w:t>
      </w:r>
    </w:p>
    <w:p>
      <w:pPr>
        <w:pStyle w:val="BodyText"/>
        <w:ind w:left="258" w:right="1542"/>
        <w:jc w:val="center"/>
      </w:pPr>
      <w:hyperlink r:id="rId94">
        <w:r>
          <w:rPr>
            <w:spacing w:val="-2"/>
          </w:rPr>
          <w:t>larger@wcu.edu</w:t>
        </w:r>
      </w:hyperlink>
      <w:r>
        <w:rPr>
          <w:spacing w:val="-2"/>
        </w:rPr>
        <w:t> 828.227.3632</w:t>
      </w:r>
    </w:p>
    <w:p>
      <w:pPr>
        <w:pStyle w:val="BodyText"/>
        <w:spacing w:after="0"/>
        <w:jc w:val="center"/>
        <w:sectPr>
          <w:type w:val="continuous"/>
          <w:pgSz w:w="12240" w:h="15840"/>
          <w:pgMar w:header="0" w:footer="706" w:top="740" w:bottom="280" w:left="720" w:right="0"/>
          <w:cols w:num="3" w:equalWidth="0">
            <w:col w:w="3573" w:space="40"/>
            <w:col w:w="3253" w:space="39"/>
            <w:col w:w="4615"/>
          </w:cols>
        </w:sectPr>
      </w:pPr>
    </w:p>
    <w:p>
      <w:pPr>
        <w:pStyle w:val="BodyText"/>
        <w:spacing w:before="151"/>
      </w:pPr>
    </w:p>
    <w:p>
      <w:pPr>
        <w:pStyle w:val="BodyText"/>
        <w:ind w:left="693" w:right="2135"/>
      </w:pPr>
      <w:r>
        <w:rPr/>
        <w:t>Key</w:t>
      </w:r>
      <w:r>
        <w:rPr>
          <w:spacing w:val="-7"/>
        </w:rPr>
        <w:t> </w:t>
      </w:r>
      <w:r>
        <w:rPr/>
        <w:t>words</w:t>
      </w:r>
      <w:r>
        <w:rPr>
          <w:spacing w:val="-7"/>
        </w:rPr>
        <w:t> </w:t>
      </w:r>
      <w:r>
        <w:rPr/>
        <w:t>(3-5):</w:t>
      </w:r>
      <w:r>
        <w:rPr>
          <w:spacing w:val="-7"/>
        </w:rPr>
        <w:t> </w:t>
      </w:r>
      <w:r>
        <w:rPr/>
        <w:t>Artificial</w:t>
      </w:r>
      <w:r>
        <w:rPr>
          <w:spacing w:val="-7"/>
        </w:rPr>
        <w:t> </w:t>
      </w:r>
      <w:r>
        <w:rPr/>
        <w:t>Intelligence,</w:t>
      </w:r>
      <w:r>
        <w:rPr>
          <w:spacing w:val="-7"/>
        </w:rPr>
        <w:t> </w:t>
      </w:r>
      <w:r>
        <w:rPr/>
        <w:t>Teaching,</w:t>
      </w:r>
      <w:r>
        <w:rPr>
          <w:spacing w:val="-7"/>
        </w:rPr>
        <w:t> </w:t>
      </w:r>
      <w:r>
        <w:rPr/>
        <w:t>Research,</w:t>
      </w:r>
      <w:r>
        <w:rPr>
          <w:spacing w:val="-7"/>
        </w:rPr>
        <w:t> </w:t>
      </w:r>
      <w:r>
        <w:rPr/>
        <w:t>Faculty</w:t>
      </w:r>
      <w:r>
        <w:rPr>
          <w:spacing w:val="-7"/>
        </w:rPr>
        <w:t> </w:t>
      </w:r>
      <w:r>
        <w:rPr/>
        <w:t>Professional </w:t>
      </w:r>
      <w:r>
        <w:rPr>
          <w:spacing w:val="-2"/>
        </w:rPr>
        <w:t>Development</w:t>
      </w:r>
    </w:p>
    <w:p>
      <w:pPr>
        <w:pStyle w:val="BodyText"/>
        <w:spacing w:before="87"/>
      </w:pPr>
    </w:p>
    <w:p>
      <w:pPr>
        <w:pStyle w:val="BodyText"/>
        <w:spacing w:before="1"/>
        <w:ind w:left="723" w:right="1384"/>
        <w:jc w:val="both"/>
      </w:pPr>
      <w:r>
        <w:rPr/>
        <w:t>Artificial intelligence (AI) (for example, generative AI and large language models) is changing how work is done by professionals in varied industries, and higher education is no </w:t>
      </w:r>
      <w:r>
        <w:rPr/>
        <w:t>exception. Indeed, AI is already employed by faculty members in their teaching and research. Examples in teaching include generating discussion topics (Al-Ali &amp; Miles, 2025) and improving student engagement by tailoring content to students’ learning styles (Aad &amp; Hardey, 2025). As researchers, faculty members are using AI to formulate research topics (Xia et al., 2025) and automate aspects of literature reviews (Ngwenyama &amp; Rowe, 2024). Concerns about the use of</w:t>
      </w:r>
      <w:r>
        <w:rPr>
          <w:spacing w:val="40"/>
        </w:rPr>
        <w:t> </w:t>
      </w:r>
      <w:r>
        <w:rPr/>
        <w:t>AI</w:t>
      </w:r>
      <w:r>
        <w:rPr>
          <w:spacing w:val="30"/>
        </w:rPr>
        <w:t> </w:t>
      </w:r>
      <w:r>
        <w:rPr/>
        <w:t>for</w:t>
      </w:r>
      <w:r>
        <w:rPr>
          <w:spacing w:val="30"/>
        </w:rPr>
        <w:t> </w:t>
      </w:r>
      <w:r>
        <w:rPr/>
        <w:t>teaching</w:t>
      </w:r>
      <w:r>
        <w:rPr>
          <w:spacing w:val="30"/>
        </w:rPr>
        <w:t> </w:t>
      </w:r>
      <w:r>
        <w:rPr/>
        <w:t>and</w:t>
      </w:r>
      <w:r>
        <w:rPr>
          <w:spacing w:val="30"/>
        </w:rPr>
        <w:t> </w:t>
      </w:r>
      <w:r>
        <w:rPr/>
        <w:t>research</w:t>
      </w:r>
      <w:r>
        <w:rPr>
          <w:spacing w:val="30"/>
        </w:rPr>
        <w:t> </w:t>
      </w:r>
      <w:r>
        <w:rPr/>
        <w:t>include</w:t>
      </w:r>
      <w:r>
        <w:rPr>
          <w:spacing w:val="30"/>
        </w:rPr>
        <w:t> </w:t>
      </w:r>
      <w:r>
        <w:rPr/>
        <w:t>hindering</w:t>
      </w:r>
      <w:r>
        <w:rPr>
          <w:spacing w:val="30"/>
        </w:rPr>
        <w:t> </w:t>
      </w:r>
      <w:r>
        <w:rPr/>
        <w:t>students’</w:t>
      </w:r>
      <w:r>
        <w:rPr>
          <w:spacing w:val="30"/>
        </w:rPr>
        <w:t> </w:t>
      </w:r>
      <w:r>
        <w:rPr/>
        <w:t>deep</w:t>
      </w:r>
      <w:r>
        <w:rPr>
          <w:spacing w:val="30"/>
        </w:rPr>
        <w:t> </w:t>
      </w:r>
      <w:r>
        <w:rPr/>
        <w:t>learning</w:t>
      </w:r>
      <w:r>
        <w:rPr>
          <w:spacing w:val="30"/>
        </w:rPr>
        <w:t> </w:t>
      </w:r>
      <w:r>
        <w:rPr/>
        <w:t>(Adeboyo</w:t>
      </w:r>
      <w:r>
        <w:rPr>
          <w:spacing w:val="30"/>
        </w:rPr>
        <w:t> </w:t>
      </w:r>
      <w:r>
        <w:rPr/>
        <w:t>et</w:t>
      </w:r>
      <w:r>
        <w:rPr>
          <w:spacing w:val="15"/>
        </w:rPr>
        <w:t> </w:t>
      </w:r>
      <w:r>
        <w:rPr/>
        <w:t>al.,</w:t>
      </w:r>
      <w:r>
        <w:rPr>
          <w:spacing w:val="15"/>
        </w:rPr>
        <w:t> </w:t>
      </w:r>
      <w:r>
        <w:rPr>
          <w:spacing w:val="-2"/>
        </w:rPr>
        <w:t>2025),</w:t>
      </w:r>
    </w:p>
    <w:p>
      <w:pPr>
        <w:pStyle w:val="BodyText"/>
        <w:spacing w:after="0"/>
        <w:jc w:val="both"/>
        <w:sectPr>
          <w:type w:val="continuous"/>
          <w:pgSz w:w="12240" w:h="15840"/>
          <w:pgMar w:header="0" w:footer="706" w:top="740" w:bottom="280" w:left="720" w:right="0"/>
        </w:sectPr>
      </w:pPr>
    </w:p>
    <w:p>
      <w:pPr>
        <w:pStyle w:val="BodyText"/>
        <w:spacing w:before="60"/>
        <w:ind w:left="723" w:right="1378"/>
        <w:jc w:val="both"/>
      </w:pPr>
      <w:r>
        <w:rPr/>
        <w:t>amplifying biases to the detriment of marginalized groups (Neumann &amp; Gerstl-Pepin, 2025)</w:t>
      </w:r>
      <w:r>
        <w:rPr>
          <w:spacing w:val="-3"/>
        </w:rPr>
        <w:t> </w:t>
      </w:r>
      <w:r>
        <w:rPr/>
        <w:t>and the need for more faculty training to build and maintain expertise on the uses of AI (Al-Ali </w:t>
      </w:r>
      <w:r>
        <w:rPr/>
        <w:t>&amp; Miles, 2025; Xia et al., 2025). While researchers are beginning to examine</w:t>
      </w:r>
      <w:r>
        <w:rPr>
          <w:spacing w:val="-3"/>
        </w:rPr>
        <w:t> </w:t>
      </w:r>
      <w:r>
        <w:rPr/>
        <w:t>issues</w:t>
      </w:r>
      <w:r>
        <w:rPr>
          <w:spacing w:val="-3"/>
        </w:rPr>
        <w:t> </w:t>
      </w:r>
      <w:r>
        <w:rPr/>
        <w:t>around</w:t>
      </w:r>
      <w:r>
        <w:rPr>
          <w:spacing w:val="-3"/>
        </w:rPr>
        <w:t> </w:t>
      </w:r>
      <w:r>
        <w:rPr/>
        <w:t>faculty professional development related to AI (e.g., faculty resistance to using AI (Neumann &amp; Gerstl Pepin, 2025)), there remains a pressing need to understand faculty members’ real-world experiences with such professional development. Hence, we seek to answer the following research</w:t>
      </w:r>
      <w:r>
        <w:rPr>
          <w:spacing w:val="40"/>
        </w:rPr>
        <w:t> </w:t>
      </w:r>
      <w:r>
        <w:rPr/>
        <w:t>question:</w:t>
      </w:r>
    </w:p>
    <w:p>
      <w:pPr>
        <w:pStyle w:val="Heading4"/>
        <w:spacing w:before="166"/>
        <w:ind w:right="1381"/>
      </w:pPr>
      <w:r>
        <w:rPr/>
        <w:t>How</w:t>
      </w:r>
      <w:r>
        <w:rPr>
          <w:spacing w:val="-6"/>
        </w:rPr>
        <w:t> </w:t>
      </w:r>
      <w:r>
        <w:rPr/>
        <w:t>do</w:t>
      </w:r>
      <w:r>
        <w:rPr>
          <w:spacing w:val="-6"/>
        </w:rPr>
        <w:t> </w:t>
      </w:r>
      <w:r>
        <w:rPr/>
        <w:t>faculty</w:t>
      </w:r>
      <w:r>
        <w:rPr>
          <w:spacing w:val="-6"/>
        </w:rPr>
        <w:t> </w:t>
      </w:r>
      <w:r>
        <w:rPr/>
        <w:t>members</w:t>
      </w:r>
      <w:r>
        <w:rPr>
          <w:spacing w:val="-6"/>
        </w:rPr>
        <w:t> </w:t>
      </w:r>
      <w:r>
        <w:rPr/>
        <w:t>respond</w:t>
      </w:r>
      <w:r>
        <w:rPr>
          <w:spacing w:val="-6"/>
        </w:rPr>
        <w:t> </w:t>
      </w:r>
      <w:r>
        <w:rPr/>
        <w:t>to</w:t>
      </w:r>
      <w:r>
        <w:rPr>
          <w:spacing w:val="-6"/>
        </w:rPr>
        <w:t> </w:t>
      </w:r>
      <w:r>
        <w:rPr/>
        <w:t>a</w:t>
      </w:r>
      <w:r>
        <w:rPr>
          <w:spacing w:val="-6"/>
        </w:rPr>
        <w:t> </w:t>
      </w:r>
      <w:r>
        <w:rPr/>
        <w:t>semester-long</w:t>
      </w:r>
      <w:r>
        <w:rPr>
          <w:spacing w:val="-6"/>
        </w:rPr>
        <w:t> </w:t>
      </w:r>
      <w:r>
        <w:rPr/>
        <w:t>professional</w:t>
      </w:r>
      <w:r>
        <w:rPr>
          <w:spacing w:val="-6"/>
        </w:rPr>
        <w:t> </w:t>
      </w:r>
      <w:r>
        <w:rPr/>
        <w:t>development</w:t>
      </w:r>
      <w:r>
        <w:rPr>
          <w:spacing w:val="-6"/>
        </w:rPr>
        <w:t> </w:t>
      </w:r>
      <w:r>
        <w:rPr/>
        <w:t>seminar aimed at building their competencies for using AI in their teaching and research?</w:t>
      </w:r>
    </w:p>
    <w:p>
      <w:pPr>
        <w:pStyle w:val="BodyText"/>
        <w:spacing w:before="166"/>
        <w:ind w:left="723" w:right="1378"/>
        <w:jc w:val="both"/>
      </w:pPr>
      <w:r>
        <w:rPr/>
        <w:t>To develop an in-depth understanding of the issues raised by this research question, we </w:t>
      </w:r>
      <w:r>
        <w:rPr/>
        <w:t>are undertaking a mixed-methods study focused on faculty members enrolled in a professional development seminar sponsored by a university’s college of business during the Spring 2026 semester. First, we are undertaking a collaborative autoethnography (Chang et al., 2016) to critically examine our own lived experiences as faculty taking this seminar. In parallel, we are conducting a qualitative case study investigating the experiences of other faculty members enrolled</w:t>
      </w:r>
      <w:r>
        <w:rPr>
          <w:spacing w:val="40"/>
        </w:rPr>
        <w:t> </w:t>
      </w:r>
      <w:r>
        <w:rPr/>
        <w:t>in the seminar. Incorporating autoethnographic findings from both our own lived experiences, as</w:t>
      </w:r>
      <w:r>
        <w:rPr>
          <w:spacing w:val="40"/>
        </w:rPr>
        <w:t> </w:t>
      </w:r>
      <w:r>
        <w:rPr/>
        <w:t>well as responses from others enrolled in the seminar, should enable us to triangulate findings (Yin, 2009) to produce more trustworthy insights. We anticipate that our findings will be valuable</w:t>
      </w:r>
      <w:r>
        <w:rPr>
          <w:spacing w:val="40"/>
        </w:rPr>
        <w:t> </w:t>
      </w:r>
      <w:r>
        <w:rPr/>
        <w:t>to both those who design and implement future AI professional development activities and to those</w:t>
      </w:r>
      <w:r>
        <w:rPr>
          <w:spacing w:val="40"/>
        </w:rPr>
        <w:t> </w:t>
      </w:r>
      <w:r>
        <w:rPr/>
        <w:t>faculty members enrolled in such activities.</w:t>
      </w:r>
    </w:p>
    <w:p>
      <w:pPr>
        <w:pStyle w:val="Heading4"/>
        <w:spacing w:before="165"/>
      </w:pPr>
      <w:r>
        <w:rPr>
          <w:spacing w:val="-2"/>
        </w:rPr>
        <w:t>References</w:t>
      </w:r>
    </w:p>
    <w:p>
      <w:pPr>
        <w:spacing w:before="159"/>
        <w:ind w:left="1443" w:right="1452" w:hanging="720"/>
        <w:jc w:val="both"/>
        <w:rPr>
          <w:sz w:val="24"/>
        </w:rPr>
      </w:pPr>
      <w:r>
        <w:rPr>
          <w:sz w:val="24"/>
        </w:rPr>
        <w:t>Aad,</w:t>
      </w:r>
      <w:r>
        <w:rPr>
          <w:spacing w:val="-4"/>
          <w:sz w:val="24"/>
        </w:rPr>
        <w:t> </w:t>
      </w:r>
      <w:r>
        <w:rPr>
          <w:sz w:val="24"/>
        </w:rPr>
        <w:t>S.,</w:t>
      </w:r>
      <w:r>
        <w:rPr>
          <w:spacing w:val="-4"/>
          <w:sz w:val="24"/>
        </w:rPr>
        <w:t> </w:t>
      </w:r>
      <w:r>
        <w:rPr>
          <w:sz w:val="24"/>
        </w:rPr>
        <w:t>&amp;</w:t>
      </w:r>
      <w:r>
        <w:rPr>
          <w:spacing w:val="-4"/>
          <w:sz w:val="24"/>
        </w:rPr>
        <w:t> </w:t>
      </w:r>
      <w:r>
        <w:rPr>
          <w:sz w:val="24"/>
        </w:rPr>
        <w:t>Hardey,</w:t>
      </w:r>
      <w:r>
        <w:rPr>
          <w:spacing w:val="-4"/>
          <w:sz w:val="24"/>
        </w:rPr>
        <w:t> </w:t>
      </w:r>
      <w:r>
        <w:rPr>
          <w:sz w:val="24"/>
        </w:rPr>
        <w:t>M.</w:t>
      </w:r>
      <w:r>
        <w:rPr>
          <w:spacing w:val="-4"/>
          <w:sz w:val="24"/>
        </w:rPr>
        <w:t> </w:t>
      </w:r>
      <w:r>
        <w:rPr>
          <w:sz w:val="24"/>
        </w:rPr>
        <w:t>(2025).</w:t>
      </w:r>
      <w:r>
        <w:rPr>
          <w:spacing w:val="-4"/>
          <w:sz w:val="24"/>
        </w:rPr>
        <w:t> </w:t>
      </w:r>
      <w:r>
        <w:rPr>
          <w:sz w:val="24"/>
        </w:rPr>
        <w:t>Generative</w:t>
      </w:r>
      <w:r>
        <w:rPr>
          <w:spacing w:val="-4"/>
          <w:sz w:val="24"/>
        </w:rPr>
        <w:t> </w:t>
      </w:r>
      <w:r>
        <w:rPr>
          <w:sz w:val="24"/>
        </w:rPr>
        <w:t>AI:</w:t>
      </w:r>
      <w:r>
        <w:rPr>
          <w:spacing w:val="-4"/>
          <w:sz w:val="24"/>
        </w:rPr>
        <w:t> </w:t>
      </w:r>
      <w:r>
        <w:rPr>
          <w:sz w:val="24"/>
        </w:rPr>
        <w:t>hopes,</w:t>
      </w:r>
      <w:r>
        <w:rPr>
          <w:spacing w:val="-4"/>
          <w:sz w:val="24"/>
        </w:rPr>
        <w:t> </w:t>
      </w:r>
      <w:r>
        <w:rPr>
          <w:sz w:val="24"/>
        </w:rPr>
        <w:t>controversies</w:t>
      </w:r>
      <w:r>
        <w:rPr>
          <w:spacing w:val="-4"/>
          <w:sz w:val="24"/>
        </w:rPr>
        <w:t> </w:t>
      </w:r>
      <w:r>
        <w:rPr>
          <w:sz w:val="24"/>
        </w:rPr>
        <w:t>and</w:t>
      </w:r>
      <w:r>
        <w:rPr>
          <w:spacing w:val="-4"/>
          <w:sz w:val="24"/>
        </w:rPr>
        <w:t> </w:t>
      </w:r>
      <w:r>
        <w:rPr>
          <w:sz w:val="24"/>
        </w:rPr>
        <w:t>the</w:t>
      </w:r>
      <w:r>
        <w:rPr>
          <w:spacing w:val="-4"/>
          <w:sz w:val="24"/>
        </w:rPr>
        <w:t> </w:t>
      </w:r>
      <w:r>
        <w:rPr>
          <w:sz w:val="24"/>
        </w:rPr>
        <w:t>future</w:t>
      </w:r>
      <w:r>
        <w:rPr>
          <w:spacing w:val="-4"/>
          <w:sz w:val="24"/>
        </w:rPr>
        <w:t> </w:t>
      </w:r>
      <w:r>
        <w:rPr>
          <w:sz w:val="24"/>
        </w:rPr>
        <w:t>of</w:t>
      </w:r>
      <w:r>
        <w:rPr>
          <w:spacing w:val="-4"/>
          <w:sz w:val="24"/>
        </w:rPr>
        <w:t> </w:t>
      </w:r>
      <w:r>
        <w:rPr>
          <w:sz w:val="24"/>
        </w:rPr>
        <w:t>faculty</w:t>
      </w:r>
      <w:r>
        <w:rPr>
          <w:spacing w:val="-4"/>
          <w:sz w:val="24"/>
        </w:rPr>
        <w:t> </w:t>
      </w:r>
      <w:r>
        <w:rPr>
          <w:sz w:val="24"/>
        </w:rPr>
        <w:t>roles in education. </w:t>
      </w:r>
      <w:r>
        <w:rPr>
          <w:i/>
          <w:sz w:val="24"/>
        </w:rPr>
        <w:t>Quality Assurance in Education</w:t>
      </w:r>
      <w:r>
        <w:rPr>
          <w:sz w:val="24"/>
        </w:rPr>
        <w:t>, </w:t>
      </w:r>
      <w:r>
        <w:rPr>
          <w:i/>
          <w:sz w:val="24"/>
        </w:rPr>
        <w:t>33</w:t>
      </w:r>
      <w:r>
        <w:rPr>
          <w:sz w:val="24"/>
        </w:rPr>
        <w:t>(2), 267-282.</w:t>
      </w:r>
    </w:p>
    <w:p>
      <w:pPr>
        <w:pStyle w:val="BodyText"/>
        <w:spacing w:before="167"/>
        <w:ind w:left="1443" w:right="1392" w:hanging="720"/>
        <w:jc w:val="both"/>
      </w:pPr>
      <w:r>
        <w:rPr/>
        <w:t>Adebayo, A., Oyedokun, T., Oladiran, O., Hossain, M., &amp; Jagun, Z. (2025). Analysing the </w:t>
      </w:r>
      <w:r>
        <w:rPr/>
        <w:t>built environment academics’ perceptions of generative AI technology on teaching and</w:t>
      </w:r>
      <w:r>
        <w:rPr>
          <w:spacing w:val="40"/>
        </w:rPr>
        <w:t> </w:t>
      </w:r>
      <w:r>
        <w:rPr/>
        <w:t>learning</w:t>
      </w:r>
      <w:r>
        <w:rPr>
          <w:spacing w:val="40"/>
        </w:rPr>
        <w:t> </w:t>
      </w:r>
      <w:r>
        <w:rPr/>
        <w:t>practice. </w:t>
      </w:r>
      <w:r>
        <w:rPr>
          <w:i/>
        </w:rPr>
        <w:t>Cogent Education, 12</w:t>
      </w:r>
      <w:r>
        <w:rPr/>
        <w:t>(1), 2511034.</w:t>
      </w:r>
    </w:p>
    <w:p>
      <w:pPr>
        <w:spacing w:before="165"/>
        <w:ind w:left="1428" w:right="1379" w:hanging="705"/>
        <w:jc w:val="both"/>
        <w:rPr>
          <w:sz w:val="24"/>
        </w:rPr>
      </w:pPr>
      <w:r>
        <w:rPr>
          <w:sz w:val="24"/>
        </w:rPr>
        <w:t>Al-Ali, S., &amp; Miles, R. (2025). Upskilling teachers to use generative artificial intelligence: </w:t>
      </w:r>
      <w:r>
        <w:rPr>
          <w:sz w:val="24"/>
        </w:rPr>
        <w:t>The TPTP approach for sustainable teacher support and development.</w:t>
      </w:r>
      <w:r>
        <w:rPr>
          <w:spacing w:val="-4"/>
          <w:sz w:val="24"/>
        </w:rPr>
        <w:t> </w:t>
      </w:r>
      <w:r>
        <w:rPr>
          <w:i/>
          <w:sz w:val="24"/>
        </w:rPr>
        <w:t>Australasian</w:t>
      </w:r>
      <w:r>
        <w:rPr>
          <w:i/>
          <w:spacing w:val="-4"/>
          <w:sz w:val="24"/>
        </w:rPr>
        <w:t> </w:t>
      </w:r>
      <w:r>
        <w:rPr>
          <w:i/>
          <w:sz w:val="24"/>
        </w:rPr>
        <w:t>Journal</w:t>
      </w:r>
      <w:r>
        <w:rPr>
          <w:i/>
          <w:spacing w:val="-4"/>
          <w:sz w:val="24"/>
        </w:rPr>
        <w:t> </w:t>
      </w:r>
      <w:r>
        <w:rPr>
          <w:i/>
          <w:sz w:val="24"/>
        </w:rPr>
        <w:t>of</w:t>
      </w:r>
      <w:r>
        <w:rPr>
          <w:i/>
          <w:sz w:val="24"/>
        </w:rPr>
        <w:t> Educational Technology</w:t>
      </w:r>
      <w:r>
        <w:rPr>
          <w:sz w:val="24"/>
        </w:rPr>
        <w:t>, </w:t>
      </w:r>
      <w:r>
        <w:rPr>
          <w:i/>
          <w:sz w:val="24"/>
        </w:rPr>
        <w:t>41</w:t>
      </w:r>
      <w:r>
        <w:rPr>
          <w:sz w:val="24"/>
        </w:rPr>
        <w:t>(1), 88-106.</w:t>
      </w:r>
    </w:p>
    <w:p>
      <w:pPr>
        <w:pStyle w:val="BodyText"/>
        <w:spacing w:before="166"/>
        <w:ind w:left="723"/>
      </w:pPr>
      <w:r>
        <w:rPr/>
        <w:t>Chang,</w:t>
      </w:r>
      <w:r>
        <w:rPr>
          <w:spacing w:val="23"/>
        </w:rPr>
        <w:t> </w:t>
      </w:r>
      <w:r>
        <w:rPr/>
        <w:t>H.,</w:t>
      </w:r>
      <w:r>
        <w:rPr>
          <w:spacing w:val="25"/>
        </w:rPr>
        <w:t> </w:t>
      </w:r>
      <w:r>
        <w:rPr/>
        <w:t>Ngunjiri,</w:t>
      </w:r>
      <w:r>
        <w:rPr>
          <w:spacing w:val="25"/>
        </w:rPr>
        <w:t> </w:t>
      </w:r>
      <w:r>
        <w:rPr/>
        <w:t>F.,</w:t>
      </w:r>
      <w:r>
        <w:rPr>
          <w:spacing w:val="25"/>
        </w:rPr>
        <w:t> </w:t>
      </w:r>
      <w:r>
        <w:rPr/>
        <w:t>&amp;</w:t>
      </w:r>
      <w:r>
        <w:rPr>
          <w:spacing w:val="25"/>
        </w:rPr>
        <w:t> </w:t>
      </w:r>
      <w:r>
        <w:rPr/>
        <w:t>Hernandez,</w:t>
      </w:r>
      <w:r>
        <w:rPr>
          <w:spacing w:val="25"/>
        </w:rPr>
        <w:t> </w:t>
      </w:r>
      <w:r>
        <w:rPr/>
        <w:t>K.A.C.</w:t>
      </w:r>
      <w:r>
        <w:rPr>
          <w:spacing w:val="25"/>
        </w:rPr>
        <w:t> </w:t>
      </w:r>
      <w:r>
        <w:rPr/>
        <w:t>(2016).</w:t>
      </w:r>
      <w:r>
        <w:rPr>
          <w:spacing w:val="11"/>
        </w:rPr>
        <w:t> </w:t>
      </w:r>
      <w:r>
        <w:rPr/>
        <w:t>Collaborative</w:t>
      </w:r>
      <w:r>
        <w:rPr>
          <w:spacing w:val="11"/>
        </w:rPr>
        <w:t> </w:t>
      </w:r>
      <w:r>
        <w:rPr/>
        <w:t>Autoethnography</w:t>
      </w:r>
      <w:r>
        <w:rPr>
          <w:spacing w:val="11"/>
        </w:rPr>
        <w:t> </w:t>
      </w:r>
      <w:r>
        <w:rPr/>
        <w:t>(Vol.</w:t>
      </w:r>
      <w:r>
        <w:rPr>
          <w:spacing w:val="11"/>
        </w:rPr>
        <w:t> </w:t>
      </w:r>
      <w:r>
        <w:rPr>
          <w:spacing w:val="-5"/>
        </w:rPr>
        <w:t>8).</w:t>
      </w:r>
    </w:p>
    <w:p>
      <w:pPr>
        <w:pStyle w:val="BodyText"/>
        <w:ind w:left="1428"/>
      </w:pPr>
      <w:r>
        <w:rPr>
          <w:spacing w:val="-2"/>
        </w:rPr>
        <w:t>Routledge.</w:t>
      </w:r>
    </w:p>
    <w:p>
      <w:pPr>
        <w:spacing w:before="166"/>
        <w:ind w:left="1428" w:right="1380" w:hanging="705"/>
        <w:jc w:val="both"/>
        <w:rPr>
          <w:sz w:val="24"/>
        </w:rPr>
      </w:pPr>
      <w:r>
        <w:rPr>
          <w:sz w:val="24"/>
        </w:rPr>
        <w:t>Neumann, M. D., &amp; Gerstl-Pepin, C. (2025, September). Faculty Responses to Generative </w:t>
      </w:r>
      <w:r>
        <w:rPr>
          <w:sz w:val="24"/>
        </w:rPr>
        <w:t>AI: The</w:t>
      </w:r>
      <w:r>
        <w:rPr>
          <w:spacing w:val="40"/>
          <w:sz w:val="24"/>
        </w:rPr>
        <w:t> </w:t>
      </w:r>
      <w:r>
        <w:rPr>
          <w:sz w:val="24"/>
        </w:rPr>
        <w:t>Shifting Landscape of Higher Education. In</w:t>
      </w:r>
      <w:r>
        <w:rPr>
          <w:spacing w:val="-2"/>
          <w:sz w:val="24"/>
        </w:rPr>
        <w:t> </w:t>
      </w:r>
      <w:r>
        <w:rPr>
          <w:i/>
          <w:sz w:val="24"/>
        </w:rPr>
        <w:t>2025</w:t>
      </w:r>
      <w:r>
        <w:rPr>
          <w:i/>
          <w:spacing w:val="-2"/>
          <w:sz w:val="24"/>
        </w:rPr>
        <w:t> </w:t>
      </w:r>
      <w:r>
        <w:rPr>
          <w:i/>
          <w:sz w:val="24"/>
        </w:rPr>
        <w:t>IEEE</w:t>
      </w:r>
      <w:r>
        <w:rPr>
          <w:i/>
          <w:spacing w:val="-2"/>
          <w:sz w:val="24"/>
        </w:rPr>
        <w:t> </w:t>
      </w:r>
      <w:r>
        <w:rPr>
          <w:i/>
          <w:sz w:val="24"/>
        </w:rPr>
        <w:t>International</w:t>
      </w:r>
      <w:r>
        <w:rPr>
          <w:i/>
          <w:spacing w:val="-2"/>
          <w:sz w:val="24"/>
        </w:rPr>
        <w:t> </w:t>
      </w:r>
      <w:r>
        <w:rPr>
          <w:i/>
          <w:sz w:val="24"/>
        </w:rPr>
        <w:t>Symposium</w:t>
      </w:r>
      <w:r>
        <w:rPr>
          <w:i/>
          <w:spacing w:val="-2"/>
          <w:sz w:val="24"/>
        </w:rPr>
        <w:t> </w:t>
      </w:r>
      <w:r>
        <w:rPr>
          <w:i/>
          <w:sz w:val="24"/>
        </w:rPr>
        <w:t>on</w:t>
      </w:r>
      <w:r>
        <w:rPr>
          <w:i/>
          <w:sz w:val="24"/>
        </w:rPr>
        <w:t> Technology and Society (ISTAS) </w:t>
      </w:r>
      <w:r>
        <w:rPr>
          <w:sz w:val="24"/>
        </w:rPr>
        <w:t>(pp. 1-7). IEEE.</w:t>
      </w:r>
    </w:p>
    <w:p>
      <w:pPr>
        <w:spacing w:before="166"/>
        <w:ind w:left="1428" w:right="1378" w:hanging="705"/>
        <w:jc w:val="both"/>
        <w:rPr>
          <w:sz w:val="24"/>
        </w:rPr>
      </w:pPr>
      <w:r>
        <w:rPr>
          <w:sz w:val="24"/>
        </w:rPr>
        <w:t>Ngwenyama, O., &amp; Rowe, F. (2024). Should we collaborate with AI to conduct </w:t>
      </w:r>
      <w:r>
        <w:rPr>
          <w:sz w:val="24"/>
        </w:rPr>
        <w:t>literature reviews?</w:t>
      </w:r>
      <w:r>
        <w:rPr>
          <w:spacing w:val="40"/>
          <w:sz w:val="24"/>
        </w:rPr>
        <w:t> </w:t>
      </w:r>
      <w:r>
        <w:rPr>
          <w:sz w:val="24"/>
        </w:rPr>
        <w:t>Changing epistemic values in a flattening world. </w:t>
      </w:r>
      <w:r>
        <w:rPr>
          <w:i/>
          <w:sz w:val="24"/>
        </w:rPr>
        <w:t>Journal of</w:t>
      </w:r>
      <w:r>
        <w:rPr>
          <w:i/>
          <w:spacing w:val="-3"/>
          <w:sz w:val="24"/>
        </w:rPr>
        <w:t> </w:t>
      </w:r>
      <w:r>
        <w:rPr>
          <w:i/>
          <w:sz w:val="24"/>
        </w:rPr>
        <w:t>the</w:t>
      </w:r>
      <w:r>
        <w:rPr>
          <w:i/>
          <w:spacing w:val="-3"/>
          <w:sz w:val="24"/>
        </w:rPr>
        <w:t> </w:t>
      </w:r>
      <w:r>
        <w:rPr>
          <w:i/>
          <w:sz w:val="24"/>
        </w:rPr>
        <w:t>Association</w:t>
      </w:r>
      <w:r>
        <w:rPr>
          <w:i/>
          <w:spacing w:val="-3"/>
          <w:sz w:val="24"/>
        </w:rPr>
        <w:t> </w:t>
      </w:r>
      <w:r>
        <w:rPr>
          <w:i/>
          <w:sz w:val="24"/>
        </w:rPr>
        <w:t>for</w:t>
      </w:r>
      <w:r>
        <w:rPr>
          <w:i/>
          <w:sz w:val="24"/>
        </w:rPr>
        <w:t> Information</w:t>
      </w:r>
      <w:r>
        <w:rPr>
          <w:i/>
          <w:spacing w:val="40"/>
          <w:sz w:val="24"/>
        </w:rPr>
        <w:t> </w:t>
      </w:r>
      <w:r>
        <w:rPr>
          <w:i/>
          <w:sz w:val="24"/>
        </w:rPr>
        <w:t>Systems</w:t>
      </w:r>
      <w:r>
        <w:rPr>
          <w:sz w:val="24"/>
        </w:rPr>
        <w:t>, </w:t>
      </w:r>
      <w:r>
        <w:rPr>
          <w:i/>
          <w:sz w:val="24"/>
        </w:rPr>
        <w:t>25</w:t>
      </w:r>
      <w:r>
        <w:rPr>
          <w:sz w:val="24"/>
        </w:rPr>
        <w:t>(1), 122-136.</w:t>
      </w:r>
    </w:p>
    <w:p>
      <w:pPr>
        <w:pStyle w:val="BodyText"/>
        <w:spacing w:before="166"/>
        <w:ind w:left="1428" w:right="1380" w:hanging="705"/>
        <w:jc w:val="both"/>
      </w:pPr>
      <w:r>
        <w:rPr/>
        <w:t>Xia, Q.,</w:t>
      </w:r>
      <w:r>
        <w:rPr>
          <w:spacing w:val="-10"/>
        </w:rPr>
        <w:t> </w:t>
      </w:r>
      <w:r>
        <w:rPr/>
        <w:t>Yang,</w:t>
      </w:r>
      <w:r>
        <w:rPr>
          <w:spacing w:val="-10"/>
        </w:rPr>
        <w:t> </w:t>
      </w:r>
      <w:r>
        <w:rPr/>
        <w:t>Y.,</w:t>
      </w:r>
      <w:r>
        <w:rPr>
          <w:spacing w:val="-10"/>
        </w:rPr>
        <w:t> </w:t>
      </w:r>
      <w:r>
        <w:rPr/>
        <w:t>Weng,</w:t>
      </w:r>
      <w:r>
        <w:rPr>
          <w:spacing w:val="-10"/>
        </w:rPr>
        <w:t> </w:t>
      </w:r>
      <w:r>
        <w:rPr/>
        <w:t>X.,</w:t>
      </w:r>
      <w:r>
        <w:rPr>
          <w:spacing w:val="-10"/>
        </w:rPr>
        <w:t> </w:t>
      </w:r>
      <w:r>
        <w:rPr/>
        <w:t>Cilsalar-Sagnak,</w:t>
      </w:r>
      <w:r>
        <w:rPr>
          <w:spacing w:val="-10"/>
        </w:rPr>
        <w:t> </w:t>
      </w:r>
      <w:r>
        <w:rPr/>
        <w:t>H.,</w:t>
      </w:r>
      <w:r>
        <w:rPr>
          <w:spacing w:val="-10"/>
        </w:rPr>
        <w:t> </w:t>
      </w:r>
      <w:r>
        <w:rPr/>
        <w:t>Cheng,</w:t>
      </w:r>
      <w:r>
        <w:rPr>
          <w:spacing w:val="-10"/>
        </w:rPr>
        <w:t> </w:t>
      </w:r>
      <w:r>
        <w:rPr/>
        <w:t>W.</w:t>
      </w:r>
      <w:r>
        <w:rPr>
          <w:spacing w:val="-10"/>
        </w:rPr>
        <w:t> </w:t>
      </w:r>
      <w:r>
        <w:rPr/>
        <w:t>K.,</w:t>
      </w:r>
      <w:r>
        <w:rPr>
          <w:spacing w:val="-10"/>
        </w:rPr>
        <w:t> </w:t>
      </w:r>
      <w:r>
        <w:rPr/>
        <w:t>&amp;</w:t>
      </w:r>
      <w:r>
        <w:rPr>
          <w:spacing w:val="-10"/>
        </w:rPr>
        <w:t> </w:t>
      </w:r>
      <w:r>
        <w:rPr/>
        <w:t>Chiu,</w:t>
      </w:r>
      <w:r>
        <w:rPr>
          <w:spacing w:val="-10"/>
        </w:rPr>
        <w:t> </w:t>
      </w:r>
      <w:r>
        <w:rPr/>
        <w:t>T.</w:t>
      </w:r>
      <w:r>
        <w:rPr>
          <w:spacing w:val="-10"/>
        </w:rPr>
        <w:t> </w:t>
      </w:r>
      <w:r>
        <w:rPr/>
        <w:t>K.</w:t>
      </w:r>
      <w:r>
        <w:rPr>
          <w:spacing w:val="-10"/>
        </w:rPr>
        <w:t> </w:t>
      </w:r>
      <w:r>
        <w:rPr/>
        <w:t>(2025).</w:t>
      </w:r>
      <w:r>
        <w:rPr>
          <w:spacing w:val="-10"/>
        </w:rPr>
        <w:t> </w:t>
      </w:r>
      <w:r>
        <w:rPr/>
        <w:t>Generative artificial intelligence competency self-efficacy scale for teachers and</w:t>
      </w:r>
      <w:r>
        <w:rPr>
          <w:spacing w:val="-4"/>
        </w:rPr>
        <w:t> </w:t>
      </w:r>
      <w:r>
        <w:rPr/>
        <w:t>researchers</w:t>
      </w:r>
      <w:r>
        <w:rPr>
          <w:spacing w:val="-4"/>
        </w:rPr>
        <w:t> </w:t>
      </w:r>
      <w:r>
        <w:rPr/>
        <w:t>(GAICS TR) in higher education. </w:t>
      </w:r>
      <w:r>
        <w:rPr>
          <w:i/>
        </w:rPr>
        <w:t>Journal of Computers in Education</w:t>
      </w:r>
      <w:r>
        <w:rPr/>
        <w:t>, 1-25.</w:t>
      </w:r>
    </w:p>
    <w:p>
      <w:pPr>
        <w:spacing w:before="166"/>
        <w:ind w:left="723" w:right="0" w:firstLine="0"/>
        <w:jc w:val="left"/>
        <w:rPr>
          <w:sz w:val="24"/>
        </w:rPr>
      </w:pPr>
      <w:r>
        <w:rPr>
          <w:sz w:val="24"/>
        </w:rPr>
        <w:t>Yin,</w:t>
      </w:r>
      <w:r>
        <w:rPr>
          <w:spacing w:val="-5"/>
          <w:sz w:val="24"/>
        </w:rPr>
        <w:t> </w:t>
      </w:r>
      <w:r>
        <w:rPr>
          <w:sz w:val="24"/>
        </w:rPr>
        <w:t>R.K.</w:t>
      </w:r>
      <w:r>
        <w:rPr>
          <w:spacing w:val="-5"/>
          <w:sz w:val="24"/>
        </w:rPr>
        <w:t> </w:t>
      </w:r>
      <w:r>
        <w:rPr>
          <w:sz w:val="24"/>
        </w:rPr>
        <w:t>(2009).</w:t>
      </w:r>
      <w:r>
        <w:rPr>
          <w:spacing w:val="-5"/>
          <w:sz w:val="24"/>
        </w:rPr>
        <w:t> </w:t>
      </w:r>
      <w:r>
        <w:rPr>
          <w:i/>
          <w:sz w:val="24"/>
        </w:rPr>
        <w:t>Case</w:t>
      </w:r>
      <w:r>
        <w:rPr>
          <w:i/>
          <w:spacing w:val="-5"/>
          <w:sz w:val="24"/>
        </w:rPr>
        <w:t> </w:t>
      </w:r>
      <w:r>
        <w:rPr>
          <w:i/>
          <w:sz w:val="24"/>
        </w:rPr>
        <w:t>Study</w:t>
      </w:r>
      <w:r>
        <w:rPr>
          <w:i/>
          <w:spacing w:val="-5"/>
          <w:sz w:val="24"/>
        </w:rPr>
        <w:t> </w:t>
      </w:r>
      <w:r>
        <w:rPr>
          <w:i/>
          <w:sz w:val="24"/>
        </w:rPr>
        <w:t>Research:</w:t>
      </w:r>
      <w:r>
        <w:rPr>
          <w:i/>
          <w:spacing w:val="-5"/>
          <w:sz w:val="24"/>
        </w:rPr>
        <w:t> </w:t>
      </w:r>
      <w:r>
        <w:rPr>
          <w:i/>
          <w:sz w:val="24"/>
        </w:rPr>
        <w:t>Design</w:t>
      </w:r>
      <w:r>
        <w:rPr>
          <w:i/>
          <w:spacing w:val="-5"/>
          <w:sz w:val="24"/>
        </w:rPr>
        <w:t> </w:t>
      </w:r>
      <w:r>
        <w:rPr>
          <w:i/>
          <w:sz w:val="24"/>
        </w:rPr>
        <w:t>and</w:t>
      </w:r>
      <w:r>
        <w:rPr>
          <w:i/>
          <w:spacing w:val="-5"/>
          <w:sz w:val="24"/>
        </w:rPr>
        <w:t> </w:t>
      </w:r>
      <w:r>
        <w:rPr>
          <w:i/>
          <w:sz w:val="24"/>
        </w:rPr>
        <w:t>Methods</w:t>
      </w:r>
      <w:r>
        <w:rPr>
          <w:i/>
          <w:spacing w:val="-5"/>
          <w:sz w:val="24"/>
        </w:rPr>
        <w:t> </w:t>
      </w:r>
      <w:r>
        <w:rPr>
          <w:sz w:val="24"/>
        </w:rPr>
        <w:t>(Vol.</w:t>
      </w:r>
      <w:r>
        <w:rPr>
          <w:spacing w:val="-5"/>
          <w:sz w:val="24"/>
        </w:rPr>
        <w:t> </w:t>
      </w:r>
      <w:r>
        <w:rPr>
          <w:sz w:val="24"/>
        </w:rPr>
        <w:t>5).</w:t>
      </w:r>
      <w:r>
        <w:rPr>
          <w:spacing w:val="-4"/>
          <w:sz w:val="24"/>
        </w:rPr>
        <w:t> </w:t>
      </w:r>
      <w:r>
        <w:rPr>
          <w:spacing w:val="-2"/>
          <w:sz w:val="24"/>
        </w:rPr>
        <w:t>Sage.</w:t>
      </w:r>
    </w:p>
    <w:p>
      <w:pPr>
        <w:spacing w:after="0"/>
        <w:jc w:val="left"/>
        <w:rPr>
          <w:sz w:val="24"/>
        </w:rPr>
        <w:sectPr>
          <w:pgSz w:w="12240" w:h="15840"/>
          <w:pgMar w:header="0" w:footer="706" w:top="640" w:bottom="960" w:left="720" w:right="0"/>
        </w:sectPr>
      </w:pPr>
    </w:p>
    <w:p>
      <w:pPr>
        <w:pStyle w:val="Heading3"/>
        <w:spacing w:line="228" w:lineRule="auto" w:before="82"/>
        <w:ind w:left="2937" w:hanging="1976"/>
        <w:jc w:val="left"/>
      </w:pPr>
      <w:bookmarkStart w:name="How are Ethics and Leadership Perceived " w:id="60"/>
      <w:bookmarkEnd w:id="60"/>
      <w:r>
        <w:rPr>
          <w:b w:val="0"/>
        </w:rPr>
      </w:r>
      <w:bookmarkStart w:name="h.7i0xboabuvd3" w:id="61"/>
      <w:bookmarkEnd w:id="61"/>
      <w:r>
        <w:rPr>
          <w:b w:val="0"/>
        </w:rPr>
      </w:r>
      <w:r>
        <w:rPr/>
        <w:t>How</w:t>
      </w:r>
      <w:r>
        <w:rPr>
          <w:spacing w:val="-6"/>
        </w:rPr>
        <w:t> </w:t>
      </w:r>
      <w:r>
        <w:rPr/>
        <w:t>are</w:t>
      </w:r>
      <w:r>
        <w:rPr>
          <w:spacing w:val="-6"/>
        </w:rPr>
        <w:t> </w:t>
      </w:r>
      <w:r>
        <w:rPr/>
        <w:t>Ethics</w:t>
      </w:r>
      <w:r>
        <w:rPr>
          <w:spacing w:val="-6"/>
        </w:rPr>
        <w:t> </w:t>
      </w:r>
      <w:r>
        <w:rPr/>
        <w:t>and</w:t>
      </w:r>
      <w:r>
        <w:rPr>
          <w:spacing w:val="-6"/>
        </w:rPr>
        <w:t> </w:t>
      </w:r>
      <w:r>
        <w:rPr/>
        <w:t>Leadership</w:t>
      </w:r>
      <w:r>
        <w:rPr>
          <w:spacing w:val="-6"/>
        </w:rPr>
        <w:t> </w:t>
      </w:r>
      <w:r>
        <w:rPr/>
        <w:t>Perceived</w:t>
      </w:r>
      <w:r>
        <w:rPr>
          <w:spacing w:val="-6"/>
        </w:rPr>
        <w:t> </w:t>
      </w:r>
      <w:r>
        <w:rPr/>
        <w:t>Differently</w:t>
      </w:r>
      <w:r>
        <w:rPr>
          <w:spacing w:val="-6"/>
        </w:rPr>
        <w:t> </w:t>
      </w:r>
      <w:r>
        <w:rPr/>
        <w:t>in</w:t>
      </w:r>
      <w:r>
        <w:rPr>
          <w:spacing w:val="-6"/>
        </w:rPr>
        <w:t> </w:t>
      </w:r>
      <w:r>
        <w:rPr/>
        <w:t>Accounting</w:t>
      </w:r>
      <w:r>
        <w:rPr>
          <w:spacing w:val="40"/>
        </w:rPr>
        <w:t> </w:t>
      </w:r>
      <w:r>
        <w:rPr/>
        <w:t>Firms with Different Organizational Structures?</w:t>
      </w:r>
    </w:p>
    <w:p>
      <w:pPr>
        <w:pStyle w:val="BodyText"/>
        <w:spacing w:before="292"/>
        <w:ind w:right="339"/>
        <w:jc w:val="center"/>
      </w:pPr>
      <w:r>
        <w:rPr/>
        <w:t>Peyton</w:t>
      </w:r>
      <w:r>
        <w:rPr>
          <w:spacing w:val="-3"/>
        </w:rPr>
        <w:t> </w:t>
      </w:r>
      <w:r>
        <w:rPr/>
        <w:t>Getsy,</w:t>
      </w:r>
      <w:r>
        <w:rPr>
          <w:spacing w:val="-3"/>
        </w:rPr>
        <w:t> </w:t>
      </w:r>
      <w:r>
        <w:rPr/>
        <w:t>Melissa</w:t>
      </w:r>
      <w:r>
        <w:rPr>
          <w:spacing w:val="-2"/>
        </w:rPr>
        <w:t> </w:t>
      </w:r>
      <w:r>
        <w:rPr/>
        <w:t>Carsten</w:t>
      </w:r>
      <w:r>
        <w:rPr>
          <w:spacing w:val="-3"/>
        </w:rPr>
        <w:t> </w:t>
      </w:r>
      <w:r>
        <w:rPr/>
        <w:t>and</w:t>
      </w:r>
      <w:r>
        <w:rPr>
          <w:spacing w:val="-3"/>
        </w:rPr>
        <w:t> </w:t>
      </w:r>
      <w:r>
        <w:rPr/>
        <w:t>Santosh</w:t>
      </w:r>
      <w:r>
        <w:rPr>
          <w:spacing w:val="-2"/>
        </w:rPr>
        <w:t> Nandi</w:t>
      </w:r>
    </w:p>
    <w:p>
      <w:pPr>
        <w:pStyle w:val="BodyText"/>
        <w:spacing w:before="10"/>
      </w:pPr>
    </w:p>
    <w:p>
      <w:pPr>
        <w:pStyle w:val="BodyText"/>
        <w:ind w:left="723" w:right="1364"/>
        <w:jc w:val="both"/>
      </w:pPr>
      <w:r>
        <w:rPr/>
        <w:t>Organizational structures have a big impact on an organization and are highly prioritized</w:t>
      </w:r>
      <w:r>
        <w:rPr>
          <w:spacing w:val="40"/>
        </w:rPr>
        <w:t> </w:t>
      </w:r>
      <w:r>
        <w:rPr/>
        <w:t>in corporate environments. Conducting this study will highlight the differences and similarities between flat and hierarchical structures, analyze how leadership and ethics are affected, and determine whether the overall organizational environment is good or</w:t>
      </w:r>
      <w:r>
        <w:rPr>
          <w:spacing w:val="-4"/>
        </w:rPr>
        <w:t> </w:t>
      </w:r>
      <w:r>
        <w:rPr/>
        <w:t>bad.</w:t>
      </w:r>
      <w:r>
        <w:rPr>
          <w:spacing w:val="-4"/>
        </w:rPr>
        <w:t> </w:t>
      </w:r>
      <w:r>
        <w:rPr/>
        <w:t>Specifically,</w:t>
      </w:r>
      <w:r>
        <w:rPr>
          <w:spacing w:val="-4"/>
        </w:rPr>
        <w:t> </w:t>
      </w:r>
      <w:r>
        <w:rPr/>
        <w:t>this</w:t>
      </w:r>
      <w:r>
        <w:rPr>
          <w:spacing w:val="-4"/>
        </w:rPr>
        <w:t> </w:t>
      </w:r>
      <w:r>
        <w:rPr/>
        <w:t>study will examine different leadership styles,such as authoritarian and transformational, and how that affects a firm. The main objective of this study is to provide a deeper understanding of how accounting firms' structure affects leadership and ethics, while also providing a different direct point of view for future research studies.</w:t>
      </w:r>
    </w:p>
    <w:p>
      <w:pPr>
        <w:pStyle w:val="BodyText"/>
        <w:spacing w:before="168"/>
        <w:ind w:left="723" w:right="1404"/>
        <w:jc w:val="both"/>
      </w:pPr>
      <w:r>
        <w:rPr/>
        <w:t>This study will provide important information to companies on many levels. This research </w:t>
      </w:r>
      <w:r>
        <w:rPr/>
        <w:t>will cover the topics of leadership, ethics, and how flat vs.</w:t>
      </w:r>
      <w:r>
        <w:rPr>
          <w:spacing w:val="-3"/>
        </w:rPr>
        <w:t> </w:t>
      </w:r>
      <w:r>
        <w:rPr/>
        <w:t>hierarchical</w:t>
      </w:r>
      <w:r>
        <w:rPr>
          <w:spacing w:val="-3"/>
        </w:rPr>
        <w:t> </w:t>
      </w:r>
      <w:r>
        <w:rPr/>
        <w:t>structures</w:t>
      </w:r>
      <w:r>
        <w:rPr>
          <w:spacing w:val="-3"/>
        </w:rPr>
        <w:t> </w:t>
      </w:r>
      <w:r>
        <w:rPr/>
        <w:t>affect</w:t>
      </w:r>
      <w:r>
        <w:rPr>
          <w:spacing w:val="40"/>
        </w:rPr>
        <w:t> </w:t>
      </w:r>
      <w:r>
        <w:rPr/>
        <w:t>these</w:t>
      </w:r>
      <w:r>
        <w:rPr>
          <w:spacing w:val="-3"/>
        </w:rPr>
        <w:t> </w:t>
      </w:r>
      <w:r>
        <w:rPr/>
        <w:t>topics. These subjects are important in the workplace as they heavily affect things such as communication, efficiency, and overall workplace performance.</w:t>
      </w:r>
    </w:p>
    <w:p>
      <w:pPr>
        <w:pStyle w:val="BodyText"/>
        <w:spacing w:before="174"/>
        <w:ind w:left="723" w:right="1378"/>
        <w:jc w:val="both"/>
      </w:pPr>
      <w:r>
        <w:rPr/>
        <w:t>This study will survey participants working in various structural environments to assess</w:t>
      </w:r>
      <w:r>
        <w:rPr>
          <w:spacing w:val="40"/>
        </w:rPr>
        <w:t> </w:t>
      </w:r>
      <w:r>
        <w:rPr/>
        <w:t>their perceptions of leadership and ethics. We will analyze differences among participants in flat</w:t>
      </w:r>
      <w:r>
        <w:rPr>
          <w:spacing w:val="40"/>
        </w:rPr>
        <w:t> </w:t>
      </w:r>
      <w:r>
        <w:rPr/>
        <w:t>vs. hierarchical structures</w:t>
      </w:r>
      <w:r>
        <w:rPr>
          <w:spacing w:val="-4"/>
        </w:rPr>
        <w:t> </w:t>
      </w:r>
      <w:r>
        <w:rPr/>
        <w:t>for</w:t>
      </w:r>
      <w:r>
        <w:rPr>
          <w:spacing w:val="-4"/>
        </w:rPr>
        <w:t> </w:t>
      </w:r>
      <w:r>
        <w:rPr/>
        <w:t>perceptions</w:t>
      </w:r>
      <w:r>
        <w:rPr>
          <w:spacing w:val="-4"/>
        </w:rPr>
        <w:t> </w:t>
      </w:r>
      <w:r>
        <w:rPr/>
        <w:t>of</w:t>
      </w:r>
      <w:r>
        <w:rPr>
          <w:spacing w:val="-4"/>
        </w:rPr>
        <w:t> </w:t>
      </w:r>
      <w:r>
        <w:rPr/>
        <w:t>leadership</w:t>
      </w:r>
      <w:r>
        <w:rPr>
          <w:spacing w:val="-4"/>
        </w:rPr>
        <w:t> </w:t>
      </w:r>
      <w:r>
        <w:rPr/>
        <w:t>and</w:t>
      </w:r>
      <w:r>
        <w:rPr>
          <w:spacing w:val="-4"/>
        </w:rPr>
        <w:t> </w:t>
      </w:r>
      <w:r>
        <w:rPr/>
        <w:t>ethical</w:t>
      </w:r>
      <w:r>
        <w:rPr>
          <w:spacing w:val="-4"/>
        </w:rPr>
        <w:t> </w:t>
      </w:r>
      <w:r>
        <w:rPr/>
        <w:t>behavior,</w:t>
      </w:r>
      <w:r>
        <w:rPr>
          <w:spacing w:val="-4"/>
        </w:rPr>
        <w:t> </w:t>
      </w:r>
      <w:r>
        <w:rPr/>
        <w:t>with</w:t>
      </w:r>
      <w:r>
        <w:rPr>
          <w:spacing w:val="-4"/>
        </w:rPr>
        <w:t> </w:t>
      </w:r>
      <w:r>
        <w:rPr/>
        <w:t>the</w:t>
      </w:r>
      <w:r>
        <w:rPr>
          <w:spacing w:val="-4"/>
        </w:rPr>
        <w:t> </w:t>
      </w:r>
      <w:r>
        <w:rPr/>
        <w:t>hypothesis</w:t>
      </w:r>
      <w:r>
        <w:rPr>
          <w:spacing w:val="40"/>
        </w:rPr>
        <w:t> </w:t>
      </w:r>
      <w:r>
        <w:rPr/>
        <w:t>that employees in hierarchical structures will see their leadership as more authoritarian.</w:t>
      </w:r>
    </w:p>
    <w:p>
      <w:pPr>
        <w:pStyle w:val="BodyText"/>
        <w:spacing w:before="6"/>
        <w:ind w:left="723" w:right="1364"/>
        <w:jc w:val="both"/>
      </w:pPr>
      <w:r>
        <w:rPr/>
        <w:t>Employees in these environments may also be less likely to report unethical behavior. The </w:t>
      </w:r>
      <w:r>
        <w:rPr/>
        <w:t>steps for this data collection process are as follows: collect the data, prep/clean the data, and then conclude the data. The study uses reliable websites and sources from AppStates' library search. After collecting data from various unbiased sources and reviewing it, isolating the information that directly relates to or answers the topic of flat vs. hierarchical structures will allow for a comparison of the two.</w:t>
      </w:r>
    </w:p>
    <w:p>
      <w:pPr>
        <w:pStyle w:val="BodyText"/>
        <w:spacing w:before="162"/>
        <w:ind w:left="723" w:right="1378"/>
        <w:jc w:val="both"/>
      </w:pPr>
      <w:r>
        <w:rPr/>
        <w:t>The data that the study aims to produce will provide a better understanding of the</w:t>
      </w:r>
      <w:r>
        <w:rPr>
          <w:spacing w:val="40"/>
        </w:rPr>
        <w:t> </w:t>
      </w:r>
      <w:r>
        <w:rPr/>
        <w:t>relationship between corporate structure and ethical perceptions, drawing conclusions for</w:t>
      </w:r>
      <w:r>
        <w:rPr>
          <w:spacing w:val="40"/>
        </w:rPr>
        <w:t> </w:t>
      </w:r>
      <w:r>
        <w:rPr/>
        <w:t>professionals in leadership or management positions. This study's findings will greatly impact</w:t>
      </w:r>
      <w:r>
        <w:rPr>
          <w:spacing w:val="40"/>
        </w:rPr>
        <w:t> </w:t>
      </w:r>
      <w:r>
        <w:rPr/>
        <w:t>corporations’ decisions and strategies and will serve as useful insight into the importance of</w:t>
      </w:r>
      <w:r>
        <w:rPr>
          <w:spacing w:val="40"/>
        </w:rPr>
        <w:t> </w:t>
      </w:r>
      <w:r>
        <w:rPr/>
        <w:t>fostering an environment where the structure matches the leadership</w:t>
      </w:r>
      <w:r>
        <w:rPr>
          <w:spacing w:val="-4"/>
        </w:rPr>
        <w:t> </w:t>
      </w:r>
      <w:r>
        <w:rPr/>
        <w:t>and</w:t>
      </w:r>
      <w:r>
        <w:rPr>
          <w:spacing w:val="-4"/>
        </w:rPr>
        <w:t> </w:t>
      </w:r>
      <w:r>
        <w:rPr/>
        <w:t>culture.</w:t>
      </w:r>
      <w:r>
        <w:rPr>
          <w:spacing w:val="-4"/>
        </w:rPr>
        <w:t> </w:t>
      </w:r>
      <w:r>
        <w:rPr/>
        <w:t>Traditionally,</w:t>
      </w:r>
      <w:r>
        <w:rPr>
          <w:spacing w:val="-4"/>
        </w:rPr>
        <w:t> </w:t>
      </w:r>
      <w:r>
        <w:rPr/>
        <w:t>a</w:t>
      </w:r>
      <w:r>
        <w:rPr>
          <w:spacing w:val="40"/>
        </w:rPr>
        <w:t> </w:t>
      </w:r>
      <w:r>
        <w:rPr/>
        <w:t>hierarchical structure will have less communication, which allows for more ethical violations to</w:t>
      </w:r>
      <w:r>
        <w:rPr>
          <w:spacing w:val="40"/>
        </w:rPr>
        <w:t> </w:t>
      </w:r>
      <w:r>
        <w:rPr/>
        <w:t>go unreported.</w:t>
      </w:r>
      <w:r>
        <w:rPr>
          <w:spacing w:val="40"/>
        </w:rPr>
        <w:t> </w:t>
      </w:r>
      <w:r>
        <w:rPr/>
        <w:t>Flat structures tend to have more psychological safety, making it easier for</w:t>
      </w:r>
      <w:r>
        <w:rPr>
          <w:spacing w:val="40"/>
        </w:rPr>
        <w:t> </w:t>
      </w:r>
      <w:r>
        <w:rPr/>
        <w:t>employees to voice concerns in unethical situations. Although a hierarchical structure may be more rigid with rules, workers will still break them. The fundamental question is: how comfortable do workers feel talking about unethical behavior, and how does that comfort level relate to corporate structure?</w:t>
      </w:r>
    </w:p>
    <w:p>
      <w:pPr>
        <w:pStyle w:val="BodyText"/>
        <w:spacing w:after="0"/>
        <w:jc w:val="both"/>
        <w:sectPr>
          <w:pgSz w:w="12240" w:h="15840"/>
          <w:pgMar w:header="0" w:footer="706" w:top="620" w:bottom="960" w:left="720" w:right="0"/>
        </w:sectPr>
      </w:pPr>
    </w:p>
    <w:p>
      <w:pPr>
        <w:pStyle w:val="Heading3"/>
        <w:ind w:left="2859" w:right="2135" w:hanging="1824"/>
        <w:jc w:val="left"/>
      </w:pPr>
      <w:bookmarkStart w:name="Be Careful What You Wish For: Intrinsic " w:id="62"/>
      <w:bookmarkEnd w:id="62"/>
      <w:r>
        <w:rPr>
          <w:b w:val="0"/>
        </w:rPr>
      </w:r>
      <w:r>
        <w:rPr/>
        <w:t>Be</w:t>
      </w:r>
      <w:r>
        <w:rPr>
          <w:spacing w:val="-11"/>
        </w:rPr>
        <w:t> </w:t>
      </w:r>
      <w:r>
        <w:rPr/>
        <w:t>Careful</w:t>
      </w:r>
      <w:r>
        <w:rPr>
          <w:spacing w:val="-11"/>
        </w:rPr>
        <w:t> </w:t>
      </w:r>
      <w:r>
        <w:rPr/>
        <w:t>What</w:t>
      </w:r>
      <w:r>
        <w:rPr>
          <w:spacing w:val="-11"/>
        </w:rPr>
        <w:t> </w:t>
      </w:r>
      <w:r>
        <w:rPr/>
        <w:t>You</w:t>
      </w:r>
      <w:r>
        <w:rPr>
          <w:spacing w:val="-11"/>
        </w:rPr>
        <w:t> </w:t>
      </w:r>
      <w:r>
        <w:rPr/>
        <w:t>Wish</w:t>
      </w:r>
      <w:r>
        <w:rPr>
          <w:spacing w:val="-11"/>
        </w:rPr>
        <w:t> </w:t>
      </w:r>
      <w:r>
        <w:rPr/>
        <w:t>For:</w:t>
      </w:r>
      <w:r>
        <w:rPr>
          <w:spacing w:val="-11"/>
        </w:rPr>
        <w:t> </w:t>
      </w:r>
      <w:r>
        <w:rPr/>
        <w:t>Intrinsic</w:t>
      </w:r>
      <w:r>
        <w:rPr>
          <w:spacing w:val="-11"/>
        </w:rPr>
        <w:t> </w:t>
      </w:r>
      <w:r>
        <w:rPr/>
        <w:t>Motivation,</w:t>
      </w:r>
      <w:r>
        <w:rPr>
          <w:spacing w:val="-11"/>
        </w:rPr>
        <w:t> </w:t>
      </w:r>
      <w:r>
        <w:rPr/>
        <w:t>Professional </w:t>
      </w:r>
      <w:bookmarkStart w:name="h.mxy4ro7up354" w:id="63"/>
      <w:bookmarkEnd w:id="63"/>
      <w:r>
        <w:rPr/>
        <w:t>V</w:t>
      </w:r>
      <w:r>
        <w:rPr/>
        <w:t>alues, and the Accounting Pipeline</w:t>
      </w:r>
    </w:p>
    <w:p>
      <w:pPr>
        <w:pStyle w:val="BodyText"/>
        <w:spacing w:before="291"/>
        <w:ind w:right="339"/>
        <w:jc w:val="center"/>
      </w:pPr>
      <w:r>
        <w:rPr/>
        <w:t>Joseph Giordano, Joseph Hashem and Gloria </w:t>
      </w:r>
      <w:r>
        <w:rPr>
          <w:spacing w:val="-2"/>
        </w:rPr>
        <w:t>Sapounova</w:t>
      </w:r>
    </w:p>
    <w:p>
      <w:pPr>
        <w:pStyle w:val="BodyText"/>
        <w:spacing w:before="235"/>
        <w:ind w:left="723" w:right="1381"/>
        <w:jc w:val="both"/>
      </w:pPr>
      <w:r>
        <w:rPr/>
        <w:t>Accounting has a reputation as a stable-if not stodgy career path, however a recent decline</w:t>
      </w:r>
      <w:r>
        <w:rPr>
          <w:spacing w:val="40"/>
        </w:rPr>
        <w:t> </w:t>
      </w:r>
      <w:r>
        <w:rPr/>
        <w:t>in university student interest has raised fears of a global labor shortage. Between 2020 and 2022, undergraduate accounting enrollments dropped by 9.4% leading to discussions of a “pipeline crisis” (Bailey, Loftus, &amp; McCoy, 2023; Dawkins &amp; Dugan, 2022; Dawkins, 2023; Dresnack, 2022; Holmes, Foshee &amp; de Jesus Elizondo Montemayor, 2022; Suryani, Helliar, Carter, &amp; Medlin,</w:t>
      </w:r>
      <w:r>
        <w:rPr>
          <w:spacing w:val="40"/>
        </w:rPr>
        <w:t> </w:t>
      </w:r>
      <w:r>
        <w:rPr/>
        <w:t>2018). In response, stakeholders are exploring ways</w:t>
      </w:r>
      <w:r>
        <w:rPr>
          <w:spacing w:val="-3"/>
        </w:rPr>
        <w:t> </w:t>
      </w:r>
      <w:r>
        <w:rPr/>
        <w:t>to</w:t>
      </w:r>
      <w:r>
        <w:rPr>
          <w:spacing w:val="-3"/>
        </w:rPr>
        <w:t> </w:t>
      </w:r>
      <w:r>
        <w:rPr/>
        <w:t>make</w:t>
      </w:r>
      <w:r>
        <w:rPr>
          <w:spacing w:val="-3"/>
        </w:rPr>
        <w:t> </w:t>
      </w:r>
      <w:r>
        <w:rPr/>
        <w:t>the</w:t>
      </w:r>
      <w:r>
        <w:rPr>
          <w:spacing w:val="-3"/>
        </w:rPr>
        <w:t> </w:t>
      </w:r>
      <w:r>
        <w:rPr/>
        <w:t>field</w:t>
      </w:r>
      <w:r>
        <w:rPr>
          <w:spacing w:val="-3"/>
        </w:rPr>
        <w:t> </w:t>
      </w:r>
      <w:r>
        <w:rPr/>
        <w:t>more</w:t>
      </w:r>
      <w:r>
        <w:rPr>
          <w:spacing w:val="-3"/>
        </w:rPr>
        <w:t> </w:t>
      </w:r>
      <w:r>
        <w:rPr/>
        <w:t>attractive</w:t>
      </w:r>
      <w:r>
        <w:rPr>
          <w:spacing w:val="-3"/>
        </w:rPr>
        <w:t> </w:t>
      </w:r>
      <w:r>
        <w:rPr/>
        <w:t>to prospective students, most notably by reducing the educational requirements to become a CPA and</w:t>
      </w:r>
      <w:r>
        <w:rPr>
          <w:spacing w:val="40"/>
        </w:rPr>
        <w:t> </w:t>
      </w:r>
      <w:r>
        <w:rPr/>
        <w:t>emphasizing higher salaries and work-life balance (AICPA, 2025; Hagy, 2025; National Pipeline</w:t>
      </w:r>
      <w:r>
        <w:rPr>
          <w:spacing w:val="40"/>
        </w:rPr>
        <w:t> </w:t>
      </w:r>
      <w:r>
        <w:rPr/>
        <w:t>Advisory Group, 2024).</w:t>
      </w:r>
    </w:p>
    <w:p>
      <w:pPr>
        <w:pStyle w:val="BodyText"/>
        <w:spacing w:before="211"/>
        <w:ind w:left="723" w:right="1382"/>
        <w:jc w:val="both"/>
      </w:pPr>
      <w:r>
        <w:rPr/>
        <w:t>While lowering the educational requirements may remove perceived barriers of entry, it </w:t>
      </w:r>
      <w:r>
        <w:rPr/>
        <w:t>is unknown how reducing educational requirements will impact the nature of the profession. For example, would accountants lured to a faster, arguably less rigorous, path to CPA licensure possess</w:t>
      </w:r>
      <w:r>
        <w:rPr>
          <w:spacing w:val="40"/>
        </w:rPr>
        <w:t> </w:t>
      </w:r>
      <w:r>
        <w:rPr/>
        <w:t>fidelity to the public rather than commercial or self-interests?</w:t>
      </w:r>
    </w:p>
    <w:p>
      <w:pPr>
        <w:pStyle w:val="BodyText"/>
        <w:spacing w:before="212"/>
        <w:ind w:left="723" w:right="1378"/>
        <w:jc w:val="both"/>
      </w:pPr>
      <w:r>
        <w:rPr/>
        <w:t>This study examines whether industry-wide efforts to increase accounting interest</w:t>
      </w:r>
      <w:r>
        <w:rPr>
          <w:spacing w:val="-3"/>
        </w:rPr>
        <w:t> </w:t>
      </w:r>
      <w:r>
        <w:rPr/>
        <w:t>by</w:t>
      </w:r>
      <w:r>
        <w:rPr>
          <w:spacing w:val="40"/>
        </w:rPr>
        <w:t> </w:t>
      </w:r>
      <w:r>
        <w:rPr/>
        <w:t>promoting the extrinsic benefits of accounting affect the motivation of new entrants to the</w:t>
      </w:r>
      <w:r>
        <w:rPr>
          <w:spacing w:val="40"/>
        </w:rPr>
        <w:t> </w:t>
      </w:r>
      <w:r>
        <w:rPr/>
        <w:t>profession. We propose that increased emphasis on the extrinsic rewards of</w:t>
      </w:r>
      <w:r>
        <w:rPr>
          <w:spacing w:val="-2"/>
        </w:rPr>
        <w:t> </w:t>
      </w:r>
      <w:r>
        <w:rPr/>
        <w:t>becoming</w:t>
      </w:r>
      <w:r>
        <w:rPr>
          <w:spacing w:val="-2"/>
        </w:rPr>
        <w:t> </w:t>
      </w:r>
      <w:r>
        <w:rPr/>
        <w:t>an</w:t>
      </w:r>
      <w:r>
        <w:rPr>
          <w:spacing w:val="40"/>
        </w:rPr>
        <w:t> </w:t>
      </w:r>
      <w:r>
        <w:rPr/>
        <w:t>accountant</w:t>
      </w:r>
      <w:r>
        <w:rPr>
          <w:spacing w:val="-2"/>
        </w:rPr>
        <w:t> </w:t>
      </w:r>
      <w:r>
        <w:rPr/>
        <w:t>will</w:t>
      </w:r>
      <w:r>
        <w:rPr>
          <w:spacing w:val="-2"/>
        </w:rPr>
        <w:t> </w:t>
      </w:r>
      <w:r>
        <w:rPr/>
        <w:t>appeal to extrinsically motivated individuals while deterring the more desirable intrinsically motivated. These extrinsically motivated individuals will further show less</w:t>
      </w:r>
      <w:r>
        <w:rPr>
          <w:spacing w:val="40"/>
        </w:rPr>
        <w:t> </w:t>
      </w:r>
      <w:r>
        <w:rPr/>
        <w:t>professional commitment compared to intrinsically motivated individuals. We examine how</w:t>
      </w:r>
      <w:r>
        <w:rPr>
          <w:spacing w:val="40"/>
        </w:rPr>
        <w:t> </w:t>
      </w:r>
      <w:r>
        <w:rPr/>
        <w:t>intrinsically/extrinsically motivated undergraduate students respond to claims of increased</w:t>
      </w:r>
      <w:r>
        <w:rPr>
          <w:spacing w:val="40"/>
        </w:rPr>
        <w:t> </w:t>
      </w:r>
      <w:r>
        <w:rPr/>
        <w:t>salaries, reduced educational requirements, and greater work life-balance as compared to claims</w:t>
      </w:r>
      <w:r>
        <w:rPr>
          <w:spacing w:val="40"/>
        </w:rPr>
        <w:t> </w:t>
      </w:r>
      <w:r>
        <w:rPr/>
        <w:t>of making a difference, performing meaningful work, and protecting the public.</w:t>
      </w:r>
    </w:p>
    <w:p>
      <w:pPr>
        <w:pStyle w:val="BodyText"/>
        <w:spacing w:before="212"/>
        <w:ind w:left="723" w:right="1379"/>
        <w:jc w:val="both"/>
      </w:pPr>
      <w:r>
        <w:rPr/>
        <w:t>In a 3X1 experiment with 250 sophomore level business students at universities in the</w:t>
      </w:r>
      <w:r>
        <w:rPr>
          <w:spacing w:val="40"/>
        </w:rPr>
        <w:t> </w:t>
      </w:r>
      <w:r>
        <w:rPr/>
        <w:t>United States</w:t>
      </w:r>
      <w:r>
        <w:rPr>
          <w:spacing w:val="40"/>
        </w:rPr>
        <w:t> </w:t>
      </w:r>
      <w:r>
        <w:rPr/>
        <w:t>Southeast</w:t>
      </w:r>
      <w:r>
        <w:rPr>
          <w:spacing w:val="40"/>
        </w:rPr>
        <w:t> </w:t>
      </w:r>
      <w:r>
        <w:rPr/>
        <w:t>and</w:t>
      </w:r>
      <w:r>
        <w:rPr>
          <w:spacing w:val="40"/>
        </w:rPr>
        <w:t> </w:t>
      </w:r>
      <w:r>
        <w:rPr/>
        <w:t>Rocky Mountain regions, we measure participant’s degree of innate intrinsic and extrinsic motivation. We then provide accounting specific descriptions that </w:t>
      </w:r>
      <w:r>
        <w:rPr/>
        <w:t>were independently rated as emphasizing intrinsic, extrinsic, or a mixture of values and measure participants’ interest in accounting and their level of professional commitment.</w:t>
      </w:r>
    </w:p>
    <w:p>
      <w:pPr>
        <w:pStyle w:val="BodyText"/>
        <w:spacing w:before="211"/>
        <w:ind w:left="723" w:right="1380"/>
        <w:jc w:val="both"/>
      </w:pPr>
      <w:r>
        <w:rPr/>
        <w:t>Our study (should) finds that individuals with a strong extrinsic orientation will show </w:t>
      </w:r>
      <w:r>
        <w:rPr/>
        <w:t>less professional commitment in all situations, and less interest in accounting overall when viewing marketing material promoting intrinsic values. Likewise, we (should) find that intrinsically oriented</w:t>
      </w:r>
      <w:r>
        <w:rPr>
          <w:spacing w:val="-3"/>
        </w:rPr>
        <w:t> </w:t>
      </w:r>
      <w:r>
        <w:rPr/>
        <w:t>individuals</w:t>
      </w:r>
      <w:r>
        <w:rPr>
          <w:spacing w:val="-3"/>
        </w:rPr>
        <w:t> </w:t>
      </w:r>
      <w:r>
        <w:rPr/>
        <w:t>are</w:t>
      </w:r>
      <w:r>
        <w:rPr>
          <w:spacing w:val="-3"/>
        </w:rPr>
        <w:t> </w:t>
      </w:r>
      <w:r>
        <w:rPr/>
        <w:t>less</w:t>
      </w:r>
      <w:r>
        <w:rPr>
          <w:spacing w:val="-3"/>
        </w:rPr>
        <w:t> </w:t>
      </w:r>
      <w:r>
        <w:rPr/>
        <w:t>attracted</w:t>
      </w:r>
      <w:r>
        <w:rPr>
          <w:spacing w:val="-3"/>
        </w:rPr>
        <w:t> </w:t>
      </w:r>
      <w:r>
        <w:rPr/>
        <w:t>to</w:t>
      </w:r>
      <w:r>
        <w:rPr>
          <w:spacing w:val="-3"/>
        </w:rPr>
        <w:t> </w:t>
      </w:r>
      <w:r>
        <w:rPr/>
        <w:t>accounting</w:t>
      </w:r>
      <w:r>
        <w:rPr>
          <w:spacing w:val="-3"/>
        </w:rPr>
        <w:t> </w:t>
      </w:r>
      <w:r>
        <w:rPr/>
        <w:t>and</w:t>
      </w:r>
      <w:r>
        <w:rPr>
          <w:spacing w:val="-3"/>
        </w:rPr>
        <w:t> </w:t>
      </w:r>
      <w:r>
        <w:rPr/>
        <w:t>show</w:t>
      </w:r>
      <w:r>
        <w:rPr>
          <w:spacing w:val="-3"/>
        </w:rPr>
        <w:t> </w:t>
      </w:r>
      <w:r>
        <w:rPr/>
        <w:t>less</w:t>
      </w:r>
      <w:r>
        <w:rPr>
          <w:spacing w:val="-3"/>
        </w:rPr>
        <w:t> </w:t>
      </w:r>
      <w:r>
        <w:rPr/>
        <w:t>professional</w:t>
      </w:r>
      <w:r>
        <w:rPr>
          <w:spacing w:val="-3"/>
        </w:rPr>
        <w:t> </w:t>
      </w:r>
      <w:r>
        <w:rPr/>
        <w:t>commitment</w:t>
      </w:r>
      <w:r>
        <w:rPr>
          <w:spacing w:val="-3"/>
        </w:rPr>
        <w:t> </w:t>
      </w:r>
      <w:r>
        <w:rPr/>
        <w:t>when viewing material promoting extrinsic values. Individuals who are dual motivated (extrinsic and intrinsic) are interested in a mixture of professional and commercial values but show increased interest when intrinsic values are highlighted. Overall intrinsic values lead to the</w:t>
      </w:r>
      <w:r>
        <w:rPr>
          <w:spacing w:val="-2"/>
        </w:rPr>
        <w:t> </w:t>
      </w:r>
      <w:r>
        <w:rPr/>
        <w:t>greatest</w:t>
      </w:r>
      <w:r>
        <w:rPr>
          <w:spacing w:val="-2"/>
        </w:rPr>
        <w:t> </w:t>
      </w:r>
      <w:r>
        <w:rPr/>
        <w:t>degree of interest, and</w:t>
      </w:r>
      <w:r>
        <w:rPr>
          <w:spacing w:val="-3"/>
        </w:rPr>
        <w:t> </w:t>
      </w:r>
      <w:r>
        <w:rPr/>
        <w:t>the</w:t>
      </w:r>
      <w:r>
        <w:rPr>
          <w:spacing w:val="-3"/>
        </w:rPr>
        <w:t> </w:t>
      </w:r>
      <w:r>
        <w:rPr/>
        <w:t>greatest</w:t>
      </w:r>
      <w:r>
        <w:rPr>
          <w:spacing w:val="-3"/>
        </w:rPr>
        <w:t> </w:t>
      </w:r>
      <w:r>
        <w:rPr/>
        <w:t>degree</w:t>
      </w:r>
      <w:r>
        <w:rPr>
          <w:spacing w:val="-3"/>
        </w:rPr>
        <w:t> </w:t>
      </w:r>
      <w:r>
        <w:rPr/>
        <w:t>of</w:t>
      </w:r>
      <w:r>
        <w:rPr>
          <w:spacing w:val="-3"/>
        </w:rPr>
        <w:t> </w:t>
      </w:r>
      <w:r>
        <w:rPr/>
        <w:t>professional</w:t>
      </w:r>
      <w:r>
        <w:rPr>
          <w:spacing w:val="-3"/>
        </w:rPr>
        <w:t> </w:t>
      </w:r>
      <w:r>
        <w:rPr/>
        <w:t>commitment</w:t>
      </w:r>
      <w:r>
        <w:rPr>
          <w:spacing w:val="-3"/>
        </w:rPr>
        <w:t> </w:t>
      </w:r>
      <w:r>
        <w:rPr/>
        <w:t>from</w:t>
      </w:r>
      <w:r>
        <w:rPr>
          <w:spacing w:val="-3"/>
        </w:rPr>
        <w:t> </w:t>
      </w:r>
      <w:r>
        <w:rPr/>
        <w:t>all</w:t>
      </w:r>
      <w:r>
        <w:rPr>
          <w:spacing w:val="-3"/>
        </w:rPr>
        <w:t> </w:t>
      </w:r>
      <w:r>
        <w:rPr/>
        <w:t>but</w:t>
      </w:r>
      <w:r>
        <w:rPr>
          <w:spacing w:val="-3"/>
        </w:rPr>
        <w:t> </w:t>
      </w:r>
      <w:r>
        <w:rPr/>
        <w:t>the</w:t>
      </w:r>
      <w:r>
        <w:rPr>
          <w:spacing w:val="-3"/>
        </w:rPr>
        <w:t> </w:t>
      </w:r>
      <w:r>
        <w:rPr/>
        <w:t>most</w:t>
      </w:r>
      <w:r>
        <w:rPr>
          <w:spacing w:val="-3"/>
        </w:rPr>
        <w:t> </w:t>
      </w:r>
      <w:r>
        <w:rPr/>
        <w:t>extrinsically oriented participants.</w:t>
      </w:r>
    </w:p>
    <w:p>
      <w:pPr>
        <w:pStyle w:val="BodyText"/>
        <w:spacing w:before="212"/>
        <w:ind w:left="723" w:right="1381"/>
        <w:jc w:val="both"/>
      </w:pPr>
      <w:r>
        <w:rPr/>
        <w:t>This study informs practitioners and policymakers attempting to remedy the pipeline crisis</w:t>
      </w:r>
      <w:r>
        <w:rPr>
          <w:spacing w:val="40"/>
        </w:rPr>
        <w:t> </w:t>
      </w:r>
      <w:r>
        <w:rPr/>
        <w:t>by enticing potential accountants with extrinsic rewards such as a streamlined licensing </w:t>
      </w:r>
      <w:r>
        <w:rPr/>
        <w:t>process, higher salaries, or greater work-life balance. These recruiting efforts may result in a greater number of uncommitted accountants that fill university accounting programs and entry level positions, but</w:t>
      </w:r>
      <w:r>
        <w:rPr>
          <w:spacing w:val="40"/>
        </w:rPr>
        <w:t> </w:t>
      </w:r>
      <w:r>
        <w:rPr/>
        <w:t>who will quickly leave the profession.</w:t>
      </w:r>
    </w:p>
    <w:p>
      <w:pPr>
        <w:pStyle w:val="BodyText"/>
        <w:spacing w:after="0"/>
        <w:jc w:val="both"/>
        <w:sectPr>
          <w:pgSz w:w="12240" w:h="15840"/>
          <w:pgMar w:header="0" w:footer="706" w:top="640" w:bottom="960" w:left="720" w:right="0"/>
        </w:sectPr>
      </w:pPr>
    </w:p>
    <w:p>
      <w:pPr>
        <w:pStyle w:val="Heading3"/>
        <w:spacing w:line="220" w:lineRule="auto" w:before="49"/>
        <w:ind w:left="4560" w:hanging="3173"/>
        <w:jc w:val="left"/>
      </w:pPr>
      <w:bookmarkStart w:name="‘Why Do I Have to Do This?’ Employee Per" w:id="64"/>
      <w:bookmarkEnd w:id="64"/>
      <w:r>
        <w:rPr>
          <w:b w:val="0"/>
        </w:rPr>
      </w:r>
      <w:bookmarkStart w:name="h.hmg1o762p6o" w:id="65"/>
      <w:bookmarkEnd w:id="65"/>
      <w:r>
        <w:rPr>
          <w:b w:val="0"/>
        </w:rPr>
      </w:r>
      <w:r>
        <w:rPr/>
        <w:t>‘Why</w:t>
      </w:r>
      <w:r>
        <w:rPr>
          <w:spacing w:val="-8"/>
        </w:rPr>
        <w:t> </w:t>
      </w:r>
      <w:r>
        <w:rPr/>
        <w:t>Do</w:t>
      </w:r>
      <w:r>
        <w:rPr>
          <w:spacing w:val="-8"/>
        </w:rPr>
        <w:t> </w:t>
      </w:r>
      <w:r>
        <w:rPr/>
        <w:t>I</w:t>
      </w:r>
      <w:r>
        <w:rPr>
          <w:spacing w:val="-8"/>
        </w:rPr>
        <w:t> </w:t>
      </w:r>
      <w:r>
        <w:rPr/>
        <w:t>Have</w:t>
      </w:r>
      <w:r>
        <w:rPr>
          <w:spacing w:val="-8"/>
        </w:rPr>
        <w:t> </w:t>
      </w:r>
      <w:r>
        <w:rPr/>
        <w:t>to</w:t>
      </w:r>
      <w:r>
        <w:rPr>
          <w:spacing w:val="-8"/>
        </w:rPr>
        <w:t> </w:t>
      </w:r>
      <w:r>
        <w:rPr/>
        <w:t>Do</w:t>
      </w:r>
      <w:r>
        <w:rPr>
          <w:spacing w:val="-8"/>
        </w:rPr>
        <w:t> </w:t>
      </w:r>
      <w:r>
        <w:rPr/>
        <w:t>This?’</w:t>
      </w:r>
      <w:r>
        <w:rPr>
          <w:spacing w:val="-8"/>
        </w:rPr>
        <w:t> </w:t>
      </w:r>
      <w:r>
        <w:rPr/>
        <w:t>Employee</w:t>
      </w:r>
      <w:r>
        <w:rPr>
          <w:spacing w:val="-8"/>
        </w:rPr>
        <w:t> </w:t>
      </w:r>
      <w:r>
        <w:rPr/>
        <w:t>Perceptions</w:t>
      </w:r>
      <w:r>
        <w:rPr>
          <w:spacing w:val="-8"/>
        </w:rPr>
        <w:t> </w:t>
      </w:r>
      <w:r>
        <w:rPr/>
        <w:t>of</w:t>
      </w:r>
      <w:r>
        <w:rPr>
          <w:spacing w:val="-8"/>
        </w:rPr>
        <w:t> </w:t>
      </w:r>
      <w:r>
        <w:rPr/>
        <w:t>Multi</w:t>
      </w:r>
      <w:r>
        <w:rPr>
          <w:rFonts w:ascii="Segoe UI Symbol" w:hAnsi="Segoe UI Symbol"/>
          <w:b w:val="0"/>
        </w:rPr>
        <w:t>‑</w:t>
      </w:r>
      <w:r>
        <w:rPr/>
        <w:t>Factor </w:t>
      </w:r>
      <w:r>
        <w:rPr>
          <w:spacing w:val="-2"/>
        </w:rPr>
        <w:t>Authentication</w:t>
      </w:r>
    </w:p>
    <w:p>
      <w:pPr>
        <w:pStyle w:val="BodyText"/>
        <w:spacing w:before="292"/>
        <w:ind w:right="339"/>
        <w:jc w:val="center"/>
      </w:pPr>
      <w:r>
        <w:rPr/>
        <w:t>Julia</w:t>
      </w:r>
      <w:r>
        <w:rPr>
          <w:spacing w:val="-3"/>
        </w:rPr>
        <w:t> </w:t>
      </w:r>
      <w:r>
        <w:rPr/>
        <w:t>Graham,</w:t>
      </w:r>
      <w:r>
        <w:rPr>
          <w:spacing w:val="-2"/>
        </w:rPr>
        <w:t> </w:t>
      </w:r>
      <w:r>
        <w:rPr/>
        <w:t>Kristen</w:t>
      </w:r>
      <w:r>
        <w:rPr>
          <w:spacing w:val="-2"/>
        </w:rPr>
        <w:t> </w:t>
      </w:r>
      <w:r>
        <w:rPr/>
        <w:t>Wilson,</w:t>
      </w:r>
      <w:r>
        <w:rPr>
          <w:spacing w:val="-2"/>
        </w:rPr>
        <w:t> </w:t>
      </w:r>
      <w:r>
        <w:rPr/>
        <w:t>James</w:t>
      </w:r>
      <w:r>
        <w:rPr>
          <w:spacing w:val="-2"/>
        </w:rPr>
        <w:t> </w:t>
      </w:r>
      <w:r>
        <w:rPr/>
        <w:t>Kirby</w:t>
      </w:r>
      <w:r>
        <w:rPr>
          <w:spacing w:val="-2"/>
        </w:rPr>
        <w:t> </w:t>
      </w:r>
      <w:r>
        <w:rPr/>
        <w:t>Easterling</w:t>
      </w:r>
      <w:r>
        <w:rPr>
          <w:spacing w:val="-2"/>
        </w:rPr>
        <w:t> </w:t>
      </w:r>
      <w:r>
        <w:rPr/>
        <w:t>and</w:t>
      </w:r>
      <w:r>
        <w:rPr>
          <w:spacing w:val="-2"/>
        </w:rPr>
        <w:t> </w:t>
      </w:r>
      <w:r>
        <w:rPr/>
        <w:t>Travis</w:t>
      </w:r>
      <w:r>
        <w:rPr>
          <w:spacing w:val="-2"/>
        </w:rPr>
        <w:t> Walkowiak</w:t>
      </w:r>
    </w:p>
    <w:p>
      <w:pPr>
        <w:pStyle w:val="BodyText"/>
      </w:pPr>
    </w:p>
    <w:p>
      <w:pPr>
        <w:pStyle w:val="BodyText"/>
      </w:pPr>
    </w:p>
    <w:p>
      <w:pPr>
        <w:pStyle w:val="BodyText"/>
        <w:ind w:left="723" w:right="954"/>
      </w:pPr>
      <w:r>
        <w:rPr/>
        <w:t>Key</w:t>
      </w:r>
      <w:r>
        <w:rPr>
          <w:spacing w:val="-8"/>
        </w:rPr>
        <w:t> </w:t>
      </w:r>
      <w:r>
        <w:rPr/>
        <w:t>words</w:t>
      </w:r>
      <w:r>
        <w:rPr>
          <w:spacing w:val="-8"/>
        </w:rPr>
        <w:t> </w:t>
      </w:r>
      <w:r>
        <w:rPr/>
        <w:t>(3-5):</w:t>
      </w:r>
      <w:r>
        <w:rPr>
          <w:spacing w:val="-8"/>
        </w:rPr>
        <w:t> </w:t>
      </w:r>
      <w:r>
        <w:rPr/>
        <w:t>Multi-factor</w:t>
      </w:r>
      <w:r>
        <w:rPr>
          <w:spacing w:val="-8"/>
        </w:rPr>
        <w:t> </w:t>
      </w:r>
      <w:r>
        <w:rPr/>
        <w:t>authentication,</w:t>
      </w:r>
      <w:r>
        <w:rPr>
          <w:spacing w:val="-8"/>
        </w:rPr>
        <w:t> </w:t>
      </w:r>
      <w:r>
        <w:rPr/>
        <w:t>Security</w:t>
      </w:r>
      <w:r>
        <w:rPr>
          <w:spacing w:val="-8"/>
        </w:rPr>
        <w:t> </w:t>
      </w:r>
      <w:r>
        <w:rPr/>
        <w:t>behavior,</w:t>
      </w:r>
      <w:r>
        <w:rPr>
          <w:spacing w:val="-8"/>
        </w:rPr>
        <w:t> </w:t>
      </w:r>
      <w:r>
        <w:rPr/>
        <w:t>Employee</w:t>
      </w:r>
      <w:r>
        <w:rPr>
          <w:spacing w:val="-8"/>
        </w:rPr>
        <w:t> </w:t>
      </w:r>
      <w:r>
        <w:rPr/>
        <w:t>perceptions,</w:t>
      </w:r>
      <w:r>
        <w:rPr>
          <w:spacing w:val="-8"/>
        </w:rPr>
        <w:t> </w:t>
      </w:r>
      <w:r>
        <w:rPr/>
        <w:t>Technology acceptance,</w:t>
      </w:r>
      <w:r>
        <w:rPr>
          <w:spacing w:val="40"/>
        </w:rPr>
        <w:t> </w:t>
      </w:r>
      <w:r>
        <w:rPr/>
        <w:t>Information systems security</w:t>
      </w:r>
    </w:p>
    <w:p>
      <w:pPr>
        <w:pStyle w:val="BodyText"/>
        <w:spacing w:before="44"/>
      </w:pPr>
    </w:p>
    <w:p>
      <w:pPr>
        <w:pStyle w:val="Heading4"/>
      </w:pPr>
      <w:r>
        <w:rPr>
          <w:spacing w:val="-2"/>
        </w:rPr>
        <w:t>Abstract</w:t>
      </w:r>
    </w:p>
    <w:p>
      <w:pPr>
        <w:pStyle w:val="BodyText"/>
        <w:spacing w:line="230" w:lineRule="auto" w:before="271"/>
        <w:ind w:left="723" w:right="1478"/>
      </w:pPr>
      <w:r>
        <w:rPr/>
        <w:t>Multi-factor authentication (MFA) has become a critical security control in most large organizations, including higher education, yet employee acceptance remains a significant challenge. This paper examines the literature on employee perceptions and attitudes toward MFA,</w:t>
      </w:r>
      <w:r>
        <w:rPr>
          <w:spacing w:val="-6"/>
        </w:rPr>
        <w:t> </w:t>
      </w:r>
      <w:r>
        <w:rPr/>
        <w:t>focusing</w:t>
      </w:r>
      <w:r>
        <w:rPr>
          <w:spacing w:val="-6"/>
        </w:rPr>
        <w:t> </w:t>
      </w:r>
      <w:r>
        <w:rPr/>
        <w:t>on</w:t>
      </w:r>
      <w:r>
        <w:rPr>
          <w:spacing w:val="-6"/>
        </w:rPr>
        <w:t> </w:t>
      </w:r>
      <w:r>
        <w:rPr/>
        <w:t>organizational</w:t>
      </w:r>
      <w:r>
        <w:rPr>
          <w:spacing w:val="-6"/>
        </w:rPr>
        <w:t> </w:t>
      </w:r>
      <w:r>
        <w:rPr/>
        <w:t>policy</w:t>
      </w:r>
      <w:r>
        <w:rPr>
          <w:spacing w:val="-6"/>
        </w:rPr>
        <w:t> </w:t>
      </w:r>
      <w:r>
        <w:rPr/>
        <w:t>factors,</w:t>
      </w:r>
      <w:r>
        <w:rPr>
          <w:spacing w:val="-6"/>
        </w:rPr>
        <w:t> </w:t>
      </w:r>
      <w:r>
        <w:rPr/>
        <w:t>technology</w:t>
      </w:r>
      <w:r>
        <w:rPr>
          <w:spacing w:val="-6"/>
        </w:rPr>
        <w:t> </w:t>
      </w:r>
      <w:r>
        <w:rPr/>
        <w:t>acceptance</w:t>
      </w:r>
      <w:r>
        <w:rPr>
          <w:spacing w:val="-6"/>
        </w:rPr>
        <w:t> </w:t>
      </w:r>
      <w:r>
        <w:rPr/>
        <w:t>frameworks,</w:t>
      </w:r>
      <w:r>
        <w:rPr>
          <w:spacing w:val="-6"/>
        </w:rPr>
        <w:t> </w:t>
      </w:r>
      <w:r>
        <w:rPr/>
        <w:t>and</w:t>
      </w:r>
      <w:r>
        <w:rPr>
          <w:spacing w:val="-6"/>
        </w:rPr>
        <w:t> </w:t>
      </w:r>
      <w:r>
        <w:rPr/>
        <w:t>barriers to adoption. Drawing on studies from university settings and enterprise environments, we identify key factors influencing MFA acceptance including perceived ease of use, perceived usefulness, organizational mandates, and user experience considerations. We propose a quantitative survey study to measure employee perceptions of MFA among faculty and staff at a regional university. This research contributes to understanding how organizational policy decisions can facilitate successful MFA implementation while balancing security requirements with user experience.</w:t>
      </w:r>
    </w:p>
    <w:p>
      <w:pPr>
        <w:pStyle w:val="BodyText"/>
        <w:spacing w:before="1"/>
      </w:pPr>
    </w:p>
    <w:p>
      <w:pPr>
        <w:pStyle w:val="Heading4"/>
      </w:pPr>
      <w:r>
        <w:rPr>
          <w:spacing w:val="-2"/>
        </w:rPr>
        <w:t>Introduction</w:t>
      </w:r>
    </w:p>
    <w:p>
      <w:pPr>
        <w:pStyle w:val="BodyText"/>
        <w:spacing w:line="230" w:lineRule="auto" w:before="271"/>
        <w:ind w:left="723" w:right="1487"/>
      </w:pPr>
      <w:r>
        <w:rPr/>
        <w:t>Multi-factor authentication (MFA) represents a fundamental security control that requires users to</w:t>
      </w:r>
      <w:r>
        <w:rPr>
          <w:spacing w:val="-3"/>
        </w:rPr>
        <w:t> </w:t>
      </w:r>
      <w:r>
        <w:rPr/>
        <w:t>provide</w:t>
      </w:r>
      <w:r>
        <w:rPr>
          <w:spacing w:val="-3"/>
        </w:rPr>
        <w:t> </w:t>
      </w:r>
      <w:r>
        <w:rPr/>
        <w:t>two</w:t>
      </w:r>
      <w:r>
        <w:rPr>
          <w:spacing w:val="-3"/>
        </w:rPr>
        <w:t> </w:t>
      </w:r>
      <w:r>
        <w:rPr/>
        <w:t>or</w:t>
      </w:r>
      <w:r>
        <w:rPr>
          <w:spacing w:val="-3"/>
        </w:rPr>
        <w:t> </w:t>
      </w:r>
      <w:r>
        <w:rPr/>
        <w:t>more</w:t>
      </w:r>
      <w:r>
        <w:rPr>
          <w:spacing w:val="-3"/>
        </w:rPr>
        <w:t> </w:t>
      </w:r>
      <w:r>
        <w:rPr/>
        <w:t>verification</w:t>
      </w:r>
      <w:r>
        <w:rPr>
          <w:spacing w:val="-3"/>
        </w:rPr>
        <w:t> </w:t>
      </w:r>
      <w:r>
        <w:rPr/>
        <w:t>factors,</w:t>
      </w:r>
      <w:r>
        <w:rPr>
          <w:spacing w:val="-3"/>
        </w:rPr>
        <w:t> </w:t>
      </w:r>
      <w:r>
        <w:rPr/>
        <w:t>such</w:t>
      </w:r>
      <w:r>
        <w:rPr>
          <w:spacing w:val="-3"/>
        </w:rPr>
        <w:t> </w:t>
      </w:r>
      <w:r>
        <w:rPr/>
        <w:t>as</w:t>
      </w:r>
      <w:r>
        <w:rPr>
          <w:spacing w:val="-3"/>
        </w:rPr>
        <w:t> </w:t>
      </w:r>
      <w:r>
        <w:rPr/>
        <w:t>a</w:t>
      </w:r>
      <w:r>
        <w:rPr>
          <w:spacing w:val="-3"/>
        </w:rPr>
        <w:t> </w:t>
      </w:r>
      <w:r>
        <w:rPr/>
        <w:t>text</w:t>
      </w:r>
      <w:r>
        <w:rPr>
          <w:spacing w:val="-3"/>
        </w:rPr>
        <w:t> </w:t>
      </w:r>
      <w:r>
        <w:rPr/>
        <w:t>message,</w:t>
      </w:r>
      <w:r>
        <w:rPr>
          <w:spacing w:val="-3"/>
        </w:rPr>
        <w:t> </w:t>
      </w:r>
      <w:r>
        <w:rPr/>
        <w:t>email,</w:t>
      </w:r>
      <w:r>
        <w:rPr>
          <w:spacing w:val="-3"/>
        </w:rPr>
        <w:t> </w:t>
      </w:r>
      <w:r>
        <w:rPr/>
        <w:t>or</w:t>
      </w:r>
      <w:r>
        <w:rPr>
          <w:spacing w:val="-3"/>
        </w:rPr>
        <w:t> </w:t>
      </w:r>
      <w:r>
        <w:rPr/>
        <w:t>phone</w:t>
      </w:r>
      <w:r>
        <w:rPr>
          <w:spacing w:val="-3"/>
        </w:rPr>
        <w:t> </w:t>
      </w:r>
      <w:r>
        <w:rPr/>
        <w:t>call</w:t>
      </w:r>
      <w:r>
        <w:rPr>
          <w:spacing w:val="-3"/>
        </w:rPr>
        <w:t> </w:t>
      </w:r>
      <w:r>
        <w:rPr/>
        <w:t>to</w:t>
      </w:r>
      <w:r>
        <w:rPr>
          <w:spacing w:val="-3"/>
        </w:rPr>
        <w:t> </w:t>
      </w:r>
      <w:r>
        <w:rPr/>
        <w:t>access organizational systems and data. In an age of increasing cyber threats and data breaches, MFA has gone from an optional security enhancement to a mandatory requirement in many organizations. Despite its proven effectiveness in preventing unauthorized access, MFA implementation faces significant challenges related to user acceptance, usability concerns, and organizational change management.</w:t>
      </w:r>
    </w:p>
    <w:p>
      <w:pPr>
        <w:pStyle w:val="BodyText"/>
        <w:spacing w:line="230" w:lineRule="auto" w:before="274"/>
        <w:ind w:left="723" w:right="1191"/>
      </w:pPr>
      <w:r>
        <w:rPr/>
        <w:t>Higher education institutions present unique contexts for MFA deployment, with diverse user populations</w:t>
      </w:r>
      <w:r>
        <w:rPr>
          <w:spacing w:val="-5"/>
        </w:rPr>
        <w:t> </w:t>
      </w:r>
      <w:r>
        <w:rPr/>
        <w:t>including</w:t>
      </w:r>
      <w:r>
        <w:rPr>
          <w:spacing w:val="-5"/>
        </w:rPr>
        <w:t> </w:t>
      </w:r>
      <w:r>
        <w:rPr/>
        <w:t>students,</w:t>
      </w:r>
      <w:r>
        <w:rPr>
          <w:spacing w:val="-5"/>
        </w:rPr>
        <w:t> </w:t>
      </w:r>
      <w:r>
        <w:rPr/>
        <w:t>faculty,</w:t>
      </w:r>
      <w:r>
        <w:rPr>
          <w:spacing w:val="-5"/>
        </w:rPr>
        <w:t> </w:t>
      </w:r>
      <w:r>
        <w:rPr/>
        <w:t>and</w:t>
      </w:r>
      <w:r>
        <w:rPr>
          <w:spacing w:val="-5"/>
        </w:rPr>
        <w:t> </w:t>
      </w:r>
      <w:r>
        <w:rPr/>
        <w:t>staff</w:t>
      </w:r>
      <w:r>
        <w:rPr>
          <w:spacing w:val="-5"/>
        </w:rPr>
        <w:t> </w:t>
      </w:r>
      <w:r>
        <w:rPr/>
        <w:t>who</w:t>
      </w:r>
      <w:r>
        <w:rPr>
          <w:spacing w:val="-5"/>
        </w:rPr>
        <w:t> </w:t>
      </w:r>
      <w:r>
        <w:rPr/>
        <w:t>access</w:t>
      </w:r>
      <w:r>
        <w:rPr>
          <w:spacing w:val="-5"/>
        </w:rPr>
        <w:t> </w:t>
      </w:r>
      <w:r>
        <w:rPr/>
        <w:t>systems</w:t>
      </w:r>
      <w:r>
        <w:rPr>
          <w:spacing w:val="-5"/>
        </w:rPr>
        <w:t> </w:t>
      </w:r>
      <w:r>
        <w:rPr/>
        <w:t>from</w:t>
      </w:r>
      <w:r>
        <w:rPr>
          <w:spacing w:val="-5"/>
        </w:rPr>
        <w:t> </w:t>
      </w:r>
      <w:r>
        <w:rPr/>
        <w:t>multiple</w:t>
      </w:r>
      <w:r>
        <w:rPr>
          <w:spacing w:val="-5"/>
        </w:rPr>
        <w:t> </w:t>
      </w:r>
      <w:r>
        <w:rPr/>
        <w:t>locations</w:t>
      </w:r>
      <w:r>
        <w:rPr>
          <w:spacing w:val="-5"/>
        </w:rPr>
        <w:t> </w:t>
      </w:r>
      <w:r>
        <w:rPr/>
        <w:t>and multiple device types (i.e. laptops, phones, desktops, tablets, Smart TVs, etc.). Similarly, large organizations must balance security imperatives with employee productivity and satisfaction.</w:t>
      </w:r>
    </w:p>
    <w:p>
      <w:pPr>
        <w:pStyle w:val="BodyText"/>
        <w:spacing w:line="230" w:lineRule="auto"/>
        <w:ind w:left="723" w:right="1381"/>
      </w:pPr>
      <w:r>
        <w:rPr/>
        <w:t>Understanding</w:t>
      </w:r>
      <w:r>
        <w:rPr>
          <w:spacing w:val="-5"/>
        </w:rPr>
        <w:t> </w:t>
      </w:r>
      <w:r>
        <w:rPr/>
        <w:t>employee</w:t>
      </w:r>
      <w:r>
        <w:rPr>
          <w:spacing w:val="-5"/>
        </w:rPr>
        <w:t> </w:t>
      </w:r>
      <w:r>
        <w:rPr/>
        <w:t>perceptions</w:t>
      </w:r>
      <w:r>
        <w:rPr>
          <w:spacing w:val="-5"/>
        </w:rPr>
        <w:t> </w:t>
      </w:r>
      <w:r>
        <w:rPr/>
        <w:t>of</w:t>
      </w:r>
      <w:r>
        <w:rPr>
          <w:spacing w:val="-5"/>
        </w:rPr>
        <w:t> </w:t>
      </w:r>
      <w:r>
        <w:rPr/>
        <w:t>MFA</w:t>
      </w:r>
      <w:r>
        <w:rPr>
          <w:spacing w:val="-5"/>
        </w:rPr>
        <w:t> </w:t>
      </w:r>
      <w:r>
        <w:rPr/>
        <w:t>is</w:t>
      </w:r>
      <w:r>
        <w:rPr>
          <w:spacing w:val="-5"/>
        </w:rPr>
        <w:t> </w:t>
      </w:r>
      <w:r>
        <w:rPr/>
        <w:t>critical</w:t>
      </w:r>
      <w:r>
        <w:rPr>
          <w:spacing w:val="-5"/>
        </w:rPr>
        <w:t> </w:t>
      </w:r>
      <w:r>
        <w:rPr/>
        <w:t>for</w:t>
      </w:r>
      <w:r>
        <w:rPr>
          <w:spacing w:val="-5"/>
        </w:rPr>
        <w:t> </w:t>
      </w:r>
      <w:r>
        <w:rPr/>
        <w:t>a</w:t>
      </w:r>
      <w:r>
        <w:rPr>
          <w:spacing w:val="-5"/>
        </w:rPr>
        <w:t> </w:t>
      </w:r>
      <w:r>
        <w:rPr/>
        <w:t>successful</w:t>
      </w:r>
      <w:r>
        <w:rPr>
          <w:spacing w:val="-5"/>
        </w:rPr>
        <w:t> </w:t>
      </w:r>
      <w:r>
        <w:rPr/>
        <w:t>implementation,</w:t>
      </w:r>
      <w:r>
        <w:rPr>
          <w:spacing w:val="-5"/>
        </w:rPr>
        <w:t> </w:t>
      </w:r>
      <w:r>
        <w:rPr/>
        <w:t>as negative attitudes can lead to workarounds, reduced compliance, and diminished security outcomes (Dutson, et al, 2019; Colnago, et al., 2018).</w:t>
      </w:r>
    </w:p>
    <w:p>
      <w:pPr>
        <w:pStyle w:val="BodyText"/>
        <w:spacing w:line="230" w:lineRule="auto" w:before="260"/>
        <w:ind w:left="723" w:right="1381"/>
      </w:pPr>
      <w:r>
        <w:rPr/>
        <w:t>This paper examines the current state of research on employee perceptions of MFA in organizational settings, with particular attention to validated measurement instruments and theoretical</w:t>
      </w:r>
      <w:r>
        <w:rPr>
          <w:spacing w:val="-6"/>
        </w:rPr>
        <w:t> </w:t>
      </w:r>
      <w:r>
        <w:rPr/>
        <w:t>frameworks</w:t>
      </w:r>
      <w:r>
        <w:rPr>
          <w:spacing w:val="-6"/>
        </w:rPr>
        <w:t> </w:t>
      </w:r>
      <w:r>
        <w:rPr/>
        <w:t>that</w:t>
      </w:r>
      <w:r>
        <w:rPr>
          <w:spacing w:val="-6"/>
        </w:rPr>
        <w:t> </w:t>
      </w:r>
      <w:r>
        <w:rPr/>
        <w:t>can</w:t>
      </w:r>
      <w:r>
        <w:rPr>
          <w:spacing w:val="-6"/>
        </w:rPr>
        <w:t> </w:t>
      </w:r>
      <w:r>
        <w:rPr/>
        <w:t>guide</w:t>
      </w:r>
      <w:r>
        <w:rPr>
          <w:spacing w:val="-6"/>
        </w:rPr>
        <w:t> </w:t>
      </w:r>
      <w:r>
        <w:rPr/>
        <w:t>empirical</w:t>
      </w:r>
      <w:r>
        <w:rPr>
          <w:spacing w:val="-6"/>
        </w:rPr>
        <w:t> </w:t>
      </w:r>
      <w:r>
        <w:rPr/>
        <w:t>investigation.</w:t>
      </w:r>
      <w:r>
        <w:rPr>
          <w:spacing w:val="-6"/>
        </w:rPr>
        <w:t> </w:t>
      </w:r>
      <w:r>
        <w:rPr/>
        <w:t>We</w:t>
      </w:r>
      <w:r>
        <w:rPr>
          <w:spacing w:val="-6"/>
        </w:rPr>
        <w:t> </w:t>
      </w:r>
      <w:r>
        <w:rPr/>
        <w:t>propose</w:t>
      </w:r>
      <w:r>
        <w:rPr>
          <w:spacing w:val="-6"/>
        </w:rPr>
        <w:t> </w:t>
      </w:r>
      <w:r>
        <w:rPr/>
        <w:t>a</w:t>
      </w:r>
      <w:r>
        <w:rPr>
          <w:spacing w:val="-6"/>
        </w:rPr>
        <w:t> </w:t>
      </w:r>
      <w:r>
        <w:rPr/>
        <w:t>quantitative</w:t>
      </w:r>
      <w:r>
        <w:rPr>
          <w:spacing w:val="-6"/>
        </w:rPr>
        <w:t> </w:t>
      </w:r>
      <w:r>
        <w:rPr/>
        <w:t>survey study to systematically measure employee perceptions at a regional university, contributing to both theoretical understanding and practical guidance for MFA implementation.</w:t>
      </w:r>
    </w:p>
    <w:p>
      <w:pPr>
        <w:pStyle w:val="BodyText"/>
        <w:spacing w:before="3"/>
      </w:pPr>
    </w:p>
    <w:p>
      <w:pPr>
        <w:pStyle w:val="Heading4"/>
        <w:spacing w:before="1"/>
      </w:pPr>
      <w:r>
        <w:rPr/>
        <w:t>Literature</w:t>
      </w:r>
      <w:r>
        <w:rPr>
          <w:spacing w:val="-5"/>
        </w:rPr>
        <w:t> </w:t>
      </w:r>
      <w:r>
        <w:rPr>
          <w:spacing w:val="-2"/>
        </w:rPr>
        <w:t>Review</w:t>
      </w:r>
    </w:p>
    <w:p>
      <w:pPr>
        <w:pStyle w:val="BodyText"/>
        <w:spacing w:line="230" w:lineRule="auto" w:before="271"/>
        <w:ind w:left="723" w:right="1191"/>
      </w:pPr>
      <w:r>
        <w:rPr/>
        <w:t>Research on employee perceptions of MFA reveals mixed attitudes that vary by organizational context</w:t>
      </w:r>
      <w:r>
        <w:rPr>
          <w:spacing w:val="-6"/>
        </w:rPr>
        <w:t> </w:t>
      </w:r>
      <w:r>
        <w:rPr/>
        <w:t>and</w:t>
      </w:r>
      <w:r>
        <w:rPr>
          <w:spacing w:val="-6"/>
        </w:rPr>
        <w:t> </w:t>
      </w:r>
      <w:r>
        <w:rPr/>
        <w:t>user</w:t>
      </w:r>
      <w:r>
        <w:rPr>
          <w:spacing w:val="-6"/>
        </w:rPr>
        <w:t> </w:t>
      </w:r>
      <w:r>
        <w:rPr/>
        <w:t>role.</w:t>
      </w:r>
      <w:r>
        <w:rPr>
          <w:spacing w:val="-6"/>
        </w:rPr>
        <w:t> </w:t>
      </w:r>
      <w:r>
        <w:rPr/>
        <w:t>A</w:t>
      </w:r>
      <w:r>
        <w:rPr>
          <w:spacing w:val="-6"/>
        </w:rPr>
        <w:t> </w:t>
      </w:r>
      <w:r>
        <w:rPr/>
        <w:t>large-scale</w:t>
      </w:r>
      <w:r>
        <w:rPr>
          <w:spacing w:val="-6"/>
        </w:rPr>
        <w:t> </w:t>
      </w:r>
      <w:r>
        <w:rPr/>
        <w:t>survey</w:t>
      </w:r>
      <w:r>
        <w:rPr>
          <w:spacing w:val="-6"/>
        </w:rPr>
        <w:t> </w:t>
      </w:r>
      <w:r>
        <w:rPr/>
        <w:t>of</w:t>
      </w:r>
      <w:r>
        <w:rPr>
          <w:spacing w:val="-6"/>
        </w:rPr>
        <w:t> </w:t>
      </w:r>
      <w:r>
        <w:rPr/>
        <w:t>4,275</w:t>
      </w:r>
      <w:r>
        <w:rPr>
          <w:spacing w:val="-6"/>
        </w:rPr>
        <w:t> </w:t>
      </w:r>
      <w:r>
        <w:rPr/>
        <w:t>students,</w:t>
      </w:r>
      <w:r>
        <w:rPr>
          <w:spacing w:val="-6"/>
        </w:rPr>
        <w:t> </w:t>
      </w:r>
      <w:r>
        <w:rPr/>
        <w:t>faculty,</w:t>
      </w:r>
      <w:r>
        <w:rPr>
          <w:spacing w:val="-6"/>
        </w:rPr>
        <w:t> </w:t>
      </w:r>
      <w:r>
        <w:rPr/>
        <w:t>and</w:t>
      </w:r>
      <w:r>
        <w:rPr>
          <w:spacing w:val="-6"/>
        </w:rPr>
        <w:t> </w:t>
      </w:r>
      <w:r>
        <w:rPr/>
        <w:t>staff</w:t>
      </w:r>
      <w:r>
        <w:rPr>
          <w:spacing w:val="-6"/>
        </w:rPr>
        <w:t> </w:t>
      </w:r>
      <w:r>
        <w:rPr/>
        <w:t>at</w:t>
      </w:r>
      <w:r>
        <w:rPr>
          <w:spacing w:val="-6"/>
        </w:rPr>
        <w:t> </w:t>
      </w:r>
      <w:r>
        <w:rPr/>
        <w:t>Brigham</w:t>
      </w:r>
      <w:r>
        <w:rPr>
          <w:spacing w:val="-6"/>
        </w:rPr>
        <w:t> </w:t>
      </w:r>
      <w:r>
        <w:rPr/>
        <w:t>Young University found that while a majority felt more secure using Duo 2FA and found it easy to use,</w:t>
      </w:r>
    </w:p>
    <w:p>
      <w:pPr>
        <w:pStyle w:val="BodyText"/>
        <w:spacing w:after="0" w:line="230" w:lineRule="auto"/>
        <w:sectPr>
          <w:pgSz w:w="12240" w:h="15840"/>
          <w:pgMar w:header="0" w:footer="706" w:top="620" w:bottom="960" w:left="720" w:right="0"/>
        </w:sectPr>
      </w:pPr>
    </w:p>
    <w:p>
      <w:pPr>
        <w:pStyle w:val="BodyText"/>
        <w:spacing w:line="230" w:lineRule="auto" w:before="80"/>
        <w:ind w:left="723" w:right="1487"/>
      </w:pPr>
      <w:r>
        <w:rPr/>
        <w:t>approximately half of participants experienced at least one lockout incident (Dutson, et al., 2019). Students and faculty had more negative perceptions than staff, suggesting that user role can influence acceptance. Colnago et al. (2018) explored 2FA adoption at Carnegie Mellon University, finding that users described the technology as "not actually that horrible" despite initial concerns. Surprisingly, this research found only a small differences between required and voluntary adopters, with users finding 2FA annoying but easy to use. Positive experiences with mandatory 2FA sometimes led to voluntary adoption for personal accounts, indicating that institutional mandates can normalize security behaviors into “real life”. Weidman et al. (2017) captured</w:t>
      </w:r>
      <w:r>
        <w:rPr>
          <w:spacing w:val="-4"/>
        </w:rPr>
        <w:t> </w:t>
      </w:r>
      <w:r>
        <w:rPr/>
        <w:t>employee</w:t>
      </w:r>
      <w:r>
        <w:rPr>
          <w:spacing w:val="-4"/>
        </w:rPr>
        <w:t> </w:t>
      </w:r>
      <w:r>
        <w:rPr/>
        <w:t>ambivalence</w:t>
      </w:r>
      <w:r>
        <w:rPr>
          <w:spacing w:val="-4"/>
        </w:rPr>
        <w:t> </w:t>
      </w:r>
      <w:r>
        <w:rPr/>
        <w:t>in</w:t>
      </w:r>
      <w:r>
        <w:rPr>
          <w:spacing w:val="-4"/>
        </w:rPr>
        <w:t> </w:t>
      </w:r>
      <w:r>
        <w:rPr/>
        <w:t>their</w:t>
      </w:r>
      <w:r>
        <w:rPr>
          <w:spacing w:val="-4"/>
        </w:rPr>
        <w:t> </w:t>
      </w:r>
      <w:r>
        <w:rPr/>
        <w:t>study,</w:t>
      </w:r>
      <w:r>
        <w:rPr>
          <w:spacing w:val="-4"/>
        </w:rPr>
        <w:t> </w:t>
      </w:r>
      <w:r>
        <w:rPr/>
        <w:t>cheekily</w:t>
      </w:r>
      <w:r>
        <w:rPr>
          <w:spacing w:val="-4"/>
        </w:rPr>
        <w:t> </w:t>
      </w:r>
      <w:r>
        <w:rPr/>
        <w:t>titled</w:t>
      </w:r>
      <w:r>
        <w:rPr>
          <w:spacing w:val="-4"/>
        </w:rPr>
        <w:t> </w:t>
      </w:r>
      <w:r>
        <w:rPr/>
        <w:t>"I</w:t>
      </w:r>
      <w:r>
        <w:rPr>
          <w:spacing w:val="-4"/>
        </w:rPr>
        <w:t> </w:t>
      </w:r>
      <w:r>
        <w:rPr/>
        <w:t>Like</w:t>
      </w:r>
      <w:r>
        <w:rPr>
          <w:spacing w:val="-4"/>
        </w:rPr>
        <w:t> </w:t>
      </w:r>
      <w:r>
        <w:rPr/>
        <w:t>It,</w:t>
      </w:r>
      <w:r>
        <w:rPr>
          <w:spacing w:val="-4"/>
        </w:rPr>
        <w:t> </w:t>
      </w:r>
      <w:r>
        <w:rPr/>
        <w:t>but</w:t>
      </w:r>
      <w:r>
        <w:rPr>
          <w:spacing w:val="-4"/>
        </w:rPr>
        <w:t> </w:t>
      </w:r>
      <w:r>
        <w:rPr/>
        <w:t>I</w:t>
      </w:r>
      <w:r>
        <w:rPr>
          <w:spacing w:val="-4"/>
        </w:rPr>
        <w:t> </w:t>
      </w:r>
      <w:r>
        <w:rPr/>
        <w:t>Hate</w:t>
      </w:r>
      <w:r>
        <w:rPr>
          <w:spacing w:val="-4"/>
        </w:rPr>
        <w:t> </w:t>
      </w:r>
      <w:r>
        <w:rPr/>
        <w:t>It,"</w:t>
      </w:r>
      <w:r>
        <w:rPr>
          <w:spacing w:val="-4"/>
        </w:rPr>
        <w:t> </w:t>
      </w:r>
      <w:r>
        <w:rPr/>
        <w:t>reflecting the tension between perceived security benefits and usability frustrations in MFA.</w:t>
      </w:r>
    </w:p>
    <w:p>
      <w:pPr>
        <w:pStyle w:val="BodyText"/>
      </w:pPr>
    </w:p>
    <w:p>
      <w:pPr>
        <w:pStyle w:val="BodyText"/>
        <w:spacing w:line="230" w:lineRule="auto"/>
        <w:ind w:left="723" w:right="1431"/>
      </w:pPr>
      <w:r>
        <w:rPr/>
        <w:t>Organizational policy decisions significantly influence MFA acceptance and effectiveness. Abbott</w:t>
      </w:r>
      <w:r>
        <w:rPr>
          <w:spacing w:val="-1"/>
        </w:rPr>
        <w:t> </w:t>
      </w:r>
      <w:r>
        <w:rPr/>
        <w:t>et</w:t>
      </w:r>
      <w:r>
        <w:rPr>
          <w:spacing w:val="-1"/>
        </w:rPr>
        <w:t> </w:t>
      </w:r>
      <w:r>
        <w:rPr/>
        <w:t>al.</w:t>
      </w:r>
      <w:r>
        <w:rPr>
          <w:spacing w:val="-1"/>
        </w:rPr>
        <w:t> </w:t>
      </w:r>
      <w:r>
        <w:rPr/>
        <w:t>(2020)</w:t>
      </w:r>
      <w:r>
        <w:rPr>
          <w:spacing w:val="-1"/>
        </w:rPr>
        <w:t> </w:t>
      </w:r>
      <w:r>
        <w:rPr/>
        <w:t>found</w:t>
      </w:r>
      <w:r>
        <w:rPr>
          <w:spacing w:val="-1"/>
        </w:rPr>
        <w:t> </w:t>
      </w:r>
      <w:r>
        <w:rPr/>
        <w:t>that</w:t>
      </w:r>
      <w:r>
        <w:rPr>
          <w:spacing w:val="-1"/>
        </w:rPr>
        <w:t> </w:t>
      </w:r>
      <w:r>
        <w:rPr/>
        <w:t>mandatory</w:t>
      </w:r>
      <w:r>
        <w:rPr>
          <w:spacing w:val="-1"/>
        </w:rPr>
        <w:t> </w:t>
      </w:r>
      <w:r>
        <w:rPr/>
        <w:t>second-factor</w:t>
      </w:r>
      <w:r>
        <w:rPr>
          <w:spacing w:val="-1"/>
        </w:rPr>
        <w:t> </w:t>
      </w:r>
      <w:r>
        <w:rPr/>
        <w:t>authentication</w:t>
      </w:r>
      <w:r>
        <w:rPr>
          <w:spacing w:val="-1"/>
        </w:rPr>
        <w:t> </w:t>
      </w:r>
      <w:r>
        <w:rPr/>
        <w:t>for</w:t>
      </w:r>
      <w:r>
        <w:rPr>
          <w:spacing w:val="-1"/>
        </w:rPr>
        <w:t> </w:t>
      </w:r>
      <w:r>
        <w:rPr/>
        <w:t>select</w:t>
      </w:r>
      <w:r>
        <w:rPr>
          <w:spacing w:val="-1"/>
        </w:rPr>
        <w:t> </w:t>
      </w:r>
      <w:r>
        <w:rPr/>
        <w:t>systems</w:t>
      </w:r>
      <w:r>
        <w:rPr>
          <w:spacing w:val="-1"/>
        </w:rPr>
        <w:t> </w:t>
      </w:r>
      <w:r>
        <w:rPr/>
        <w:t>dealing with sensitive information showed no significant negative changes in user experience. However, user</w:t>
      </w:r>
      <w:r>
        <w:rPr>
          <w:spacing w:val="-5"/>
        </w:rPr>
        <w:t> </w:t>
      </w:r>
      <w:r>
        <w:rPr/>
        <w:t>experience</w:t>
      </w:r>
      <w:r>
        <w:rPr>
          <w:spacing w:val="-5"/>
        </w:rPr>
        <w:t> </w:t>
      </w:r>
      <w:r>
        <w:rPr/>
        <w:t>and</w:t>
      </w:r>
      <w:r>
        <w:rPr>
          <w:spacing w:val="-5"/>
        </w:rPr>
        <w:t> </w:t>
      </w:r>
      <w:r>
        <w:rPr/>
        <w:t>acceptance</w:t>
      </w:r>
      <w:r>
        <w:rPr>
          <w:spacing w:val="-5"/>
        </w:rPr>
        <w:t> </w:t>
      </w:r>
      <w:r>
        <w:rPr/>
        <w:t>degraded</w:t>
      </w:r>
      <w:r>
        <w:rPr>
          <w:spacing w:val="-5"/>
        </w:rPr>
        <w:t> </w:t>
      </w:r>
      <w:r>
        <w:rPr/>
        <w:t>substantially</w:t>
      </w:r>
      <w:r>
        <w:rPr>
          <w:spacing w:val="-5"/>
        </w:rPr>
        <w:t> </w:t>
      </w:r>
      <w:r>
        <w:rPr/>
        <w:t>when</w:t>
      </w:r>
      <w:r>
        <w:rPr>
          <w:spacing w:val="-5"/>
        </w:rPr>
        <w:t> </w:t>
      </w:r>
      <w:r>
        <w:rPr/>
        <w:t>MFA</w:t>
      </w:r>
      <w:r>
        <w:rPr>
          <w:spacing w:val="-5"/>
        </w:rPr>
        <w:t> </w:t>
      </w:r>
      <w:r>
        <w:rPr/>
        <w:t>was</w:t>
      </w:r>
      <w:r>
        <w:rPr>
          <w:spacing w:val="-5"/>
        </w:rPr>
        <w:t> </w:t>
      </w:r>
      <w:r>
        <w:rPr/>
        <w:t>mandated</w:t>
      </w:r>
      <w:r>
        <w:rPr>
          <w:spacing w:val="-5"/>
        </w:rPr>
        <w:t> </w:t>
      </w:r>
      <w:r>
        <w:rPr/>
        <w:t>for</w:t>
      </w:r>
      <w:r>
        <w:rPr>
          <w:spacing w:val="-5"/>
        </w:rPr>
        <w:t> </w:t>
      </w:r>
      <w:r>
        <w:rPr/>
        <w:t>every</w:t>
      </w:r>
      <w:r>
        <w:rPr>
          <w:spacing w:val="-5"/>
        </w:rPr>
        <w:t> </w:t>
      </w:r>
      <w:r>
        <w:rPr/>
        <w:t>single university resource (Aabbott, et al., 2020). This suggests that selective, risk-based MFA deployment could find a possible solution to balance security and user experience. Das et al. (2019) examined organizational security through a risk-reduction-based incentivization model, finding that negative perceptions and degraded understanding of MFA technology resulted from the absence of proper risk and benefit communication in a large organization. Their research showed that communication strategy is critical for creating positive security tool usage experiences. Similarly, research found that mandating 2FA without complementary risk communication led to less secure user behavior, including storing login credentials on public devices (Das, et al., 2019).</w:t>
      </w:r>
    </w:p>
    <w:p>
      <w:pPr>
        <w:pStyle w:val="BodyText"/>
        <w:spacing w:line="230" w:lineRule="auto" w:before="275"/>
        <w:ind w:left="723" w:right="1381"/>
      </w:pPr>
      <w:r>
        <w:rPr/>
        <w:t>The Technology Acceptance Model (TAM) and Unified Theory of Acceptance and Use of Technology</w:t>
      </w:r>
      <w:r>
        <w:rPr>
          <w:spacing w:val="-10"/>
        </w:rPr>
        <w:t> </w:t>
      </w:r>
      <w:r>
        <w:rPr/>
        <w:t>(UTAUT)</w:t>
      </w:r>
      <w:r>
        <w:rPr>
          <w:spacing w:val="-10"/>
        </w:rPr>
        <w:t> </w:t>
      </w:r>
      <w:r>
        <w:rPr/>
        <w:t>provide</w:t>
      </w:r>
      <w:r>
        <w:rPr>
          <w:spacing w:val="-10"/>
        </w:rPr>
        <w:t> </w:t>
      </w:r>
      <w:r>
        <w:rPr/>
        <w:t>theoretical</w:t>
      </w:r>
      <w:r>
        <w:rPr>
          <w:spacing w:val="-10"/>
        </w:rPr>
        <w:t> </w:t>
      </w:r>
      <w:r>
        <w:rPr/>
        <w:t>frameworks</w:t>
      </w:r>
      <w:r>
        <w:rPr>
          <w:spacing w:val="-10"/>
        </w:rPr>
        <w:t> </w:t>
      </w:r>
      <w:r>
        <w:rPr/>
        <w:t>for</w:t>
      </w:r>
      <w:r>
        <w:rPr>
          <w:spacing w:val="-10"/>
        </w:rPr>
        <w:t> </w:t>
      </w:r>
      <w:r>
        <w:rPr/>
        <w:t>understanding</w:t>
      </w:r>
      <w:r>
        <w:rPr>
          <w:spacing w:val="-10"/>
        </w:rPr>
        <w:t> </w:t>
      </w:r>
      <w:r>
        <w:rPr/>
        <w:t>MFA</w:t>
      </w:r>
      <w:r>
        <w:rPr>
          <w:spacing w:val="-10"/>
        </w:rPr>
        <w:t> </w:t>
      </w:r>
      <w:r>
        <w:rPr/>
        <w:t>adoption.</w:t>
      </w:r>
      <w:r>
        <w:rPr>
          <w:spacing w:val="-10"/>
        </w:rPr>
        <w:t> </w:t>
      </w:r>
      <w:r>
        <w:rPr/>
        <w:t>Levy</w:t>
      </w:r>
      <w:r>
        <w:rPr>
          <w:spacing w:val="-10"/>
        </w:rPr>
        <w:t> </w:t>
      </w:r>
      <w:r>
        <w:rPr/>
        <w:t>et al. (2009) model that examines perceived ease-of-use, perceived usefulness, code of conduct awareness, and ethical decision making. Their study found that perceived ease-of-use and perceived usefulness significantly contributed to intention to use multi-biometrics, with all constructs demonstrating high reliability. Code of conduct awareness showed little contribution, while ethical decision making had marginal impact. Alammari et al. (2022) investigated 2FA adoption at a university, identifying ease of use, cognitive effort, and trustworthiness as key factors influencing adoption. While not explicitly applying TAM or UTAUT frameworks, these factors align closely with TAM constructs of perceived ease of use and perceived usefulness.</w:t>
      </w:r>
    </w:p>
    <w:p>
      <w:pPr>
        <w:pStyle w:val="BodyText"/>
        <w:spacing w:line="230" w:lineRule="auto"/>
        <w:ind w:left="723" w:right="1381"/>
      </w:pPr>
      <w:r>
        <w:rPr/>
        <w:t>The</w:t>
      </w:r>
      <w:r>
        <w:rPr>
          <w:spacing w:val="40"/>
        </w:rPr>
        <w:t> </w:t>
      </w:r>
      <w:r>
        <w:rPr/>
        <w:t>limited explicit application of TAM/UTAUT in MFA research represents a gap in the literature,</w:t>
      </w:r>
      <w:r>
        <w:rPr>
          <w:spacing w:val="40"/>
        </w:rPr>
        <w:t> </w:t>
      </w:r>
      <w:r>
        <w:rPr/>
        <w:t>as</w:t>
      </w:r>
      <w:r>
        <w:rPr>
          <w:spacing w:val="-4"/>
        </w:rPr>
        <w:t> </w:t>
      </w:r>
      <w:r>
        <w:rPr/>
        <w:t>these</w:t>
      </w:r>
      <w:r>
        <w:rPr>
          <w:spacing w:val="-4"/>
        </w:rPr>
        <w:t> </w:t>
      </w:r>
      <w:r>
        <w:rPr/>
        <w:t>validated</w:t>
      </w:r>
      <w:r>
        <w:rPr>
          <w:spacing w:val="-4"/>
        </w:rPr>
        <w:t> </w:t>
      </w:r>
      <w:r>
        <w:rPr/>
        <w:t>frameworks</w:t>
      </w:r>
      <w:r>
        <w:rPr>
          <w:spacing w:val="-4"/>
        </w:rPr>
        <w:t> </w:t>
      </w:r>
      <w:r>
        <w:rPr/>
        <w:t>could</w:t>
      </w:r>
      <w:r>
        <w:rPr>
          <w:spacing w:val="-4"/>
        </w:rPr>
        <w:t> </w:t>
      </w:r>
      <w:r>
        <w:rPr/>
        <w:t>provide</w:t>
      </w:r>
      <w:r>
        <w:rPr>
          <w:spacing w:val="-4"/>
        </w:rPr>
        <w:t> </w:t>
      </w:r>
      <w:r>
        <w:rPr/>
        <w:t>more</w:t>
      </w:r>
      <w:r>
        <w:rPr>
          <w:spacing w:val="-4"/>
        </w:rPr>
        <w:t> </w:t>
      </w:r>
      <w:r>
        <w:rPr/>
        <w:t>rigorous</w:t>
      </w:r>
      <w:r>
        <w:rPr>
          <w:spacing w:val="-4"/>
        </w:rPr>
        <w:t> </w:t>
      </w:r>
      <w:r>
        <w:rPr/>
        <w:t>theoretical</w:t>
      </w:r>
      <w:r>
        <w:rPr>
          <w:spacing w:val="-4"/>
        </w:rPr>
        <w:t> </w:t>
      </w:r>
      <w:r>
        <w:rPr/>
        <w:t>grounding</w:t>
      </w:r>
      <w:r>
        <w:rPr>
          <w:spacing w:val="-4"/>
        </w:rPr>
        <w:t> </w:t>
      </w:r>
      <w:r>
        <w:rPr/>
        <w:t>for understanding employee acceptance.</w:t>
      </w:r>
    </w:p>
    <w:p>
      <w:pPr>
        <w:pStyle w:val="BodyText"/>
        <w:spacing w:line="230" w:lineRule="auto" w:before="275"/>
        <w:ind w:left="723" w:right="1381"/>
      </w:pPr>
      <w:r>
        <w:rPr/>
        <w:t>The</w:t>
      </w:r>
      <w:r>
        <w:rPr>
          <w:spacing w:val="-6"/>
        </w:rPr>
        <w:t> </w:t>
      </w:r>
      <w:r>
        <w:rPr/>
        <w:t>literature</w:t>
      </w:r>
      <w:r>
        <w:rPr>
          <w:spacing w:val="-6"/>
        </w:rPr>
        <w:t> </w:t>
      </w:r>
      <w:r>
        <w:rPr/>
        <w:t>identifies</w:t>
      </w:r>
      <w:r>
        <w:rPr>
          <w:spacing w:val="-6"/>
        </w:rPr>
        <w:t> </w:t>
      </w:r>
      <w:r>
        <w:rPr/>
        <w:t>several</w:t>
      </w:r>
      <w:r>
        <w:rPr>
          <w:spacing w:val="-6"/>
        </w:rPr>
        <w:t> </w:t>
      </w:r>
      <w:r>
        <w:rPr/>
        <w:t>consistent</w:t>
      </w:r>
      <w:r>
        <w:rPr>
          <w:spacing w:val="-6"/>
        </w:rPr>
        <w:t> </w:t>
      </w:r>
      <w:r>
        <w:rPr/>
        <w:t>barriers</w:t>
      </w:r>
      <w:r>
        <w:rPr>
          <w:spacing w:val="-6"/>
        </w:rPr>
        <w:t> </w:t>
      </w:r>
      <w:r>
        <w:rPr/>
        <w:t>to</w:t>
      </w:r>
      <w:r>
        <w:rPr>
          <w:spacing w:val="-6"/>
        </w:rPr>
        <w:t> </w:t>
      </w:r>
      <w:r>
        <w:rPr/>
        <w:t>MFA</w:t>
      </w:r>
      <w:r>
        <w:rPr>
          <w:spacing w:val="-6"/>
        </w:rPr>
        <w:t> </w:t>
      </w:r>
      <w:r>
        <w:rPr/>
        <w:t>acceptance.</w:t>
      </w:r>
      <w:r>
        <w:rPr>
          <w:spacing w:val="-6"/>
        </w:rPr>
        <w:t> </w:t>
      </w:r>
      <w:r>
        <w:rPr/>
        <w:t>Lockout</w:t>
      </w:r>
      <w:r>
        <w:rPr>
          <w:spacing w:val="-6"/>
        </w:rPr>
        <w:t> </w:t>
      </w:r>
      <w:r>
        <w:rPr/>
        <w:t>incidents</w:t>
      </w:r>
      <w:r>
        <w:rPr>
          <w:spacing w:val="-6"/>
        </w:rPr>
        <w:t> </w:t>
      </w:r>
      <w:r>
        <w:rPr/>
        <w:t>emerge as a primary concern, with approximately 50% of users experiencing authentication failures that prevent system access (Dutson, et al., 2019). Technical problems, including inability to access registered devices, connectivity issues, and setup difficulties, create frustration and resistance.</w:t>
      </w:r>
    </w:p>
    <w:p>
      <w:pPr>
        <w:pStyle w:val="BodyText"/>
        <w:spacing w:line="230" w:lineRule="auto"/>
        <w:ind w:left="723" w:right="1461"/>
      </w:pPr>
      <w:r>
        <w:rPr/>
        <w:t>Hastings et al. (2024) measured user costs of enterprise MFA policies, finding that a policy change from deny/approve mobile notification to a more cumbersome two-digit code confirmation</w:t>
      </w:r>
      <w:r>
        <w:rPr>
          <w:spacing w:val="-4"/>
        </w:rPr>
        <w:t> </w:t>
      </w:r>
      <w:r>
        <w:rPr/>
        <w:t>led</w:t>
      </w:r>
      <w:r>
        <w:rPr>
          <w:spacing w:val="-4"/>
        </w:rPr>
        <w:t> </w:t>
      </w:r>
      <w:r>
        <w:rPr/>
        <w:t>to</w:t>
      </w:r>
      <w:r>
        <w:rPr>
          <w:spacing w:val="-4"/>
        </w:rPr>
        <w:t> </w:t>
      </w:r>
      <w:r>
        <w:rPr/>
        <w:t>significant</w:t>
      </w:r>
      <w:r>
        <w:rPr>
          <w:spacing w:val="-4"/>
        </w:rPr>
        <w:t> </w:t>
      </w:r>
      <w:r>
        <w:rPr/>
        <w:t>increases</w:t>
      </w:r>
      <w:r>
        <w:rPr>
          <w:spacing w:val="-4"/>
        </w:rPr>
        <w:t> </w:t>
      </w:r>
      <w:r>
        <w:rPr/>
        <w:t>in</w:t>
      </w:r>
      <w:r>
        <w:rPr>
          <w:spacing w:val="-4"/>
        </w:rPr>
        <w:t> </w:t>
      </w:r>
      <w:r>
        <w:rPr/>
        <w:t>time</w:t>
      </w:r>
      <w:r>
        <w:rPr>
          <w:spacing w:val="-4"/>
        </w:rPr>
        <w:t> </w:t>
      </w:r>
      <w:r>
        <w:rPr/>
        <w:t>spent</w:t>
      </w:r>
      <w:r>
        <w:rPr>
          <w:spacing w:val="-4"/>
        </w:rPr>
        <w:t> </w:t>
      </w:r>
      <w:r>
        <w:rPr/>
        <w:t>away</w:t>
      </w:r>
      <w:r>
        <w:rPr>
          <w:spacing w:val="-4"/>
        </w:rPr>
        <w:t> </w:t>
      </w:r>
      <w:r>
        <w:rPr/>
        <w:t>from</w:t>
      </w:r>
      <w:r>
        <w:rPr>
          <w:spacing w:val="-4"/>
        </w:rPr>
        <w:t> </w:t>
      </w:r>
      <w:r>
        <w:rPr/>
        <w:t>applications</w:t>
      </w:r>
      <w:r>
        <w:rPr>
          <w:spacing w:val="-4"/>
        </w:rPr>
        <w:t> </w:t>
      </w:r>
      <w:r>
        <w:rPr/>
        <w:t>following</w:t>
      </w:r>
      <w:r>
        <w:rPr>
          <w:spacing w:val="-4"/>
        </w:rPr>
        <w:t> </w:t>
      </w:r>
      <w:r>
        <w:rPr/>
        <w:t>failures. Facilitators for successful MFA implementation include comprehensive user education, clear communication of security benefits, improved user interface design, and responsive technical support. Dutson et al. (2019) recommended reducing 2FA frequency through "Remember Me" settings, UI changes to highlight non-WiFi authentication methods, and more visible help utilities. Kepkowski et al. (2023) identified serious gaps in FIDO2 integration within enterprise settings, with over 60% of 118 professionals citing account recovery as a critical challenge.</w:t>
      </w:r>
    </w:p>
    <w:p>
      <w:pPr>
        <w:pStyle w:val="BodyText"/>
        <w:spacing w:after="0" w:line="230" w:lineRule="auto"/>
        <w:sectPr>
          <w:pgSz w:w="12240" w:h="15840"/>
          <w:pgMar w:header="0" w:footer="706" w:top="620" w:bottom="960" w:left="720" w:right="0"/>
        </w:sectPr>
      </w:pPr>
    </w:p>
    <w:p>
      <w:pPr>
        <w:pStyle w:val="Heading4"/>
        <w:spacing w:before="60"/>
      </w:pPr>
      <w:r>
        <w:rPr>
          <w:spacing w:val="-2"/>
        </w:rPr>
        <w:t>Methodology</w:t>
      </w:r>
    </w:p>
    <w:p>
      <w:pPr>
        <w:pStyle w:val="BodyText"/>
        <w:spacing w:line="230" w:lineRule="auto" w:before="273"/>
        <w:ind w:left="723" w:right="1381"/>
      </w:pPr>
      <w:r>
        <w:rPr/>
        <w:t>This</w:t>
      </w:r>
      <w:r>
        <w:rPr>
          <w:spacing w:val="-4"/>
        </w:rPr>
        <w:t> </w:t>
      </w:r>
      <w:r>
        <w:rPr/>
        <w:t>study</w:t>
      </w:r>
      <w:r>
        <w:rPr>
          <w:spacing w:val="-4"/>
        </w:rPr>
        <w:t> </w:t>
      </w:r>
      <w:r>
        <w:rPr/>
        <w:t>will</w:t>
      </w:r>
      <w:r>
        <w:rPr>
          <w:spacing w:val="-4"/>
        </w:rPr>
        <w:t> </w:t>
      </w:r>
      <w:r>
        <w:rPr/>
        <w:t>use</w:t>
      </w:r>
      <w:r>
        <w:rPr>
          <w:spacing w:val="-4"/>
        </w:rPr>
        <w:t> </w:t>
      </w:r>
      <w:r>
        <w:rPr/>
        <w:t>a</w:t>
      </w:r>
      <w:r>
        <w:rPr>
          <w:spacing w:val="-4"/>
        </w:rPr>
        <w:t> </w:t>
      </w:r>
      <w:r>
        <w:rPr/>
        <w:t>cross-sectional</w:t>
      </w:r>
      <w:r>
        <w:rPr>
          <w:spacing w:val="-4"/>
        </w:rPr>
        <w:t> </w:t>
      </w:r>
      <w:r>
        <w:rPr/>
        <w:t>survey</w:t>
      </w:r>
      <w:r>
        <w:rPr>
          <w:spacing w:val="-4"/>
        </w:rPr>
        <w:t> </w:t>
      </w:r>
      <w:r>
        <w:rPr/>
        <w:t>design</w:t>
      </w:r>
      <w:r>
        <w:rPr>
          <w:spacing w:val="-4"/>
        </w:rPr>
        <w:t> </w:t>
      </w:r>
      <w:r>
        <w:rPr/>
        <w:t>to</w:t>
      </w:r>
      <w:r>
        <w:rPr>
          <w:spacing w:val="-4"/>
        </w:rPr>
        <w:t> </w:t>
      </w:r>
      <w:r>
        <w:rPr/>
        <w:t>measure</w:t>
      </w:r>
      <w:r>
        <w:rPr>
          <w:spacing w:val="-4"/>
        </w:rPr>
        <w:t> </w:t>
      </w:r>
      <w:r>
        <w:rPr/>
        <w:t>employee</w:t>
      </w:r>
      <w:r>
        <w:rPr>
          <w:spacing w:val="-4"/>
        </w:rPr>
        <w:t> </w:t>
      </w:r>
      <w:r>
        <w:rPr/>
        <w:t>perceptions</w:t>
      </w:r>
      <w:r>
        <w:rPr>
          <w:spacing w:val="-4"/>
        </w:rPr>
        <w:t> </w:t>
      </w:r>
      <w:r>
        <w:rPr/>
        <w:t>of</w:t>
      </w:r>
      <w:r>
        <w:rPr>
          <w:spacing w:val="-4"/>
        </w:rPr>
        <w:t> </w:t>
      </w:r>
      <w:r>
        <w:rPr/>
        <w:t>MFA</w:t>
      </w:r>
      <w:r>
        <w:rPr>
          <w:spacing w:val="-4"/>
        </w:rPr>
        <w:t> </w:t>
      </w:r>
      <w:r>
        <w:rPr/>
        <w:t>at</w:t>
      </w:r>
      <w:r>
        <w:rPr>
          <w:spacing w:val="-4"/>
        </w:rPr>
        <w:t> </w:t>
      </w:r>
      <w:r>
        <w:rPr/>
        <w:t>a regional</w:t>
      </w:r>
      <w:r>
        <w:rPr>
          <w:spacing w:val="-6"/>
        </w:rPr>
        <w:t> </w:t>
      </w:r>
      <w:r>
        <w:rPr/>
        <w:t>university.</w:t>
      </w:r>
      <w:r>
        <w:rPr>
          <w:spacing w:val="-6"/>
        </w:rPr>
        <w:t> </w:t>
      </w:r>
      <w:r>
        <w:rPr/>
        <w:t>The</w:t>
      </w:r>
      <w:r>
        <w:rPr>
          <w:spacing w:val="-6"/>
        </w:rPr>
        <w:t> </w:t>
      </w:r>
      <w:r>
        <w:rPr/>
        <w:t>quantitative</w:t>
      </w:r>
      <w:r>
        <w:rPr>
          <w:spacing w:val="-6"/>
        </w:rPr>
        <w:t> </w:t>
      </w:r>
      <w:r>
        <w:rPr/>
        <w:t>approach</w:t>
      </w:r>
      <w:r>
        <w:rPr>
          <w:spacing w:val="-6"/>
        </w:rPr>
        <w:t> </w:t>
      </w:r>
      <w:r>
        <w:rPr/>
        <w:t>enables</w:t>
      </w:r>
      <w:r>
        <w:rPr>
          <w:spacing w:val="-6"/>
        </w:rPr>
        <w:t> </w:t>
      </w:r>
      <w:r>
        <w:rPr/>
        <w:t>systematic</w:t>
      </w:r>
      <w:r>
        <w:rPr>
          <w:spacing w:val="-6"/>
        </w:rPr>
        <w:t> </w:t>
      </w:r>
      <w:r>
        <w:rPr/>
        <w:t>assessment</w:t>
      </w:r>
      <w:r>
        <w:rPr>
          <w:spacing w:val="-6"/>
        </w:rPr>
        <w:t> </w:t>
      </w:r>
      <w:r>
        <w:rPr/>
        <w:t>of</w:t>
      </w:r>
      <w:r>
        <w:rPr>
          <w:spacing w:val="-6"/>
        </w:rPr>
        <w:t> </w:t>
      </w:r>
      <w:r>
        <w:rPr/>
        <w:t>attitudes,</w:t>
      </w:r>
      <w:r>
        <w:rPr>
          <w:spacing w:val="-6"/>
        </w:rPr>
        <w:t> </w:t>
      </w:r>
      <w:r>
        <w:rPr/>
        <w:t>beliefs, and behavioral intentions across a large sample, facilitating statistical analysis of factors influencing MFA acceptance.</w:t>
      </w:r>
    </w:p>
    <w:p>
      <w:pPr>
        <w:pStyle w:val="BodyText"/>
        <w:spacing w:before="5"/>
      </w:pPr>
    </w:p>
    <w:p>
      <w:pPr>
        <w:pStyle w:val="BodyText"/>
        <w:spacing w:line="230" w:lineRule="auto"/>
        <w:ind w:left="723" w:right="1461"/>
      </w:pPr>
      <w:r>
        <w:rPr/>
        <w:t>The target population consists of faculty and staff at a regional university that has implemented mandatory MFA for access to institutional systems. We will employ stratified random sampling to</w:t>
      </w:r>
      <w:r>
        <w:rPr>
          <w:spacing w:val="-7"/>
        </w:rPr>
        <w:t> </w:t>
      </w:r>
      <w:r>
        <w:rPr/>
        <w:t>ensure</w:t>
      </w:r>
      <w:r>
        <w:rPr>
          <w:spacing w:val="-7"/>
        </w:rPr>
        <w:t> </w:t>
      </w:r>
      <w:r>
        <w:rPr/>
        <w:t>representation</w:t>
      </w:r>
      <w:r>
        <w:rPr>
          <w:spacing w:val="-7"/>
        </w:rPr>
        <w:t> </w:t>
      </w:r>
      <w:r>
        <w:rPr/>
        <w:t>across</w:t>
      </w:r>
      <w:r>
        <w:rPr>
          <w:spacing w:val="-7"/>
        </w:rPr>
        <w:t> </w:t>
      </w:r>
      <w:r>
        <w:rPr/>
        <w:t>employee</w:t>
      </w:r>
      <w:r>
        <w:rPr>
          <w:spacing w:val="-7"/>
        </w:rPr>
        <w:t> </w:t>
      </w:r>
      <w:r>
        <w:rPr/>
        <w:t>categories</w:t>
      </w:r>
      <w:r>
        <w:rPr>
          <w:spacing w:val="-7"/>
        </w:rPr>
        <w:t> </w:t>
      </w:r>
      <w:r>
        <w:rPr/>
        <w:t>(faculty,</w:t>
      </w:r>
      <w:r>
        <w:rPr>
          <w:spacing w:val="-7"/>
        </w:rPr>
        <w:t> </w:t>
      </w:r>
      <w:r>
        <w:rPr/>
        <w:t>administrative</w:t>
      </w:r>
      <w:r>
        <w:rPr>
          <w:spacing w:val="-7"/>
        </w:rPr>
        <w:t> </w:t>
      </w:r>
      <w:r>
        <w:rPr/>
        <w:t>staff,</w:t>
      </w:r>
      <w:r>
        <w:rPr>
          <w:spacing w:val="-7"/>
        </w:rPr>
        <w:t> </w:t>
      </w:r>
      <w:r>
        <w:rPr/>
        <w:t>technical</w:t>
      </w:r>
      <w:r>
        <w:rPr>
          <w:spacing w:val="-7"/>
        </w:rPr>
        <w:t> </w:t>
      </w:r>
      <w:r>
        <w:rPr/>
        <w:t>staff) and academic units. Our goal will be a sample size of 300 participants to achieve adequate statistical power for multivariate analyses.</w:t>
      </w:r>
    </w:p>
    <w:p>
      <w:pPr>
        <w:pStyle w:val="BodyText"/>
        <w:spacing w:before="3"/>
      </w:pPr>
    </w:p>
    <w:p>
      <w:pPr>
        <w:pStyle w:val="BodyText"/>
        <w:spacing w:line="230" w:lineRule="auto"/>
        <w:ind w:left="723" w:right="1448"/>
      </w:pPr>
      <w:r>
        <w:rPr/>
        <w:t>The survey will incorporate validated instruments from technology acceptance research to measure key constructs related to MFA perceptions. Specifically, we will adapt items from Davis's</w:t>
      </w:r>
      <w:r>
        <w:rPr>
          <w:spacing w:val="-8"/>
        </w:rPr>
        <w:t> </w:t>
      </w:r>
      <w:r>
        <w:rPr/>
        <w:t>Technology</w:t>
      </w:r>
      <w:r>
        <w:rPr>
          <w:spacing w:val="-8"/>
        </w:rPr>
        <w:t> </w:t>
      </w:r>
      <w:r>
        <w:rPr/>
        <w:t>Acceptance</w:t>
      </w:r>
      <w:r>
        <w:rPr>
          <w:spacing w:val="-8"/>
        </w:rPr>
        <w:t> </w:t>
      </w:r>
      <w:r>
        <w:rPr/>
        <w:t>Model</w:t>
      </w:r>
      <w:r>
        <w:rPr>
          <w:spacing w:val="-8"/>
        </w:rPr>
        <w:t> </w:t>
      </w:r>
      <w:r>
        <w:rPr/>
        <w:t>(TAM)</w:t>
      </w:r>
      <w:r>
        <w:rPr>
          <w:spacing w:val="-8"/>
        </w:rPr>
        <w:t> </w:t>
      </w:r>
      <w:r>
        <w:rPr/>
        <w:t>scales,</w:t>
      </w:r>
      <w:r>
        <w:rPr>
          <w:spacing w:val="-8"/>
        </w:rPr>
        <w:t> </w:t>
      </w:r>
      <w:r>
        <w:rPr/>
        <w:t>which</w:t>
      </w:r>
      <w:r>
        <w:rPr>
          <w:spacing w:val="-8"/>
        </w:rPr>
        <w:t> </w:t>
      </w:r>
      <w:r>
        <w:rPr/>
        <w:t>have</w:t>
      </w:r>
      <w:r>
        <w:rPr>
          <w:spacing w:val="-8"/>
        </w:rPr>
        <w:t> </w:t>
      </w:r>
      <w:r>
        <w:rPr/>
        <w:t>demonstrated</w:t>
      </w:r>
      <w:r>
        <w:rPr>
          <w:spacing w:val="-8"/>
        </w:rPr>
        <w:t> </w:t>
      </w:r>
      <w:r>
        <w:rPr/>
        <w:t>strong</w:t>
      </w:r>
      <w:r>
        <w:rPr>
          <w:spacing w:val="-8"/>
        </w:rPr>
        <w:t> </w:t>
      </w:r>
      <w:r>
        <w:rPr/>
        <w:t>reliability and validity across numerous technology adoption studies (Levy and Ramim, 2009). The TAM instrument measures two primary constructs: perceived usefulness (the degree to which a person believes that using MFA will enhance their work security) and perceived ease of use (the degree to which a person believes that using MFA will be free of effort). Davis's original TAM scales consist of six items for perceived usefulness (Cronbach's α = 0.98) and six items for perceived ease of use (Cronbach's α = 0.94). Additionally, we will include items measuring behavioral intention to comply with MFA policies, adapted from Venkatesh et al.'s UTAUT model, which has been validated in organizational settings. The behavioral intention scale consists of three items measuring users' intention to use the technology (Cronbach's α = 0.88-0.91 across studies). To capture MFA-specific concerns identified in the literature, we will develop supplementary items measuring lockout experiences, device accessibility, and perceived organizational support, following scale development procedures including expert review and pilot testing.</w:t>
      </w:r>
    </w:p>
    <w:p>
      <w:pPr>
        <w:pStyle w:val="BodyText"/>
      </w:pPr>
    </w:p>
    <w:p>
      <w:pPr>
        <w:pStyle w:val="BodyText"/>
        <w:spacing w:line="230" w:lineRule="auto"/>
        <w:ind w:left="723" w:right="1461"/>
      </w:pPr>
      <w:r>
        <w:rPr/>
        <w:t>Data</w:t>
      </w:r>
      <w:r>
        <w:rPr>
          <w:spacing w:val="-3"/>
        </w:rPr>
        <w:t> </w:t>
      </w:r>
      <w:r>
        <w:rPr/>
        <w:t>collection</w:t>
      </w:r>
      <w:r>
        <w:rPr>
          <w:spacing w:val="-3"/>
        </w:rPr>
        <w:t> </w:t>
      </w:r>
      <w:r>
        <w:rPr/>
        <w:t>will</w:t>
      </w:r>
      <w:r>
        <w:rPr>
          <w:spacing w:val="-3"/>
        </w:rPr>
        <w:t> </w:t>
      </w:r>
      <w:r>
        <w:rPr/>
        <w:t>occur</w:t>
      </w:r>
      <w:r>
        <w:rPr>
          <w:spacing w:val="-3"/>
        </w:rPr>
        <w:t> </w:t>
      </w:r>
      <w:r>
        <w:rPr/>
        <w:t>via</w:t>
      </w:r>
      <w:r>
        <w:rPr>
          <w:spacing w:val="-3"/>
        </w:rPr>
        <w:t> </w:t>
      </w:r>
      <w:r>
        <w:rPr/>
        <w:t>an</w:t>
      </w:r>
      <w:r>
        <w:rPr>
          <w:spacing w:val="-3"/>
        </w:rPr>
        <w:t> </w:t>
      </w:r>
      <w:r>
        <w:rPr/>
        <w:t>online</w:t>
      </w:r>
      <w:r>
        <w:rPr>
          <w:spacing w:val="-3"/>
        </w:rPr>
        <w:t> </w:t>
      </w:r>
      <w:r>
        <w:rPr/>
        <w:t>survey</w:t>
      </w:r>
      <w:r>
        <w:rPr>
          <w:spacing w:val="-3"/>
        </w:rPr>
        <w:t> </w:t>
      </w:r>
      <w:r>
        <w:rPr/>
        <w:t>distributed</w:t>
      </w:r>
      <w:r>
        <w:rPr>
          <w:spacing w:val="-3"/>
        </w:rPr>
        <w:t> </w:t>
      </w:r>
      <w:r>
        <w:rPr/>
        <w:t>through</w:t>
      </w:r>
      <w:r>
        <w:rPr>
          <w:spacing w:val="-3"/>
        </w:rPr>
        <w:t> </w:t>
      </w:r>
      <w:r>
        <w:rPr/>
        <w:t>institutional</w:t>
      </w:r>
      <w:r>
        <w:rPr>
          <w:spacing w:val="-3"/>
        </w:rPr>
        <w:t> </w:t>
      </w:r>
      <w:r>
        <w:rPr/>
        <w:t>email</w:t>
      </w:r>
      <w:r>
        <w:rPr>
          <w:spacing w:val="-3"/>
        </w:rPr>
        <w:t> </w:t>
      </w:r>
      <w:r>
        <w:rPr/>
        <w:t>during</w:t>
      </w:r>
      <w:r>
        <w:rPr>
          <w:spacing w:val="-3"/>
        </w:rPr>
        <w:t> </w:t>
      </w:r>
      <w:r>
        <w:rPr/>
        <w:t>the Spring of 2026. The survey will include informed consent procedures, demographic questions, and the validated measurement scales. Participants will be assured of anonymity and confidentiality. Data collection will span four weeks to maximize response rates, with reminder emails</w:t>
      </w:r>
      <w:r>
        <w:rPr>
          <w:spacing w:val="-4"/>
        </w:rPr>
        <w:t> </w:t>
      </w:r>
      <w:r>
        <w:rPr/>
        <w:t>sent</w:t>
      </w:r>
      <w:r>
        <w:rPr>
          <w:spacing w:val="-4"/>
        </w:rPr>
        <w:t> </w:t>
      </w:r>
      <w:r>
        <w:rPr/>
        <w:t>at</w:t>
      </w:r>
      <w:r>
        <w:rPr>
          <w:spacing w:val="-4"/>
        </w:rPr>
        <w:t> </w:t>
      </w:r>
      <w:r>
        <w:rPr/>
        <w:t>one-week</w:t>
      </w:r>
      <w:r>
        <w:rPr>
          <w:spacing w:val="-4"/>
        </w:rPr>
        <w:t> </w:t>
      </w:r>
      <w:r>
        <w:rPr/>
        <w:t>intervals.</w:t>
      </w:r>
      <w:r>
        <w:rPr>
          <w:spacing w:val="-4"/>
        </w:rPr>
        <w:t> </w:t>
      </w:r>
      <w:r>
        <w:rPr/>
        <w:t>Quantitative</w:t>
      </w:r>
      <w:r>
        <w:rPr>
          <w:spacing w:val="-4"/>
        </w:rPr>
        <w:t> </w:t>
      </w:r>
      <w:r>
        <w:rPr/>
        <w:t>data</w:t>
      </w:r>
      <w:r>
        <w:rPr>
          <w:spacing w:val="-4"/>
        </w:rPr>
        <w:t> </w:t>
      </w:r>
      <w:r>
        <w:rPr/>
        <w:t>will</w:t>
      </w:r>
      <w:r>
        <w:rPr>
          <w:spacing w:val="-4"/>
        </w:rPr>
        <w:t> </w:t>
      </w:r>
      <w:r>
        <w:rPr/>
        <w:t>be</w:t>
      </w:r>
      <w:r>
        <w:rPr>
          <w:spacing w:val="-4"/>
        </w:rPr>
        <w:t> </w:t>
      </w:r>
      <w:r>
        <w:rPr/>
        <w:t>analyzed</w:t>
      </w:r>
      <w:r>
        <w:rPr>
          <w:spacing w:val="-4"/>
        </w:rPr>
        <w:t> </w:t>
      </w:r>
      <w:r>
        <w:rPr/>
        <w:t>using</w:t>
      </w:r>
      <w:r>
        <w:rPr>
          <w:spacing w:val="-4"/>
        </w:rPr>
        <w:t> </w:t>
      </w:r>
      <w:r>
        <w:rPr/>
        <w:t>descriptive</w:t>
      </w:r>
      <w:r>
        <w:rPr>
          <w:spacing w:val="-4"/>
        </w:rPr>
        <w:t> </w:t>
      </w:r>
      <w:r>
        <w:rPr/>
        <w:t>statistics, reliability analysis (Cronbach's alpha), and structural equation modeling to test relationships between perceived ease of use, perceived usefulness, and behavioral intention to use MFA.</w:t>
      </w:r>
    </w:p>
    <w:p>
      <w:pPr>
        <w:pStyle w:val="BodyText"/>
        <w:spacing w:before="2"/>
      </w:pPr>
    </w:p>
    <w:p>
      <w:pPr>
        <w:pStyle w:val="Heading4"/>
      </w:pPr>
      <w:r>
        <w:rPr/>
        <w:t>Conclusion</w:t>
      </w:r>
      <w:r>
        <w:rPr>
          <w:spacing w:val="-2"/>
        </w:rPr>
        <w:t> </w:t>
      </w:r>
      <w:r>
        <w:rPr/>
        <w:t>and</w:t>
      </w:r>
      <w:r>
        <w:rPr>
          <w:spacing w:val="-2"/>
        </w:rPr>
        <w:t> </w:t>
      </w:r>
      <w:r>
        <w:rPr/>
        <w:t>Future</w:t>
      </w:r>
      <w:r>
        <w:rPr>
          <w:spacing w:val="-1"/>
        </w:rPr>
        <w:t> </w:t>
      </w:r>
      <w:r>
        <w:rPr>
          <w:spacing w:val="-2"/>
        </w:rPr>
        <w:t>Research</w:t>
      </w:r>
    </w:p>
    <w:p>
      <w:pPr>
        <w:pStyle w:val="BodyText"/>
        <w:spacing w:line="230" w:lineRule="auto" w:before="273"/>
        <w:ind w:left="723" w:right="1191"/>
      </w:pPr>
      <w:r>
        <w:rPr/>
        <w:t>This proposed study will contribute to understanding employee perceptions of MFA in higher education</w:t>
      </w:r>
      <w:r>
        <w:rPr>
          <w:spacing w:val="-5"/>
        </w:rPr>
        <w:t> </w:t>
      </w:r>
      <w:r>
        <w:rPr/>
        <w:t>by</w:t>
      </w:r>
      <w:r>
        <w:rPr>
          <w:spacing w:val="-5"/>
        </w:rPr>
        <w:t> </w:t>
      </w:r>
      <w:r>
        <w:rPr/>
        <w:t>employing</w:t>
      </w:r>
      <w:r>
        <w:rPr>
          <w:spacing w:val="-5"/>
        </w:rPr>
        <w:t> </w:t>
      </w:r>
      <w:r>
        <w:rPr/>
        <w:t>validated</w:t>
      </w:r>
      <w:r>
        <w:rPr>
          <w:spacing w:val="-5"/>
        </w:rPr>
        <w:t> </w:t>
      </w:r>
      <w:r>
        <w:rPr/>
        <w:t>measurement</w:t>
      </w:r>
      <w:r>
        <w:rPr>
          <w:spacing w:val="-5"/>
        </w:rPr>
        <w:t> </w:t>
      </w:r>
      <w:r>
        <w:rPr/>
        <w:t>instruments</w:t>
      </w:r>
      <w:r>
        <w:rPr>
          <w:spacing w:val="-5"/>
        </w:rPr>
        <w:t> </w:t>
      </w:r>
      <w:r>
        <w:rPr/>
        <w:t>grounded</w:t>
      </w:r>
      <w:r>
        <w:rPr>
          <w:spacing w:val="-5"/>
        </w:rPr>
        <w:t> </w:t>
      </w:r>
      <w:r>
        <w:rPr/>
        <w:t>in</w:t>
      </w:r>
      <w:r>
        <w:rPr>
          <w:spacing w:val="-5"/>
        </w:rPr>
        <w:t> </w:t>
      </w:r>
      <w:r>
        <w:rPr/>
        <w:t>technology</w:t>
      </w:r>
      <w:r>
        <w:rPr>
          <w:spacing w:val="-5"/>
        </w:rPr>
        <w:t> </w:t>
      </w:r>
      <w:r>
        <w:rPr/>
        <w:t>acceptance theory. Findings will inform organizational policy decisions and implementation strategies that balance security requirements with user experience.</w:t>
      </w:r>
    </w:p>
    <w:p>
      <w:pPr>
        <w:pStyle w:val="BodyText"/>
        <w:spacing w:before="5"/>
      </w:pPr>
    </w:p>
    <w:p>
      <w:pPr>
        <w:pStyle w:val="Heading4"/>
        <w:spacing w:before="1"/>
      </w:pPr>
      <w:r>
        <w:rPr>
          <w:spacing w:val="-2"/>
        </w:rPr>
        <w:t>References</w:t>
      </w:r>
    </w:p>
    <w:p>
      <w:pPr>
        <w:spacing w:line="230" w:lineRule="auto" w:before="271"/>
        <w:ind w:left="723" w:right="1381" w:firstLine="0"/>
        <w:jc w:val="left"/>
        <w:rPr>
          <w:sz w:val="24"/>
        </w:rPr>
      </w:pPr>
      <w:r>
        <w:rPr>
          <w:sz w:val="24"/>
        </w:rPr>
        <w:t>Abbott, J., Patil, S., &amp; Beznosov, K. (2020). How mandatory second factor affects the authentication</w:t>
      </w:r>
      <w:r>
        <w:rPr>
          <w:spacing w:val="-5"/>
          <w:sz w:val="24"/>
        </w:rPr>
        <w:t> </w:t>
      </w:r>
      <w:r>
        <w:rPr>
          <w:sz w:val="24"/>
        </w:rPr>
        <w:t>user</w:t>
      </w:r>
      <w:r>
        <w:rPr>
          <w:spacing w:val="-5"/>
          <w:sz w:val="24"/>
        </w:rPr>
        <w:t> </w:t>
      </w:r>
      <w:r>
        <w:rPr>
          <w:sz w:val="24"/>
        </w:rPr>
        <w:t>experience.</w:t>
      </w:r>
      <w:r>
        <w:rPr>
          <w:spacing w:val="-5"/>
          <w:sz w:val="24"/>
        </w:rPr>
        <w:t> </w:t>
      </w:r>
      <w:r>
        <w:rPr>
          <w:i/>
          <w:sz w:val="24"/>
        </w:rPr>
        <w:t>Proceedings</w:t>
      </w:r>
      <w:r>
        <w:rPr>
          <w:i/>
          <w:spacing w:val="-5"/>
          <w:sz w:val="24"/>
        </w:rPr>
        <w:t> </w:t>
      </w:r>
      <w:r>
        <w:rPr>
          <w:i/>
          <w:sz w:val="24"/>
        </w:rPr>
        <w:t>of</w:t>
      </w:r>
      <w:r>
        <w:rPr>
          <w:i/>
          <w:spacing w:val="-5"/>
          <w:sz w:val="24"/>
        </w:rPr>
        <w:t> </w:t>
      </w:r>
      <w:r>
        <w:rPr>
          <w:i/>
          <w:sz w:val="24"/>
        </w:rPr>
        <w:t>the</w:t>
      </w:r>
      <w:r>
        <w:rPr>
          <w:i/>
          <w:spacing w:val="-5"/>
          <w:sz w:val="24"/>
        </w:rPr>
        <w:t> </w:t>
      </w:r>
      <w:r>
        <w:rPr>
          <w:i/>
          <w:sz w:val="24"/>
        </w:rPr>
        <w:t>2020</w:t>
      </w:r>
      <w:r>
        <w:rPr>
          <w:i/>
          <w:spacing w:val="-5"/>
          <w:sz w:val="24"/>
        </w:rPr>
        <w:t> </w:t>
      </w:r>
      <w:r>
        <w:rPr>
          <w:i/>
          <w:sz w:val="24"/>
        </w:rPr>
        <w:t>CHI</w:t>
      </w:r>
      <w:r>
        <w:rPr>
          <w:i/>
          <w:spacing w:val="-5"/>
          <w:sz w:val="24"/>
        </w:rPr>
        <w:t> </w:t>
      </w:r>
      <w:r>
        <w:rPr>
          <w:i/>
          <w:sz w:val="24"/>
        </w:rPr>
        <w:t>Conference</w:t>
      </w:r>
      <w:r>
        <w:rPr>
          <w:i/>
          <w:spacing w:val="-5"/>
          <w:sz w:val="24"/>
        </w:rPr>
        <w:t> </w:t>
      </w:r>
      <w:r>
        <w:rPr>
          <w:i/>
          <w:sz w:val="24"/>
        </w:rPr>
        <w:t>on</w:t>
      </w:r>
      <w:r>
        <w:rPr>
          <w:i/>
          <w:spacing w:val="-5"/>
          <w:sz w:val="24"/>
        </w:rPr>
        <w:t> </w:t>
      </w:r>
      <w:r>
        <w:rPr>
          <w:i/>
          <w:sz w:val="24"/>
        </w:rPr>
        <w:t>Human</w:t>
      </w:r>
      <w:r>
        <w:rPr>
          <w:i/>
          <w:spacing w:val="-5"/>
          <w:sz w:val="24"/>
        </w:rPr>
        <w:t> </w:t>
      </w:r>
      <w:r>
        <w:rPr>
          <w:i/>
          <w:sz w:val="24"/>
        </w:rPr>
        <w:t>Factors</w:t>
      </w:r>
      <w:r>
        <w:rPr>
          <w:i/>
          <w:spacing w:val="-5"/>
          <w:sz w:val="24"/>
        </w:rPr>
        <w:t> </w:t>
      </w:r>
      <w:r>
        <w:rPr>
          <w:i/>
          <w:sz w:val="24"/>
        </w:rPr>
        <w:t>in</w:t>
      </w:r>
      <w:r>
        <w:rPr>
          <w:i/>
          <w:sz w:val="24"/>
        </w:rPr>
        <w:t> Computing Systems</w:t>
      </w:r>
      <w:r>
        <w:rPr>
          <w:sz w:val="24"/>
        </w:rPr>
        <w:t>, 1-13. </w:t>
      </w:r>
      <w:hyperlink r:id="rId95">
        <w:r>
          <w:rPr>
            <w:color w:val="0462C1"/>
            <w:sz w:val="24"/>
            <w:u w:val="thick" w:color="0462C1"/>
          </w:rPr>
          <w:t>https://doi.org/10.1145/3313831.3376457</w:t>
        </w:r>
      </w:hyperlink>
    </w:p>
    <w:p>
      <w:pPr>
        <w:pStyle w:val="BodyText"/>
        <w:spacing w:before="4"/>
      </w:pPr>
    </w:p>
    <w:p>
      <w:pPr>
        <w:pStyle w:val="BodyText"/>
        <w:spacing w:line="230" w:lineRule="auto"/>
        <w:ind w:left="723" w:right="1381"/>
      </w:pPr>
      <w:r>
        <w:rPr/>
        <w:t>Alammari, A., Alshehri, A., &amp; Alshahrani, H. (2022). Exploring and adoption of two authentication</w:t>
      </w:r>
      <w:r>
        <w:rPr>
          <w:spacing w:val="-5"/>
        </w:rPr>
        <w:t> </w:t>
      </w:r>
      <w:r>
        <w:rPr/>
        <w:t>factors:</w:t>
      </w:r>
      <w:r>
        <w:rPr>
          <w:spacing w:val="-5"/>
        </w:rPr>
        <w:t> </w:t>
      </w:r>
      <w:r>
        <w:rPr/>
        <w:t>Formation</w:t>
      </w:r>
      <w:r>
        <w:rPr>
          <w:spacing w:val="-5"/>
        </w:rPr>
        <w:t> </w:t>
      </w:r>
      <w:r>
        <w:rPr/>
        <w:t>of</w:t>
      </w:r>
      <w:r>
        <w:rPr>
          <w:spacing w:val="-5"/>
        </w:rPr>
        <w:t> </w:t>
      </w:r>
      <w:r>
        <w:rPr/>
        <w:t>competence.</w:t>
      </w:r>
      <w:r>
        <w:rPr>
          <w:spacing w:val="-5"/>
        </w:rPr>
        <w:t> </w:t>
      </w:r>
      <w:r>
        <w:rPr>
          <w:i/>
        </w:rPr>
        <w:t>ASEAN</w:t>
      </w:r>
      <w:r>
        <w:rPr>
          <w:i/>
          <w:spacing w:val="-5"/>
        </w:rPr>
        <w:t> </w:t>
      </w:r>
      <w:r>
        <w:rPr>
          <w:i/>
        </w:rPr>
        <w:t>Journal</w:t>
      </w:r>
      <w:r>
        <w:rPr>
          <w:i/>
          <w:spacing w:val="-5"/>
        </w:rPr>
        <w:t> </w:t>
      </w:r>
      <w:r>
        <w:rPr>
          <w:i/>
        </w:rPr>
        <w:t>of</w:t>
      </w:r>
      <w:r>
        <w:rPr>
          <w:i/>
          <w:spacing w:val="-5"/>
        </w:rPr>
        <w:t> </w:t>
      </w:r>
      <w:r>
        <w:rPr>
          <w:i/>
        </w:rPr>
        <w:t>Psychiatry</w:t>
      </w:r>
      <w:r>
        <w:rPr/>
        <w:t>,</w:t>
      </w:r>
      <w:r>
        <w:rPr>
          <w:spacing w:val="-5"/>
        </w:rPr>
        <w:t> </w:t>
      </w:r>
      <w:r>
        <w:rPr>
          <w:i/>
        </w:rPr>
        <w:t>23</w:t>
      </w:r>
      <w:r>
        <w:rPr/>
        <w:t>(6).</w:t>
      </w:r>
    </w:p>
    <w:p>
      <w:pPr>
        <w:pStyle w:val="BodyText"/>
        <w:spacing w:after="0" w:line="230" w:lineRule="auto"/>
        <w:sectPr>
          <w:pgSz w:w="12240" w:h="15840"/>
          <w:pgMar w:header="0" w:footer="706" w:top="640" w:bottom="960" w:left="720" w:right="0"/>
        </w:sectPr>
      </w:pPr>
    </w:p>
    <w:p>
      <w:pPr>
        <w:pStyle w:val="BodyText"/>
        <w:spacing w:before="71"/>
        <w:ind w:left="723"/>
      </w:pPr>
      <w:hyperlink r:id="rId96">
        <w:r>
          <w:rPr>
            <w:color w:val="0462C1"/>
            <w:spacing w:val="-2"/>
            <w:u w:val="thick" w:color="0462C1"/>
          </w:rPr>
          <w:t>https://doi.org/10.54615/2231-7805.47252</w:t>
        </w:r>
      </w:hyperlink>
    </w:p>
    <w:p>
      <w:pPr>
        <w:pStyle w:val="BodyText"/>
        <w:spacing w:before="3"/>
      </w:pPr>
    </w:p>
    <w:p>
      <w:pPr>
        <w:spacing w:line="230" w:lineRule="auto" w:before="0"/>
        <w:ind w:left="708" w:right="1634" w:firstLine="15"/>
        <w:jc w:val="left"/>
        <w:rPr>
          <w:sz w:val="24"/>
        </w:rPr>
      </w:pPr>
      <w:r>
        <w:rPr>
          <w:sz w:val="24"/>
        </w:rPr>
        <w:t>Colnago, J., Devlin, S., Oates, M., Swoopes, C., Bauer, L., Cranor, L., &amp; Christin, N. (2018). "It's not actually that horrible": Exploring adoption of two-factor authentication at a university. </w:t>
      </w:r>
      <w:r>
        <w:rPr>
          <w:i/>
          <w:sz w:val="24"/>
        </w:rPr>
        <w:t>Proceedings</w:t>
      </w:r>
      <w:r>
        <w:rPr>
          <w:i/>
          <w:spacing w:val="-5"/>
          <w:sz w:val="24"/>
        </w:rPr>
        <w:t> </w:t>
      </w:r>
      <w:r>
        <w:rPr>
          <w:i/>
          <w:sz w:val="24"/>
        </w:rPr>
        <w:t>of</w:t>
      </w:r>
      <w:r>
        <w:rPr>
          <w:i/>
          <w:spacing w:val="-5"/>
          <w:sz w:val="24"/>
        </w:rPr>
        <w:t> </w:t>
      </w:r>
      <w:r>
        <w:rPr>
          <w:i/>
          <w:sz w:val="24"/>
        </w:rPr>
        <w:t>the</w:t>
      </w:r>
      <w:r>
        <w:rPr>
          <w:i/>
          <w:spacing w:val="-5"/>
          <w:sz w:val="24"/>
        </w:rPr>
        <w:t> </w:t>
      </w:r>
      <w:r>
        <w:rPr>
          <w:i/>
          <w:sz w:val="24"/>
        </w:rPr>
        <w:t>2018</w:t>
      </w:r>
      <w:r>
        <w:rPr>
          <w:i/>
          <w:spacing w:val="-5"/>
          <w:sz w:val="24"/>
        </w:rPr>
        <w:t> </w:t>
      </w:r>
      <w:r>
        <w:rPr>
          <w:i/>
          <w:sz w:val="24"/>
        </w:rPr>
        <w:t>CHI</w:t>
      </w:r>
      <w:r>
        <w:rPr>
          <w:i/>
          <w:spacing w:val="-5"/>
          <w:sz w:val="24"/>
        </w:rPr>
        <w:t> </w:t>
      </w:r>
      <w:r>
        <w:rPr>
          <w:i/>
          <w:sz w:val="24"/>
        </w:rPr>
        <w:t>Conference</w:t>
      </w:r>
      <w:r>
        <w:rPr>
          <w:i/>
          <w:spacing w:val="-5"/>
          <w:sz w:val="24"/>
        </w:rPr>
        <w:t> </w:t>
      </w:r>
      <w:r>
        <w:rPr>
          <w:i/>
          <w:sz w:val="24"/>
        </w:rPr>
        <w:t>on</w:t>
      </w:r>
      <w:r>
        <w:rPr>
          <w:i/>
          <w:spacing w:val="-5"/>
          <w:sz w:val="24"/>
        </w:rPr>
        <w:t> </w:t>
      </w:r>
      <w:r>
        <w:rPr>
          <w:i/>
          <w:sz w:val="24"/>
        </w:rPr>
        <w:t>Human</w:t>
      </w:r>
      <w:r>
        <w:rPr>
          <w:i/>
          <w:spacing w:val="-5"/>
          <w:sz w:val="24"/>
        </w:rPr>
        <w:t> </w:t>
      </w:r>
      <w:r>
        <w:rPr>
          <w:i/>
          <w:sz w:val="24"/>
        </w:rPr>
        <w:t>Factors</w:t>
      </w:r>
      <w:r>
        <w:rPr>
          <w:i/>
          <w:spacing w:val="-5"/>
          <w:sz w:val="24"/>
        </w:rPr>
        <w:t> </w:t>
      </w:r>
      <w:r>
        <w:rPr>
          <w:i/>
          <w:sz w:val="24"/>
        </w:rPr>
        <w:t>in</w:t>
      </w:r>
      <w:r>
        <w:rPr>
          <w:i/>
          <w:spacing w:val="-5"/>
          <w:sz w:val="24"/>
        </w:rPr>
        <w:t> </w:t>
      </w:r>
      <w:r>
        <w:rPr>
          <w:i/>
          <w:sz w:val="24"/>
        </w:rPr>
        <w:t>Computing</w:t>
      </w:r>
      <w:r>
        <w:rPr>
          <w:i/>
          <w:spacing w:val="-5"/>
          <w:sz w:val="24"/>
        </w:rPr>
        <w:t> </w:t>
      </w:r>
      <w:r>
        <w:rPr>
          <w:i/>
          <w:sz w:val="24"/>
        </w:rPr>
        <w:t>Systems</w:t>
      </w:r>
      <w:r>
        <w:rPr>
          <w:sz w:val="24"/>
        </w:rPr>
        <w:t>,</w:t>
      </w:r>
      <w:r>
        <w:rPr>
          <w:spacing w:val="-5"/>
          <w:sz w:val="24"/>
        </w:rPr>
        <w:t> </w:t>
      </w:r>
      <w:r>
        <w:rPr>
          <w:sz w:val="24"/>
        </w:rPr>
        <w:t>Paper</w:t>
      </w:r>
      <w:r>
        <w:rPr>
          <w:spacing w:val="-5"/>
          <w:sz w:val="24"/>
        </w:rPr>
        <w:t> </w:t>
      </w:r>
      <w:r>
        <w:rPr>
          <w:sz w:val="24"/>
        </w:rPr>
        <w:t>456, 1-11. </w:t>
      </w:r>
      <w:hyperlink r:id="rId97">
        <w:r>
          <w:rPr>
            <w:sz w:val="24"/>
          </w:rPr>
          <w:t>https://doi.org/10.1145/3173574.3174030</w:t>
        </w:r>
      </w:hyperlink>
    </w:p>
    <w:p>
      <w:pPr>
        <w:pStyle w:val="BodyText"/>
        <w:spacing w:before="2"/>
      </w:pPr>
    </w:p>
    <w:p>
      <w:pPr>
        <w:pStyle w:val="BodyText"/>
        <w:spacing w:line="230" w:lineRule="auto"/>
        <w:ind w:left="723" w:right="1461"/>
      </w:pPr>
      <w:r>
        <w:rPr/>
        <w:t>Das,</w:t>
      </w:r>
      <w:r>
        <w:rPr>
          <w:spacing w:val="-4"/>
        </w:rPr>
        <w:t> </w:t>
      </w:r>
      <w:r>
        <w:rPr/>
        <w:t>S.,</w:t>
      </w:r>
      <w:r>
        <w:rPr>
          <w:spacing w:val="-4"/>
        </w:rPr>
        <w:t> </w:t>
      </w:r>
      <w:r>
        <w:rPr/>
        <w:t>Dingman,</w:t>
      </w:r>
      <w:r>
        <w:rPr>
          <w:spacing w:val="-4"/>
        </w:rPr>
        <w:t> </w:t>
      </w:r>
      <w:r>
        <w:rPr/>
        <w:t>A.,</w:t>
      </w:r>
      <w:r>
        <w:rPr>
          <w:spacing w:val="-4"/>
        </w:rPr>
        <w:t> </w:t>
      </w:r>
      <w:r>
        <w:rPr/>
        <w:t>&amp;</w:t>
      </w:r>
      <w:r>
        <w:rPr>
          <w:spacing w:val="-4"/>
        </w:rPr>
        <w:t> </w:t>
      </w:r>
      <w:r>
        <w:rPr/>
        <w:t>Camp,</w:t>
      </w:r>
      <w:r>
        <w:rPr>
          <w:spacing w:val="-4"/>
        </w:rPr>
        <w:t> </w:t>
      </w:r>
      <w:r>
        <w:rPr/>
        <w:t>L.</w:t>
      </w:r>
      <w:r>
        <w:rPr>
          <w:spacing w:val="-4"/>
        </w:rPr>
        <w:t> </w:t>
      </w:r>
      <w:r>
        <w:rPr/>
        <w:t>J.</w:t>
      </w:r>
      <w:r>
        <w:rPr>
          <w:spacing w:val="-4"/>
        </w:rPr>
        <w:t> </w:t>
      </w:r>
      <w:r>
        <w:rPr/>
        <w:t>(2021).</w:t>
      </w:r>
      <w:r>
        <w:rPr>
          <w:spacing w:val="-4"/>
        </w:rPr>
        <w:t> </w:t>
      </w:r>
      <w:r>
        <w:rPr/>
        <w:t>Short</w:t>
      </w:r>
      <w:r>
        <w:rPr>
          <w:spacing w:val="-4"/>
        </w:rPr>
        <w:t> </w:t>
      </w:r>
      <w:r>
        <w:rPr/>
        <w:t>paper:</w:t>
      </w:r>
      <w:r>
        <w:rPr>
          <w:spacing w:val="-4"/>
        </w:rPr>
        <w:t> </w:t>
      </w:r>
      <w:r>
        <w:rPr/>
        <w:t>Organizational</w:t>
      </w:r>
      <w:r>
        <w:rPr>
          <w:spacing w:val="-4"/>
        </w:rPr>
        <w:t> </w:t>
      </w:r>
      <w:r>
        <w:rPr/>
        <w:t>security:</w:t>
      </w:r>
      <w:r>
        <w:rPr>
          <w:spacing w:val="-4"/>
        </w:rPr>
        <w:t> </w:t>
      </w:r>
      <w:r>
        <w:rPr/>
        <w:t>Implementing a risk-reduction-based incentivization model for MFA adoption. In </w:t>
      </w:r>
      <w:r>
        <w:rPr>
          <w:i/>
        </w:rPr>
        <w:t>Financial cryptography and</w:t>
      </w:r>
      <w:r>
        <w:rPr>
          <w:i/>
        </w:rPr>
        <w:t> data security </w:t>
      </w:r>
      <w:r>
        <w:rPr/>
        <w:t>(pp. 342-351). Springer. </w:t>
      </w:r>
      <w:hyperlink r:id="rId98">
        <w:r>
          <w:rPr>
            <w:color w:val="0462C1"/>
            <w:u w:val="thick" w:color="0462C1"/>
          </w:rPr>
          <w:t>https://doi.org/10.1007/978-3-662-64331-0_21</w:t>
        </w:r>
      </w:hyperlink>
    </w:p>
    <w:p>
      <w:pPr>
        <w:pStyle w:val="BodyText"/>
        <w:spacing w:before="5"/>
      </w:pPr>
    </w:p>
    <w:p>
      <w:pPr>
        <w:spacing w:line="230" w:lineRule="auto" w:before="0"/>
        <w:ind w:left="723" w:right="1897" w:firstLine="0"/>
        <w:jc w:val="left"/>
        <w:rPr>
          <w:sz w:val="24"/>
        </w:rPr>
      </w:pPr>
      <w:r>
        <w:rPr>
          <w:sz w:val="24"/>
        </w:rPr>
        <w:t>Das,</w:t>
      </w:r>
      <w:r>
        <w:rPr>
          <w:spacing w:val="-4"/>
          <w:sz w:val="24"/>
        </w:rPr>
        <w:t> </w:t>
      </w:r>
      <w:r>
        <w:rPr>
          <w:sz w:val="24"/>
        </w:rPr>
        <w:t>S.,</w:t>
      </w:r>
      <w:r>
        <w:rPr>
          <w:spacing w:val="-4"/>
          <w:sz w:val="24"/>
        </w:rPr>
        <w:t> </w:t>
      </w:r>
      <w:r>
        <w:rPr>
          <w:sz w:val="24"/>
        </w:rPr>
        <w:t>Kim,</w:t>
      </w:r>
      <w:r>
        <w:rPr>
          <w:spacing w:val="-4"/>
          <w:sz w:val="24"/>
        </w:rPr>
        <w:t> </w:t>
      </w:r>
      <w:r>
        <w:rPr>
          <w:sz w:val="24"/>
        </w:rPr>
        <w:t>A.,</w:t>
      </w:r>
      <w:r>
        <w:rPr>
          <w:spacing w:val="-4"/>
          <w:sz w:val="24"/>
        </w:rPr>
        <w:t> </w:t>
      </w:r>
      <w:r>
        <w:rPr>
          <w:sz w:val="24"/>
        </w:rPr>
        <w:t>Tingle,</w:t>
      </w:r>
      <w:r>
        <w:rPr>
          <w:spacing w:val="-4"/>
          <w:sz w:val="24"/>
        </w:rPr>
        <w:t> </w:t>
      </w:r>
      <w:r>
        <w:rPr>
          <w:sz w:val="24"/>
        </w:rPr>
        <w:t>Z.,</w:t>
      </w:r>
      <w:r>
        <w:rPr>
          <w:spacing w:val="-4"/>
          <w:sz w:val="24"/>
        </w:rPr>
        <w:t> </w:t>
      </w:r>
      <w:r>
        <w:rPr>
          <w:sz w:val="24"/>
        </w:rPr>
        <w:t>&amp;</w:t>
      </w:r>
      <w:r>
        <w:rPr>
          <w:spacing w:val="-4"/>
          <w:sz w:val="24"/>
        </w:rPr>
        <w:t> </w:t>
      </w:r>
      <w:r>
        <w:rPr>
          <w:sz w:val="24"/>
        </w:rPr>
        <w:t>Nippert-Eng,</w:t>
      </w:r>
      <w:r>
        <w:rPr>
          <w:spacing w:val="-4"/>
          <w:sz w:val="24"/>
        </w:rPr>
        <w:t> </w:t>
      </w:r>
      <w:r>
        <w:rPr>
          <w:sz w:val="24"/>
        </w:rPr>
        <w:t>C.</w:t>
      </w:r>
      <w:r>
        <w:rPr>
          <w:spacing w:val="-4"/>
          <w:sz w:val="24"/>
        </w:rPr>
        <w:t> </w:t>
      </w:r>
      <w:r>
        <w:rPr>
          <w:sz w:val="24"/>
        </w:rPr>
        <w:t>(2019).</w:t>
      </w:r>
      <w:r>
        <w:rPr>
          <w:spacing w:val="-4"/>
          <w:sz w:val="24"/>
        </w:rPr>
        <w:t> </w:t>
      </w:r>
      <w:r>
        <w:rPr>
          <w:sz w:val="24"/>
        </w:rPr>
        <w:t>Security</w:t>
      </w:r>
      <w:r>
        <w:rPr>
          <w:spacing w:val="-4"/>
          <w:sz w:val="24"/>
        </w:rPr>
        <w:t> </w:t>
      </w:r>
      <w:r>
        <w:rPr>
          <w:sz w:val="24"/>
        </w:rPr>
        <w:t>mandates</w:t>
      </w:r>
      <w:r>
        <w:rPr>
          <w:spacing w:val="-4"/>
          <w:sz w:val="24"/>
        </w:rPr>
        <w:t> </w:t>
      </w:r>
      <w:r>
        <w:rPr>
          <w:sz w:val="24"/>
        </w:rPr>
        <w:t>are</w:t>
      </w:r>
      <w:r>
        <w:rPr>
          <w:spacing w:val="-4"/>
          <w:sz w:val="24"/>
        </w:rPr>
        <w:t> </w:t>
      </w:r>
      <w:r>
        <w:rPr>
          <w:sz w:val="24"/>
        </w:rPr>
        <w:t>pervasive:</w:t>
      </w:r>
      <w:r>
        <w:rPr>
          <w:spacing w:val="-4"/>
          <w:sz w:val="24"/>
        </w:rPr>
        <w:t> </w:t>
      </w:r>
      <w:r>
        <w:rPr>
          <w:sz w:val="24"/>
        </w:rPr>
        <w:t>An inter-school study on analyzing user authentication behavior. </w:t>
      </w:r>
      <w:r>
        <w:rPr>
          <w:i/>
          <w:sz w:val="24"/>
        </w:rPr>
        <w:t>2019 IEEE Conference on</w:t>
      </w:r>
      <w:r>
        <w:rPr>
          <w:i/>
          <w:sz w:val="24"/>
        </w:rPr>
        <w:t> Cognitive and Computational Aspects of Situation Management </w:t>
      </w:r>
      <w:r>
        <w:rPr>
          <w:sz w:val="24"/>
        </w:rPr>
        <w:t>(CogSIMA), 43-49. </w:t>
      </w:r>
      <w:hyperlink r:id="rId99">
        <w:r>
          <w:rPr>
            <w:color w:val="0462C1"/>
            <w:spacing w:val="-2"/>
            <w:sz w:val="24"/>
            <w:u w:val="thick" w:color="0462C1"/>
          </w:rPr>
          <w:t>https://doi.org/10.1109/CIC48465.2019.00043</w:t>
        </w:r>
      </w:hyperlink>
    </w:p>
    <w:p>
      <w:pPr>
        <w:pStyle w:val="BodyText"/>
        <w:spacing w:before="5"/>
      </w:pPr>
    </w:p>
    <w:p>
      <w:pPr>
        <w:spacing w:line="230" w:lineRule="auto" w:before="0"/>
        <w:ind w:left="708" w:right="1381" w:firstLine="15"/>
        <w:jc w:val="left"/>
        <w:rPr>
          <w:sz w:val="24"/>
        </w:rPr>
      </w:pPr>
      <w:r>
        <w:rPr>
          <w:sz w:val="24"/>
        </w:rPr>
        <w:t>Dutson,</w:t>
      </w:r>
      <w:r>
        <w:rPr>
          <w:spacing w:val="-3"/>
          <w:sz w:val="24"/>
        </w:rPr>
        <w:t> </w:t>
      </w:r>
      <w:r>
        <w:rPr>
          <w:sz w:val="24"/>
        </w:rPr>
        <w:t>J.,</w:t>
      </w:r>
      <w:r>
        <w:rPr>
          <w:spacing w:val="-3"/>
          <w:sz w:val="24"/>
        </w:rPr>
        <w:t> </w:t>
      </w:r>
      <w:r>
        <w:rPr>
          <w:sz w:val="24"/>
        </w:rPr>
        <w:t>Allen,</w:t>
      </w:r>
      <w:r>
        <w:rPr>
          <w:spacing w:val="-3"/>
          <w:sz w:val="24"/>
        </w:rPr>
        <w:t> </w:t>
      </w:r>
      <w:r>
        <w:rPr>
          <w:sz w:val="24"/>
        </w:rPr>
        <w:t>D.,</w:t>
      </w:r>
      <w:r>
        <w:rPr>
          <w:spacing w:val="-3"/>
          <w:sz w:val="24"/>
        </w:rPr>
        <w:t> </w:t>
      </w:r>
      <w:r>
        <w:rPr>
          <w:sz w:val="24"/>
        </w:rPr>
        <w:t>Eggett,</w:t>
      </w:r>
      <w:r>
        <w:rPr>
          <w:spacing w:val="-3"/>
          <w:sz w:val="24"/>
        </w:rPr>
        <w:t> </w:t>
      </w:r>
      <w:r>
        <w:rPr>
          <w:sz w:val="24"/>
        </w:rPr>
        <w:t>D.,</w:t>
      </w:r>
      <w:r>
        <w:rPr>
          <w:spacing w:val="-3"/>
          <w:sz w:val="24"/>
        </w:rPr>
        <w:t> </w:t>
      </w:r>
      <w:r>
        <w:rPr>
          <w:sz w:val="24"/>
        </w:rPr>
        <w:t>&amp;</w:t>
      </w:r>
      <w:r>
        <w:rPr>
          <w:spacing w:val="-3"/>
          <w:sz w:val="24"/>
        </w:rPr>
        <w:t> </w:t>
      </w:r>
      <w:r>
        <w:rPr>
          <w:sz w:val="24"/>
        </w:rPr>
        <w:t>Seamons,</w:t>
      </w:r>
      <w:r>
        <w:rPr>
          <w:spacing w:val="-3"/>
          <w:sz w:val="24"/>
        </w:rPr>
        <w:t> </w:t>
      </w:r>
      <w:r>
        <w:rPr>
          <w:sz w:val="24"/>
        </w:rPr>
        <w:t>K.</w:t>
      </w:r>
      <w:r>
        <w:rPr>
          <w:spacing w:val="-3"/>
          <w:sz w:val="24"/>
        </w:rPr>
        <w:t> </w:t>
      </w:r>
      <w:r>
        <w:rPr>
          <w:sz w:val="24"/>
        </w:rPr>
        <w:t>(2019).</w:t>
      </w:r>
      <w:r>
        <w:rPr>
          <w:spacing w:val="-3"/>
          <w:sz w:val="24"/>
        </w:rPr>
        <w:t> </w:t>
      </w:r>
      <w:r>
        <w:rPr>
          <w:sz w:val="24"/>
        </w:rPr>
        <w:t>Don't</w:t>
      </w:r>
      <w:r>
        <w:rPr>
          <w:spacing w:val="-3"/>
          <w:sz w:val="24"/>
        </w:rPr>
        <w:t> </w:t>
      </w:r>
      <w:r>
        <w:rPr>
          <w:sz w:val="24"/>
        </w:rPr>
        <w:t>punish</w:t>
      </w:r>
      <w:r>
        <w:rPr>
          <w:spacing w:val="-3"/>
          <w:sz w:val="24"/>
        </w:rPr>
        <w:t> </w:t>
      </w:r>
      <w:r>
        <w:rPr>
          <w:sz w:val="24"/>
        </w:rPr>
        <w:t>all</w:t>
      </w:r>
      <w:r>
        <w:rPr>
          <w:spacing w:val="-3"/>
          <w:sz w:val="24"/>
        </w:rPr>
        <w:t> </w:t>
      </w:r>
      <w:r>
        <w:rPr>
          <w:sz w:val="24"/>
        </w:rPr>
        <w:t>of</w:t>
      </w:r>
      <w:r>
        <w:rPr>
          <w:spacing w:val="-3"/>
          <w:sz w:val="24"/>
        </w:rPr>
        <w:t> </w:t>
      </w:r>
      <w:r>
        <w:rPr>
          <w:sz w:val="24"/>
        </w:rPr>
        <w:t>us:</w:t>
      </w:r>
      <w:r>
        <w:rPr>
          <w:spacing w:val="-3"/>
          <w:sz w:val="24"/>
        </w:rPr>
        <w:t> </w:t>
      </w:r>
      <w:r>
        <w:rPr>
          <w:sz w:val="24"/>
        </w:rPr>
        <w:t>Measuring</w:t>
      </w:r>
      <w:r>
        <w:rPr>
          <w:spacing w:val="-3"/>
          <w:sz w:val="24"/>
        </w:rPr>
        <w:t> </w:t>
      </w:r>
      <w:r>
        <w:rPr>
          <w:sz w:val="24"/>
        </w:rPr>
        <w:t>user attitudes about two-factor authentication. </w:t>
      </w:r>
      <w:r>
        <w:rPr>
          <w:i/>
          <w:sz w:val="24"/>
        </w:rPr>
        <w:t>2019 IEEE European Symposium on Security and</w:t>
      </w:r>
      <w:r>
        <w:rPr>
          <w:i/>
          <w:sz w:val="24"/>
        </w:rPr>
        <w:t> Privacy Workshops </w:t>
      </w:r>
      <w:r>
        <w:rPr>
          <w:sz w:val="24"/>
        </w:rPr>
        <w:t>(</w:t>
      </w:r>
      <w:r>
        <w:rPr>
          <w:i/>
          <w:sz w:val="24"/>
        </w:rPr>
        <w:t>EuroS&amp;PW</w:t>
      </w:r>
      <w:r>
        <w:rPr>
          <w:sz w:val="24"/>
        </w:rPr>
        <w:t>), 119-128. </w:t>
      </w:r>
      <w:hyperlink r:id="rId100">
        <w:r>
          <w:rPr>
            <w:color w:val="0462C1"/>
            <w:sz w:val="24"/>
            <w:u w:val="thick" w:color="0462C1"/>
          </w:rPr>
          <w:t>https://doi.org/10.1109/EUROSPW.2019.00020</w:t>
        </w:r>
      </w:hyperlink>
    </w:p>
    <w:p>
      <w:pPr>
        <w:pStyle w:val="BodyText"/>
        <w:spacing w:line="237" w:lineRule="auto" w:before="252"/>
        <w:ind w:left="723" w:right="1619"/>
      </w:pPr>
      <w:r>
        <w:rPr/>
        <w:t>Hastings,</w:t>
      </w:r>
      <w:r>
        <w:rPr>
          <w:spacing w:val="-3"/>
        </w:rPr>
        <w:t> </w:t>
      </w:r>
      <w:r>
        <w:rPr/>
        <w:t>J.</w:t>
      </w:r>
      <w:r>
        <w:rPr>
          <w:spacing w:val="-3"/>
        </w:rPr>
        <w:t> </w:t>
      </w:r>
      <w:r>
        <w:rPr/>
        <w:t>S.,</w:t>
      </w:r>
      <w:r>
        <w:rPr>
          <w:spacing w:val="-3"/>
        </w:rPr>
        <w:t> </w:t>
      </w:r>
      <w:r>
        <w:rPr/>
        <w:t>Howison,</w:t>
      </w:r>
      <w:r>
        <w:rPr>
          <w:spacing w:val="-3"/>
        </w:rPr>
        <w:t> </w:t>
      </w:r>
      <w:r>
        <w:rPr/>
        <w:t>M.,</w:t>
      </w:r>
      <w:r>
        <w:rPr>
          <w:spacing w:val="-3"/>
        </w:rPr>
        <w:t> </w:t>
      </w:r>
      <w:r>
        <w:rPr/>
        <w:t>&amp;</w:t>
      </w:r>
      <w:r>
        <w:rPr>
          <w:spacing w:val="-3"/>
        </w:rPr>
        <w:t> </w:t>
      </w:r>
      <w:r>
        <w:rPr/>
        <w:t>Inman,</w:t>
      </w:r>
      <w:r>
        <w:rPr>
          <w:spacing w:val="-3"/>
        </w:rPr>
        <w:t> </w:t>
      </w:r>
      <w:r>
        <w:rPr/>
        <w:t>S.</w:t>
      </w:r>
      <w:r>
        <w:rPr>
          <w:spacing w:val="-3"/>
        </w:rPr>
        <w:t> </w:t>
      </w:r>
      <w:r>
        <w:rPr/>
        <w:t>E.</w:t>
      </w:r>
      <w:r>
        <w:rPr>
          <w:spacing w:val="-3"/>
        </w:rPr>
        <w:t> </w:t>
      </w:r>
      <w:r>
        <w:rPr/>
        <w:t>(2024).</w:t>
      </w:r>
      <w:r>
        <w:rPr>
          <w:spacing w:val="-3"/>
        </w:rPr>
        <w:t> </w:t>
      </w:r>
      <w:r>
        <w:rPr/>
        <w:t>Measuring</w:t>
      </w:r>
      <w:r>
        <w:rPr>
          <w:spacing w:val="-3"/>
        </w:rPr>
        <w:t> </w:t>
      </w:r>
      <w:r>
        <w:rPr/>
        <w:t>user</w:t>
      </w:r>
      <w:r>
        <w:rPr>
          <w:spacing w:val="-3"/>
        </w:rPr>
        <w:t> </w:t>
      </w:r>
      <w:r>
        <w:rPr/>
        <w:t>costs</w:t>
      </w:r>
      <w:r>
        <w:rPr>
          <w:spacing w:val="-3"/>
        </w:rPr>
        <w:t> </w:t>
      </w:r>
      <w:r>
        <w:rPr/>
        <w:t>of</w:t>
      </w:r>
      <w:r>
        <w:rPr>
          <w:spacing w:val="-3"/>
        </w:rPr>
        <w:t> </w:t>
      </w:r>
      <w:r>
        <w:rPr/>
        <w:t>enterprise multifactor authentication policies. </w:t>
      </w:r>
      <w:r>
        <w:rPr>
          <w:i/>
        </w:rPr>
        <w:t>SSRN Electronic Journal</w:t>
      </w:r>
      <w:r>
        <w:rPr/>
        <w:t>. </w:t>
      </w:r>
      <w:hyperlink r:id="rId101">
        <w:r>
          <w:rPr>
            <w:color w:val="0462C1"/>
            <w:spacing w:val="-2"/>
            <w:u w:val="thick" w:color="0462C1"/>
          </w:rPr>
          <w:t>https://doi.org/10.2139/ssrn.4669442</w:t>
        </w:r>
      </w:hyperlink>
    </w:p>
    <w:p>
      <w:pPr>
        <w:spacing w:line="230" w:lineRule="auto" w:before="272"/>
        <w:ind w:left="708" w:right="1937" w:firstLine="15"/>
        <w:jc w:val="left"/>
        <w:rPr>
          <w:sz w:val="24"/>
        </w:rPr>
      </w:pPr>
      <w:r>
        <w:rPr>
          <w:sz w:val="24"/>
        </w:rPr>
        <w:t>Levy,</w:t>
      </w:r>
      <w:r>
        <w:rPr>
          <w:spacing w:val="-7"/>
          <w:sz w:val="24"/>
        </w:rPr>
        <w:t> </w:t>
      </w:r>
      <w:r>
        <w:rPr>
          <w:sz w:val="24"/>
        </w:rPr>
        <w:t>Y.,</w:t>
      </w:r>
      <w:r>
        <w:rPr>
          <w:spacing w:val="-7"/>
          <w:sz w:val="24"/>
        </w:rPr>
        <w:t> </w:t>
      </w:r>
      <w:r>
        <w:rPr>
          <w:sz w:val="24"/>
        </w:rPr>
        <w:t>&amp;</w:t>
      </w:r>
      <w:r>
        <w:rPr>
          <w:spacing w:val="-7"/>
          <w:sz w:val="24"/>
        </w:rPr>
        <w:t> </w:t>
      </w:r>
      <w:r>
        <w:rPr>
          <w:sz w:val="24"/>
        </w:rPr>
        <w:t>Ramim,</w:t>
      </w:r>
      <w:r>
        <w:rPr>
          <w:spacing w:val="-7"/>
          <w:sz w:val="24"/>
        </w:rPr>
        <w:t> </w:t>
      </w:r>
      <w:r>
        <w:rPr>
          <w:sz w:val="24"/>
        </w:rPr>
        <w:t>M.</w:t>
      </w:r>
      <w:r>
        <w:rPr>
          <w:spacing w:val="-7"/>
          <w:sz w:val="24"/>
        </w:rPr>
        <w:t> </w:t>
      </w:r>
      <w:r>
        <w:rPr>
          <w:sz w:val="24"/>
        </w:rPr>
        <w:t>M.</w:t>
      </w:r>
      <w:r>
        <w:rPr>
          <w:spacing w:val="-7"/>
          <w:sz w:val="24"/>
        </w:rPr>
        <w:t> </w:t>
      </w:r>
      <w:r>
        <w:rPr>
          <w:sz w:val="24"/>
        </w:rPr>
        <w:t>(2009).</w:t>
      </w:r>
      <w:r>
        <w:rPr>
          <w:spacing w:val="-7"/>
          <w:sz w:val="24"/>
        </w:rPr>
        <w:t> </w:t>
      </w:r>
      <w:r>
        <w:rPr>
          <w:sz w:val="24"/>
        </w:rPr>
        <w:t>Towards</w:t>
      </w:r>
      <w:r>
        <w:rPr>
          <w:spacing w:val="-7"/>
          <w:sz w:val="24"/>
        </w:rPr>
        <w:t> </w:t>
      </w:r>
      <w:r>
        <w:rPr>
          <w:sz w:val="24"/>
        </w:rPr>
        <w:t>a</w:t>
      </w:r>
      <w:r>
        <w:rPr>
          <w:spacing w:val="-7"/>
          <w:sz w:val="24"/>
        </w:rPr>
        <w:t> </w:t>
      </w:r>
      <w:r>
        <w:rPr>
          <w:sz w:val="24"/>
        </w:rPr>
        <w:t>development</w:t>
      </w:r>
      <w:r>
        <w:rPr>
          <w:spacing w:val="-7"/>
          <w:sz w:val="24"/>
        </w:rPr>
        <w:t> </w:t>
      </w:r>
      <w:r>
        <w:rPr>
          <w:sz w:val="24"/>
        </w:rPr>
        <w:t>of</w:t>
      </w:r>
      <w:r>
        <w:rPr>
          <w:spacing w:val="-7"/>
          <w:sz w:val="24"/>
        </w:rPr>
        <w:t> </w:t>
      </w:r>
      <w:r>
        <w:rPr>
          <w:sz w:val="24"/>
        </w:rPr>
        <w:t>a</w:t>
      </w:r>
      <w:r>
        <w:rPr>
          <w:spacing w:val="-7"/>
          <w:sz w:val="24"/>
        </w:rPr>
        <w:t> </w:t>
      </w:r>
      <w:r>
        <w:rPr>
          <w:sz w:val="24"/>
        </w:rPr>
        <w:t>users'</w:t>
      </w:r>
      <w:r>
        <w:rPr>
          <w:spacing w:val="-7"/>
          <w:sz w:val="24"/>
        </w:rPr>
        <w:t> </w:t>
      </w:r>
      <w:r>
        <w:rPr>
          <w:sz w:val="24"/>
        </w:rPr>
        <w:t>ratified</w:t>
      </w:r>
      <w:r>
        <w:rPr>
          <w:spacing w:val="-7"/>
          <w:sz w:val="24"/>
        </w:rPr>
        <w:t> </w:t>
      </w:r>
      <w:r>
        <w:rPr>
          <w:sz w:val="24"/>
        </w:rPr>
        <w:t>acceptance</w:t>
      </w:r>
      <w:r>
        <w:rPr>
          <w:spacing w:val="-7"/>
          <w:sz w:val="24"/>
        </w:rPr>
        <w:t> </w:t>
      </w:r>
      <w:r>
        <w:rPr>
          <w:sz w:val="24"/>
        </w:rPr>
        <w:t>of multi-biometrics intentions model (RAMIM): Initial empirical results. </w:t>
      </w:r>
      <w:r>
        <w:rPr>
          <w:i/>
          <w:sz w:val="24"/>
        </w:rPr>
        <w:t>Proceedings of the</w:t>
      </w:r>
      <w:r>
        <w:rPr>
          <w:i/>
          <w:sz w:val="24"/>
        </w:rPr>
        <w:t> International Conference on Information Systems Security</w:t>
      </w:r>
      <w:r>
        <w:rPr>
          <w:sz w:val="24"/>
        </w:rPr>
        <w:t>.</w:t>
      </w:r>
    </w:p>
    <w:p>
      <w:pPr>
        <w:pStyle w:val="BodyText"/>
        <w:spacing w:before="4"/>
      </w:pPr>
    </w:p>
    <w:p>
      <w:pPr>
        <w:pStyle w:val="BodyText"/>
        <w:spacing w:line="230" w:lineRule="auto"/>
        <w:ind w:left="723" w:right="1487"/>
      </w:pPr>
      <w:r>
        <w:rPr/>
        <w:t>Kepkowski,</w:t>
      </w:r>
      <w:r>
        <w:rPr>
          <w:spacing w:val="-3"/>
        </w:rPr>
        <w:t> </w:t>
      </w:r>
      <w:r>
        <w:rPr/>
        <w:t>M.,</w:t>
      </w:r>
      <w:r>
        <w:rPr>
          <w:spacing w:val="-3"/>
        </w:rPr>
        <w:t> </w:t>
      </w:r>
      <w:r>
        <w:rPr/>
        <w:t>Moddel,</w:t>
      </w:r>
      <w:r>
        <w:rPr>
          <w:spacing w:val="-3"/>
        </w:rPr>
        <w:t> </w:t>
      </w:r>
      <w:r>
        <w:rPr/>
        <w:t>M.,</w:t>
      </w:r>
      <w:r>
        <w:rPr>
          <w:spacing w:val="-3"/>
        </w:rPr>
        <w:t> </w:t>
      </w:r>
      <w:r>
        <w:rPr/>
        <w:t>Lassak,</w:t>
      </w:r>
      <w:r>
        <w:rPr>
          <w:spacing w:val="-3"/>
        </w:rPr>
        <w:t> </w:t>
      </w:r>
      <w:r>
        <w:rPr/>
        <w:t>L.,</w:t>
      </w:r>
      <w:r>
        <w:rPr>
          <w:spacing w:val="-3"/>
        </w:rPr>
        <w:t> </w:t>
      </w:r>
      <w:r>
        <w:rPr/>
        <w:t>Hülsing,</w:t>
      </w:r>
      <w:r>
        <w:rPr>
          <w:spacing w:val="-3"/>
        </w:rPr>
        <w:t> </w:t>
      </w:r>
      <w:r>
        <w:rPr/>
        <w:t>A.,</w:t>
      </w:r>
      <w:r>
        <w:rPr>
          <w:spacing w:val="-3"/>
        </w:rPr>
        <w:t> </w:t>
      </w:r>
      <w:r>
        <w:rPr/>
        <w:t>&amp;</w:t>
      </w:r>
      <w:r>
        <w:rPr>
          <w:spacing w:val="-3"/>
        </w:rPr>
        <w:t> </w:t>
      </w:r>
      <w:r>
        <w:rPr/>
        <w:t>Krombholz,</w:t>
      </w:r>
      <w:r>
        <w:rPr>
          <w:spacing w:val="-3"/>
        </w:rPr>
        <w:t> </w:t>
      </w:r>
      <w:r>
        <w:rPr/>
        <w:t>K.</w:t>
      </w:r>
      <w:r>
        <w:rPr>
          <w:spacing w:val="-3"/>
        </w:rPr>
        <w:t> </w:t>
      </w:r>
      <w:r>
        <w:rPr/>
        <w:t>(2023).</w:t>
      </w:r>
      <w:r>
        <w:rPr>
          <w:spacing w:val="-3"/>
        </w:rPr>
        <w:t> </w:t>
      </w:r>
      <w:r>
        <w:rPr/>
        <w:t>Challenges</w:t>
      </w:r>
      <w:r>
        <w:rPr>
          <w:spacing w:val="-3"/>
        </w:rPr>
        <w:t> </w:t>
      </w:r>
      <w:r>
        <w:rPr/>
        <w:t>with passwordless FIDO2 in an enterprise setting: A usability study. In </w:t>
      </w:r>
      <w:r>
        <w:rPr>
          <w:i/>
        </w:rPr>
        <w:t>2023 IEEE secure</w:t>
      </w:r>
      <w:r>
        <w:rPr>
          <w:i/>
        </w:rPr>
        <w:t> development</w:t>
      </w:r>
      <w:r>
        <w:rPr>
          <w:i/>
          <w:spacing w:val="-1"/>
        </w:rPr>
        <w:t> </w:t>
      </w:r>
      <w:r>
        <w:rPr>
          <w:i/>
        </w:rPr>
        <w:t>conference</w:t>
      </w:r>
      <w:r>
        <w:rPr>
          <w:i/>
          <w:spacing w:val="-1"/>
        </w:rPr>
        <w:t> </w:t>
      </w:r>
      <w:r>
        <w:rPr/>
        <w:t>(</w:t>
      </w:r>
      <w:r>
        <w:rPr>
          <w:i/>
        </w:rPr>
        <w:t>SecDev</w:t>
      </w:r>
      <w:r>
        <w:rPr/>
        <w:t>)</w:t>
      </w:r>
      <w:r>
        <w:rPr>
          <w:spacing w:val="-1"/>
        </w:rPr>
        <w:t> </w:t>
      </w:r>
      <w:r>
        <w:rPr/>
        <w:t>(pp.</w:t>
      </w:r>
      <w:r>
        <w:rPr>
          <w:spacing w:val="-1"/>
        </w:rPr>
        <w:t> </w:t>
      </w:r>
      <w:r>
        <w:rPr/>
        <w:t>37-48).</w:t>
      </w:r>
      <w:r>
        <w:rPr>
          <w:spacing w:val="-1"/>
        </w:rPr>
        <w:t> </w:t>
      </w:r>
      <w:r>
        <w:rPr/>
        <w:t>IEEE.</w:t>
      </w:r>
      <w:r>
        <w:rPr>
          <w:spacing w:val="-1"/>
        </w:rPr>
        <w:t> </w:t>
      </w:r>
      <w:hyperlink r:id="rId102">
        <w:r>
          <w:rPr>
            <w:color w:val="0462C1"/>
          </w:rPr>
          <w:t>h</w:t>
        </w:r>
        <w:r>
          <w:rPr>
            <w:color w:val="0462C1"/>
            <w:u w:val="thick" w:color="0462C1"/>
          </w:rPr>
          <w:t>ttps://doi.org/10.48550/arxiv.2308.08096</w:t>
        </w:r>
      </w:hyperlink>
    </w:p>
    <w:p>
      <w:pPr>
        <w:pStyle w:val="BodyText"/>
        <w:spacing w:before="2"/>
      </w:pPr>
    </w:p>
    <w:p>
      <w:pPr>
        <w:spacing w:line="232" w:lineRule="auto" w:before="0"/>
        <w:ind w:left="723" w:right="1619" w:firstLine="0"/>
        <w:jc w:val="left"/>
        <w:rPr>
          <w:sz w:val="24"/>
        </w:rPr>
      </w:pPr>
      <w:r>
        <w:rPr>
          <w:sz w:val="24"/>
        </w:rPr>
        <w:t>Weidman,</w:t>
      </w:r>
      <w:r>
        <w:rPr>
          <w:spacing w:val="-4"/>
          <w:sz w:val="24"/>
        </w:rPr>
        <w:t> </w:t>
      </w:r>
      <w:r>
        <w:rPr>
          <w:sz w:val="24"/>
        </w:rPr>
        <w:t>J.,</w:t>
      </w:r>
      <w:r>
        <w:rPr>
          <w:spacing w:val="-4"/>
          <w:sz w:val="24"/>
        </w:rPr>
        <w:t> </w:t>
      </w:r>
      <w:r>
        <w:rPr>
          <w:sz w:val="24"/>
        </w:rPr>
        <w:t>Grossklags,</w:t>
      </w:r>
      <w:r>
        <w:rPr>
          <w:spacing w:val="-4"/>
          <w:sz w:val="24"/>
        </w:rPr>
        <w:t> </w:t>
      </w:r>
      <w:r>
        <w:rPr>
          <w:sz w:val="24"/>
        </w:rPr>
        <w:t>J.,</w:t>
      </w:r>
      <w:r>
        <w:rPr>
          <w:spacing w:val="-4"/>
          <w:sz w:val="24"/>
        </w:rPr>
        <w:t> </w:t>
      </w:r>
      <w:r>
        <w:rPr>
          <w:sz w:val="24"/>
        </w:rPr>
        <w:t>&amp;</w:t>
      </w:r>
      <w:r>
        <w:rPr>
          <w:spacing w:val="-4"/>
          <w:sz w:val="24"/>
        </w:rPr>
        <w:t> </w:t>
      </w:r>
      <w:r>
        <w:rPr>
          <w:sz w:val="24"/>
        </w:rPr>
        <w:t>Pearce,</w:t>
      </w:r>
      <w:r>
        <w:rPr>
          <w:spacing w:val="-4"/>
          <w:sz w:val="24"/>
        </w:rPr>
        <w:t> </w:t>
      </w:r>
      <w:r>
        <w:rPr>
          <w:sz w:val="24"/>
        </w:rPr>
        <w:t>C.</w:t>
      </w:r>
      <w:r>
        <w:rPr>
          <w:spacing w:val="-4"/>
          <w:sz w:val="24"/>
        </w:rPr>
        <w:t> </w:t>
      </w:r>
      <w:r>
        <w:rPr>
          <w:sz w:val="24"/>
        </w:rPr>
        <w:t>(2017).</w:t>
      </w:r>
      <w:r>
        <w:rPr>
          <w:spacing w:val="-4"/>
          <w:sz w:val="24"/>
        </w:rPr>
        <w:t> </w:t>
      </w:r>
      <w:r>
        <w:rPr>
          <w:sz w:val="24"/>
        </w:rPr>
        <w:t>I</w:t>
      </w:r>
      <w:r>
        <w:rPr>
          <w:spacing w:val="-4"/>
          <w:sz w:val="24"/>
        </w:rPr>
        <w:t> </w:t>
      </w:r>
      <w:r>
        <w:rPr>
          <w:sz w:val="24"/>
        </w:rPr>
        <w:t>like</w:t>
      </w:r>
      <w:r>
        <w:rPr>
          <w:spacing w:val="-4"/>
          <w:sz w:val="24"/>
        </w:rPr>
        <w:t> </w:t>
      </w:r>
      <w:r>
        <w:rPr>
          <w:sz w:val="24"/>
        </w:rPr>
        <w:t>it,</w:t>
      </w:r>
      <w:r>
        <w:rPr>
          <w:spacing w:val="-4"/>
          <w:sz w:val="24"/>
        </w:rPr>
        <w:t> </w:t>
      </w:r>
      <w:r>
        <w:rPr>
          <w:sz w:val="24"/>
        </w:rPr>
        <w:t>but</w:t>
      </w:r>
      <w:r>
        <w:rPr>
          <w:spacing w:val="-4"/>
          <w:sz w:val="24"/>
        </w:rPr>
        <w:t> </w:t>
      </w:r>
      <w:r>
        <w:rPr>
          <w:sz w:val="24"/>
        </w:rPr>
        <w:t>I</w:t>
      </w:r>
      <w:r>
        <w:rPr>
          <w:spacing w:val="-4"/>
          <w:sz w:val="24"/>
        </w:rPr>
        <w:t> </w:t>
      </w:r>
      <w:r>
        <w:rPr>
          <w:sz w:val="24"/>
        </w:rPr>
        <w:t>hate</w:t>
      </w:r>
      <w:r>
        <w:rPr>
          <w:spacing w:val="-4"/>
          <w:sz w:val="24"/>
        </w:rPr>
        <w:t> </w:t>
      </w:r>
      <w:r>
        <w:rPr>
          <w:sz w:val="24"/>
        </w:rPr>
        <w:t>it:</w:t>
      </w:r>
      <w:r>
        <w:rPr>
          <w:spacing w:val="-4"/>
          <w:sz w:val="24"/>
        </w:rPr>
        <w:t> </w:t>
      </w:r>
      <w:r>
        <w:rPr>
          <w:sz w:val="24"/>
        </w:rPr>
        <w:t>Employee</w:t>
      </w:r>
      <w:r>
        <w:rPr>
          <w:spacing w:val="-4"/>
          <w:sz w:val="24"/>
        </w:rPr>
        <w:t> </w:t>
      </w:r>
      <w:r>
        <w:rPr>
          <w:sz w:val="24"/>
        </w:rPr>
        <w:t>perceptions towards an institutional transition to BYOD second-factor authentication. </w:t>
      </w:r>
      <w:r>
        <w:rPr>
          <w:i/>
          <w:sz w:val="24"/>
        </w:rPr>
        <w:t>Proceedings of the</w:t>
      </w:r>
      <w:r>
        <w:rPr>
          <w:i/>
          <w:sz w:val="24"/>
        </w:rPr>
        <w:t> 33rd Annual Computer Security Applications Conference</w:t>
      </w:r>
      <w:r>
        <w:rPr>
          <w:sz w:val="24"/>
        </w:rPr>
        <w:t>, 212-224. </w:t>
      </w:r>
      <w:hyperlink r:id="rId103">
        <w:r>
          <w:rPr>
            <w:color w:val="0462C1"/>
            <w:spacing w:val="-2"/>
            <w:sz w:val="24"/>
            <w:u w:val="thick" w:color="0462C1"/>
          </w:rPr>
          <w:t>https://doi.org/10.1145/3134600.3134629</w:t>
        </w:r>
      </w:hyperlink>
    </w:p>
    <w:p>
      <w:pPr>
        <w:spacing w:after="0" w:line="232" w:lineRule="auto"/>
        <w:jc w:val="left"/>
        <w:rPr>
          <w:sz w:val="24"/>
        </w:rPr>
        <w:sectPr>
          <w:pgSz w:w="12240" w:h="15840"/>
          <w:pgMar w:header="0" w:footer="706" w:top="620" w:bottom="960" w:left="720" w:right="0"/>
        </w:sectPr>
      </w:pPr>
    </w:p>
    <w:p>
      <w:pPr>
        <w:pStyle w:val="Heading3"/>
        <w:spacing w:line="204" w:lineRule="auto" w:before="108"/>
        <w:ind w:left="1285" w:right="1925"/>
      </w:pPr>
      <w:bookmarkStart w:name="Employee Salient CSR Disclosure, a Precu" w:id="66"/>
      <w:bookmarkEnd w:id="66"/>
      <w:r>
        <w:rPr>
          <w:b w:val="0"/>
        </w:rPr>
      </w:r>
      <w:bookmarkStart w:name="h.sl5f7zuh691m" w:id="67"/>
      <w:bookmarkEnd w:id="67"/>
      <w:r>
        <w:rPr>
          <w:b w:val="0"/>
        </w:rPr>
      </w:r>
      <w:r>
        <w:rPr/>
        <w:t>Employee</w:t>
      </w:r>
      <w:r>
        <w:rPr>
          <w:spacing w:val="-6"/>
        </w:rPr>
        <w:t> </w:t>
      </w:r>
      <w:r>
        <w:rPr/>
        <w:t>Salient</w:t>
      </w:r>
      <w:r>
        <w:rPr>
          <w:spacing w:val="-6"/>
        </w:rPr>
        <w:t> </w:t>
      </w:r>
      <w:r>
        <w:rPr/>
        <w:t>CSR</w:t>
      </w:r>
      <w:r>
        <w:rPr>
          <w:spacing w:val="-6"/>
        </w:rPr>
        <w:t> </w:t>
      </w:r>
      <w:r>
        <w:rPr/>
        <w:t>Disclosure,</w:t>
      </w:r>
      <w:r>
        <w:rPr>
          <w:spacing w:val="-6"/>
        </w:rPr>
        <w:t> </w:t>
      </w:r>
      <w:r>
        <w:rPr/>
        <w:t>a</w:t>
      </w:r>
      <w:r>
        <w:rPr>
          <w:spacing w:val="-6"/>
        </w:rPr>
        <w:t> </w:t>
      </w:r>
      <w:r>
        <w:rPr/>
        <w:t>Precursor</w:t>
      </w:r>
      <w:r>
        <w:rPr>
          <w:spacing w:val="-6"/>
        </w:rPr>
        <w:t> </w:t>
      </w:r>
      <w:r>
        <w:rPr/>
        <w:t>and</w:t>
      </w:r>
      <w:r>
        <w:rPr>
          <w:spacing w:val="-6"/>
        </w:rPr>
        <w:t> </w:t>
      </w:r>
      <w:r>
        <w:rPr/>
        <w:t>Signal:</w:t>
      </w:r>
      <w:r>
        <w:rPr>
          <w:spacing w:val="-6"/>
        </w:rPr>
        <w:t> </w:t>
      </w:r>
      <w:r>
        <w:rPr/>
        <w:t>A</w:t>
      </w:r>
      <w:r>
        <w:rPr>
          <w:spacing w:val="-6"/>
        </w:rPr>
        <w:t> </w:t>
      </w:r>
      <w:r>
        <w:rPr/>
        <w:t>Blended Examination of 10</w:t>
      </w:r>
      <w:r>
        <w:rPr>
          <w:rFonts w:ascii="Segoe UI Symbol" w:hAnsi="Segoe UI Symbol"/>
          <w:b w:val="0"/>
        </w:rPr>
        <w:t>‑</w:t>
      </w:r>
      <w:r>
        <w:rPr/>
        <w:t>K Filings and Firm Productivity</w:t>
      </w:r>
    </w:p>
    <w:p>
      <w:pPr>
        <w:pStyle w:val="BodyText"/>
        <w:spacing w:before="289"/>
        <w:ind w:left="3018" w:right="3713"/>
        <w:jc w:val="center"/>
      </w:pPr>
      <w:r>
        <w:rPr/>
        <w:t>Scott</w:t>
      </w:r>
      <w:r>
        <w:rPr>
          <w:spacing w:val="-7"/>
        </w:rPr>
        <w:t> </w:t>
      </w:r>
      <w:r>
        <w:rPr/>
        <w:t>Bowie</w:t>
      </w:r>
      <w:r>
        <w:rPr>
          <w:spacing w:val="-7"/>
        </w:rPr>
        <w:t> </w:t>
      </w:r>
      <w:r>
        <w:rPr/>
        <w:t>Gray</w:t>
      </w:r>
      <w:r>
        <w:rPr>
          <w:spacing w:val="-7"/>
        </w:rPr>
        <w:t> </w:t>
      </w:r>
      <w:r>
        <w:rPr/>
        <w:t>–</w:t>
      </w:r>
      <w:r>
        <w:rPr>
          <w:spacing w:val="-7"/>
        </w:rPr>
        <w:t> </w:t>
      </w:r>
      <w:r>
        <w:rPr/>
        <w:t>Appalachian</w:t>
      </w:r>
      <w:r>
        <w:rPr>
          <w:spacing w:val="-7"/>
        </w:rPr>
        <w:t> </w:t>
      </w:r>
      <w:r>
        <w:rPr/>
        <w:t>State</w:t>
      </w:r>
      <w:r>
        <w:rPr>
          <w:spacing w:val="-7"/>
        </w:rPr>
        <w:t> </w:t>
      </w:r>
      <w:r>
        <w:rPr/>
        <w:t>University Department of Management</w:t>
      </w:r>
    </w:p>
    <w:p>
      <w:pPr>
        <w:pStyle w:val="BodyText"/>
        <w:ind w:left="3993" w:right="4698" w:hanging="40"/>
        <w:jc w:val="center"/>
      </w:pPr>
      <w:r>
        <w:rPr/>
        <w:t>Walker College of Business Appalachian</w:t>
      </w:r>
      <w:r>
        <w:rPr>
          <w:spacing w:val="-15"/>
        </w:rPr>
        <w:t> </w:t>
      </w:r>
      <w:r>
        <w:rPr/>
        <w:t>State</w:t>
      </w:r>
      <w:r>
        <w:rPr>
          <w:spacing w:val="-15"/>
        </w:rPr>
        <w:t> </w:t>
      </w:r>
      <w:r>
        <w:rPr/>
        <w:t>University 416 Howard Street</w:t>
      </w:r>
    </w:p>
    <w:p>
      <w:pPr>
        <w:pStyle w:val="BodyText"/>
        <w:ind w:left="4383" w:right="5080" w:hanging="14"/>
        <w:jc w:val="center"/>
      </w:pPr>
      <w:r>
        <w:rPr/>
        <w:t>Boone, NC 28608 </w:t>
      </w:r>
      <w:hyperlink r:id="rId104">
        <w:r>
          <w:rPr>
            <w:spacing w:val="-2"/>
          </w:rPr>
          <w:t>graysb@appstate.edu</w:t>
        </w:r>
      </w:hyperlink>
      <w:r>
        <w:rPr>
          <w:spacing w:val="-2"/>
        </w:rPr>
        <w:t> </w:t>
      </w:r>
      <w:r>
        <w:rPr>
          <w:color w:val="333333"/>
        </w:rPr>
        <w:t>(828) 262-6229</w:t>
      </w:r>
    </w:p>
    <w:p>
      <w:pPr>
        <w:pStyle w:val="BodyText"/>
      </w:pPr>
    </w:p>
    <w:p>
      <w:pPr>
        <w:pStyle w:val="BodyText"/>
        <w:ind w:left="693"/>
      </w:pPr>
      <w:r>
        <w:rPr/>
        <w:t>Key</w:t>
      </w:r>
      <w:r>
        <w:rPr>
          <w:spacing w:val="-7"/>
        </w:rPr>
        <w:t> </w:t>
      </w:r>
      <w:r>
        <w:rPr/>
        <w:t>words</w:t>
      </w:r>
      <w:r>
        <w:rPr>
          <w:spacing w:val="-5"/>
        </w:rPr>
        <w:t> </w:t>
      </w:r>
      <w:r>
        <w:rPr/>
        <w:t>(3-5):</w:t>
      </w:r>
      <w:r>
        <w:rPr>
          <w:spacing w:val="-4"/>
        </w:rPr>
        <w:t> </w:t>
      </w:r>
      <w:r>
        <w:rPr/>
        <w:t>Sustainability,</w:t>
      </w:r>
      <w:r>
        <w:rPr>
          <w:spacing w:val="-5"/>
        </w:rPr>
        <w:t> </w:t>
      </w:r>
      <w:r>
        <w:rPr/>
        <w:t>Strategy,</w:t>
      </w:r>
      <w:r>
        <w:rPr>
          <w:spacing w:val="-4"/>
        </w:rPr>
        <w:t> </w:t>
      </w:r>
      <w:r>
        <w:rPr/>
        <w:t>ESG,</w:t>
      </w:r>
      <w:r>
        <w:rPr>
          <w:spacing w:val="-5"/>
        </w:rPr>
        <w:t> </w:t>
      </w:r>
      <w:r>
        <w:rPr/>
        <w:t>CSR,</w:t>
      </w:r>
      <w:r>
        <w:rPr>
          <w:spacing w:val="-4"/>
        </w:rPr>
        <w:t> </w:t>
      </w:r>
      <w:r>
        <w:rPr>
          <w:spacing w:val="-2"/>
        </w:rPr>
        <w:t>Compliance</w:t>
      </w:r>
    </w:p>
    <w:p>
      <w:pPr>
        <w:pStyle w:val="BodyText"/>
      </w:pPr>
    </w:p>
    <w:p>
      <w:pPr>
        <w:pStyle w:val="Heading4"/>
      </w:pPr>
      <w:r>
        <w:rPr>
          <w:spacing w:val="-2"/>
        </w:rPr>
        <w:t>ABSTRACT</w:t>
      </w:r>
    </w:p>
    <w:p>
      <w:pPr>
        <w:pStyle w:val="BodyText"/>
        <w:spacing w:line="230" w:lineRule="auto" w:before="274"/>
        <w:ind w:left="723" w:right="1381"/>
      </w:pPr>
      <w:r>
        <w:rPr/>
        <w:t>This</w:t>
      </w:r>
      <w:r>
        <w:rPr>
          <w:spacing w:val="-5"/>
        </w:rPr>
        <w:t> </w:t>
      </w:r>
      <w:r>
        <w:rPr/>
        <w:t>study</w:t>
      </w:r>
      <w:r>
        <w:rPr>
          <w:spacing w:val="-5"/>
        </w:rPr>
        <w:t> </w:t>
      </w:r>
      <w:r>
        <w:rPr/>
        <w:t>examines</w:t>
      </w:r>
      <w:r>
        <w:rPr>
          <w:spacing w:val="-5"/>
        </w:rPr>
        <w:t> </w:t>
      </w:r>
      <w:r>
        <w:rPr/>
        <w:t>whether</w:t>
      </w:r>
      <w:r>
        <w:rPr>
          <w:spacing w:val="-5"/>
        </w:rPr>
        <w:t> </w:t>
      </w:r>
      <w:r>
        <w:rPr/>
        <w:t>employee-oriented</w:t>
      </w:r>
      <w:r>
        <w:rPr>
          <w:spacing w:val="-5"/>
        </w:rPr>
        <w:t> </w:t>
      </w:r>
      <w:r>
        <w:rPr/>
        <w:t>corporate</w:t>
      </w:r>
      <w:r>
        <w:rPr>
          <w:spacing w:val="-5"/>
        </w:rPr>
        <w:t> </w:t>
      </w:r>
      <w:r>
        <w:rPr/>
        <w:t>social</w:t>
      </w:r>
      <w:r>
        <w:rPr>
          <w:spacing w:val="-5"/>
        </w:rPr>
        <w:t> </w:t>
      </w:r>
      <w:r>
        <w:rPr/>
        <w:t>responsibility</w:t>
      </w:r>
      <w:r>
        <w:rPr>
          <w:spacing w:val="-5"/>
        </w:rPr>
        <w:t> </w:t>
      </w:r>
      <w:r>
        <w:rPr/>
        <w:t>(CSR)</w:t>
      </w:r>
      <w:r>
        <w:rPr>
          <w:spacing w:val="-5"/>
        </w:rPr>
        <w:t> </w:t>
      </w:r>
      <w:r>
        <w:rPr/>
        <w:t>disclosure functions as a strategic precursor to human capital–related intangible assets that enhance firm productivity. Drawing on shareholder theory, signaling theory, and the resource-based view (RBV), I theorize that firms emphasizing employee-centric CSR in mandatory 10-K disclosures develop stronger human capital intangible assets, which in turn improve organizational productivity. However, the value of these assets is contingent on industry labor mobility: the consequences of underinvestment or weak disclosure are amplified in high-turnover industries.</w:t>
      </w:r>
    </w:p>
    <w:p>
      <w:pPr>
        <w:pStyle w:val="BodyText"/>
        <w:spacing w:before="6"/>
      </w:pPr>
    </w:p>
    <w:p>
      <w:pPr>
        <w:pStyle w:val="BodyText"/>
        <w:spacing w:line="230" w:lineRule="auto"/>
        <w:ind w:left="723" w:right="1381"/>
      </w:pPr>
      <w:r>
        <w:rPr/>
        <w:t>Using</w:t>
      </w:r>
      <w:r>
        <w:rPr>
          <w:spacing w:val="-4"/>
        </w:rPr>
        <w:t> </w:t>
      </w:r>
      <w:r>
        <w:rPr/>
        <w:t>a</w:t>
      </w:r>
      <w:r>
        <w:rPr>
          <w:spacing w:val="-4"/>
        </w:rPr>
        <w:t> </w:t>
      </w:r>
      <w:r>
        <w:rPr/>
        <w:t>panel</w:t>
      </w:r>
      <w:r>
        <w:rPr>
          <w:spacing w:val="-4"/>
        </w:rPr>
        <w:t> </w:t>
      </w:r>
      <w:r>
        <w:rPr/>
        <w:t>of</w:t>
      </w:r>
      <w:r>
        <w:rPr>
          <w:spacing w:val="-4"/>
        </w:rPr>
        <w:t> </w:t>
      </w:r>
      <w:r>
        <w:rPr/>
        <w:t>approximately</w:t>
      </w:r>
      <w:r>
        <w:rPr>
          <w:spacing w:val="-4"/>
        </w:rPr>
        <w:t> </w:t>
      </w:r>
      <w:r>
        <w:rPr/>
        <w:t>1,000</w:t>
      </w:r>
      <w:r>
        <w:rPr>
          <w:spacing w:val="-4"/>
        </w:rPr>
        <w:t> </w:t>
      </w:r>
      <w:r>
        <w:rPr/>
        <w:t>NYSE-listed</w:t>
      </w:r>
      <w:r>
        <w:rPr>
          <w:spacing w:val="-4"/>
        </w:rPr>
        <w:t> </w:t>
      </w:r>
      <w:r>
        <w:rPr/>
        <w:t>firms</w:t>
      </w:r>
      <w:r>
        <w:rPr>
          <w:spacing w:val="-4"/>
        </w:rPr>
        <w:t> </w:t>
      </w:r>
      <w:r>
        <w:rPr/>
        <w:t>from</w:t>
      </w:r>
      <w:r>
        <w:rPr>
          <w:spacing w:val="-4"/>
        </w:rPr>
        <w:t> </w:t>
      </w:r>
      <w:r>
        <w:rPr/>
        <w:t>2016–2023,</w:t>
      </w:r>
      <w:r>
        <w:rPr>
          <w:spacing w:val="-4"/>
        </w:rPr>
        <w:t> </w:t>
      </w:r>
      <w:r>
        <w:rPr/>
        <w:t>the</w:t>
      </w:r>
      <w:r>
        <w:rPr>
          <w:spacing w:val="-4"/>
        </w:rPr>
        <w:t> </w:t>
      </w:r>
      <w:r>
        <w:rPr/>
        <w:t>study</w:t>
      </w:r>
      <w:r>
        <w:rPr>
          <w:spacing w:val="-4"/>
        </w:rPr>
        <w:t> </w:t>
      </w:r>
      <w:r>
        <w:rPr/>
        <w:t>integrates textual analysis of SEC 10-K filings with firm financials and industry-level voluntary turnover rates from the Bureau of Labor Statistics. Human capital intangible assets are measured using external ESG ratings. The proposed moderated mediation model contributes to strategic CSR research by clarifying when and how employee-oriented disclosure translates into firm-level performance outcomes.</w:t>
      </w:r>
    </w:p>
    <w:p>
      <w:pPr>
        <w:pStyle w:val="BodyText"/>
        <w:spacing w:before="8"/>
      </w:pPr>
    </w:p>
    <w:p>
      <w:pPr>
        <w:pStyle w:val="Heading4"/>
      </w:pPr>
      <w:r>
        <w:rPr>
          <w:spacing w:val="-2"/>
        </w:rPr>
        <w:t>INTRODUCTION</w:t>
      </w:r>
    </w:p>
    <w:p>
      <w:pPr>
        <w:pStyle w:val="BodyText"/>
        <w:spacing w:line="230" w:lineRule="auto" w:before="275"/>
        <w:ind w:left="723" w:right="1458"/>
      </w:pPr>
      <w:r>
        <w:rPr/>
        <w:t>Firms face increasing pressure to disclose non-financial information related to human capital, particularly following the U.S. Securities and Exchange Commission’s (SEC) 2020 mandate requiring</w:t>
      </w:r>
      <w:r>
        <w:rPr>
          <w:spacing w:val="-3"/>
        </w:rPr>
        <w:t> </w:t>
      </w:r>
      <w:r>
        <w:rPr/>
        <w:t>registrants</w:t>
      </w:r>
      <w:r>
        <w:rPr>
          <w:spacing w:val="-3"/>
        </w:rPr>
        <w:t> </w:t>
      </w:r>
      <w:r>
        <w:rPr/>
        <w:t>to</w:t>
      </w:r>
      <w:r>
        <w:rPr>
          <w:spacing w:val="-3"/>
        </w:rPr>
        <w:t> </w:t>
      </w:r>
      <w:r>
        <w:rPr/>
        <w:t>describe</w:t>
      </w:r>
      <w:r>
        <w:rPr>
          <w:spacing w:val="-3"/>
        </w:rPr>
        <w:t> </w:t>
      </w:r>
      <w:r>
        <w:rPr/>
        <w:t>their</w:t>
      </w:r>
      <w:r>
        <w:rPr>
          <w:spacing w:val="-3"/>
        </w:rPr>
        <w:t> </w:t>
      </w:r>
      <w:r>
        <w:rPr/>
        <w:t>human</w:t>
      </w:r>
      <w:r>
        <w:rPr>
          <w:spacing w:val="-3"/>
        </w:rPr>
        <w:t> </w:t>
      </w:r>
      <w:r>
        <w:rPr/>
        <w:t>capital</w:t>
      </w:r>
      <w:r>
        <w:rPr>
          <w:spacing w:val="-3"/>
        </w:rPr>
        <w:t> </w:t>
      </w:r>
      <w:r>
        <w:rPr/>
        <w:t>resources</w:t>
      </w:r>
      <w:r>
        <w:rPr>
          <w:spacing w:val="-3"/>
        </w:rPr>
        <w:t> </w:t>
      </w:r>
      <w:r>
        <w:rPr/>
        <w:t>in</w:t>
      </w:r>
      <w:r>
        <w:rPr>
          <w:spacing w:val="-3"/>
        </w:rPr>
        <w:t> </w:t>
      </w:r>
      <w:r>
        <w:rPr/>
        <w:t>annual</w:t>
      </w:r>
      <w:r>
        <w:rPr>
          <w:spacing w:val="-3"/>
        </w:rPr>
        <w:t> </w:t>
      </w:r>
      <w:r>
        <w:rPr/>
        <w:t>10-K</w:t>
      </w:r>
      <w:r>
        <w:rPr>
          <w:spacing w:val="-3"/>
        </w:rPr>
        <w:t> </w:t>
      </w:r>
      <w:r>
        <w:rPr/>
        <w:t>filings.</w:t>
      </w:r>
      <w:r>
        <w:rPr>
          <w:spacing w:val="-3"/>
        </w:rPr>
        <w:t> </w:t>
      </w:r>
      <w:r>
        <w:rPr/>
        <w:t>Despite</w:t>
      </w:r>
      <w:r>
        <w:rPr>
          <w:spacing w:val="-3"/>
        </w:rPr>
        <w:t> </w:t>
      </w:r>
      <w:r>
        <w:rPr/>
        <w:t>this regulatory change, substantial heterogeneity persists in how firms disclose employee-related</w:t>
      </w:r>
      <w:r>
        <w:rPr>
          <w:spacing w:val="40"/>
        </w:rPr>
        <w:t> </w:t>
      </w:r>
      <w:r>
        <w:rPr/>
        <w:t>CSR activities, such as training, safety, well-being, and workforce development. These disclosures represent an important yet understudied dimension of strategic communication with potential implications for firm performance.</w:t>
      </w:r>
    </w:p>
    <w:p>
      <w:pPr>
        <w:pStyle w:val="BodyText"/>
        <w:spacing w:before="6"/>
      </w:pPr>
    </w:p>
    <w:p>
      <w:pPr>
        <w:pStyle w:val="BodyText"/>
        <w:spacing w:line="230" w:lineRule="auto"/>
        <w:ind w:left="723" w:right="1496"/>
        <w:jc w:val="both"/>
      </w:pPr>
      <w:r>
        <w:rPr/>
        <w:t>While</w:t>
      </w:r>
      <w:r>
        <w:rPr>
          <w:spacing w:val="-4"/>
        </w:rPr>
        <w:t> </w:t>
      </w:r>
      <w:r>
        <w:rPr/>
        <w:t>prior</w:t>
      </w:r>
      <w:r>
        <w:rPr>
          <w:spacing w:val="-4"/>
        </w:rPr>
        <w:t> </w:t>
      </w:r>
      <w:r>
        <w:rPr/>
        <w:t>research</w:t>
      </w:r>
      <w:r>
        <w:rPr>
          <w:spacing w:val="-4"/>
        </w:rPr>
        <w:t> </w:t>
      </w:r>
      <w:r>
        <w:rPr/>
        <w:t>documents</w:t>
      </w:r>
      <w:r>
        <w:rPr>
          <w:spacing w:val="-4"/>
        </w:rPr>
        <w:t> </w:t>
      </w:r>
      <w:r>
        <w:rPr/>
        <w:t>a</w:t>
      </w:r>
      <w:r>
        <w:rPr>
          <w:spacing w:val="-4"/>
        </w:rPr>
        <w:t> </w:t>
      </w:r>
      <w:r>
        <w:rPr/>
        <w:t>positive</w:t>
      </w:r>
      <w:r>
        <w:rPr>
          <w:spacing w:val="-4"/>
        </w:rPr>
        <w:t> </w:t>
      </w:r>
      <w:r>
        <w:rPr/>
        <w:t>association</w:t>
      </w:r>
      <w:r>
        <w:rPr>
          <w:spacing w:val="-4"/>
        </w:rPr>
        <w:t> </w:t>
      </w:r>
      <w:r>
        <w:rPr/>
        <w:t>between</w:t>
      </w:r>
      <w:r>
        <w:rPr>
          <w:spacing w:val="-4"/>
        </w:rPr>
        <w:t> </w:t>
      </w:r>
      <w:r>
        <w:rPr/>
        <w:t>CSR</w:t>
      </w:r>
      <w:r>
        <w:rPr>
          <w:spacing w:val="-4"/>
        </w:rPr>
        <w:t> </w:t>
      </w:r>
      <w:r>
        <w:rPr/>
        <w:t>and</w:t>
      </w:r>
      <w:r>
        <w:rPr>
          <w:spacing w:val="-4"/>
        </w:rPr>
        <w:t> </w:t>
      </w:r>
      <w:r>
        <w:rPr/>
        <w:t>firm</w:t>
      </w:r>
      <w:r>
        <w:rPr>
          <w:spacing w:val="-4"/>
        </w:rPr>
        <w:t> </w:t>
      </w:r>
      <w:r>
        <w:rPr/>
        <w:t>performance,</w:t>
      </w:r>
      <w:r>
        <w:rPr>
          <w:spacing w:val="-4"/>
        </w:rPr>
        <w:t> </w:t>
      </w:r>
      <w:r>
        <w:rPr/>
        <w:t>most empirical studies emphasize environmental or governance practices (Wang et al., 2016).</w:t>
      </w:r>
    </w:p>
    <w:p>
      <w:pPr>
        <w:pStyle w:val="BodyText"/>
        <w:spacing w:line="230" w:lineRule="auto"/>
        <w:ind w:left="723" w:right="1696"/>
        <w:jc w:val="both"/>
      </w:pPr>
      <w:r>
        <w:rPr/>
        <w:t>Comparatively little attention has been given to employee-salient CSR disclosure, particularly within</w:t>
      </w:r>
      <w:r>
        <w:rPr>
          <w:spacing w:val="-4"/>
        </w:rPr>
        <w:t> </w:t>
      </w:r>
      <w:r>
        <w:rPr/>
        <w:t>mandatory</w:t>
      </w:r>
      <w:r>
        <w:rPr>
          <w:spacing w:val="-4"/>
        </w:rPr>
        <w:t> </w:t>
      </w:r>
      <w:r>
        <w:rPr/>
        <w:t>filings,</w:t>
      </w:r>
      <w:r>
        <w:rPr>
          <w:spacing w:val="-4"/>
        </w:rPr>
        <w:t> </w:t>
      </w:r>
      <w:r>
        <w:rPr/>
        <w:t>and</w:t>
      </w:r>
      <w:r>
        <w:rPr>
          <w:spacing w:val="-4"/>
        </w:rPr>
        <w:t> </w:t>
      </w:r>
      <w:r>
        <w:rPr/>
        <w:t>to</w:t>
      </w:r>
      <w:r>
        <w:rPr>
          <w:spacing w:val="-4"/>
        </w:rPr>
        <w:t> </w:t>
      </w:r>
      <w:r>
        <w:rPr/>
        <w:t>the</w:t>
      </w:r>
      <w:r>
        <w:rPr>
          <w:spacing w:val="-4"/>
        </w:rPr>
        <w:t> </w:t>
      </w:r>
      <w:r>
        <w:rPr/>
        <w:t>mechanisms</w:t>
      </w:r>
      <w:r>
        <w:rPr>
          <w:spacing w:val="-4"/>
        </w:rPr>
        <w:t> </w:t>
      </w:r>
      <w:r>
        <w:rPr/>
        <w:t>through</w:t>
      </w:r>
      <w:r>
        <w:rPr>
          <w:spacing w:val="-4"/>
        </w:rPr>
        <w:t> </w:t>
      </w:r>
      <w:r>
        <w:rPr/>
        <w:t>which</w:t>
      </w:r>
      <w:r>
        <w:rPr>
          <w:spacing w:val="-4"/>
        </w:rPr>
        <w:t> </w:t>
      </w:r>
      <w:r>
        <w:rPr/>
        <w:t>such</w:t>
      </w:r>
      <w:r>
        <w:rPr>
          <w:spacing w:val="-4"/>
        </w:rPr>
        <w:t> </w:t>
      </w:r>
      <w:r>
        <w:rPr/>
        <w:t>disclosure</w:t>
      </w:r>
      <w:r>
        <w:rPr>
          <w:spacing w:val="-4"/>
        </w:rPr>
        <w:t> </w:t>
      </w:r>
      <w:r>
        <w:rPr/>
        <w:t>may</w:t>
      </w:r>
      <w:r>
        <w:rPr>
          <w:spacing w:val="-4"/>
        </w:rPr>
        <w:t> </w:t>
      </w:r>
      <w:r>
        <w:rPr/>
        <w:t>influence productivity. This omission is notable because human capital is widely recognized as a central driver of competitive advantage and firm productivity (Hitt et al., 2001).</w:t>
      </w:r>
    </w:p>
    <w:p>
      <w:pPr>
        <w:pStyle w:val="BodyText"/>
        <w:spacing w:before="4"/>
      </w:pPr>
    </w:p>
    <w:p>
      <w:pPr>
        <w:spacing w:line="232" w:lineRule="auto" w:before="0"/>
        <w:ind w:left="723" w:right="1191" w:firstLine="0"/>
        <w:jc w:val="left"/>
        <w:rPr>
          <w:sz w:val="24"/>
        </w:rPr>
      </w:pPr>
      <w:r>
        <w:rPr>
          <w:sz w:val="24"/>
        </w:rPr>
        <w:t>This study addresses the question: </w:t>
      </w:r>
      <w:r>
        <w:rPr>
          <w:b/>
          <w:sz w:val="24"/>
        </w:rPr>
        <w:t>Does</w:t>
      </w:r>
      <w:r>
        <w:rPr>
          <w:b/>
          <w:spacing w:val="-4"/>
          <w:sz w:val="24"/>
        </w:rPr>
        <w:t> </w:t>
      </w:r>
      <w:r>
        <w:rPr>
          <w:b/>
          <w:sz w:val="24"/>
        </w:rPr>
        <w:t>employee-oriented</w:t>
      </w:r>
      <w:r>
        <w:rPr>
          <w:b/>
          <w:spacing w:val="-4"/>
          <w:sz w:val="24"/>
        </w:rPr>
        <w:t> </w:t>
      </w:r>
      <w:r>
        <w:rPr>
          <w:b/>
          <w:sz w:val="24"/>
        </w:rPr>
        <w:t>CSR</w:t>
      </w:r>
      <w:r>
        <w:rPr>
          <w:b/>
          <w:spacing w:val="-4"/>
          <w:sz w:val="24"/>
        </w:rPr>
        <w:t> </w:t>
      </w:r>
      <w:r>
        <w:rPr>
          <w:b/>
          <w:sz w:val="24"/>
        </w:rPr>
        <w:t>disclosure</w:t>
      </w:r>
      <w:r>
        <w:rPr>
          <w:b/>
          <w:spacing w:val="-4"/>
          <w:sz w:val="24"/>
        </w:rPr>
        <w:t> </w:t>
      </w:r>
      <w:r>
        <w:rPr>
          <w:b/>
          <w:sz w:val="24"/>
        </w:rPr>
        <w:t>contribute</w:t>
      </w:r>
      <w:r>
        <w:rPr>
          <w:b/>
          <w:spacing w:val="-4"/>
          <w:sz w:val="24"/>
        </w:rPr>
        <w:t> </w:t>
      </w:r>
      <w:r>
        <w:rPr>
          <w:b/>
          <w:sz w:val="24"/>
        </w:rPr>
        <w:t>to</w:t>
      </w:r>
      <w:r>
        <w:rPr>
          <w:b/>
          <w:spacing w:val="-4"/>
          <w:sz w:val="24"/>
        </w:rPr>
        <w:t> </w:t>
      </w:r>
      <w:r>
        <w:rPr>
          <w:b/>
          <w:sz w:val="24"/>
        </w:rPr>
        <w:t>firm productivity, and under what conditions does</w:t>
      </w:r>
      <w:r>
        <w:rPr>
          <w:b/>
          <w:spacing w:val="-5"/>
          <w:sz w:val="24"/>
        </w:rPr>
        <w:t> </w:t>
      </w:r>
      <w:r>
        <w:rPr>
          <w:b/>
          <w:sz w:val="24"/>
        </w:rPr>
        <w:t>it</w:t>
      </w:r>
      <w:r>
        <w:rPr>
          <w:b/>
          <w:spacing w:val="-5"/>
          <w:sz w:val="24"/>
        </w:rPr>
        <w:t> </w:t>
      </w:r>
      <w:r>
        <w:rPr>
          <w:b/>
          <w:sz w:val="24"/>
        </w:rPr>
        <w:t>matter</w:t>
      </w:r>
      <w:r>
        <w:rPr>
          <w:b/>
          <w:spacing w:val="-5"/>
          <w:sz w:val="24"/>
        </w:rPr>
        <w:t> </w:t>
      </w:r>
      <w:r>
        <w:rPr>
          <w:b/>
          <w:sz w:val="24"/>
        </w:rPr>
        <w:t>most?</w:t>
      </w:r>
      <w:r>
        <w:rPr>
          <w:b/>
          <w:spacing w:val="-5"/>
          <w:sz w:val="24"/>
        </w:rPr>
        <w:t> </w:t>
      </w:r>
      <w:r>
        <w:rPr>
          <w:sz w:val="24"/>
        </w:rPr>
        <w:t>Drawing</w:t>
      </w:r>
      <w:r>
        <w:rPr>
          <w:spacing w:val="-5"/>
          <w:sz w:val="24"/>
        </w:rPr>
        <w:t> </w:t>
      </w:r>
      <w:r>
        <w:rPr>
          <w:sz w:val="24"/>
        </w:rPr>
        <w:t>on</w:t>
      </w:r>
      <w:r>
        <w:rPr>
          <w:spacing w:val="-5"/>
          <w:sz w:val="24"/>
        </w:rPr>
        <w:t> </w:t>
      </w:r>
      <w:r>
        <w:rPr>
          <w:sz w:val="24"/>
        </w:rPr>
        <w:t>shareholder</w:t>
      </w:r>
      <w:r>
        <w:rPr>
          <w:spacing w:val="-5"/>
          <w:sz w:val="24"/>
        </w:rPr>
        <w:t> </w:t>
      </w:r>
      <w:r>
        <w:rPr>
          <w:sz w:val="24"/>
        </w:rPr>
        <w:t>theory (Friedman, 1970; Jensen, 2001), I argue that managers disclose employee-related CSR activities when such disclosure is expected to enhance long-term shareholder value. Rather than being</w:t>
      </w:r>
    </w:p>
    <w:p>
      <w:pPr>
        <w:spacing w:after="0" w:line="232" w:lineRule="auto"/>
        <w:jc w:val="left"/>
        <w:rPr>
          <w:sz w:val="24"/>
        </w:rPr>
        <w:sectPr>
          <w:pgSz w:w="12240" w:h="15840"/>
          <w:pgMar w:header="0" w:footer="706" w:top="620" w:bottom="920" w:left="720" w:right="0"/>
        </w:sectPr>
      </w:pPr>
    </w:p>
    <w:p>
      <w:pPr>
        <w:pStyle w:val="BodyText"/>
        <w:spacing w:line="230" w:lineRule="auto" w:before="80"/>
        <w:ind w:left="723" w:right="1619"/>
      </w:pPr>
      <w:r>
        <w:rPr/>
        <w:t>altruistic,</w:t>
      </w:r>
      <w:r>
        <w:rPr>
          <w:spacing w:val="-4"/>
        </w:rPr>
        <w:t> </w:t>
      </w:r>
      <w:r>
        <w:rPr/>
        <w:t>employee-oriented</w:t>
      </w:r>
      <w:r>
        <w:rPr>
          <w:spacing w:val="-4"/>
        </w:rPr>
        <w:t> </w:t>
      </w:r>
      <w:r>
        <w:rPr/>
        <w:t>CSR</w:t>
      </w:r>
      <w:r>
        <w:rPr>
          <w:spacing w:val="-4"/>
        </w:rPr>
        <w:t> </w:t>
      </w:r>
      <w:r>
        <w:rPr/>
        <w:t>disclosure</w:t>
      </w:r>
      <w:r>
        <w:rPr>
          <w:spacing w:val="-4"/>
        </w:rPr>
        <w:t> </w:t>
      </w:r>
      <w:r>
        <w:rPr/>
        <w:t>can</w:t>
      </w:r>
      <w:r>
        <w:rPr>
          <w:spacing w:val="-4"/>
        </w:rPr>
        <w:t> </w:t>
      </w:r>
      <w:r>
        <w:rPr/>
        <w:t>function</w:t>
      </w:r>
      <w:r>
        <w:rPr>
          <w:spacing w:val="-4"/>
        </w:rPr>
        <w:t> </w:t>
      </w:r>
      <w:r>
        <w:rPr/>
        <w:t>as</w:t>
      </w:r>
      <w:r>
        <w:rPr>
          <w:spacing w:val="-4"/>
        </w:rPr>
        <w:t> </w:t>
      </w:r>
      <w:r>
        <w:rPr/>
        <w:t>a</w:t>
      </w:r>
      <w:r>
        <w:rPr>
          <w:spacing w:val="-4"/>
        </w:rPr>
        <w:t> </w:t>
      </w:r>
      <w:r>
        <w:rPr/>
        <w:t>strategic</w:t>
      </w:r>
      <w:r>
        <w:rPr>
          <w:spacing w:val="-4"/>
        </w:rPr>
        <w:t> </w:t>
      </w:r>
      <w:r>
        <w:rPr/>
        <w:t>signal</w:t>
      </w:r>
      <w:r>
        <w:rPr>
          <w:spacing w:val="-4"/>
        </w:rPr>
        <w:t> </w:t>
      </w:r>
      <w:r>
        <w:rPr/>
        <w:t>that</w:t>
      </w:r>
      <w:r>
        <w:rPr>
          <w:spacing w:val="-4"/>
        </w:rPr>
        <w:t> </w:t>
      </w:r>
      <w:r>
        <w:rPr/>
        <w:t>strengthens intangible assets, particularly human capital and reputation, which ultimately support </w:t>
      </w:r>
      <w:r>
        <w:rPr>
          <w:spacing w:val="-2"/>
        </w:rPr>
        <w:t>productivity.</w:t>
      </w:r>
    </w:p>
    <w:p>
      <w:pPr>
        <w:pStyle w:val="BodyText"/>
        <w:spacing w:before="9"/>
      </w:pPr>
    </w:p>
    <w:p>
      <w:pPr>
        <w:pStyle w:val="BodyText"/>
        <w:spacing w:line="230" w:lineRule="auto"/>
        <w:ind w:left="723" w:right="1461" w:firstLine="15"/>
      </w:pPr>
      <w:r>
        <w:rPr/>
        <w:t>Signaling theory further suggests that disclosure reduces information asymmetry by communicating otherwise unobservable workforce investments to external stakeholders (Connelly et al., 2011). Such signals may attract and retain talent, enhance employer reputation, and reinforce employee commitment. These effects are especially salient in industries characterized</w:t>
      </w:r>
      <w:r>
        <w:rPr>
          <w:spacing w:val="-5"/>
        </w:rPr>
        <w:t> </w:t>
      </w:r>
      <w:r>
        <w:rPr/>
        <w:t>by</w:t>
      </w:r>
      <w:r>
        <w:rPr>
          <w:spacing w:val="-5"/>
        </w:rPr>
        <w:t> </w:t>
      </w:r>
      <w:r>
        <w:rPr/>
        <w:t>high</w:t>
      </w:r>
      <w:r>
        <w:rPr>
          <w:spacing w:val="-5"/>
        </w:rPr>
        <w:t> </w:t>
      </w:r>
      <w:r>
        <w:rPr/>
        <w:t>labor</w:t>
      </w:r>
      <w:r>
        <w:rPr>
          <w:spacing w:val="-5"/>
        </w:rPr>
        <w:t> </w:t>
      </w:r>
      <w:r>
        <w:rPr/>
        <w:t>mobility,</w:t>
      </w:r>
      <w:r>
        <w:rPr>
          <w:spacing w:val="-5"/>
        </w:rPr>
        <w:t> </w:t>
      </w:r>
      <w:r>
        <w:rPr/>
        <w:t>where</w:t>
      </w:r>
      <w:r>
        <w:rPr>
          <w:spacing w:val="-5"/>
        </w:rPr>
        <w:t> </w:t>
      </w:r>
      <w:r>
        <w:rPr/>
        <w:t>competition</w:t>
      </w:r>
      <w:r>
        <w:rPr>
          <w:spacing w:val="-5"/>
        </w:rPr>
        <w:t> </w:t>
      </w:r>
      <w:r>
        <w:rPr/>
        <w:t>for</w:t>
      </w:r>
      <w:r>
        <w:rPr>
          <w:spacing w:val="-5"/>
        </w:rPr>
        <w:t> </w:t>
      </w:r>
      <w:r>
        <w:rPr/>
        <w:t>skilled</w:t>
      </w:r>
      <w:r>
        <w:rPr>
          <w:spacing w:val="-5"/>
        </w:rPr>
        <w:t> </w:t>
      </w:r>
      <w:r>
        <w:rPr/>
        <w:t>workers</w:t>
      </w:r>
      <w:r>
        <w:rPr>
          <w:spacing w:val="-5"/>
        </w:rPr>
        <w:t> </w:t>
      </w:r>
      <w:r>
        <w:rPr/>
        <w:t>intensifies</w:t>
      </w:r>
      <w:r>
        <w:rPr>
          <w:spacing w:val="-5"/>
        </w:rPr>
        <w:t> </w:t>
      </w:r>
      <w:r>
        <w:rPr/>
        <w:t>the</w:t>
      </w:r>
      <w:r>
        <w:rPr>
          <w:spacing w:val="-5"/>
        </w:rPr>
        <w:t> </w:t>
      </w:r>
      <w:r>
        <w:rPr/>
        <w:t>value of credible human capital signals (Park &amp; Shaw, 2013).</w:t>
      </w:r>
    </w:p>
    <w:p>
      <w:pPr>
        <w:pStyle w:val="BodyText"/>
        <w:spacing w:before="7"/>
      </w:pPr>
    </w:p>
    <w:p>
      <w:pPr>
        <w:pStyle w:val="BodyText"/>
        <w:spacing w:line="230" w:lineRule="auto"/>
        <w:ind w:left="723" w:right="1381"/>
      </w:pPr>
      <w:r>
        <w:rPr/>
        <w:t>By integrating shareholder theory, signaling theory, and RBV logic applied specifically to intangible</w:t>
      </w:r>
      <w:r>
        <w:rPr>
          <w:spacing w:val="-4"/>
        </w:rPr>
        <w:t> </w:t>
      </w:r>
      <w:r>
        <w:rPr/>
        <w:t>assets,</w:t>
      </w:r>
      <w:r>
        <w:rPr>
          <w:spacing w:val="-4"/>
        </w:rPr>
        <w:t> </w:t>
      </w:r>
      <w:r>
        <w:rPr/>
        <w:t>this</w:t>
      </w:r>
      <w:r>
        <w:rPr>
          <w:spacing w:val="-4"/>
        </w:rPr>
        <w:t> </w:t>
      </w:r>
      <w:r>
        <w:rPr/>
        <w:t>study</w:t>
      </w:r>
      <w:r>
        <w:rPr>
          <w:spacing w:val="-4"/>
        </w:rPr>
        <w:t> </w:t>
      </w:r>
      <w:r>
        <w:rPr/>
        <w:t>develops</w:t>
      </w:r>
      <w:r>
        <w:rPr>
          <w:spacing w:val="-4"/>
        </w:rPr>
        <w:t> </w:t>
      </w:r>
      <w:r>
        <w:rPr/>
        <w:t>a</w:t>
      </w:r>
      <w:r>
        <w:rPr>
          <w:spacing w:val="-4"/>
        </w:rPr>
        <w:t> </w:t>
      </w:r>
      <w:r>
        <w:rPr/>
        <w:t>moderated</w:t>
      </w:r>
      <w:r>
        <w:rPr>
          <w:spacing w:val="-4"/>
        </w:rPr>
        <w:t> </w:t>
      </w:r>
      <w:r>
        <w:rPr/>
        <w:t>mediation</w:t>
      </w:r>
      <w:r>
        <w:rPr>
          <w:spacing w:val="-4"/>
        </w:rPr>
        <w:t> </w:t>
      </w:r>
      <w:r>
        <w:rPr/>
        <w:t>framework</w:t>
      </w:r>
      <w:r>
        <w:rPr>
          <w:spacing w:val="-4"/>
        </w:rPr>
        <w:t> </w:t>
      </w:r>
      <w:r>
        <w:rPr/>
        <w:t>that</w:t>
      </w:r>
      <w:r>
        <w:rPr>
          <w:spacing w:val="-4"/>
        </w:rPr>
        <w:t> </w:t>
      </w:r>
      <w:r>
        <w:rPr/>
        <w:t>explains</w:t>
      </w:r>
      <w:r>
        <w:rPr>
          <w:spacing w:val="-4"/>
        </w:rPr>
        <w:t> </w:t>
      </w:r>
      <w:r>
        <w:rPr/>
        <w:t>when</w:t>
      </w:r>
      <w:r>
        <w:rPr>
          <w:spacing w:val="-4"/>
        </w:rPr>
        <w:t> </w:t>
      </w:r>
      <w:r>
        <w:rPr/>
        <w:t>and how employee-oriented CSR disclosure translates into productivity gains.</w:t>
      </w:r>
    </w:p>
    <w:p>
      <w:pPr>
        <w:pStyle w:val="BodyText"/>
        <w:spacing w:before="10"/>
      </w:pPr>
    </w:p>
    <w:p>
      <w:pPr>
        <w:pStyle w:val="Heading4"/>
      </w:pPr>
      <w:r>
        <w:rPr/>
        <w:t>THEORY</w:t>
      </w:r>
      <w:r>
        <w:rPr>
          <w:spacing w:val="-5"/>
        </w:rPr>
        <w:t> </w:t>
      </w:r>
      <w:r>
        <w:rPr/>
        <w:t>AND</w:t>
      </w:r>
      <w:r>
        <w:rPr>
          <w:spacing w:val="-4"/>
        </w:rPr>
        <w:t> </w:t>
      </w:r>
      <w:r>
        <w:rPr>
          <w:spacing w:val="-2"/>
        </w:rPr>
        <w:t>HYPOTHESES</w:t>
      </w:r>
    </w:p>
    <w:p>
      <w:pPr>
        <w:pStyle w:val="BodyText"/>
        <w:rPr>
          <w:b/>
        </w:rPr>
      </w:pPr>
    </w:p>
    <w:p>
      <w:pPr>
        <w:spacing w:before="0"/>
        <w:ind w:left="723" w:right="0" w:firstLine="0"/>
        <w:jc w:val="left"/>
        <w:rPr>
          <w:b/>
          <w:sz w:val="24"/>
        </w:rPr>
      </w:pPr>
      <w:r>
        <w:rPr>
          <w:b/>
          <w:sz w:val="24"/>
        </w:rPr>
        <w:t>Employee-Oriented</w:t>
      </w:r>
      <w:r>
        <w:rPr>
          <w:b/>
          <w:spacing w:val="-1"/>
          <w:sz w:val="24"/>
        </w:rPr>
        <w:t> </w:t>
      </w:r>
      <w:r>
        <w:rPr>
          <w:b/>
          <w:sz w:val="24"/>
        </w:rPr>
        <w:t>CSR</w:t>
      </w:r>
      <w:r>
        <w:rPr>
          <w:b/>
          <w:spacing w:val="-1"/>
          <w:sz w:val="24"/>
        </w:rPr>
        <w:t> </w:t>
      </w:r>
      <w:r>
        <w:rPr>
          <w:b/>
          <w:sz w:val="24"/>
        </w:rPr>
        <w:t>Disclosure</w:t>
      </w:r>
      <w:r>
        <w:rPr>
          <w:b/>
          <w:spacing w:val="-1"/>
          <w:sz w:val="24"/>
        </w:rPr>
        <w:t> </w:t>
      </w:r>
      <w:r>
        <w:rPr>
          <w:b/>
          <w:sz w:val="24"/>
        </w:rPr>
        <w:t>and Human</w:t>
      </w:r>
      <w:r>
        <w:rPr>
          <w:b/>
          <w:spacing w:val="-1"/>
          <w:sz w:val="24"/>
        </w:rPr>
        <w:t> </w:t>
      </w:r>
      <w:r>
        <w:rPr>
          <w:b/>
          <w:sz w:val="24"/>
        </w:rPr>
        <w:t>Capital</w:t>
      </w:r>
      <w:r>
        <w:rPr>
          <w:b/>
          <w:spacing w:val="-1"/>
          <w:sz w:val="24"/>
        </w:rPr>
        <w:t> </w:t>
      </w:r>
      <w:r>
        <w:rPr>
          <w:b/>
          <w:sz w:val="24"/>
        </w:rPr>
        <w:t>Intangible </w:t>
      </w:r>
      <w:r>
        <w:rPr>
          <w:b/>
          <w:spacing w:val="-2"/>
          <w:sz w:val="24"/>
        </w:rPr>
        <w:t>Assets</w:t>
      </w:r>
    </w:p>
    <w:p>
      <w:pPr>
        <w:pStyle w:val="BodyText"/>
        <w:spacing w:line="230" w:lineRule="auto" w:before="275"/>
        <w:ind w:left="723" w:right="1445" w:firstLine="15"/>
      </w:pPr>
      <w:r>
        <w:rPr/>
        <w:t>Shareholder</w:t>
      </w:r>
      <w:r>
        <w:rPr>
          <w:spacing w:val="-4"/>
        </w:rPr>
        <w:t> </w:t>
      </w:r>
      <w:r>
        <w:rPr/>
        <w:t>theory</w:t>
      </w:r>
      <w:r>
        <w:rPr>
          <w:spacing w:val="-4"/>
        </w:rPr>
        <w:t> </w:t>
      </w:r>
      <w:r>
        <w:rPr/>
        <w:t>posits</w:t>
      </w:r>
      <w:r>
        <w:rPr>
          <w:spacing w:val="-4"/>
        </w:rPr>
        <w:t> </w:t>
      </w:r>
      <w:r>
        <w:rPr/>
        <w:t>that</w:t>
      </w:r>
      <w:r>
        <w:rPr>
          <w:spacing w:val="-4"/>
        </w:rPr>
        <w:t> </w:t>
      </w:r>
      <w:r>
        <w:rPr/>
        <w:t>managerial</w:t>
      </w:r>
      <w:r>
        <w:rPr>
          <w:spacing w:val="-4"/>
        </w:rPr>
        <w:t> </w:t>
      </w:r>
      <w:r>
        <w:rPr/>
        <w:t>actions</w:t>
      </w:r>
      <w:r>
        <w:rPr>
          <w:spacing w:val="-4"/>
        </w:rPr>
        <w:t> </w:t>
      </w:r>
      <w:r>
        <w:rPr/>
        <w:t>should</w:t>
      </w:r>
      <w:r>
        <w:rPr>
          <w:spacing w:val="-4"/>
        </w:rPr>
        <w:t> </w:t>
      </w:r>
      <w:r>
        <w:rPr/>
        <w:t>be</w:t>
      </w:r>
      <w:r>
        <w:rPr>
          <w:spacing w:val="-4"/>
        </w:rPr>
        <w:t> </w:t>
      </w:r>
      <w:r>
        <w:rPr/>
        <w:t>evaluated</w:t>
      </w:r>
      <w:r>
        <w:rPr>
          <w:spacing w:val="-4"/>
        </w:rPr>
        <w:t> </w:t>
      </w:r>
      <w:r>
        <w:rPr/>
        <w:t>based</w:t>
      </w:r>
      <w:r>
        <w:rPr>
          <w:spacing w:val="-4"/>
        </w:rPr>
        <w:t> </w:t>
      </w:r>
      <w:r>
        <w:rPr/>
        <w:t>on</w:t>
      </w:r>
      <w:r>
        <w:rPr>
          <w:spacing w:val="-4"/>
        </w:rPr>
        <w:t> </w:t>
      </w:r>
      <w:r>
        <w:rPr/>
        <w:t>their</w:t>
      </w:r>
      <w:r>
        <w:rPr>
          <w:spacing w:val="-4"/>
        </w:rPr>
        <w:t> </w:t>
      </w:r>
      <w:r>
        <w:rPr/>
        <w:t>contribution to</w:t>
      </w:r>
      <w:r>
        <w:rPr>
          <w:spacing w:val="-4"/>
        </w:rPr>
        <w:t> </w:t>
      </w:r>
      <w:r>
        <w:rPr/>
        <w:t>long-run</w:t>
      </w:r>
      <w:r>
        <w:rPr>
          <w:spacing w:val="-4"/>
        </w:rPr>
        <w:t> </w:t>
      </w:r>
      <w:r>
        <w:rPr/>
        <w:t>shareholder</w:t>
      </w:r>
      <w:r>
        <w:rPr>
          <w:spacing w:val="-4"/>
        </w:rPr>
        <w:t> </w:t>
      </w:r>
      <w:r>
        <w:rPr/>
        <w:t>wealth</w:t>
      </w:r>
      <w:r>
        <w:rPr>
          <w:spacing w:val="-4"/>
        </w:rPr>
        <w:t> </w:t>
      </w:r>
      <w:r>
        <w:rPr/>
        <w:t>(Friedman,</w:t>
      </w:r>
      <w:r>
        <w:rPr>
          <w:spacing w:val="-4"/>
        </w:rPr>
        <w:t> </w:t>
      </w:r>
      <w:r>
        <w:rPr/>
        <w:t>1970).</w:t>
      </w:r>
      <w:r>
        <w:rPr>
          <w:spacing w:val="-4"/>
        </w:rPr>
        <w:t> </w:t>
      </w:r>
      <w:r>
        <w:rPr/>
        <w:t>From</w:t>
      </w:r>
      <w:r>
        <w:rPr>
          <w:spacing w:val="-4"/>
        </w:rPr>
        <w:t> </w:t>
      </w:r>
      <w:r>
        <w:rPr/>
        <w:t>this</w:t>
      </w:r>
      <w:r>
        <w:rPr>
          <w:spacing w:val="-4"/>
        </w:rPr>
        <w:t> </w:t>
      </w:r>
      <w:r>
        <w:rPr/>
        <w:t>perspective,</w:t>
      </w:r>
      <w:r>
        <w:rPr>
          <w:spacing w:val="-4"/>
        </w:rPr>
        <w:t> </w:t>
      </w:r>
      <w:r>
        <w:rPr/>
        <w:t>CSR</w:t>
      </w:r>
      <w:r>
        <w:rPr>
          <w:spacing w:val="-4"/>
        </w:rPr>
        <w:t> </w:t>
      </w:r>
      <w:r>
        <w:rPr/>
        <w:t>activities,</w:t>
      </w:r>
      <w:r>
        <w:rPr>
          <w:spacing w:val="-4"/>
        </w:rPr>
        <w:t> </w:t>
      </w:r>
      <w:r>
        <w:rPr/>
        <w:t>and</w:t>
      </w:r>
      <w:r>
        <w:rPr>
          <w:spacing w:val="-4"/>
        </w:rPr>
        <w:t> </w:t>
      </w:r>
      <w:r>
        <w:rPr/>
        <w:t>their disclosure, are strategic when they enhance firm value (Jensen, 2001). Employee-oriented CSR disclosure, including descriptions of training programs, employee well-being initiatives, and safety practices, can signal investments in human capital that support productivity and future</w:t>
      </w:r>
      <w:r>
        <w:rPr>
          <w:spacing w:val="40"/>
        </w:rPr>
        <w:t> </w:t>
      </w:r>
      <w:r>
        <w:rPr/>
        <w:t>cash flows.</w:t>
      </w:r>
    </w:p>
    <w:p>
      <w:pPr>
        <w:pStyle w:val="BodyText"/>
        <w:spacing w:before="6"/>
      </w:pPr>
    </w:p>
    <w:p>
      <w:pPr>
        <w:pStyle w:val="BodyText"/>
        <w:spacing w:line="230" w:lineRule="auto"/>
        <w:ind w:left="723" w:right="1191"/>
      </w:pPr>
      <w:r>
        <w:rPr/>
        <w:t>Accordingly,</w:t>
      </w:r>
      <w:r>
        <w:rPr>
          <w:spacing w:val="-5"/>
        </w:rPr>
        <w:t> </w:t>
      </w:r>
      <w:r>
        <w:rPr/>
        <w:t>I</w:t>
      </w:r>
      <w:r>
        <w:rPr>
          <w:spacing w:val="-5"/>
        </w:rPr>
        <w:t> </w:t>
      </w:r>
      <w:r>
        <w:rPr/>
        <w:t>argue</w:t>
      </w:r>
      <w:r>
        <w:rPr>
          <w:spacing w:val="-5"/>
        </w:rPr>
        <w:t> </w:t>
      </w:r>
      <w:r>
        <w:rPr/>
        <w:t>that</w:t>
      </w:r>
      <w:r>
        <w:rPr>
          <w:spacing w:val="-5"/>
        </w:rPr>
        <w:t> </w:t>
      </w:r>
      <w:r>
        <w:rPr/>
        <w:t>firms</w:t>
      </w:r>
      <w:r>
        <w:rPr>
          <w:spacing w:val="-5"/>
        </w:rPr>
        <w:t> </w:t>
      </w:r>
      <w:r>
        <w:rPr/>
        <w:t>with</w:t>
      </w:r>
      <w:r>
        <w:rPr>
          <w:spacing w:val="-5"/>
        </w:rPr>
        <w:t> </w:t>
      </w:r>
      <w:r>
        <w:rPr/>
        <w:t>more</w:t>
      </w:r>
      <w:r>
        <w:rPr>
          <w:spacing w:val="-5"/>
        </w:rPr>
        <w:t> </w:t>
      </w:r>
      <w:r>
        <w:rPr/>
        <w:t>extensive</w:t>
      </w:r>
      <w:r>
        <w:rPr>
          <w:spacing w:val="-5"/>
        </w:rPr>
        <w:t> </w:t>
      </w:r>
      <w:r>
        <w:rPr/>
        <w:t>employee-oriented</w:t>
      </w:r>
      <w:r>
        <w:rPr>
          <w:spacing w:val="-5"/>
        </w:rPr>
        <w:t> </w:t>
      </w:r>
      <w:r>
        <w:rPr/>
        <w:t>CSR</w:t>
      </w:r>
      <w:r>
        <w:rPr>
          <w:spacing w:val="-5"/>
        </w:rPr>
        <w:t> </w:t>
      </w:r>
      <w:r>
        <w:rPr/>
        <w:t>disclosure</w:t>
      </w:r>
      <w:r>
        <w:rPr>
          <w:spacing w:val="-5"/>
        </w:rPr>
        <w:t> </w:t>
      </w:r>
      <w:r>
        <w:rPr/>
        <w:t>will</w:t>
      </w:r>
      <w:r>
        <w:rPr>
          <w:spacing w:val="-5"/>
        </w:rPr>
        <w:t> </w:t>
      </w:r>
      <w:r>
        <w:rPr/>
        <w:t>be associated with stronger human capital intangible assets.</w:t>
      </w:r>
    </w:p>
    <w:p>
      <w:pPr>
        <w:pStyle w:val="BodyText"/>
        <w:spacing w:before="9"/>
      </w:pPr>
    </w:p>
    <w:p>
      <w:pPr>
        <w:pStyle w:val="BodyText"/>
        <w:spacing w:line="230" w:lineRule="auto" w:before="1"/>
        <w:ind w:left="723" w:right="1381"/>
      </w:pPr>
      <w:r>
        <w:rPr>
          <w:b/>
        </w:rPr>
        <w:t>Hypothesis</w:t>
      </w:r>
      <w:r>
        <w:rPr>
          <w:b/>
          <w:spacing w:val="-4"/>
        </w:rPr>
        <w:t> </w:t>
      </w:r>
      <w:r>
        <w:rPr>
          <w:b/>
        </w:rPr>
        <w:t>1</w:t>
      </w:r>
      <w:r>
        <w:rPr>
          <w:b/>
          <w:spacing w:val="-4"/>
        </w:rPr>
        <w:t> </w:t>
      </w:r>
      <w:r>
        <w:rPr>
          <w:b/>
        </w:rPr>
        <w:t>(H1):</w:t>
      </w:r>
      <w:r>
        <w:rPr>
          <w:b/>
          <w:spacing w:val="-4"/>
        </w:rPr>
        <w:t> </w:t>
      </w:r>
      <w:r>
        <w:rPr/>
        <w:t>Employee-oriented</w:t>
      </w:r>
      <w:r>
        <w:rPr>
          <w:spacing w:val="-4"/>
        </w:rPr>
        <w:t> </w:t>
      </w:r>
      <w:r>
        <w:rPr/>
        <w:t>CSR</w:t>
      </w:r>
      <w:r>
        <w:rPr>
          <w:spacing w:val="-4"/>
        </w:rPr>
        <w:t> </w:t>
      </w:r>
      <w:r>
        <w:rPr/>
        <w:t>disclosure</w:t>
      </w:r>
      <w:r>
        <w:rPr>
          <w:spacing w:val="-4"/>
        </w:rPr>
        <w:t> </w:t>
      </w:r>
      <w:r>
        <w:rPr/>
        <w:t>in</w:t>
      </w:r>
      <w:r>
        <w:rPr>
          <w:spacing w:val="-4"/>
        </w:rPr>
        <w:t> </w:t>
      </w:r>
      <w:r>
        <w:rPr/>
        <w:t>10-K</w:t>
      </w:r>
      <w:r>
        <w:rPr>
          <w:spacing w:val="-4"/>
        </w:rPr>
        <w:t> </w:t>
      </w:r>
      <w:r>
        <w:rPr/>
        <w:t>filings</w:t>
      </w:r>
      <w:r>
        <w:rPr>
          <w:spacing w:val="-4"/>
        </w:rPr>
        <w:t> </w:t>
      </w:r>
      <w:r>
        <w:rPr/>
        <w:t>is</w:t>
      </w:r>
      <w:r>
        <w:rPr>
          <w:spacing w:val="-4"/>
        </w:rPr>
        <w:t> </w:t>
      </w:r>
      <w:r>
        <w:rPr/>
        <w:t>positively</w:t>
      </w:r>
      <w:r>
        <w:rPr>
          <w:spacing w:val="-4"/>
        </w:rPr>
        <w:t> </w:t>
      </w:r>
      <w:r>
        <w:rPr/>
        <w:t>associated with a firm’s human capital intangible assets.</w:t>
      </w:r>
    </w:p>
    <w:p>
      <w:pPr>
        <w:pStyle w:val="BodyText"/>
        <w:spacing w:before="9"/>
      </w:pPr>
    </w:p>
    <w:p>
      <w:pPr>
        <w:pStyle w:val="Heading4"/>
      </w:pPr>
      <w:r>
        <w:rPr/>
        <w:t>Human Capital Intangible Assets and </w:t>
      </w:r>
      <w:r>
        <w:rPr>
          <w:spacing w:val="-2"/>
        </w:rPr>
        <w:t>Productivity</w:t>
      </w:r>
    </w:p>
    <w:p>
      <w:pPr>
        <w:pStyle w:val="BodyText"/>
        <w:spacing w:line="230" w:lineRule="auto" w:before="275"/>
        <w:ind w:left="723" w:right="1191" w:firstLine="15"/>
      </w:pPr>
      <w:r>
        <w:rPr/>
        <w:t>Signaling theory explains how firms convey information about unobservable qualities, such as internal</w:t>
      </w:r>
      <w:r>
        <w:rPr>
          <w:spacing w:val="-4"/>
        </w:rPr>
        <w:t> </w:t>
      </w:r>
      <w:r>
        <w:rPr/>
        <w:t>HR</w:t>
      </w:r>
      <w:r>
        <w:rPr>
          <w:spacing w:val="-4"/>
        </w:rPr>
        <w:t> </w:t>
      </w:r>
      <w:r>
        <w:rPr/>
        <w:t>practices,</w:t>
      </w:r>
      <w:r>
        <w:rPr>
          <w:spacing w:val="-4"/>
        </w:rPr>
        <w:t> </w:t>
      </w:r>
      <w:r>
        <w:rPr/>
        <w:t>to</w:t>
      </w:r>
      <w:r>
        <w:rPr>
          <w:spacing w:val="-4"/>
        </w:rPr>
        <w:t> </w:t>
      </w:r>
      <w:r>
        <w:rPr/>
        <w:t>external</w:t>
      </w:r>
      <w:r>
        <w:rPr>
          <w:spacing w:val="-4"/>
        </w:rPr>
        <w:t> </w:t>
      </w:r>
      <w:r>
        <w:rPr/>
        <w:t>audiences</w:t>
      </w:r>
      <w:r>
        <w:rPr>
          <w:spacing w:val="-4"/>
        </w:rPr>
        <w:t> </w:t>
      </w:r>
      <w:r>
        <w:rPr/>
        <w:t>(Spence,</w:t>
      </w:r>
      <w:r>
        <w:rPr>
          <w:spacing w:val="-4"/>
        </w:rPr>
        <w:t> </w:t>
      </w:r>
      <w:r>
        <w:rPr/>
        <w:t>1973).</w:t>
      </w:r>
      <w:r>
        <w:rPr>
          <w:spacing w:val="-4"/>
        </w:rPr>
        <w:t> </w:t>
      </w:r>
      <w:r>
        <w:rPr/>
        <w:t>Employee-oriented</w:t>
      </w:r>
      <w:r>
        <w:rPr>
          <w:spacing w:val="-4"/>
        </w:rPr>
        <w:t> </w:t>
      </w:r>
      <w:r>
        <w:rPr/>
        <w:t>CSR</w:t>
      </w:r>
      <w:r>
        <w:rPr>
          <w:spacing w:val="-4"/>
        </w:rPr>
        <w:t> </w:t>
      </w:r>
      <w:r>
        <w:rPr/>
        <w:t>disclosure signals a firm’s commitment to workforce development, reducing uncertainty among investors, employees,</w:t>
      </w:r>
      <w:r>
        <w:rPr>
          <w:spacing w:val="-3"/>
        </w:rPr>
        <w:t> </w:t>
      </w:r>
      <w:r>
        <w:rPr/>
        <w:t>and</w:t>
      </w:r>
      <w:r>
        <w:rPr>
          <w:spacing w:val="-3"/>
        </w:rPr>
        <w:t> </w:t>
      </w:r>
      <w:r>
        <w:rPr/>
        <w:t>other</w:t>
      </w:r>
      <w:r>
        <w:rPr>
          <w:spacing w:val="-3"/>
        </w:rPr>
        <w:t> </w:t>
      </w:r>
      <w:r>
        <w:rPr/>
        <w:t>stakeholders</w:t>
      </w:r>
      <w:r>
        <w:rPr>
          <w:spacing w:val="-3"/>
        </w:rPr>
        <w:t> </w:t>
      </w:r>
      <w:r>
        <w:rPr/>
        <w:t>(Connelly</w:t>
      </w:r>
      <w:r>
        <w:rPr>
          <w:spacing w:val="-3"/>
        </w:rPr>
        <w:t> </w:t>
      </w:r>
      <w:r>
        <w:rPr/>
        <w:t>et</w:t>
      </w:r>
      <w:r>
        <w:rPr>
          <w:spacing w:val="-3"/>
        </w:rPr>
        <w:t> </w:t>
      </w:r>
      <w:r>
        <w:rPr/>
        <w:t>al.,</w:t>
      </w:r>
      <w:r>
        <w:rPr>
          <w:spacing w:val="-3"/>
        </w:rPr>
        <w:t> </w:t>
      </w:r>
      <w:r>
        <w:rPr/>
        <w:t>2011).</w:t>
      </w:r>
      <w:r>
        <w:rPr>
          <w:spacing w:val="-3"/>
        </w:rPr>
        <w:t> </w:t>
      </w:r>
      <w:r>
        <w:rPr/>
        <w:t>Over</w:t>
      </w:r>
      <w:r>
        <w:rPr>
          <w:spacing w:val="-3"/>
        </w:rPr>
        <w:t> </w:t>
      </w:r>
      <w:r>
        <w:rPr/>
        <w:t>time,</w:t>
      </w:r>
      <w:r>
        <w:rPr>
          <w:spacing w:val="-3"/>
        </w:rPr>
        <w:t> </w:t>
      </w:r>
      <w:r>
        <w:rPr/>
        <w:t>these</w:t>
      </w:r>
      <w:r>
        <w:rPr>
          <w:spacing w:val="-3"/>
        </w:rPr>
        <w:t> </w:t>
      </w:r>
      <w:r>
        <w:rPr/>
        <w:t>signals</w:t>
      </w:r>
      <w:r>
        <w:rPr>
          <w:spacing w:val="-3"/>
        </w:rPr>
        <w:t> </w:t>
      </w:r>
      <w:r>
        <w:rPr/>
        <w:t>can</w:t>
      </w:r>
      <w:r>
        <w:rPr>
          <w:spacing w:val="-3"/>
        </w:rPr>
        <w:t> </w:t>
      </w:r>
      <w:r>
        <w:rPr/>
        <w:t>enhance intangible assets such as human capital quality and employer reputation.</w:t>
      </w:r>
    </w:p>
    <w:p>
      <w:pPr>
        <w:pStyle w:val="BodyText"/>
        <w:spacing w:before="8"/>
      </w:pPr>
    </w:p>
    <w:p>
      <w:pPr>
        <w:pStyle w:val="BodyText"/>
        <w:spacing w:line="230" w:lineRule="auto"/>
        <w:ind w:left="723" w:right="1506"/>
      </w:pPr>
      <w:r>
        <w:rPr/>
        <w:t>Consistent with RBV logic, these intangible assets are valuable, socially complex, and difficult to imitate (Barney, 1991). Prior research demonstrates that CSR contributes to intangible resource</w:t>
      </w:r>
      <w:r>
        <w:rPr>
          <w:spacing w:val="-4"/>
        </w:rPr>
        <w:t> </w:t>
      </w:r>
      <w:r>
        <w:rPr/>
        <w:t>development,</w:t>
      </w:r>
      <w:r>
        <w:rPr>
          <w:spacing w:val="-4"/>
        </w:rPr>
        <w:t> </w:t>
      </w:r>
      <w:r>
        <w:rPr/>
        <w:t>which</w:t>
      </w:r>
      <w:r>
        <w:rPr>
          <w:spacing w:val="-4"/>
        </w:rPr>
        <w:t> </w:t>
      </w:r>
      <w:r>
        <w:rPr/>
        <w:t>mediates</w:t>
      </w:r>
      <w:r>
        <w:rPr>
          <w:spacing w:val="-4"/>
        </w:rPr>
        <w:t> </w:t>
      </w:r>
      <w:r>
        <w:rPr/>
        <w:t>the</w:t>
      </w:r>
      <w:r>
        <w:rPr>
          <w:spacing w:val="-4"/>
        </w:rPr>
        <w:t> </w:t>
      </w:r>
      <w:r>
        <w:rPr/>
        <w:t>CSR–performance</w:t>
      </w:r>
      <w:r>
        <w:rPr>
          <w:spacing w:val="-4"/>
        </w:rPr>
        <w:t> </w:t>
      </w:r>
      <w:r>
        <w:rPr/>
        <w:t>relationship</w:t>
      </w:r>
      <w:r>
        <w:rPr>
          <w:spacing w:val="-4"/>
        </w:rPr>
        <w:t> </w:t>
      </w:r>
      <w:r>
        <w:rPr/>
        <w:t>(Surroca</w:t>
      </w:r>
      <w:r>
        <w:rPr>
          <w:spacing w:val="-4"/>
        </w:rPr>
        <w:t> </w:t>
      </w:r>
      <w:r>
        <w:rPr/>
        <w:t>et</w:t>
      </w:r>
      <w:r>
        <w:rPr>
          <w:spacing w:val="-4"/>
        </w:rPr>
        <w:t> </w:t>
      </w:r>
      <w:r>
        <w:rPr/>
        <w:t>al.,</w:t>
      </w:r>
      <w:r>
        <w:rPr>
          <w:spacing w:val="-4"/>
        </w:rPr>
        <w:t> </w:t>
      </w:r>
      <w:r>
        <w:rPr/>
        <w:t>2010). Stronger human capital is associated with lower turnover, higher engagement, and greater productivity (Hitt et al., 2001).</w:t>
      </w:r>
    </w:p>
    <w:p>
      <w:pPr>
        <w:pStyle w:val="BodyText"/>
        <w:spacing w:before="7"/>
      </w:pPr>
    </w:p>
    <w:p>
      <w:pPr>
        <w:pStyle w:val="BodyText"/>
        <w:spacing w:line="230" w:lineRule="auto"/>
        <w:ind w:left="723" w:right="1381"/>
      </w:pPr>
      <w:r>
        <w:rPr>
          <w:b/>
        </w:rPr>
        <w:t>Hypothesis</w:t>
      </w:r>
      <w:r>
        <w:rPr>
          <w:b/>
          <w:spacing w:val="-4"/>
        </w:rPr>
        <w:t> </w:t>
      </w:r>
      <w:r>
        <w:rPr>
          <w:b/>
        </w:rPr>
        <w:t>2</w:t>
      </w:r>
      <w:r>
        <w:rPr>
          <w:b/>
          <w:spacing w:val="-4"/>
        </w:rPr>
        <w:t> </w:t>
      </w:r>
      <w:r>
        <w:rPr>
          <w:b/>
        </w:rPr>
        <w:t>(H2):</w:t>
      </w:r>
      <w:r>
        <w:rPr>
          <w:b/>
          <w:spacing w:val="-4"/>
        </w:rPr>
        <w:t> </w:t>
      </w:r>
      <w:r>
        <w:rPr/>
        <w:t>Human</w:t>
      </w:r>
      <w:r>
        <w:rPr>
          <w:spacing w:val="-4"/>
        </w:rPr>
        <w:t> </w:t>
      </w:r>
      <w:r>
        <w:rPr/>
        <w:t>capital</w:t>
      </w:r>
      <w:r>
        <w:rPr>
          <w:spacing w:val="-4"/>
        </w:rPr>
        <w:t> </w:t>
      </w:r>
      <w:r>
        <w:rPr/>
        <w:t>intangible</w:t>
      </w:r>
      <w:r>
        <w:rPr>
          <w:spacing w:val="-4"/>
        </w:rPr>
        <w:t> </w:t>
      </w:r>
      <w:r>
        <w:rPr/>
        <w:t>assets</w:t>
      </w:r>
      <w:r>
        <w:rPr>
          <w:spacing w:val="-4"/>
        </w:rPr>
        <w:t> </w:t>
      </w:r>
      <w:r>
        <w:rPr/>
        <w:t>are</w:t>
      </w:r>
      <w:r>
        <w:rPr>
          <w:spacing w:val="-4"/>
        </w:rPr>
        <w:t> </w:t>
      </w:r>
      <w:r>
        <w:rPr/>
        <w:t>positively</w:t>
      </w:r>
      <w:r>
        <w:rPr>
          <w:spacing w:val="-4"/>
        </w:rPr>
        <w:t> </w:t>
      </w:r>
      <w:r>
        <w:rPr/>
        <w:t>associated</w:t>
      </w:r>
      <w:r>
        <w:rPr>
          <w:spacing w:val="-4"/>
        </w:rPr>
        <w:t> </w:t>
      </w:r>
      <w:r>
        <w:rPr/>
        <w:t>with</w:t>
      </w:r>
      <w:r>
        <w:rPr>
          <w:spacing w:val="-4"/>
        </w:rPr>
        <w:t> </w:t>
      </w:r>
      <w:r>
        <w:rPr/>
        <w:t>firm </w:t>
      </w:r>
      <w:r>
        <w:rPr>
          <w:spacing w:val="-2"/>
        </w:rPr>
        <w:t>productivity.</w:t>
      </w:r>
    </w:p>
    <w:p>
      <w:pPr>
        <w:pStyle w:val="BodyText"/>
        <w:spacing w:before="9"/>
      </w:pPr>
    </w:p>
    <w:p>
      <w:pPr>
        <w:pStyle w:val="Heading4"/>
      </w:pPr>
      <w:r>
        <w:rPr/>
        <w:t>Mediation:</w:t>
      </w:r>
      <w:r>
        <w:rPr>
          <w:spacing w:val="-3"/>
        </w:rPr>
        <w:t> </w:t>
      </w:r>
      <w:r>
        <w:rPr/>
        <w:t>CSR</w:t>
      </w:r>
      <w:r>
        <w:rPr>
          <w:spacing w:val="-1"/>
        </w:rPr>
        <w:t> </w:t>
      </w:r>
      <w:r>
        <w:rPr/>
        <w:t>Disclosure,</w:t>
      </w:r>
      <w:r>
        <w:rPr>
          <w:spacing w:val="-1"/>
        </w:rPr>
        <w:t> </w:t>
      </w:r>
      <w:r>
        <w:rPr/>
        <w:t>Intangible</w:t>
      </w:r>
      <w:r>
        <w:rPr>
          <w:spacing w:val="-1"/>
        </w:rPr>
        <w:t> </w:t>
      </w:r>
      <w:r>
        <w:rPr/>
        <w:t>Assets,</w:t>
      </w:r>
      <w:r>
        <w:rPr>
          <w:spacing w:val="-1"/>
        </w:rPr>
        <w:t> </w:t>
      </w:r>
      <w:r>
        <w:rPr/>
        <w:t>and </w:t>
      </w:r>
      <w:r>
        <w:rPr>
          <w:spacing w:val="-2"/>
        </w:rPr>
        <w:t>Productivity</w:t>
      </w:r>
    </w:p>
    <w:p>
      <w:pPr>
        <w:pStyle w:val="BodyText"/>
        <w:spacing w:before="266"/>
        <w:ind w:left="723"/>
      </w:pPr>
      <w:r>
        <w:rPr/>
        <w:t>Although CSR disclosure itself is not a VRIN resource, it may facilitate the development </w:t>
      </w:r>
      <w:r>
        <w:rPr>
          <w:spacing w:val="-5"/>
        </w:rPr>
        <w:t>of</w:t>
      </w:r>
    </w:p>
    <w:p>
      <w:pPr>
        <w:pStyle w:val="BodyText"/>
        <w:spacing w:after="0"/>
        <w:sectPr>
          <w:pgSz w:w="12240" w:h="15840"/>
          <w:pgMar w:header="0" w:footer="706" w:top="620" w:bottom="960" w:left="720" w:right="0"/>
        </w:sectPr>
      </w:pPr>
    </w:p>
    <w:p>
      <w:pPr>
        <w:pStyle w:val="BodyText"/>
        <w:spacing w:line="230" w:lineRule="auto" w:before="80"/>
        <w:ind w:left="723" w:right="1619"/>
      </w:pPr>
      <w:r>
        <w:rPr/>
        <w:t>VRIN-consistent intangible assets. Through credible signaling, employee-oriented CSR disclosure</w:t>
      </w:r>
      <w:r>
        <w:rPr>
          <w:spacing w:val="-5"/>
        </w:rPr>
        <w:t> </w:t>
      </w:r>
      <w:r>
        <w:rPr/>
        <w:t>can</w:t>
      </w:r>
      <w:r>
        <w:rPr>
          <w:spacing w:val="-5"/>
        </w:rPr>
        <w:t> </w:t>
      </w:r>
      <w:r>
        <w:rPr/>
        <w:t>enhance</w:t>
      </w:r>
      <w:r>
        <w:rPr>
          <w:spacing w:val="-5"/>
        </w:rPr>
        <w:t> </w:t>
      </w:r>
      <w:r>
        <w:rPr/>
        <w:t>human</w:t>
      </w:r>
      <w:r>
        <w:rPr>
          <w:spacing w:val="-5"/>
        </w:rPr>
        <w:t> </w:t>
      </w:r>
      <w:r>
        <w:rPr/>
        <w:t>capital</w:t>
      </w:r>
      <w:r>
        <w:rPr>
          <w:spacing w:val="-5"/>
        </w:rPr>
        <w:t> </w:t>
      </w:r>
      <w:r>
        <w:rPr/>
        <w:t>and</w:t>
      </w:r>
      <w:r>
        <w:rPr>
          <w:spacing w:val="-5"/>
        </w:rPr>
        <w:t> </w:t>
      </w:r>
      <w:r>
        <w:rPr/>
        <w:t>reputation,</w:t>
      </w:r>
      <w:r>
        <w:rPr>
          <w:spacing w:val="-5"/>
        </w:rPr>
        <w:t> </w:t>
      </w:r>
      <w:r>
        <w:rPr/>
        <w:t>which</w:t>
      </w:r>
      <w:r>
        <w:rPr>
          <w:spacing w:val="-5"/>
        </w:rPr>
        <w:t> </w:t>
      </w:r>
      <w:r>
        <w:rPr/>
        <w:t>in</w:t>
      </w:r>
      <w:r>
        <w:rPr>
          <w:spacing w:val="-5"/>
        </w:rPr>
        <w:t> </w:t>
      </w:r>
      <w:r>
        <w:rPr/>
        <w:t>turn</w:t>
      </w:r>
      <w:r>
        <w:rPr>
          <w:spacing w:val="-5"/>
        </w:rPr>
        <w:t> </w:t>
      </w:r>
      <w:r>
        <w:rPr/>
        <w:t>improve</w:t>
      </w:r>
      <w:r>
        <w:rPr>
          <w:spacing w:val="-5"/>
        </w:rPr>
        <w:t> </w:t>
      </w:r>
      <w:r>
        <w:rPr/>
        <w:t>productivity.</w:t>
      </w:r>
      <w:r>
        <w:rPr>
          <w:spacing w:val="-5"/>
        </w:rPr>
        <w:t> </w:t>
      </w:r>
      <w:r>
        <w:rPr/>
        <w:t>This logic implies an indirect effect of CSR disclosure on productivity operating through human capital intangible assets.</w:t>
      </w:r>
    </w:p>
    <w:p>
      <w:pPr>
        <w:pStyle w:val="BodyText"/>
        <w:spacing w:before="8"/>
      </w:pPr>
    </w:p>
    <w:p>
      <w:pPr>
        <w:pStyle w:val="BodyText"/>
        <w:spacing w:line="230" w:lineRule="auto"/>
        <w:ind w:left="723" w:right="1191"/>
      </w:pPr>
      <w:r>
        <w:rPr>
          <w:b/>
        </w:rPr>
        <w:t>Hypothesis</w:t>
      </w:r>
      <w:r>
        <w:rPr>
          <w:b/>
          <w:spacing w:val="-4"/>
        </w:rPr>
        <w:t> </w:t>
      </w:r>
      <w:r>
        <w:rPr>
          <w:b/>
        </w:rPr>
        <w:t>3</w:t>
      </w:r>
      <w:r>
        <w:rPr>
          <w:b/>
          <w:spacing w:val="-4"/>
        </w:rPr>
        <w:t> </w:t>
      </w:r>
      <w:r>
        <w:rPr>
          <w:b/>
        </w:rPr>
        <w:t>(H3):</w:t>
      </w:r>
      <w:r>
        <w:rPr>
          <w:b/>
          <w:spacing w:val="-4"/>
        </w:rPr>
        <w:t> </w:t>
      </w:r>
      <w:r>
        <w:rPr/>
        <w:t>Employee-oriented</w:t>
      </w:r>
      <w:r>
        <w:rPr>
          <w:spacing w:val="-4"/>
        </w:rPr>
        <w:t> </w:t>
      </w:r>
      <w:r>
        <w:rPr/>
        <w:t>CSR</w:t>
      </w:r>
      <w:r>
        <w:rPr>
          <w:spacing w:val="-4"/>
        </w:rPr>
        <w:t> </w:t>
      </w:r>
      <w:r>
        <w:rPr/>
        <w:t>disclosure</w:t>
      </w:r>
      <w:r>
        <w:rPr>
          <w:spacing w:val="-4"/>
        </w:rPr>
        <w:t> </w:t>
      </w:r>
      <w:r>
        <w:rPr/>
        <w:t>has</w:t>
      </w:r>
      <w:r>
        <w:rPr>
          <w:spacing w:val="-4"/>
        </w:rPr>
        <w:t> </w:t>
      </w:r>
      <w:r>
        <w:rPr/>
        <w:t>a</w:t>
      </w:r>
      <w:r>
        <w:rPr>
          <w:spacing w:val="-4"/>
        </w:rPr>
        <w:t> </w:t>
      </w:r>
      <w:r>
        <w:rPr/>
        <w:t>positive</w:t>
      </w:r>
      <w:r>
        <w:rPr>
          <w:spacing w:val="-4"/>
        </w:rPr>
        <w:t> </w:t>
      </w:r>
      <w:r>
        <w:rPr/>
        <w:t>indirect</w:t>
      </w:r>
      <w:r>
        <w:rPr>
          <w:spacing w:val="-4"/>
        </w:rPr>
        <w:t> </w:t>
      </w:r>
      <w:r>
        <w:rPr/>
        <w:t>effect</w:t>
      </w:r>
      <w:r>
        <w:rPr>
          <w:spacing w:val="-4"/>
        </w:rPr>
        <w:t> </w:t>
      </w:r>
      <w:r>
        <w:rPr/>
        <w:t>on</w:t>
      </w:r>
      <w:r>
        <w:rPr>
          <w:spacing w:val="-4"/>
        </w:rPr>
        <w:t> </w:t>
      </w:r>
      <w:r>
        <w:rPr/>
        <w:t>firm productivity through human capital intangible assets.</w:t>
      </w:r>
    </w:p>
    <w:p>
      <w:pPr>
        <w:pStyle w:val="BodyText"/>
        <w:spacing w:before="11"/>
      </w:pPr>
    </w:p>
    <w:p>
      <w:pPr>
        <w:pStyle w:val="Heading4"/>
      </w:pPr>
      <w:r>
        <w:rPr/>
        <w:t>Industry</w:t>
      </w:r>
      <w:r>
        <w:rPr>
          <w:spacing w:val="-7"/>
        </w:rPr>
        <w:t> </w:t>
      </w:r>
      <w:r>
        <w:rPr/>
        <w:t>Turnover</w:t>
      </w:r>
      <w:r>
        <w:rPr>
          <w:spacing w:val="-5"/>
        </w:rPr>
        <w:t> </w:t>
      </w:r>
      <w:r>
        <w:rPr/>
        <w:t>as</w:t>
      </w:r>
      <w:r>
        <w:rPr>
          <w:spacing w:val="-4"/>
        </w:rPr>
        <w:t> </w:t>
      </w:r>
      <w:r>
        <w:rPr/>
        <w:t>a</w:t>
      </w:r>
      <w:r>
        <w:rPr>
          <w:spacing w:val="-5"/>
        </w:rPr>
        <w:t> </w:t>
      </w:r>
      <w:r>
        <w:rPr/>
        <w:t>Boundary</w:t>
      </w:r>
      <w:r>
        <w:rPr>
          <w:spacing w:val="-4"/>
        </w:rPr>
        <w:t> </w:t>
      </w:r>
      <w:r>
        <w:rPr>
          <w:spacing w:val="-2"/>
        </w:rPr>
        <w:t>Condition</w:t>
      </w:r>
    </w:p>
    <w:p>
      <w:pPr>
        <w:pStyle w:val="BodyText"/>
        <w:spacing w:line="230" w:lineRule="auto" w:before="275"/>
        <w:ind w:left="723" w:right="1619"/>
      </w:pPr>
      <w:r>
        <w:rPr/>
        <w:t>The strategic value of human capital is not uniform across industries. In high-turnover or labor intensive</w:t>
      </w:r>
      <w:r>
        <w:rPr>
          <w:spacing w:val="-4"/>
        </w:rPr>
        <w:t> </w:t>
      </w:r>
      <w:r>
        <w:rPr/>
        <w:t>industries,</w:t>
      </w:r>
      <w:r>
        <w:rPr>
          <w:spacing w:val="-4"/>
        </w:rPr>
        <w:t> </w:t>
      </w:r>
      <w:r>
        <w:rPr/>
        <w:t>firms</w:t>
      </w:r>
      <w:r>
        <w:rPr>
          <w:spacing w:val="-4"/>
        </w:rPr>
        <w:t> </w:t>
      </w:r>
      <w:r>
        <w:rPr/>
        <w:t>face</w:t>
      </w:r>
      <w:r>
        <w:rPr>
          <w:spacing w:val="-4"/>
        </w:rPr>
        <w:t> </w:t>
      </w:r>
      <w:r>
        <w:rPr/>
        <w:t>greater</w:t>
      </w:r>
      <w:r>
        <w:rPr>
          <w:spacing w:val="-4"/>
        </w:rPr>
        <w:t> </w:t>
      </w:r>
      <w:r>
        <w:rPr/>
        <w:t>challenges</w:t>
      </w:r>
      <w:r>
        <w:rPr>
          <w:spacing w:val="-4"/>
        </w:rPr>
        <w:t> </w:t>
      </w:r>
      <w:r>
        <w:rPr/>
        <w:t>in</w:t>
      </w:r>
      <w:r>
        <w:rPr>
          <w:spacing w:val="-4"/>
        </w:rPr>
        <w:t> </w:t>
      </w:r>
      <w:r>
        <w:rPr/>
        <w:t>attracting</w:t>
      </w:r>
      <w:r>
        <w:rPr>
          <w:spacing w:val="-4"/>
        </w:rPr>
        <w:t> </w:t>
      </w:r>
      <w:r>
        <w:rPr/>
        <w:t>and</w:t>
      </w:r>
      <w:r>
        <w:rPr>
          <w:spacing w:val="-4"/>
        </w:rPr>
        <w:t> </w:t>
      </w:r>
      <w:r>
        <w:rPr/>
        <w:t>retaining</w:t>
      </w:r>
      <w:r>
        <w:rPr>
          <w:spacing w:val="-4"/>
        </w:rPr>
        <w:t> </w:t>
      </w:r>
      <w:r>
        <w:rPr/>
        <w:t>skilled</w:t>
      </w:r>
      <w:r>
        <w:rPr>
          <w:spacing w:val="-4"/>
        </w:rPr>
        <w:t> </w:t>
      </w:r>
      <w:r>
        <w:rPr/>
        <w:t>employees, increasing the importance of credible workforce signals (Park &amp; Shaw, 2013). Under such conditions, employee-oriented CSR disclosure may be particularly effective in strengthening intangible assets and enhancing productivity. Conversely, in low-turnover industries, the marginal value of such disclosure may be weaker.</w:t>
      </w:r>
    </w:p>
    <w:p>
      <w:pPr>
        <w:pStyle w:val="BodyText"/>
        <w:spacing w:before="6"/>
      </w:pPr>
    </w:p>
    <w:p>
      <w:pPr>
        <w:pStyle w:val="BodyText"/>
        <w:spacing w:line="230" w:lineRule="auto"/>
        <w:ind w:left="723" w:right="1191"/>
      </w:pPr>
      <w:r>
        <w:rPr>
          <w:b/>
        </w:rPr>
        <w:t>Hypothesis</w:t>
      </w:r>
      <w:r>
        <w:rPr>
          <w:b/>
          <w:spacing w:val="-4"/>
        </w:rPr>
        <w:t> </w:t>
      </w:r>
      <w:r>
        <w:rPr>
          <w:b/>
        </w:rPr>
        <w:t>4</w:t>
      </w:r>
      <w:r>
        <w:rPr>
          <w:b/>
          <w:spacing w:val="-4"/>
        </w:rPr>
        <w:t> </w:t>
      </w:r>
      <w:r>
        <w:rPr>
          <w:b/>
        </w:rPr>
        <w:t>(H4):</w:t>
      </w:r>
      <w:r>
        <w:rPr>
          <w:b/>
          <w:spacing w:val="-4"/>
        </w:rPr>
        <w:t> </w:t>
      </w:r>
      <w:r>
        <w:rPr/>
        <w:t>The</w:t>
      </w:r>
      <w:r>
        <w:rPr>
          <w:spacing w:val="-4"/>
        </w:rPr>
        <w:t> </w:t>
      </w:r>
      <w:r>
        <w:rPr/>
        <w:t>positive</w:t>
      </w:r>
      <w:r>
        <w:rPr>
          <w:spacing w:val="-4"/>
        </w:rPr>
        <w:t> </w:t>
      </w:r>
      <w:r>
        <w:rPr/>
        <w:t>indirect</w:t>
      </w:r>
      <w:r>
        <w:rPr>
          <w:spacing w:val="-4"/>
        </w:rPr>
        <w:t> </w:t>
      </w:r>
      <w:r>
        <w:rPr/>
        <w:t>effect</w:t>
      </w:r>
      <w:r>
        <w:rPr>
          <w:spacing w:val="-4"/>
        </w:rPr>
        <w:t> </w:t>
      </w:r>
      <w:r>
        <w:rPr/>
        <w:t>of</w:t>
      </w:r>
      <w:r>
        <w:rPr>
          <w:spacing w:val="-4"/>
        </w:rPr>
        <w:t> </w:t>
      </w:r>
      <w:r>
        <w:rPr/>
        <w:t>employee-oriented</w:t>
      </w:r>
      <w:r>
        <w:rPr>
          <w:spacing w:val="-4"/>
        </w:rPr>
        <w:t> </w:t>
      </w:r>
      <w:r>
        <w:rPr/>
        <w:t>CSR</w:t>
      </w:r>
      <w:r>
        <w:rPr>
          <w:spacing w:val="-4"/>
        </w:rPr>
        <w:t> </w:t>
      </w:r>
      <w:r>
        <w:rPr/>
        <w:t>disclosure</w:t>
      </w:r>
      <w:r>
        <w:rPr>
          <w:spacing w:val="-4"/>
        </w:rPr>
        <w:t> </w:t>
      </w:r>
      <w:r>
        <w:rPr/>
        <w:t>on</w:t>
      </w:r>
      <w:r>
        <w:rPr>
          <w:spacing w:val="-4"/>
        </w:rPr>
        <w:t> </w:t>
      </w:r>
      <w:r>
        <w:rPr/>
        <w:t>firm productivity is stronger in industries with higher employee mobility.</w:t>
      </w:r>
    </w:p>
    <w:p>
      <w:pPr>
        <w:pStyle w:val="BodyText"/>
        <w:spacing w:before="9"/>
      </w:pPr>
    </w:p>
    <w:p>
      <w:pPr>
        <w:pStyle w:val="Heading4"/>
      </w:pPr>
      <w:r>
        <w:rPr>
          <w:spacing w:val="-2"/>
        </w:rPr>
        <w:t>DATA</w:t>
      </w:r>
      <w:r>
        <w:rPr>
          <w:spacing w:val="-13"/>
        </w:rPr>
        <w:t> </w:t>
      </w:r>
      <w:r>
        <w:rPr>
          <w:spacing w:val="-2"/>
        </w:rPr>
        <w:t>AND</w:t>
      </w:r>
      <w:r>
        <w:rPr>
          <w:spacing w:val="-11"/>
        </w:rPr>
        <w:t> </w:t>
      </w:r>
      <w:r>
        <w:rPr>
          <w:spacing w:val="-2"/>
        </w:rPr>
        <w:t>MEASURES</w:t>
      </w:r>
    </w:p>
    <w:p>
      <w:pPr>
        <w:pStyle w:val="BodyText"/>
        <w:spacing w:before="1"/>
        <w:rPr>
          <w:b/>
        </w:rPr>
      </w:pPr>
    </w:p>
    <w:p>
      <w:pPr>
        <w:spacing w:before="0"/>
        <w:ind w:left="738" w:right="0" w:firstLine="0"/>
        <w:jc w:val="left"/>
        <w:rPr>
          <w:b/>
          <w:sz w:val="24"/>
        </w:rPr>
      </w:pPr>
      <w:r>
        <w:rPr>
          <w:b/>
          <w:sz w:val="24"/>
        </w:rPr>
        <w:t>Sample and Data </w:t>
      </w:r>
      <w:r>
        <w:rPr>
          <w:b/>
          <w:spacing w:val="-2"/>
          <w:sz w:val="24"/>
        </w:rPr>
        <w:t>Sources</w:t>
      </w:r>
    </w:p>
    <w:p>
      <w:pPr>
        <w:pStyle w:val="BodyText"/>
        <w:spacing w:line="230" w:lineRule="auto" w:before="275"/>
        <w:ind w:left="723" w:right="1381"/>
      </w:pPr>
      <w:r>
        <w:rPr/>
        <w:t>The sample consists of approximately 1,000 NYSE-listed U.S. firms observed annually from 2016–2023. This period spans both pre- and post-implementation of the SEC’s 2020 human capital</w:t>
      </w:r>
      <w:r>
        <w:rPr>
          <w:spacing w:val="-5"/>
        </w:rPr>
        <w:t> </w:t>
      </w:r>
      <w:r>
        <w:rPr/>
        <w:t>disclosure</w:t>
      </w:r>
      <w:r>
        <w:rPr>
          <w:spacing w:val="-5"/>
        </w:rPr>
        <w:t> </w:t>
      </w:r>
      <w:r>
        <w:rPr/>
        <w:t>rule,</w:t>
      </w:r>
      <w:r>
        <w:rPr>
          <w:spacing w:val="-5"/>
        </w:rPr>
        <w:t> </w:t>
      </w:r>
      <w:r>
        <w:rPr/>
        <w:t>providing</w:t>
      </w:r>
      <w:r>
        <w:rPr>
          <w:spacing w:val="-5"/>
        </w:rPr>
        <w:t> </w:t>
      </w:r>
      <w:r>
        <w:rPr/>
        <w:t>natural</w:t>
      </w:r>
      <w:r>
        <w:rPr>
          <w:spacing w:val="-5"/>
        </w:rPr>
        <w:t> </w:t>
      </w:r>
      <w:r>
        <w:rPr/>
        <w:t>variation</w:t>
      </w:r>
      <w:r>
        <w:rPr>
          <w:spacing w:val="-5"/>
        </w:rPr>
        <w:t> </w:t>
      </w:r>
      <w:r>
        <w:rPr/>
        <w:t>in</w:t>
      </w:r>
      <w:r>
        <w:rPr>
          <w:spacing w:val="-5"/>
        </w:rPr>
        <w:t> </w:t>
      </w:r>
      <w:r>
        <w:rPr/>
        <w:t>disclosure</w:t>
      </w:r>
      <w:r>
        <w:rPr>
          <w:spacing w:val="-5"/>
        </w:rPr>
        <w:t> </w:t>
      </w:r>
      <w:r>
        <w:rPr/>
        <w:t>intensity.</w:t>
      </w:r>
      <w:r>
        <w:rPr>
          <w:spacing w:val="-5"/>
        </w:rPr>
        <w:t> </w:t>
      </w:r>
      <w:r>
        <w:rPr/>
        <w:t>Data</w:t>
      </w:r>
      <w:r>
        <w:rPr>
          <w:spacing w:val="-5"/>
        </w:rPr>
        <w:t> </w:t>
      </w:r>
      <w:r>
        <w:rPr/>
        <w:t>sources</w:t>
      </w:r>
      <w:r>
        <w:rPr>
          <w:spacing w:val="-5"/>
        </w:rPr>
        <w:t> </w:t>
      </w:r>
      <w:r>
        <w:rPr/>
        <w:t>include SEC EDGAR/XBRL filings for textual analysis and financial metrics, and Bureau of Labor Statistics</w:t>
      </w:r>
      <w:r>
        <w:rPr>
          <w:spacing w:val="-3"/>
        </w:rPr>
        <w:t> </w:t>
      </w:r>
      <w:r>
        <w:rPr/>
        <w:t>Job</w:t>
      </w:r>
      <w:r>
        <w:rPr>
          <w:spacing w:val="-3"/>
        </w:rPr>
        <w:t> </w:t>
      </w:r>
      <w:r>
        <w:rPr/>
        <w:t>Openings</w:t>
      </w:r>
      <w:r>
        <w:rPr>
          <w:spacing w:val="-3"/>
        </w:rPr>
        <w:t> </w:t>
      </w:r>
      <w:r>
        <w:rPr/>
        <w:t>and</w:t>
      </w:r>
      <w:r>
        <w:rPr>
          <w:spacing w:val="-3"/>
        </w:rPr>
        <w:t> </w:t>
      </w:r>
      <w:r>
        <w:rPr/>
        <w:t>Labor</w:t>
      </w:r>
      <w:r>
        <w:rPr>
          <w:spacing w:val="-3"/>
        </w:rPr>
        <w:t> </w:t>
      </w:r>
      <w:r>
        <w:rPr/>
        <w:t>Turnover</w:t>
      </w:r>
      <w:r>
        <w:rPr>
          <w:spacing w:val="-3"/>
        </w:rPr>
        <w:t> </w:t>
      </w:r>
      <w:r>
        <w:rPr/>
        <w:t>Survey</w:t>
      </w:r>
      <w:r>
        <w:rPr>
          <w:spacing w:val="-3"/>
        </w:rPr>
        <w:t> </w:t>
      </w:r>
      <w:r>
        <w:rPr/>
        <w:t>(JOLTS)</w:t>
      </w:r>
      <w:r>
        <w:rPr>
          <w:spacing w:val="-3"/>
        </w:rPr>
        <w:t> </w:t>
      </w:r>
      <w:r>
        <w:rPr/>
        <w:t>data</w:t>
      </w:r>
      <w:r>
        <w:rPr>
          <w:spacing w:val="-3"/>
        </w:rPr>
        <w:t> </w:t>
      </w:r>
      <w:r>
        <w:rPr/>
        <w:t>for</w:t>
      </w:r>
      <w:r>
        <w:rPr>
          <w:spacing w:val="-3"/>
        </w:rPr>
        <w:t> </w:t>
      </w:r>
      <w:r>
        <w:rPr/>
        <w:t>industry-level</w:t>
      </w:r>
      <w:r>
        <w:rPr>
          <w:spacing w:val="-3"/>
        </w:rPr>
        <w:t> </w:t>
      </w:r>
      <w:r>
        <w:rPr/>
        <w:t>voluntary </w:t>
      </w:r>
      <w:r>
        <w:rPr>
          <w:spacing w:val="-2"/>
        </w:rPr>
        <w:t>turnover.</w:t>
      </w:r>
    </w:p>
    <w:p>
      <w:pPr>
        <w:pStyle w:val="BodyText"/>
        <w:spacing w:before="7"/>
      </w:pPr>
    </w:p>
    <w:p>
      <w:pPr>
        <w:pStyle w:val="Heading4"/>
      </w:pPr>
      <w:r>
        <w:rPr/>
        <w:t>Independent</w:t>
      </w:r>
      <w:r>
        <w:rPr>
          <w:spacing w:val="-8"/>
        </w:rPr>
        <w:t> </w:t>
      </w:r>
      <w:r>
        <w:rPr/>
        <w:t>Variable:</w:t>
      </w:r>
      <w:r>
        <w:rPr>
          <w:spacing w:val="-6"/>
        </w:rPr>
        <w:t> </w:t>
      </w:r>
      <w:r>
        <w:rPr/>
        <w:t>Employee-Oriented</w:t>
      </w:r>
      <w:r>
        <w:rPr>
          <w:spacing w:val="-6"/>
        </w:rPr>
        <w:t> </w:t>
      </w:r>
      <w:r>
        <w:rPr/>
        <w:t>CSR</w:t>
      </w:r>
      <w:r>
        <w:rPr>
          <w:spacing w:val="-5"/>
        </w:rPr>
        <w:t> </w:t>
      </w:r>
      <w:r>
        <w:rPr>
          <w:spacing w:val="-2"/>
        </w:rPr>
        <w:t>Disclosure</w:t>
      </w:r>
    </w:p>
    <w:p>
      <w:pPr>
        <w:pStyle w:val="BodyText"/>
        <w:rPr>
          <w:b/>
        </w:rPr>
      </w:pPr>
    </w:p>
    <w:p>
      <w:pPr>
        <w:pStyle w:val="BodyText"/>
        <w:spacing w:line="230" w:lineRule="auto"/>
        <w:ind w:left="723" w:right="1381"/>
      </w:pPr>
      <w:r>
        <w:rPr/>
        <w:t>Employee-oriented CSR disclosure is measured using a dictionary-based natural language processing</w:t>
      </w:r>
      <w:r>
        <w:rPr>
          <w:spacing w:val="-3"/>
        </w:rPr>
        <w:t> </w:t>
      </w:r>
      <w:r>
        <w:rPr/>
        <w:t>approach</w:t>
      </w:r>
      <w:r>
        <w:rPr>
          <w:spacing w:val="-3"/>
        </w:rPr>
        <w:t> </w:t>
      </w:r>
      <w:r>
        <w:rPr/>
        <w:t>applied</w:t>
      </w:r>
      <w:r>
        <w:rPr>
          <w:spacing w:val="-3"/>
        </w:rPr>
        <w:t> </w:t>
      </w:r>
      <w:r>
        <w:rPr/>
        <w:t>to</w:t>
      </w:r>
      <w:r>
        <w:rPr>
          <w:spacing w:val="-3"/>
        </w:rPr>
        <w:t> </w:t>
      </w:r>
      <w:r>
        <w:rPr/>
        <w:t>Items</w:t>
      </w:r>
      <w:r>
        <w:rPr>
          <w:spacing w:val="-3"/>
        </w:rPr>
        <w:t> </w:t>
      </w:r>
      <w:r>
        <w:rPr/>
        <w:t>1,</w:t>
      </w:r>
      <w:r>
        <w:rPr>
          <w:spacing w:val="-3"/>
        </w:rPr>
        <w:t> </w:t>
      </w:r>
      <w:r>
        <w:rPr/>
        <w:t>1A,</w:t>
      </w:r>
      <w:r>
        <w:rPr>
          <w:spacing w:val="-3"/>
        </w:rPr>
        <w:t> </w:t>
      </w:r>
      <w:r>
        <w:rPr/>
        <w:t>and</w:t>
      </w:r>
      <w:r>
        <w:rPr>
          <w:spacing w:val="-3"/>
        </w:rPr>
        <w:t> </w:t>
      </w:r>
      <w:r>
        <w:rPr/>
        <w:t>7</w:t>
      </w:r>
      <w:r>
        <w:rPr>
          <w:spacing w:val="-3"/>
        </w:rPr>
        <w:t> </w:t>
      </w:r>
      <w:r>
        <w:rPr/>
        <w:t>of</w:t>
      </w:r>
      <w:r>
        <w:rPr>
          <w:spacing w:val="-3"/>
        </w:rPr>
        <w:t> </w:t>
      </w:r>
      <w:r>
        <w:rPr/>
        <w:t>firms’</w:t>
      </w:r>
      <w:r>
        <w:rPr>
          <w:spacing w:val="-3"/>
        </w:rPr>
        <w:t> </w:t>
      </w:r>
      <w:r>
        <w:rPr/>
        <w:t>10-K</w:t>
      </w:r>
      <w:r>
        <w:rPr>
          <w:spacing w:val="-3"/>
        </w:rPr>
        <w:t> </w:t>
      </w:r>
      <w:r>
        <w:rPr/>
        <w:t>filings.</w:t>
      </w:r>
      <w:r>
        <w:rPr>
          <w:spacing w:val="-3"/>
        </w:rPr>
        <w:t> </w:t>
      </w:r>
      <w:r>
        <w:rPr/>
        <w:t>The</w:t>
      </w:r>
      <w:r>
        <w:rPr>
          <w:spacing w:val="-3"/>
        </w:rPr>
        <w:t> </w:t>
      </w:r>
      <w:r>
        <w:rPr/>
        <w:t>measure</w:t>
      </w:r>
      <w:r>
        <w:rPr>
          <w:spacing w:val="-3"/>
        </w:rPr>
        <w:t> </w:t>
      </w:r>
      <w:r>
        <w:rPr/>
        <w:t>captures references</w:t>
      </w:r>
      <w:r>
        <w:rPr>
          <w:spacing w:val="-2"/>
        </w:rPr>
        <w:t> </w:t>
      </w:r>
      <w:r>
        <w:rPr/>
        <w:t>to</w:t>
      </w:r>
      <w:r>
        <w:rPr>
          <w:spacing w:val="-2"/>
        </w:rPr>
        <w:t> </w:t>
      </w:r>
      <w:r>
        <w:rPr/>
        <w:t>employee</w:t>
      </w:r>
      <w:r>
        <w:rPr>
          <w:spacing w:val="-2"/>
        </w:rPr>
        <w:t> </w:t>
      </w:r>
      <w:r>
        <w:rPr/>
        <w:t>training,</w:t>
      </w:r>
      <w:r>
        <w:rPr>
          <w:spacing w:val="-2"/>
        </w:rPr>
        <w:t> </w:t>
      </w:r>
      <w:r>
        <w:rPr/>
        <w:t>well-being,</w:t>
      </w:r>
      <w:r>
        <w:rPr>
          <w:spacing w:val="-2"/>
        </w:rPr>
        <w:t> </w:t>
      </w:r>
      <w:r>
        <w:rPr/>
        <w:t>safety,</w:t>
      </w:r>
      <w:r>
        <w:rPr>
          <w:spacing w:val="-2"/>
        </w:rPr>
        <w:t> </w:t>
      </w:r>
      <w:r>
        <w:rPr/>
        <w:t>diversity,</w:t>
      </w:r>
      <w:r>
        <w:rPr>
          <w:spacing w:val="-2"/>
        </w:rPr>
        <w:t> </w:t>
      </w:r>
      <w:r>
        <w:rPr/>
        <w:t>and</w:t>
      </w:r>
      <w:r>
        <w:rPr>
          <w:spacing w:val="-2"/>
        </w:rPr>
        <w:t> </w:t>
      </w:r>
      <w:r>
        <w:rPr/>
        <w:t>workforce</w:t>
      </w:r>
      <w:r>
        <w:rPr>
          <w:spacing w:val="-2"/>
        </w:rPr>
        <w:t> </w:t>
      </w:r>
      <w:r>
        <w:rPr/>
        <w:t>development.</w:t>
      </w:r>
      <w:r>
        <w:rPr>
          <w:spacing w:val="-2"/>
        </w:rPr>
        <w:t> </w:t>
      </w:r>
      <w:r>
        <w:rPr/>
        <w:t>The disclosure index equals the frequency of employee-CSR terms divided by total word count, yielding a normalized measure of disclosure intensity.</w:t>
      </w:r>
    </w:p>
    <w:p>
      <w:pPr>
        <w:pStyle w:val="BodyText"/>
        <w:spacing w:before="7"/>
      </w:pPr>
    </w:p>
    <w:p>
      <w:pPr>
        <w:pStyle w:val="BodyText"/>
        <w:spacing w:line="230" w:lineRule="auto"/>
        <w:ind w:left="723" w:right="1619"/>
      </w:pPr>
      <w:r>
        <w:rPr/>
        <w:t>Textual disclosures in 10-Ks provide mandatory, comparable, and auditable signals of managerial</w:t>
      </w:r>
      <w:r>
        <w:rPr>
          <w:spacing w:val="-3"/>
        </w:rPr>
        <w:t> </w:t>
      </w:r>
      <w:r>
        <w:rPr/>
        <w:t>priorities</w:t>
      </w:r>
      <w:r>
        <w:rPr>
          <w:spacing w:val="-3"/>
        </w:rPr>
        <w:t> </w:t>
      </w:r>
      <w:r>
        <w:rPr/>
        <w:t>(Li,</w:t>
      </w:r>
      <w:r>
        <w:rPr>
          <w:spacing w:val="-3"/>
        </w:rPr>
        <w:t> </w:t>
      </w:r>
      <w:r>
        <w:rPr/>
        <w:t>2008)</w:t>
      </w:r>
      <w:r>
        <w:rPr>
          <w:spacing w:val="-3"/>
        </w:rPr>
        <w:t> </w:t>
      </w:r>
      <w:r>
        <w:rPr/>
        <w:t>and</w:t>
      </w:r>
      <w:r>
        <w:rPr>
          <w:spacing w:val="-3"/>
        </w:rPr>
        <w:t> </w:t>
      </w:r>
      <w:r>
        <w:rPr/>
        <w:t>are</w:t>
      </w:r>
      <w:r>
        <w:rPr>
          <w:spacing w:val="-3"/>
        </w:rPr>
        <w:t> </w:t>
      </w:r>
      <w:r>
        <w:rPr/>
        <w:t>widely</w:t>
      </w:r>
      <w:r>
        <w:rPr>
          <w:spacing w:val="-3"/>
        </w:rPr>
        <w:t> </w:t>
      </w:r>
      <w:r>
        <w:rPr/>
        <w:t>used</w:t>
      </w:r>
      <w:r>
        <w:rPr>
          <w:spacing w:val="-3"/>
        </w:rPr>
        <w:t> </w:t>
      </w:r>
      <w:r>
        <w:rPr/>
        <w:t>to</w:t>
      </w:r>
      <w:r>
        <w:rPr>
          <w:spacing w:val="-3"/>
        </w:rPr>
        <w:t> </w:t>
      </w:r>
      <w:r>
        <w:rPr/>
        <w:t>capture</w:t>
      </w:r>
      <w:r>
        <w:rPr>
          <w:spacing w:val="-3"/>
        </w:rPr>
        <w:t> </w:t>
      </w:r>
      <w:r>
        <w:rPr/>
        <w:t>strategic</w:t>
      </w:r>
      <w:r>
        <w:rPr>
          <w:spacing w:val="-3"/>
        </w:rPr>
        <w:t> </w:t>
      </w:r>
      <w:r>
        <w:rPr/>
        <w:t>emphasis</w:t>
      </w:r>
      <w:r>
        <w:rPr>
          <w:spacing w:val="-3"/>
        </w:rPr>
        <w:t> </w:t>
      </w:r>
      <w:r>
        <w:rPr/>
        <w:t>(Loughran</w:t>
      </w:r>
      <w:r>
        <w:rPr>
          <w:spacing w:val="-3"/>
        </w:rPr>
        <w:t> </w:t>
      </w:r>
      <w:r>
        <w:rPr/>
        <w:t>&amp; McDonald, 2016).</w:t>
      </w:r>
    </w:p>
    <w:p>
      <w:pPr>
        <w:pStyle w:val="Heading4"/>
        <w:spacing w:before="275"/>
      </w:pPr>
      <w:r>
        <w:rPr/>
        <w:t>Dependent</w:t>
      </w:r>
      <w:r>
        <w:rPr>
          <w:spacing w:val="-8"/>
        </w:rPr>
        <w:t> </w:t>
      </w:r>
      <w:r>
        <w:rPr/>
        <w:t>Variable:</w:t>
      </w:r>
      <w:r>
        <w:rPr>
          <w:spacing w:val="-8"/>
        </w:rPr>
        <w:t> </w:t>
      </w:r>
      <w:r>
        <w:rPr/>
        <w:t>Firm</w:t>
      </w:r>
      <w:r>
        <w:rPr>
          <w:spacing w:val="-7"/>
        </w:rPr>
        <w:t> </w:t>
      </w:r>
      <w:r>
        <w:rPr>
          <w:spacing w:val="-2"/>
        </w:rPr>
        <w:t>Productivity</w:t>
      </w:r>
    </w:p>
    <w:p>
      <w:pPr>
        <w:pStyle w:val="BodyText"/>
        <w:spacing w:line="230" w:lineRule="auto" w:before="275"/>
        <w:ind w:left="723" w:right="1448"/>
      </w:pPr>
      <w:r>
        <w:rPr/>
        <w:t>Firm productivity is operationalized as operating margin (operating income divided by total sales).</w:t>
      </w:r>
      <w:r>
        <w:rPr>
          <w:spacing w:val="-4"/>
        </w:rPr>
        <w:t> </w:t>
      </w:r>
      <w:r>
        <w:rPr/>
        <w:t>Productivity</w:t>
      </w:r>
      <w:r>
        <w:rPr>
          <w:spacing w:val="-4"/>
        </w:rPr>
        <w:t> </w:t>
      </w:r>
      <w:r>
        <w:rPr/>
        <w:t>represents</w:t>
      </w:r>
      <w:r>
        <w:rPr>
          <w:spacing w:val="-4"/>
        </w:rPr>
        <w:t> </w:t>
      </w:r>
      <w:r>
        <w:rPr/>
        <w:t>a</w:t>
      </w:r>
      <w:r>
        <w:rPr>
          <w:spacing w:val="-4"/>
        </w:rPr>
        <w:t> </w:t>
      </w:r>
      <w:r>
        <w:rPr/>
        <w:t>direct</w:t>
      </w:r>
      <w:r>
        <w:rPr>
          <w:spacing w:val="-4"/>
        </w:rPr>
        <w:t> </w:t>
      </w:r>
      <w:r>
        <w:rPr/>
        <w:t>outcome</w:t>
      </w:r>
      <w:r>
        <w:rPr>
          <w:spacing w:val="-4"/>
        </w:rPr>
        <w:t> </w:t>
      </w:r>
      <w:r>
        <w:rPr/>
        <w:t>of</w:t>
      </w:r>
      <w:r>
        <w:rPr>
          <w:spacing w:val="-4"/>
        </w:rPr>
        <w:t> </w:t>
      </w:r>
      <w:r>
        <w:rPr/>
        <w:t>effective</w:t>
      </w:r>
      <w:r>
        <w:rPr>
          <w:spacing w:val="-4"/>
        </w:rPr>
        <w:t> </w:t>
      </w:r>
      <w:r>
        <w:rPr/>
        <w:t>human</w:t>
      </w:r>
      <w:r>
        <w:rPr>
          <w:spacing w:val="-4"/>
        </w:rPr>
        <w:t> </w:t>
      </w:r>
      <w:r>
        <w:rPr/>
        <w:t>capital</w:t>
      </w:r>
      <w:r>
        <w:rPr>
          <w:spacing w:val="-4"/>
        </w:rPr>
        <w:t> </w:t>
      </w:r>
      <w:r>
        <w:rPr/>
        <w:t>deployment</w:t>
      </w:r>
      <w:r>
        <w:rPr>
          <w:spacing w:val="-4"/>
        </w:rPr>
        <w:t> </w:t>
      </w:r>
      <w:r>
        <w:rPr/>
        <w:t>and</w:t>
      </w:r>
      <w:r>
        <w:rPr>
          <w:spacing w:val="-4"/>
        </w:rPr>
        <w:t> </w:t>
      </w:r>
      <w:r>
        <w:rPr/>
        <w:t>aligns with prior strategy research (Hitt et al., 2001).</w:t>
      </w:r>
    </w:p>
    <w:p>
      <w:pPr>
        <w:pStyle w:val="BodyText"/>
        <w:spacing w:before="10"/>
      </w:pPr>
    </w:p>
    <w:p>
      <w:pPr>
        <w:pStyle w:val="Heading4"/>
      </w:pPr>
      <w:r>
        <w:rPr/>
        <w:t>Mediator: Human Capital Intangible </w:t>
      </w:r>
      <w:r>
        <w:rPr>
          <w:spacing w:val="-2"/>
        </w:rPr>
        <w:t>Assets</w:t>
      </w:r>
    </w:p>
    <w:p>
      <w:pPr>
        <w:pStyle w:val="BodyText"/>
        <w:spacing w:before="266"/>
        <w:ind w:left="723"/>
      </w:pPr>
      <w:r>
        <w:rPr/>
        <w:t>Human capital intangible assets are measured using MSCI ESG human capital ratings, </w:t>
      </w:r>
      <w:r>
        <w:rPr>
          <w:spacing w:val="-2"/>
        </w:rPr>
        <w:t>which</w:t>
      </w:r>
    </w:p>
    <w:p>
      <w:pPr>
        <w:pStyle w:val="BodyText"/>
        <w:spacing w:after="0"/>
        <w:sectPr>
          <w:pgSz w:w="12240" w:h="15840"/>
          <w:pgMar w:header="0" w:footer="706" w:top="620" w:bottom="960" w:left="720" w:right="0"/>
        </w:sectPr>
      </w:pPr>
    </w:p>
    <w:p>
      <w:pPr>
        <w:pStyle w:val="BodyText"/>
        <w:spacing w:line="230" w:lineRule="auto" w:before="80"/>
        <w:ind w:left="723" w:right="1619"/>
      </w:pPr>
      <w:r>
        <w:rPr/>
        <w:t>assess</w:t>
      </w:r>
      <w:r>
        <w:rPr>
          <w:spacing w:val="-5"/>
        </w:rPr>
        <w:t> </w:t>
      </w:r>
      <w:r>
        <w:rPr/>
        <w:t>workforce</w:t>
      </w:r>
      <w:r>
        <w:rPr>
          <w:spacing w:val="-5"/>
        </w:rPr>
        <w:t> </w:t>
      </w:r>
      <w:r>
        <w:rPr/>
        <w:t>health</w:t>
      </w:r>
      <w:r>
        <w:rPr>
          <w:spacing w:val="-5"/>
        </w:rPr>
        <w:t> </w:t>
      </w:r>
      <w:r>
        <w:rPr/>
        <w:t>and</w:t>
      </w:r>
      <w:r>
        <w:rPr>
          <w:spacing w:val="-5"/>
        </w:rPr>
        <w:t> </w:t>
      </w:r>
      <w:r>
        <w:rPr/>
        <w:t>safety,</w:t>
      </w:r>
      <w:r>
        <w:rPr>
          <w:spacing w:val="-5"/>
        </w:rPr>
        <w:t> </w:t>
      </w:r>
      <w:r>
        <w:rPr/>
        <w:t>development</w:t>
      </w:r>
      <w:r>
        <w:rPr>
          <w:spacing w:val="-5"/>
        </w:rPr>
        <w:t> </w:t>
      </w:r>
      <w:r>
        <w:rPr/>
        <w:t>practices,</w:t>
      </w:r>
      <w:r>
        <w:rPr>
          <w:spacing w:val="-5"/>
        </w:rPr>
        <w:t> </w:t>
      </w:r>
      <w:r>
        <w:rPr/>
        <w:t>and</w:t>
      </w:r>
      <w:r>
        <w:rPr>
          <w:spacing w:val="-5"/>
        </w:rPr>
        <w:t> </w:t>
      </w:r>
      <w:r>
        <w:rPr/>
        <w:t>labor</w:t>
      </w:r>
      <w:r>
        <w:rPr>
          <w:spacing w:val="-5"/>
        </w:rPr>
        <w:t> </w:t>
      </w:r>
      <w:r>
        <w:rPr/>
        <w:t>standards.</w:t>
      </w:r>
      <w:r>
        <w:rPr>
          <w:spacing w:val="-5"/>
        </w:rPr>
        <w:t> </w:t>
      </w:r>
      <w:r>
        <w:rPr/>
        <w:t>Ratings</w:t>
      </w:r>
      <w:r>
        <w:rPr>
          <w:spacing w:val="-5"/>
        </w:rPr>
        <w:t> </w:t>
      </w:r>
      <w:r>
        <w:rPr/>
        <w:t>range from AAA to CCC, providing an externally validated measure of intangible human capital quality and reputation.</w:t>
      </w:r>
    </w:p>
    <w:p>
      <w:pPr>
        <w:pStyle w:val="BodyText"/>
        <w:spacing w:before="8"/>
      </w:pPr>
    </w:p>
    <w:p>
      <w:pPr>
        <w:pStyle w:val="Heading4"/>
      </w:pPr>
      <w:r>
        <w:rPr/>
        <w:t>Moderator:</w:t>
      </w:r>
      <w:r>
        <w:rPr>
          <w:spacing w:val="-8"/>
        </w:rPr>
        <w:t> </w:t>
      </w:r>
      <w:r>
        <w:rPr/>
        <w:t>Industry</w:t>
      </w:r>
      <w:r>
        <w:rPr>
          <w:spacing w:val="-8"/>
        </w:rPr>
        <w:t> </w:t>
      </w:r>
      <w:r>
        <w:rPr/>
        <w:t>Voluntary</w:t>
      </w:r>
      <w:r>
        <w:rPr>
          <w:spacing w:val="-7"/>
        </w:rPr>
        <w:t> </w:t>
      </w:r>
      <w:r>
        <w:rPr>
          <w:spacing w:val="-2"/>
        </w:rPr>
        <w:t>Turnover</w:t>
      </w:r>
    </w:p>
    <w:p>
      <w:pPr>
        <w:pStyle w:val="BodyText"/>
        <w:spacing w:line="230" w:lineRule="auto" w:before="275"/>
        <w:ind w:left="723" w:right="1738"/>
        <w:jc w:val="both"/>
      </w:pPr>
      <w:r>
        <w:rPr/>
        <w:t>Industry-adjusted</w:t>
      </w:r>
      <w:r>
        <w:rPr>
          <w:spacing w:val="-6"/>
        </w:rPr>
        <w:t> </w:t>
      </w:r>
      <w:r>
        <w:rPr/>
        <w:t>voluntary</w:t>
      </w:r>
      <w:r>
        <w:rPr>
          <w:spacing w:val="-6"/>
        </w:rPr>
        <w:t> </w:t>
      </w:r>
      <w:r>
        <w:rPr/>
        <w:t>turnover</w:t>
      </w:r>
      <w:r>
        <w:rPr>
          <w:spacing w:val="-6"/>
        </w:rPr>
        <w:t> </w:t>
      </w:r>
      <w:r>
        <w:rPr/>
        <w:t>captures</w:t>
      </w:r>
      <w:r>
        <w:rPr>
          <w:spacing w:val="-6"/>
        </w:rPr>
        <w:t> </w:t>
      </w:r>
      <w:r>
        <w:rPr/>
        <w:t>labor</w:t>
      </w:r>
      <w:r>
        <w:rPr>
          <w:spacing w:val="-6"/>
        </w:rPr>
        <w:t> </w:t>
      </w:r>
      <w:r>
        <w:rPr/>
        <w:t>mobility</w:t>
      </w:r>
      <w:r>
        <w:rPr>
          <w:spacing w:val="-6"/>
        </w:rPr>
        <w:t> </w:t>
      </w:r>
      <w:r>
        <w:rPr/>
        <w:t>and</w:t>
      </w:r>
      <w:r>
        <w:rPr>
          <w:spacing w:val="-6"/>
        </w:rPr>
        <w:t> </w:t>
      </w:r>
      <w:r>
        <w:rPr/>
        <w:t>human</w:t>
      </w:r>
      <w:r>
        <w:rPr>
          <w:spacing w:val="-6"/>
        </w:rPr>
        <w:t> </w:t>
      </w:r>
      <w:r>
        <w:rPr/>
        <w:t>capital</w:t>
      </w:r>
      <w:r>
        <w:rPr>
          <w:spacing w:val="-6"/>
        </w:rPr>
        <w:t> </w:t>
      </w:r>
      <w:r>
        <w:rPr/>
        <w:t>stability.</w:t>
      </w:r>
      <w:r>
        <w:rPr>
          <w:spacing w:val="-6"/>
        </w:rPr>
        <w:t> </w:t>
      </w:r>
      <w:r>
        <w:rPr/>
        <w:t>High turnover weakens resource immobility, a core RBV assumption (Peteraf, 1993), and increases the strategic importance of credible employee-related signals.</w:t>
      </w:r>
    </w:p>
    <w:p>
      <w:pPr>
        <w:pStyle w:val="BodyText"/>
        <w:spacing w:before="10"/>
      </w:pPr>
    </w:p>
    <w:p>
      <w:pPr>
        <w:pStyle w:val="Heading4"/>
      </w:pPr>
      <w:r>
        <w:rPr/>
        <w:t>Control</w:t>
      </w:r>
      <w:r>
        <w:rPr>
          <w:spacing w:val="-5"/>
        </w:rPr>
        <w:t> </w:t>
      </w:r>
      <w:r>
        <w:rPr>
          <w:spacing w:val="-2"/>
        </w:rPr>
        <w:t>Variables</w:t>
      </w:r>
    </w:p>
    <w:p>
      <w:pPr>
        <w:pStyle w:val="BodyText"/>
        <w:spacing w:line="230" w:lineRule="auto" w:before="275"/>
        <w:ind w:left="723" w:right="1392"/>
      </w:pPr>
      <w:r>
        <w:rPr/>
        <w:t>Consistent</w:t>
      </w:r>
      <w:r>
        <w:rPr>
          <w:spacing w:val="-4"/>
        </w:rPr>
        <w:t> </w:t>
      </w:r>
      <w:r>
        <w:rPr/>
        <w:t>with</w:t>
      </w:r>
      <w:r>
        <w:rPr>
          <w:spacing w:val="-4"/>
        </w:rPr>
        <w:t> </w:t>
      </w:r>
      <w:r>
        <w:rPr/>
        <w:t>prior</w:t>
      </w:r>
      <w:r>
        <w:rPr>
          <w:spacing w:val="-4"/>
        </w:rPr>
        <w:t> </w:t>
      </w:r>
      <w:r>
        <w:rPr/>
        <w:t>research,</w:t>
      </w:r>
      <w:r>
        <w:rPr>
          <w:spacing w:val="-4"/>
        </w:rPr>
        <w:t> </w:t>
      </w:r>
      <w:r>
        <w:rPr/>
        <w:t>the</w:t>
      </w:r>
      <w:r>
        <w:rPr>
          <w:spacing w:val="-4"/>
        </w:rPr>
        <w:t> </w:t>
      </w:r>
      <w:r>
        <w:rPr/>
        <w:t>models</w:t>
      </w:r>
      <w:r>
        <w:rPr>
          <w:spacing w:val="-4"/>
        </w:rPr>
        <w:t> </w:t>
      </w:r>
      <w:r>
        <w:rPr/>
        <w:t>include</w:t>
      </w:r>
      <w:r>
        <w:rPr>
          <w:spacing w:val="-4"/>
        </w:rPr>
        <w:t> </w:t>
      </w:r>
      <w:r>
        <w:rPr/>
        <w:t>controls</w:t>
      </w:r>
      <w:r>
        <w:rPr>
          <w:spacing w:val="-4"/>
        </w:rPr>
        <w:t> </w:t>
      </w:r>
      <w:r>
        <w:rPr/>
        <w:t>for</w:t>
      </w:r>
      <w:r>
        <w:rPr>
          <w:spacing w:val="-4"/>
        </w:rPr>
        <w:t> </w:t>
      </w:r>
      <w:r>
        <w:rPr/>
        <w:t>firm</w:t>
      </w:r>
      <w:r>
        <w:rPr>
          <w:spacing w:val="-4"/>
        </w:rPr>
        <w:t> </w:t>
      </w:r>
      <w:r>
        <w:rPr/>
        <w:t>size,</w:t>
      </w:r>
      <w:r>
        <w:rPr>
          <w:spacing w:val="-4"/>
        </w:rPr>
        <w:t> </w:t>
      </w:r>
      <w:r>
        <w:rPr/>
        <w:t>leverage,</w:t>
      </w:r>
      <w:r>
        <w:rPr>
          <w:spacing w:val="-4"/>
        </w:rPr>
        <w:t> </w:t>
      </w:r>
      <w:r>
        <w:rPr/>
        <w:t>prior-</w:t>
      </w:r>
      <w:r>
        <w:rPr/>
        <w:t>year ROA, R&amp;D intensity, and capital expenditures.</w:t>
      </w:r>
    </w:p>
    <w:p>
      <w:pPr>
        <w:pStyle w:val="BodyText"/>
        <w:spacing w:before="9"/>
      </w:pPr>
    </w:p>
    <w:p>
      <w:pPr>
        <w:pStyle w:val="Heading4"/>
        <w:spacing w:before="1"/>
      </w:pPr>
      <w:r>
        <w:rPr>
          <w:spacing w:val="-2"/>
        </w:rPr>
        <w:t>METHODOLOGY</w:t>
      </w:r>
    </w:p>
    <w:p>
      <w:pPr>
        <w:pStyle w:val="BodyText"/>
        <w:rPr>
          <w:b/>
        </w:rPr>
      </w:pPr>
    </w:p>
    <w:p>
      <w:pPr>
        <w:pStyle w:val="BodyText"/>
        <w:spacing w:line="230" w:lineRule="auto"/>
        <w:ind w:left="723" w:right="1191"/>
      </w:pPr>
      <w:r>
        <w:rPr/>
        <w:t>This study employs a longitudinal panel design to examine within-firm changes in employee oriented CSR disclosure and subsequent changes in human capital intangible assets and productivity.</w:t>
      </w:r>
      <w:r>
        <w:rPr>
          <w:spacing w:val="-6"/>
        </w:rPr>
        <w:t> </w:t>
      </w:r>
      <w:r>
        <w:rPr/>
        <w:t>Panel</w:t>
      </w:r>
      <w:r>
        <w:rPr>
          <w:spacing w:val="-6"/>
        </w:rPr>
        <w:t> </w:t>
      </w:r>
      <w:r>
        <w:rPr/>
        <w:t>data</w:t>
      </w:r>
      <w:r>
        <w:rPr>
          <w:spacing w:val="-6"/>
        </w:rPr>
        <w:t> </w:t>
      </w:r>
      <w:r>
        <w:rPr/>
        <w:t>allow</w:t>
      </w:r>
      <w:r>
        <w:rPr>
          <w:spacing w:val="-6"/>
        </w:rPr>
        <w:t> </w:t>
      </w:r>
      <w:r>
        <w:rPr/>
        <w:t>for</w:t>
      </w:r>
      <w:r>
        <w:rPr>
          <w:spacing w:val="-6"/>
        </w:rPr>
        <w:t> </w:t>
      </w:r>
      <w:r>
        <w:rPr/>
        <w:t>firm</w:t>
      </w:r>
      <w:r>
        <w:rPr>
          <w:spacing w:val="-6"/>
        </w:rPr>
        <w:t> </w:t>
      </w:r>
      <w:r>
        <w:rPr/>
        <w:t>fixed</w:t>
      </w:r>
      <w:r>
        <w:rPr>
          <w:spacing w:val="-6"/>
        </w:rPr>
        <w:t> </w:t>
      </w:r>
      <w:r>
        <w:rPr/>
        <w:t>effects,</w:t>
      </w:r>
      <w:r>
        <w:rPr>
          <w:spacing w:val="-6"/>
        </w:rPr>
        <w:t> </w:t>
      </w:r>
      <w:r>
        <w:rPr/>
        <w:t>controlling</w:t>
      </w:r>
      <w:r>
        <w:rPr>
          <w:spacing w:val="-6"/>
        </w:rPr>
        <w:t> </w:t>
      </w:r>
      <w:r>
        <w:rPr/>
        <w:t>for</w:t>
      </w:r>
      <w:r>
        <w:rPr>
          <w:spacing w:val="-6"/>
        </w:rPr>
        <w:t> </w:t>
      </w:r>
      <w:r>
        <w:rPr/>
        <w:t>time-invariant</w:t>
      </w:r>
      <w:r>
        <w:rPr>
          <w:spacing w:val="-6"/>
        </w:rPr>
        <w:t> </w:t>
      </w:r>
      <w:r>
        <w:rPr/>
        <w:t>characteristics such</w:t>
      </w:r>
      <w:r>
        <w:rPr>
          <w:spacing w:val="-7"/>
        </w:rPr>
        <w:t> </w:t>
      </w:r>
      <w:r>
        <w:rPr/>
        <w:t>as</w:t>
      </w:r>
      <w:r>
        <w:rPr>
          <w:spacing w:val="-7"/>
        </w:rPr>
        <w:t> </w:t>
      </w:r>
      <w:r>
        <w:rPr/>
        <w:t>organizational</w:t>
      </w:r>
      <w:r>
        <w:rPr>
          <w:spacing w:val="-7"/>
        </w:rPr>
        <w:t> </w:t>
      </w:r>
      <w:r>
        <w:rPr/>
        <w:t>culture</w:t>
      </w:r>
      <w:r>
        <w:rPr>
          <w:spacing w:val="-7"/>
        </w:rPr>
        <w:t> </w:t>
      </w:r>
      <w:r>
        <w:rPr/>
        <w:t>and</w:t>
      </w:r>
      <w:r>
        <w:rPr>
          <w:spacing w:val="-7"/>
        </w:rPr>
        <w:t> </w:t>
      </w:r>
      <w:r>
        <w:rPr/>
        <w:t>managerial</w:t>
      </w:r>
      <w:r>
        <w:rPr>
          <w:spacing w:val="-7"/>
        </w:rPr>
        <w:t> </w:t>
      </w:r>
      <w:r>
        <w:rPr/>
        <w:t>philosophy</w:t>
      </w:r>
      <w:r>
        <w:rPr>
          <w:spacing w:val="-7"/>
        </w:rPr>
        <w:t> </w:t>
      </w:r>
      <w:r>
        <w:rPr/>
        <w:t>(Wooldridge,</w:t>
      </w:r>
      <w:r>
        <w:rPr>
          <w:spacing w:val="-7"/>
        </w:rPr>
        <w:t> </w:t>
      </w:r>
      <w:r>
        <w:rPr/>
        <w:t>2010).</w:t>
      </w:r>
      <w:r>
        <w:rPr>
          <w:spacing w:val="-7"/>
        </w:rPr>
        <w:t> </w:t>
      </w:r>
      <w:r>
        <w:rPr/>
        <w:t>Year</w:t>
      </w:r>
      <w:r>
        <w:rPr>
          <w:spacing w:val="-7"/>
        </w:rPr>
        <w:t> </w:t>
      </w:r>
      <w:r>
        <w:rPr/>
        <w:t>fixed</w:t>
      </w:r>
      <w:r>
        <w:rPr>
          <w:spacing w:val="-7"/>
        </w:rPr>
        <w:t> </w:t>
      </w:r>
      <w:r>
        <w:rPr/>
        <w:t>effects account for macroeconomic shocks and regulatory changes.</w:t>
      </w:r>
    </w:p>
    <w:p>
      <w:pPr>
        <w:pStyle w:val="BodyText"/>
        <w:spacing w:before="6"/>
      </w:pPr>
    </w:p>
    <w:p>
      <w:pPr>
        <w:pStyle w:val="BodyText"/>
        <w:spacing w:line="230" w:lineRule="auto" w:before="1"/>
        <w:ind w:left="723" w:right="1619"/>
      </w:pPr>
      <w:r>
        <w:rPr/>
        <w:t>The empirical strategy follows the temporal ordering implied by the conceptual model: CSR disclosure</w:t>
      </w:r>
      <w:r>
        <w:rPr>
          <w:spacing w:val="-3"/>
        </w:rPr>
        <w:t> </w:t>
      </w:r>
      <w:r>
        <w:rPr/>
        <w:t>at</w:t>
      </w:r>
      <w:r>
        <w:rPr>
          <w:spacing w:val="-3"/>
        </w:rPr>
        <w:t> </w:t>
      </w:r>
      <w:r>
        <w:rPr>
          <w:i/>
        </w:rPr>
        <w:t>t–1</w:t>
      </w:r>
      <w:r>
        <w:rPr>
          <w:i/>
          <w:spacing w:val="-3"/>
        </w:rPr>
        <w:t> </w:t>
      </w:r>
      <w:r>
        <w:rPr/>
        <w:t>predicts</w:t>
      </w:r>
      <w:r>
        <w:rPr>
          <w:spacing w:val="-3"/>
        </w:rPr>
        <w:t> </w:t>
      </w:r>
      <w:r>
        <w:rPr/>
        <w:t>human</w:t>
      </w:r>
      <w:r>
        <w:rPr>
          <w:spacing w:val="-3"/>
        </w:rPr>
        <w:t> </w:t>
      </w:r>
      <w:r>
        <w:rPr/>
        <w:t>capital</w:t>
      </w:r>
      <w:r>
        <w:rPr>
          <w:spacing w:val="-3"/>
        </w:rPr>
        <w:t> </w:t>
      </w:r>
      <w:r>
        <w:rPr/>
        <w:t>intangible</w:t>
      </w:r>
      <w:r>
        <w:rPr>
          <w:spacing w:val="-3"/>
        </w:rPr>
        <w:t> </w:t>
      </w:r>
      <w:r>
        <w:rPr/>
        <w:t>assets</w:t>
      </w:r>
      <w:r>
        <w:rPr>
          <w:spacing w:val="-3"/>
        </w:rPr>
        <w:t> </w:t>
      </w:r>
      <w:r>
        <w:rPr/>
        <w:t>at</w:t>
      </w:r>
      <w:r>
        <w:rPr>
          <w:spacing w:val="-3"/>
        </w:rPr>
        <w:t> </w:t>
      </w:r>
      <w:r>
        <w:rPr>
          <w:i/>
        </w:rPr>
        <w:t>t</w:t>
      </w:r>
      <w:r>
        <w:rPr/>
        <w:t>,</w:t>
      </w:r>
      <w:r>
        <w:rPr>
          <w:spacing w:val="-3"/>
        </w:rPr>
        <w:t> </w:t>
      </w:r>
      <w:r>
        <w:rPr/>
        <w:t>which</w:t>
      </w:r>
      <w:r>
        <w:rPr>
          <w:spacing w:val="-3"/>
        </w:rPr>
        <w:t> </w:t>
      </w:r>
      <w:r>
        <w:rPr/>
        <w:t>in</w:t>
      </w:r>
      <w:r>
        <w:rPr>
          <w:spacing w:val="-3"/>
        </w:rPr>
        <w:t> </w:t>
      </w:r>
      <w:r>
        <w:rPr/>
        <w:t>turn</w:t>
      </w:r>
      <w:r>
        <w:rPr>
          <w:spacing w:val="-3"/>
        </w:rPr>
        <w:t> </w:t>
      </w:r>
      <w:r>
        <w:rPr/>
        <w:t>predict</w:t>
      </w:r>
      <w:r>
        <w:rPr>
          <w:spacing w:val="-3"/>
        </w:rPr>
        <w:t> </w:t>
      </w:r>
      <w:r>
        <w:rPr/>
        <w:t>productivity at </w:t>
      </w:r>
      <w:r>
        <w:rPr>
          <w:i/>
        </w:rPr>
        <w:t>t+1</w:t>
      </w:r>
      <w:r>
        <w:rPr/>
        <w:t>. This structure mitigates simultaneity and reverse causality concerns.</w:t>
      </w:r>
    </w:p>
    <w:p>
      <w:pPr>
        <w:pStyle w:val="BodyText"/>
        <w:spacing w:before="7"/>
      </w:pPr>
    </w:p>
    <w:p>
      <w:pPr>
        <w:pStyle w:val="BodyText"/>
        <w:spacing w:line="230" w:lineRule="auto" w:before="1"/>
        <w:ind w:left="723" w:right="1381"/>
      </w:pPr>
      <w:r>
        <w:rPr/>
        <w:t>The analysis proceeds in three stages. First, human capital intangible assets are regressed on lagged</w:t>
      </w:r>
      <w:r>
        <w:rPr>
          <w:spacing w:val="-5"/>
        </w:rPr>
        <w:t> </w:t>
      </w:r>
      <w:r>
        <w:rPr/>
        <w:t>CSR</w:t>
      </w:r>
      <w:r>
        <w:rPr>
          <w:spacing w:val="-5"/>
        </w:rPr>
        <w:t> </w:t>
      </w:r>
      <w:r>
        <w:rPr/>
        <w:t>disclosure,</w:t>
      </w:r>
      <w:r>
        <w:rPr>
          <w:spacing w:val="-5"/>
        </w:rPr>
        <w:t> </w:t>
      </w:r>
      <w:r>
        <w:rPr/>
        <w:t>industry</w:t>
      </w:r>
      <w:r>
        <w:rPr>
          <w:spacing w:val="-5"/>
        </w:rPr>
        <w:t> </w:t>
      </w:r>
      <w:r>
        <w:rPr/>
        <w:t>turnover,</w:t>
      </w:r>
      <w:r>
        <w:rPr>
          <w:spacing w:val="-5"/>
        </w:rPr>
        <w:t> </w:t>
      </w:r>
      <w:r>
        <w:rPr/>
        <w:t>and</w:t>
      </w:r>
      <w:r>
        <w:rPr>
          <w:spacing w:val="-5"/>
        </w:rPr>
        <w:t> </w:t>
      </w:r>
      <w:r>
        <w:rPr/>
        <w:t>their</w:t>
      </w:r>
      <w:r>
        <w:rPr>
          <w:spacing w:val="-5"/>
        </w:rPr>
        <w:t> </w:t>
      </w:r>
      <w:r>
        <w:rPr/>
        <w:t>interaction.</w:t>
      </w:r>
      <w:r>
        <w:rPr>
          <w:spacing w:val="-5"/>
        </w:rPr>
        <w:t> </w:t>
      </w:r>
      <w:r>
        <w:rPr/>
        <w:t>Second,</w:t>
      </w:r>
      <w:r>
        <w:rPr>
          <w:spacing w:val="-5"/>
        </w:rPr>
        <w:t> </w:t>
      </w:r>
      <w:r>
        <w:rPr/>
        <w:t>productivity</w:t>
      </w:r>
      <w:r>
        <w:rPr>
          <w:spacing w:val="-5"/>
        </w:rPr>
        <w:t> </w:t>
      </w:r>
      <w:r>
        <w:rPr/>
        <w:t>is</w:t>
      </w:r>
      <w:r>
        <w:rPr>
          <w:spacing w:val="-5"/>
        </w:rPr>
        <w:t> </w:t>
      </w:r>
      <w:r>
        <w:rPr/>
        <w:t>regressed on human capital intangible assets and lagged CSR disclosure. Third, indirect and conditional indirect effects are estimated using a bootstrapped product-of-coefficients approach with 5,000 </w:t>
      </w:r>
      <w:r>
        <w:rPr>
          <w:spacing w:val="-2"/>
        </w:rPr>
        <w:t>resamples.</w:t>
      </w:r>
    </w:p>
    <w:p>
      <w:pPr>
        <w:pStyle w:val="BodyText"/>
        <w:spacing w:before="6"/>
      </w:pPr>
    </w:p>
    <w:p>
      <w:pPr>
        <w:pStyle w:val="BodyText"/>
        <w:spacing w:line="230" w:lineRule="auto" w:before="1"/>
        <w:ind w:left="723" w:right="1381"/>
      </w:pPr>
      <w:r>
        <w:rPr/>
        <w:t>Firm- and year-fixed effects are included in all models, and standard errors are clustered at the firm</w:t>
      </w:r>
      <w:r>
        <w:rPr>
          <w:spacing w:val="-3"/>
        </w:rPr>
        <w:t> </w:t>
      </w:r>
      <w:r>
        <w:rPr/>
        <w:t>level.</w:t>
      </w:r>
      <w:r>
        <w:rPr>
          <w:spacing w:val="-3"/>
        </w:rPr>
        <w:t> </w:t>
      </w:r>
      <w:r>
        <w:rPr/>
        <w:t>Conditional</w:t>
      </w:r>
      <w:r>
        <w:rPr>
          <w:spacing w:val="-3"/>
        </w:rPr>
        <w:t> </w:t>
      </w:r>
      <w:r>
        <w:rPr/>
        <w:t>indirect</w:t>
      </w:r>
      <w:r>
        <w:rPr>
          <w:spacing w:val="-3"/>
        </w:rPr>
        <w:t> </w:t>
      </w:r>
      <w:r>
        <w:rPr/>
        <w:t>effects</w:t>
      </w:r>
      <w:r>
        <w:rPr>
          <w:spacing w:val="-3"/>
        </w:rPr>
        <w:t> </w:t>
      </w:r>
      <w:r>
        <w:rPr/>
        <w:t>are</w:t>
      </w:r>
      <w:r>
        <w:rPr>
          <w:spacing w:val="-3"/>
        </w:rPr>
        <w:t> </w:t>
      </w:r>
      <w:r>
        <w:rPr/>
        <w:t>computed</w:t>
      </w:r>
      <w:r>
        <w:rPr>
          <w:spacing w:val="-3"/>
        </w:rPr>
        <w:t> </w:t>
      </w:r>
      <w:r>
        <w:rPr/>
        <w:t>at</w:t>
      </w:r>
      <w:r>
        <w:rPr>
          <w:spacing w:val="-3"/>
        </w:rPr>
        <w:t> </w:t>
      </w:r>
      <w:r>
        <w:rPr/>
        <w:t>low</w:t>
      </w:r>
      <w:r>
        <w:rPr>
          <w:spacing w:val="-3"/>
        </w:rPr>
        <w:t> </w:t>
      </w:r>
      <w:r>
        <w:rPr/>
        <w:t>(–1</w:t>
      </w:r>
      <w:r>
        <w:rPr>
          <w:spacing w:val="-3"/>
        </w:rPr>
        <w:t> </w:t>
      </w:r>
      <w:r>
        <w:rPr/>
        <w:t>SD)</w:t>
      </w:r>
      <w:r>
        <w:rPr>
          <w:spacing w:val="-3"/>
        </w:rPr>
        <w:t> </w:t>
      </w:r>
      <w:r>
        <w:rPr/>
        <w:t>and</w:t>
      </w:r>
      <w:r>
        <w:rPr>
          <w:spacing w:val="-3"/>
        </w:rPr>
        <w:t> </w:t>
      </w:r>
      <w:r>
        <w:rPr/>
        <w:t>high</w:t>
      </w:r>
      <w:r>
        <w:rPr>
          <w:spacing w:val="-3"/>
        </w:rPr>
        <w:t> </w:t>
      </w:r>
      <w:r>
        <w:rPr/>
        <w:t>(+1</w:t>
      </w:r>
      <w:r>
        <w:rPr>
          <w:spacing w:val="-3"/>
        </w:rPr>
        <w:t> </w:t>
      </w:r>
      <w:r>
        <w:rPr/>
        <w:t>SD)</w:t>
      </w:r>
      <w:r>
        <w:rPr>
          <w:spacing w:val="-3"/>
        </w:rPr>
        <w:t> </w:t>
      </w:r>
      <w:r>
        <w:rPr/>
        <w:t>levels</w:t>
      </w:r>
      <w:r>
        <w:rPr>
          <w:spacing w:val="-3"/>
        </w:rPr>
        <w:t> </w:t>
      </w:r>
      <w:r>
        <w:rPr/>
        <w:t>of industry turnover to test the moderated mediation hypothesis.</w:t>
      </w:r>
    </w:p>
    <w:p>
      <w:pPr>
        <w:pStyle w:val="BodyText"/>
        <w:spacing w:line="270" w:lineRule="exact" w:before="254"/>
        <w:ind w:left="723"/>
      </w:pPr>
      <w:r>
        <w:rPr/>
        <w:t>Although</w:t>
      </w:r>
      <w:r>
        <w:rPr>
          <w:spacing w:val="-2"/>
        </w:rPr>
        <w:t> </w:t>
      </w:r>
      <w:r>
        <w:rPr/>
        <w:t>the</w:t>
      </w:r>
      <w:r>
        <w:rPr>
          <w:spacing w:val="-1"/>
        </w:rPr>
        <w:t> </w:t>
      </w:r>
      <w:r>
        <w:rPr/>
        <w:t>SEC’s</w:t>
      </w:r>
      <w:r>
        <w:rPr>
          <w:spacing w:val="-1"/>
        </w:rPr>
        <w:t> </w:t>
      </w:r>
      <w:r>
        <w:rPr/>
        <w:t>2020</w:t>
      </w:r>
      <w:r>
        <w:rPr>
          <w:spacing w:val="-2"/>
        </w:rPr>
        <w:t> </w:t>
      </w:r>
      <w:r>
        <w:rPr/>
        <w:t>disclosure</w:t>
      </w:r>
      <w:r>
        <w:rPr>
          <w:spacing w:val="-1"/>
        </w:rPr>
        <w:t> </w:t>
      </w:r>
      <w:r>
        <w:rPr/>
        <w:t>mandate</w:t>
      </w:r>
      <w:r>
        <w:rPr>
          <w:spacing w:val="-1"/>
        </w:rPr>
        <w:t> </w:t>
      </w:r>
      <w:r>
        <w:rPr/>
        <w:t>is</w:t>
      </w:r>
      <w:r>
        <w:rPr>
          <w:spacing w:val="-1"/>
        </w:rPr>
        <w:t> </w:t>
      </w:r>
      <w:r>
        <w:rPr/>
        <w:t>not</w:t>
      </w:r>
      <w:r>
        <w:rPr>
          <w:spacing w:val="-2"/>
        </w:rPr>
        <w:t> </w:t>
      </w:r>
      <w:r>
        <w:rPr/>
        <w:t>modeled</w:t>
      </w:r>
      <w:r>
        <w:rPr>
          <w:spacing w:val="-1"/>
        </w:rPr>
        <w:t> </w:t>
      </w:r>
      <w:r>
        <w:rPr/>
        <w:t>explicitly</w:t>
      </w:r>
      <w:r>
        <w:rPr>
          <w:spacing w:val="-1"/>
        </w:rPr>
        <w:t> </w:t>
      </w:r>
      <w:r>
        <w:rPr/>
        <w:t>as</w:t>
      </w:r>
      <w:r>
        <w:rPr>
          <w:spacing w:val="-1"/>
        </w:rPr>
        <w:t> </w:t>
      </w:r>
      <w:r>
        <w:rPr>
          <w:spacing w:val="-10"/>
        </w:rPr>
        <w:t>a</w:t>
      </w:r>
    </w:p>
    <w:p>
      <w:pPr>
        <w:pStyle w:val="BodyText"/>
        <w:spacing w:line="230" w:lineRule="auto" w:before="3"/>
        <w:ind w:left="723" w:right="1624"/>
      </w:pPr>
      <w:r>
        <w:rPr/>
        <w:t>difference-in-differences design, it provides an important source of exogenous variation that strengthens the</w:t>
      </w:r>
      <w:r>
        <w:rPr>
          <w:spacing w:val="40"/>
        </w:rPr>
        <w:t> </w:t>
      </w:r>
      <w:r>
        <w:rPr/>
        <w:t>plausibility of the assumed causal ordering. Firms previously disclosing little human-capital</w:t>
      </w:r>
      <w:r>
        <w:rPr>
          <w:spacing w:val="40"/>
        </w:rPr>
        <w:t> </w:t>
      </w:r>
      <w:r>
        <w:rPr/>
        <w:t>information</w:t>
      </w:r>
      <w:r>
        <w:rPr>
          <w:spacing w:val="-4"/>
        </w:rPr>
        <w:t> </w:t>
      </w:r>
      <w:r>
        <w:rPr/>
        <w:t>were</w:t>
      </w:r>
      <w:r>
        <w:rPr>
          <w:spacing w:val="-4"/>
        </w:rPr>
        <w:t> </w:t>
      </w:r>
      <w:r>
        <w:rPr/>
        <w:t>required</w:t>
      </w:r>
      <w:r>
        <w:rPr>
          <w:spacing w:val="-4"/>
        </w:rPr>
        <w:t> </w:t>
      </w:r>
      <w:r>
        <w:rPr/>
        <w:t>to</w:t>
      </w:r>
      <w:r>
        <w:rPr>
          <w:spacing w:val="-4"/>
        </w:rPr>
        <w:t> </w:t>
      </w:r>
      <w:r>
        <w:rPr/>
        <w:t>expand</w:t>
      </w:r>
      <w:r>
        <w:rPr>
          <w:spacing w:val="-4"/>
        </w:rPr>
        <w:t> </w:t>
      </w:r>
      <w:r>
        <w:rPr/>
        <w:t>disclosure,</w:t>
      </w:r>
      <w:r>
        <w:rPr>
          <w:spacing w:val="-4"/>
        </w:rPr>
        <w:t> </w:t>
      </w:r>
      <w:r>
        <w:rPr/>
        <w:t>reducing</w:t>
      </w:r>
      <w:r>
        <w:rPr>
          <w:spacing w:val="-4"/>
        </w:rPr>
        <w:t> </w:t>
      </w:r>
      <w:r>
        <w:rPr/>
        <w:t>concerns</w:t>
      </w:r>
      <w:r>
        <w:rPr>
          <w:spacing w:val="-4"/>
        </w:rPr>
        <w:t> </w:t>
      </w:r>
      <w:r>
        <w:rPr/>
        <w:t>that</w:t>
      </w:r>
      <w:r>
        <w:rPr>
          <w:spacing w:val="-4"/>
        </w:rPr>
        <w:t> </w:t>
      </w:r>
      <w:r>
        <w:rPr/>
        <w:t>changes in disclosure are</w:t>
      </w:r>
      <w:r>
        <w:rPr>
          <w:spacing w:val="40"/>
        </w:rPr>
        <w:t> </w:t>
      </w:r>
      <w:r>
        <w:rPr/>
        <w:t>driven solely by performance.</w:t>
      </w:r>
    </w:p>
    <w:p>
      <w:pPr>
        <w:pStyle w:val="BodyText"/>
        <w:spacing w:before="8"/>
      </w:pPr>
    </w:p>
    <w:p>
      <w:pPr>
        <w:pStyle w:val="Heading4"/>
      </w:pPr>
      <w:r>
        <w:rPr>
          <w:spacing w:val="-2"/>
        </w:rPr>
        <w:t>CONCLUSION</w:t>
      </w:r>
    </w:p>
    <w:p>
      <w:pPr>
        <w:pStyle w:val="BodyText"/>
        <w:rPr>
          <w:b/>
        </w:rPr>
      </w:pPr>
    </w:p>
    <w:p>
      <w:pPr>
        <w:pStyle w:val="BodyText"/>
        <w:spacing w:line="230" w:lineRule="auto"/>
        <w:ind w:left="723" w:right="1702"/>
      </w:pPr>
      <w:r>
        <w:rPr/>
        <w:t>This study develops and tests a moderated mediation framework explaining how and when employee-oriented CSR disclosure enhances firm productivity. By integrating shareholder theory, signaling theory, and RBV logic, it demonstrates that employee-related disclosure matters</w:t>
      </w:r>
      <w:r>
        <w:rPr>
          <w:spacing w:val="-3"/>
        </w:rPr>
        <w:t> </w:t>
      </w:r>
      <w:r>
        <w:rPr/>
        <w:t>not</w:t>
      </w:r>
      <w:r>
        <w:rPr>
          <w:spacing w:val="-3"/>
        </w:rPr>
        <w:t> </w:t>
      </w:r>
      <w:r>
        <w:rPr/>
        <w:t>simply</w:t>
      </w:r>
      <w:r>
        <w:rPr>
          <w:spacing w:val="-3"/>
        </w:rPr>
        <w:t> </w:t>
      </w:r>
      <w:r>
        <w:rPr/>
        <w:t>as</w:t>
      </w:r>
      <w:r>
        <w:rPr>
          <w:spacing w:val="-3"/>
        </w:rPr>
        <w:t> </w:t>
      </w:r>
      <w:r>
        <w:rPr/>
        <w:t>communication,</w:t>
      </w:r>
      <w:r>
        <w:rPr>
          <w:spacing w:val="-3"/>
        </w:rPr>
        <w:t> </w:t>
      </w:r>
      <w:r>
        <w:rPr/>
        <w:t>but</w:t>
      </w:r>
      <w:r>
        <w:rPr>
          <w:spacing w:val="-3"/>
        </w:rPr>
        <w:t> </w:t>
      </w:r>
      <w:r>
        <w:rPr/>
        <w:t>as</w:t>
      </w:r>
      <w:r>
        <w:rPr>
          <w:spacing w:val="-3"/>
        </w:rPr>
        <w:t> </w:t>
      </w:r>
      <w:r>
        <w:rPr/>
        <w:t>a</w:t>
      </w:r>
      <w:r>
        <w:rPr>
          <w:spacing w:val="-3"/>
        </w:rPr>
        <w:t> </w:t>
      </w:r>
      <w:r>
        <w:rPr/>
        <w:t>mechanism</w:t>
      </w:r>
      <w:r>
        <w:rPr>
          <w:spacing w:val="-3"/>
        </w:rPr>
        <w:t> </w:t>
      </w:r>
      <w:r>
        <w:rPr/>
        <w:t>for</w:t>
      </w:r>
      <w:r>
        <w:rPr>
          <w:spacing w:val="-3"/>
        </w:rPr>
        <w:t> </w:t>
      </w:r>
      <w:r>
        <w:rPr/>
        <w:t>building</w:t>
      </w:r>
      <w:r>
        <w:rPr>
          <w:spacing w:val="-3"/>
        </w:rPr>
        <w:t> </w:t>
      </w:r>
      <w:r>
        <w:rPr/>
        <w:t>valuable</w:t>
      </w:r>
      <w:r>
        <w:rPr>
          <w:spacing w:val="-3"/>
        </w:rPr>
        <w:t> </w:t>
      </w:r>
      <w:r>
        <w:rPr/>
        <w:t>human</w:t>
      </w:r>
      <w:r>
        <w:rPr>
          <w:spacing w:val="-3"/>
        </w:rPr>
        <w:t> </w:t>
      </w:r>
      <w:r>
        <w:rPr/>
        <w:t>capital intangible assets, particularly in high-turnover industries where talent markets are fluid.</w:t>
      </w:r>
    </w:p>
    <w:p>
      <w:pPr>
        <w:pStyle w:val="BodyText"/>
        <w:spacing w:after="0" w:line="230" w:lineRule="auto"/>
        <w:sectPr>
          <w:pgSz w:w="12240" w:h="15840"/>
          <w:pgMar w:header="0" w:footer="706" w:top="620" w:bottom="960" w:left="720" w:right="0"/>
        </w:sectPr>
      </w:pPr>
    </w:p>
    <w:p>
      <w:pPr>
        <w:pStyle w:val="Heading4"/>
        <w:spacing w:before="60"/>
      </w:pPr>
      <w:r>
        <w:rPr>
          <w:spacing w:val="-2"/>
        </w:rPr>
        <w:t>REFERENCES</w:t>
      </w:r>
    </w:p>
    <w:p>
      <w:pPr>
        <w:pStyle w:val="BodyText"/>
        <w:spacing w:line="230" w:lineRule="auto" w:before="276"/>
        <w:ind w:left="723" w:right="1619"/>
      </w:pPr>
      <w:r>
        <w:rPr/>
        <w:t>Barney,</w:t>
      </w:r>
      <w:r>
        <w:rPr>
          <w:spacing w:val="-6"/>
        </w:rPr>
        <w:t> </w:t>
      </w:r>
      <w:r>
        <w:rPr/>
        <w:t>J.</w:t>
      </w:r>
      <w:r>
        <w:rPr>
          <w:spacing w:val="-6"/>
        </w:rPr>
        <w:t> </w:t>
      </w:r>
      <w:r>
        <w:rPr/>
        <w:t>(1991).</w:t>
      </w:r>
      <w:r>
        <w:rPr>
          <w:spacing w:val="-6"/>
        </w:rPr>
        <w:t> </w:t>
      </w:r>
      <w:r>
        <w:rPr/>
        <w:t>Firm</w:t>
      </w:r>
      <w:r>
        <w:rPr>
          <w:spacing w:val="-6"/>
        </w:rPr>
        <w:t> </w:t>
      </w:r>
      <w:r>
        <w:rPr/>
        <w:t>Resources</w:t>
      </w:r>
      <w:r>
        <w:rPr>
          <w:spacing w:val="-6"/>
        </w:rPr>
        <w:t> </w:t>
      </w:r>
      <w:r>
        <w:rPr/>
        <w:t>and</w:t>
      </w:r>
      <w:r>
        <w:rPr>
          <w:spacing w:val="-6"/>
        </w:rPr>
        <w:t> </w:t>
      </w:r>
      <w:r>
        <w:rPr/>
        <w:t>Sustained</w:t>
      </w:r>
      <w:r>
        <w:rPr>
          <w:spacing w:val="-6"/>
        </w:rPr>
        <w:t> </w:t>
      </w:r>
      <w:r>
        <w:rPr/>
        <w:t>Competitive</w:t>
      </w:r>
      <w:r>
        <w:rPr>
          <w:spacing w:val="-6"/>
        </w:rPr>
        <w:t> </w:t>
      </w:r>
      <w:r>
        <w:rPr/>
        <w:t>Advantage.</w:t>
      </w:r>
      <w:r>
        <w:rPr>
          <w:spacing w:val="-6"/>
        </w:rPr>
        <w:t> </w:t>
      </w:r>
      <w:r>
        <w:rPr/>
        <w:t>Journal</w:t>
      </w:r>
      <w:r>
        <w:rPr>
          <w:spacing w:val="-6"/>
        </w:rPr>
        <w:t> </w:t>
      </w:r>
      <w:r>
        <w:rPr/>
        <w:t>of Management, 17(1), 99–120. </w:t>
      </w:r>
      <w:hyperlink r:id="rId105">
        <w:r>
          <w:rPr>
            <w:color w:val="0462C1"/>
            <w:u w:val="thick" w:color="0462C1"/>
          </w:rPr>
          <w:t>https://doi.org/10.1177/014920639101700108</w:t>
        </w:r>
      </w:hyperlink>
    </w:p>
    <w:p>
      <w:pPr>
        <w:pStyle w:val="BodyText"/>
        <w:spacing w:before="9"/>
      </w:pPr>
    </w:p>
    <w:p>
      <w:pPr>
        <w:pStyle w:val="BodyText"/>
        <w:spacing w:line="230" w:lineRule="auto" w:before="1"/>
        <w:ind w:left="723" w:right="1619"/>
      </w:pPr>
      <w:r>
        <w:rPr/>
        <w:t>Coff,</w:t>
      </w:r>
      <w:r>
        <w:rPr>
          <w:spacing w:val="-5"/>
        </w:rPr>
        <w:t> </w:t>
      </w:r>
      <w:r>
        <w:rPr/>
        <w:t>R.</w:t>
      </w:r>
      <w:r>
        <w:rPr>
          <w:spacing w:val="-5"/>
        </w:rPr>
        <w:t> </w:t>
      </w:r>
      <w:r>
        <w:rPr/>
        <w:t>W.</w:t>
      </w:r>
      <w:r>
        <w:rPr>
          <w:spacing w:val="-5"/>
        </w:rPr>
        <w:t> </w:t>
      </w:r>
      <w:r>
        <w:rPr/>
        <w:t>(1997).</w:t>
      </w:r>
      <w:r>
        <w:rPr>
          <w:spacing w:val="-5"/>
        </w:rPr>
        <w:t> </w:t>
      </w:r>
      <w:r>
        <w:rPr/>
        <w:t>Human</w:t>
      </w:r>
      <w:r>
        <w:rPr>
          <w:spacing w:val="-5"/>
        </w:rPr>
        <w:t> </w:t>
      </w:r>
      <w:r>
        <w:rPr/>
        <w:t>Assets</w:t>
      </w:r>
      <w:r>
        <w:rPr>
          <w:spacing w:val="-5"/>
        </w:rPr>
        <w:t> </w:t>
      </w:r>
      <w:r>
        <w:rPr/>
        <w:t>and</w:t>
      </w:r>
      <w:r>
        <w:rPr>
          <w:spacing w:val="-5"/>
        </w:rPr>
        <w:t> </w:t>
      </w:r>
      <w:r>
        <w:rPr/>
        <w:t>Management</w:t>
      </w:r>
      <w:r>
        <w:rPr>
          <w:spacing w:val="-5"/>
        </w:rPr>
        <w:t> </w:t>
      </w:r>
      <w:r>
        <w:rPr/>
        <w:t>Dilemmas:</w:t>
      </w:r>
      <w:r>
        <w:rPr>
          <w:spacing w:val="-5"/>
        </w:rPr>
        <w:t> </w:t>
      </w:r>
      <w:r>
        <w:rPr/>
        <w:t>Coping</w:t>
      </w:r>
      <w:r>
        <w:rPr>
          <w:spacing w:val="-5"/>
        </w:rPr>
        <w:t> </w:t>
      </w:r>
      <w:r>
        <w:rPr/>
        <w:t>with</w:t>
      </w:r>
      <w:r>
        <w:rPr>
          <w:spacing w:val="-5"/>
        </w:rPr>
        <w:t> </w:t>
      </w:r>
      <w:r>
        <w:rPr/>
        <w:t>Hazards</w:t>
      </w:r>
      <w:r>
        <w:rPr>
          <w:spacing w:val="-5"/>
        </w:rPr>
        <w:t> </w:t>
      </w:r>
      <w:r>
        <w:rPr/>
        <w:t>on</w:t>
      </w:r>
      <w:r>
        <w:rPr>
          <w:spacing w:val="-5"/>
        </w:rPr>
        <w:t> </w:t>
      </w:r>
      <w:r>
        <w:rPr/>
        <w:t>the Road to Resource-Based Theory. The Academy of Management Review, 22(2), 374. </w:t>
      </w:r>
      <w:hyperlink r:id="rId106">
        <w:r>
          <w:rPr>
            <w:color w:val="0462C1"/>
            <w:spacing w:val="-2"/>
            <w:u w:val="thick" w:color="0462C1"/>
          </w:rPr>
          <w:t>https://doi.org/10.2307/259327</w:t>
        </w:r>
      </w:hyperlink>
    </w:p>
    <w:p>
      <w:pPr>
        <w:pStyle w:val="BodyText"/>
        <w:spacing w:before="1"/>
      </w:pPr>
    </w:p>
    <w:p>
      <w:pPr>
        <w:pStyle w:val="BodyText"/>
        <w:spacing w:line="237" w:lineRule="auto"/>
        <w:ind w:left="723" w:right="1619"/>
      </w:pPr>
      <w:r>
        <w:rPr/>
        <w:t>Connelly,</w:t>
      </w:r>
      <w:r>
        <w:rPr>
          <w:spacing w:val="-5"/>
        </w:rPr>
        <w:t> </w:t>
      </w:r>
      <w:r>
        <w:rPr/>
        <w:t>B.</w:t>
      </w:r>
      <w:r>
        <w:rPr>
          <w:spacing w:val="-5"/>
        </w:rPr>
        <w:t> </w:t>
      </w:r>
      <w:r>
        <w:rPr/>
        <w:t>L.,</w:t>
      </w:r>
      <w:r>
        <w:rPr>
          <w:spacing w:val="-5"/>
        </w:rPr>
        <w:t> </w:t>
      </w:r>
      <w:r>
        <w:rPr/>
        <w:t>Certo,</w:t>
      </w:r>
      <w:r>
        <w:rPr>
          <w:spacing w:val="-5"/>
        </w:rPr>
        <w:t> </w:t>
      </w:r>
      <w:r>
        <w:rPr/>
        <w:t>S.</w:t>
      </w:r>
      <w:r>
        <w:rPr>
          <w:spacing w:val="-5"/>
        </w:rPr>
        <w:t> </w:t>
      </w:r>
      <w:r>
        <w:rPr/>
        <w:t>T.,</w:t>
      </w:r>
      <w:r>
        <w:rPr>
          <w:spacing w:val="-5"/>
        </w:rPr>
        <w:t> </w:t>
      </w:r>
      <w:r>
        <w:rPr/>
        <w:t>Ireland,</w:t>
      </w:r>
      <w:r>
        <w:rPr>
          <w:spacing w:val="-5"/>
        </w:rPr>
        <w:t> </w:t>
      </w:r>
      <w:r>
        <w:rPr/>
        <w:t>R.</w:t>
      </w:r>
      <w:r>
        <w:rPr>
          <w:spacing w:val="-5"/>
        </w:rPr>
        <w:t> </w:t>
      </w:r>
      <w:r>
        <w:rPr/>
        <w:t>D.,</w:t>
      </w:r>
      <w:r>
        <w:rPr>
          <w:spacing w:val="-5"/>
        </w:rPr>
        <w:t> </w:t>
      </w:r>
      <w:r>
        <w:rPr/>
        <w:t>&amp;</w:t>
      </w:r>
      <w:r>
        <w:rPr>
          <w:spacing w:val="-5"/>
        </w:rPr>
        <w:t> </w:t>
      </w:r>
      <w:r>
        <w:rPr/>
        <w:t>Reutzel,</w:t>
      </w:r>
      <w:r>
        <w:rPr>
          <w:spacing w:val="-5"/>
        </w:rPr>
        <w:t> </w:t>
      </w:r>
      <w:r>
        <w:rPr/>
        <w:t>C.</w:t>
      </w:r>
      <w:r>
        <w:rPr>
          <w:spacing w:val="-5"/>
        </w:rPr>
        <w:t> </w:t>
      </w:r>
      <w:r>
        <w:rPr/>
        <w:t>R.</w:t>
      </w:r>
      <w:r>
        <w:rPr>
          <w:spacing w:val="-5"/>
        </w:rPr>
        <w:t> </w:t>
      </w:r>
      <w:r>
        <w:rPr/>
        <w:t>(2011).</w:t>
      </w:r>
      <w:r>
        <w:rPr>
          <w:spacing w:val="-5"/>
        </w:rPr>
        <w:t> </w:t>
      </w:r>
      <w:r>
        <w:rPr/>
        <w:t>Signaling</w:t>
      </w:r>
      <w:r>
        <w:rPr>
          <w:spacing w:val="-5"/>
        </w:rPr>
        <w:t> </w:t>
      </w:r>
      <w:r>
        <w:rPr/>
        <w:t>Theory:</w:t>
      </w:r>
      <w:r>
        <w:rPr>
          <w:spacing w:val="-5"/>
        </w:rPr>
        <w:t> </w:t>
      </w:r>
      <w:r>
        <w:rPr/>
        <w:t>A Review and Assessment. Journal of Management, 37(1), 39–67. </w:t>
      </w:r>
      <w:hyperlink r:id="rId107">
        <w:r>
          <w:rPr>
            <w:color w:val="0462C1"/>
            <w:spacing w:val="-2"/>
            <w:u w:val="thick" w:color="0462C1"/>
          </w:rPr>
          <w:t>https://doi.org/10.1177/0149206310388419</w:t>
        </w:r>
      </w:hyperlink>
    </w:p>
    <w:p>
      <w:pPr>
        <w:pStyle w:val="BodyText"/>
        <w:spacing w:line="230" w:lineRule="auto" w:before="273"/>
        <w:ind w:left="723" w:right="1191"/>
      </w:pPr>
      <w:r>
        <w:rPr/>
        <w:t>Friedman, M. (2007). The Social Responsibility of Business Is to Increase Its Profits. In W. C. Zimmerli,</w:t>
      </w:r>
      <w:r>
        <w:rPr>
          <w:spacing w:val="-4"/>
        </w:rPr>
        <w:t> </w:t>
      </w:r>
      <w:r>
        <w:rPr/>
        <w:t>M.</w:t>
      </w:r>
      <w:r>
        <w:rPr>
          <w:spacing w:val="-4"/>
        </w:rPr>
        <w:t> </w:t>
      </w:r>
      <w:r>
        <w:rPr/>
        <w:t>Holzinger,</w:t>
      </w:r>
      <w:r>
        <w:rPr>
          <w:spacing w:val="-4"/>
        </w:rPr>
        <w:t> </w:t>
      </w:r>
      <w:r>
        <w:rPr/>
        <w:t>&amp;</w:t>
      </w:r>
      <w:r>
        <w:rPr>
          <w:spacing w:val="-4"/>
        </w:rPr>
        <w:t> </w:t>
      </w:r>
      <w:r>
        <w:rPr/>
        <w:t>K.</w:t>
      </w:r>
      <w:r>
        <w:rPr>
          <w:spacing w:val="-4"/>
        </w:rPr>
        <w:t> </w:t>
      </w:r>
      <w:r>
        <w:rPr/>
        <w:t>Richter</w:t>
      </w:r>
      <w:r>
        <w:rPr>
          <w:spacing w:val="-4"/>
        </w:rPr>
        <w:t> </w:t>
      </w:r>
      <w:r>
        <w:rPr/>
        <w:t>(Eds.),</w:t>
      </w:r>
      <w:r>
        <w:rPr>
          <w:spacing w:val="-4"/>
        </w:rPr>
        <w:t> </w:t>
      </w:r>
      <w:r>
        <w:rPr>
          <w:i/>
        </w:rPr>
        <w:t>Corporate</w:t>
      </w:r>
      <w:r>
        <w:rPr>
          <w:i/>
          <w:spacing w:val="-4"/>
        </w:rPr>
        <w:t> </w:t>
      </w:r>
      <w:r>
        <w:rPr>
          <w:i/>
        </w:rPr>
        <w:t>Ethics</w:t>
      </w:r>
      <w:r>
        <w:rPr>
          <w:i/>
          <w:spacing w:val="-4"/>
        </w:rPr>
        <w:t> </w:t>
      </w:r>
      <w:r>
        <w:rPr>
          <w:i/>
        </w:rPr>
        <w:t>and</w:t>
      </w:r>
      <w:r>
        <w:rPr>
          <w:i/>
          <w:spacing w:val="-4"/>
        </w:rPr>
        <w:t> </w:t>
      </w:r>
      <w:r>
        <w:rPr>
          <w:i/>
        </w:rPr>
        <w:t>Corporate</w:t>
      </w:r>
      <w:r>
        <w:rPr>
          <w:i/>
          <w:spacing w:val="-4"/>
        </w:rPr>
        <w:t> </w:t>
      </w:r>
      <w:r>
        <w:rPr>
          <w:i/>
        </w:rPr>
        <w:t>Governance</w:t>
      </w:r>
      <w:r>
        <w:rPr>
          <w:i/>
          <w:spacing w:val="-4"/>
        </w:rPr>
        <w:t> </w:t>
      </w:r>
      <w:r>
        <w:rPr/>
        <w:t>(pp. 173–178). Springer. </w:t>
      </w:r>
      <w:hyperlink r:id="rId108">
        <w:r>
          <w:rPr>
            <w:color w:val="0462C1"/>
            <w:u w:val="thick" w:color="0462C1"/>
          </w:rPr>
          <w:t>https://doi.org/10.1007/978-3-540-70818-6_14</w:t>
        </w:r>
      </w:hyperlink>
    </w:p>
    <w:p>
      <w:pPr>
        <w:pStyle w:val="BodyText"/>
        <w:spacing w:before="8"/>
      </w:pPr>
    </w:p>
    <w:p>
      <w:pPr>
        <w:pStyle w:val="BodyText"/>
        <w:spacing w:line="230" w:lineRule="auto"/>
        <w:ind w:left="723" w:right="1381"/>
      </w:pPr>
      <w:r>
        <w:rPr/>
        <w:t>Hitt,</w:t>
      </w:r>
      <w:r>
        <w:rPr>
          <w:spacing w:val="-6"/>
        </w:rPr>
        <w:t> </w:t>
      </w:r>
      <w:r>
        <w:rPr/>
        <w:t>M.</w:t>
      </w:r>
      <w:r>
        <w:rPr>
          <w:spacing w:val="-6"/>
        </w:rPr>
        <w:t> </w:t>
      </w:r>
      <w:r>
        <w:rPr/>
        <w:t>A.,</w:t>
      </w:r>
      <w:r>
        <w:rPr>
          <w:spacing w:val="-6"/>
        </w:rPr>
        <w:t> </w:t>
      </w:r>
      <w:r>
        <w:rPr/>
        <w:t>Biermant,</w:t>
      </w:r>
      <w:r>
        <w:rPr>
          <w:spacing w:val="-6"/>
        </w:rPr>
        <w:t> </w:t>
      </w:r>
      <w:r>
        <w:rPr/>
        <w:t>L.,</w:t>
      </w:r>
      <w:r>
        <w:rPr>
          <w:spacing w:val="-6"/>
        </w:rPr>
        <w:t> </w:t>
      </w:r>
      <w:r>
        <w:rPr/>
        <w:t>Shimizu,</w:t>
      </w:r>
      <w:r>
        <w:rPr>
          <w:spacing w:val="-6"/>
        </w:rPr>
        <w:t> </w:t>
      </w:r>
      <w:r>
        <w:rPr/>
        <w:t>K.,</w:t>
      </w:r>
      <w:r>
        <w:rPr>
          <w:spacing w:val="-6"/>
        </w:rPr>
        <w:t> </w:t>
      </w:r>
      <w:r>
        <w:rPr/>
        <w:t>&amp;</w:t>
      </w:r>
      <w:r>
        <w:rPr>
          <w:spacing w:val="-6"/>
        </w:rPr>
        <w:t> </w:t>
      </w:r>
      <w:r>
        <w:rPr/>
        <w:t>Kochhar,</w:t>
      </w:r>
      <w:r>
        <w:rPr>
          <w:spacing w:val="-6"/>
        </w:rPr>
        <w:t> </w:t>
      </w:r>
      <w:r>
        <w:rPr/>
        <w:t>R.</w:t>
      </w:r>
      <w:r>
        <w:rPr>
          <w:spacing w:val="-6"/>
        </w:rPr>
        <w:t> </w:t>
      </w:r>
      <w:r>
        <w:rPr/>
        <w:t>(2001).</w:t>
      </w:r>
      <w:r>
        <w:rPr>
          <w:spacing w:val="-6"/>
        </w:rPr>
        <w:t> </w:t>
      </w:r>
      <w:r>
        <w:rPr/>
        <w:t>DIRECT</w:t>
      </w:r>
      <w:r>
        <w:rPr>
          <w:spacing w:val="-6"/>
        </w:rPr>
        <w:t> </w:t>
      </w:r>
      <w:r>
        <w:rPr/>
        <w:t>AND</w:t>
      </w:r>
      <w:r>
        <w:rPr>
          <w:spacing w:val="-6"/>
        </w:rPr>
        <w:t> </w:t>
      </w:r>
      <w:r>
        <w:rPr/>
        <w:t>MODERATING EFFECTS OF HUMAN CAPITAL ON STRATEGY AND PERFORMANCE IN PROFESSIONAL SERVICE FIRMS: A RESOURCE-BASED PERSPECTIVE. Academy of</w:t>
      </w:r>
    </w:p>
    <w:p>
      <w:pPr>
        <w:pStyle w:val="BodyText"/>
        <w:spacing w:line="265" w:lineRule="exact"/>
        <w:ind w:left="723"/>
      </w:pPr>
      <w:r>
        <w:rPr/>
        <w:t>Management Journal, 44(1), 13–28. </w:t>
      </w:r>
      <w:hyperlink r:id="rId109">
        <w:r>
          <w:rPr>
            <w:color w:val="0462C1"/>
            <w:spacing w:val="-2"/>
            <w:u w:val="thick" w:color="0462C1"/>
          </w:rPr>
          <w:t>https://doi.org/10.2307/3069334</w:t>
        </w:r>
      </w:hyperlink>
    </w:p>
    <w:p>
      <w:pPr>
        <w:pStyle w:val="BodyText"/>
        <w:spacing w:line="270" w:lineRule="exact" w:before="275"/>
        <w:ind w:left="723"/>
      </w:pPr>
      <w:r>
        <w:rPr/>
        <w:t>Jensen,</w:t>
      </w:r>
      <w:r>
        <w:rPr>
          <w:spacing w:val="-14"/>
        </w:rPr>
        <w:t> </w:t>
      </w:r>
      <w:r>
        <w:rPr/>
        <w:t>M.</w:t>
      </w:r>
      <w:r>
        <w:rPr>
          <w:spacing w:val="-14"/>
        </w:rPr>
        <w:t> </w:t>
      </w:r>
      <w:r>
        <w:rPr/>
        <w:t>C.</w:t>
      </w:r>
      <w:r>
        <w:rPr>
          <w:spacing w:val="-13"/>
        </w:rPr>
        <w:t> </w:t>
      </w:r>
      <w:r>
        <w:rPr/>
        <w:t>(2001).</w:t>
      </w:r>
      <w:r>
        <w:rPr>
          <w:spacing w:val="-14"/>
        </w:rPr>
        <w:t> </w:t>
      </w:r>
      <w:r>
        <w:rPr/>
        <w:t>VALUE</w:t>
      </w:r>
      <w:r>
        <w:rPr>
          <w:spacing w:val="-14"/>
        </w:rPr>
        <w:t> </w:t>
      </w:r>
      <w:r>
        <w:rPr/>
        <w:t>MAXIMIZATION,</w:t>
      </w:r>
      <w:r>
        <w:rPr>
          <w:spacing w:val="-13"/>
        </w:rPr>
        <w:t> </w:t>
      </w:r>
      <w:r>
        <w:rPr/>
        <w:t>STAKEHOLDER</w:t>
      </w:r>
      <w:r>
        <w:rPr>
          <w:spacing w:val="-14"/>
        </w:rPr>
        <w:t> </w:t>
      </w:r>
      <w:r>
        <w:rPr/>
        <w:t>THEORY,</w:t>
      </w:r>
      <w:r>
        <w:rPr>
          <w:spacing w:val="-14"/>
        </w:rPr>
        <w:t> </w:t>
      </w:r>
      <w:r>
        <w:rPr/>
        <w:t>AND</w:t>
      </w:r>
      <w:r>
        <w:rPr>
          <w:spacing w:val="-13"/>
        </w:rPr>
        <w:t> </w:t>
      </w:r>
      <w:r>
        <w:rPr>
          <w:spacing w:val="-5"/>
        </w:rPr>
        <w:t>THE</w:t>
      </w:r>
    </w:p>
    <w:p>
      <w:pPr>
        <w:spacing w:line="230" w:lineRule="auto" w:before="4"/>
        <w:ind w:left="723" w:right="1654" w:firstLine="0"/>
        <w:jc w:val="left"/>
        <w:rPr>
          <w:sz w:val="24"/>
        </w:rPr>
      </w:pPr>
      <w:r>
        <w:rPr>
          <w:sz w:val="24"/>
        </w:rPr>
        <w:t>CORPORATE</w:t>
      </w:r>
      <w:r>
        <w:rPr>
          <w:spacing w:val="-8"/>
          <w:sz w:val="24"/>
        </w:rPr>
        <w:t> </w:t>
      </w:r>
      <w:r>
        <w:rPr>
          <w:sz w:val="24"/>
        </w:rPr>
        <w:t>OBJECTIVE</w:t>
      </w:r>
      <w:r>
        <w:rPr>
          <w:spacing w:val="-8"/>
          <w:sz w:val="24"/>
        </w:rPr>
        <w:t> </w:t>
      </w:r>
      <w:r>
        <w:rPr>
          <w:sz w:val="24"/>
        </w:rPr>
        <w:t>FUNCTION.</w:t>
      </w:r>
      <w:r>
        <w:rPr>
          <w:spacing w:val="-8"/>
          <w:sz w:val="24"/>
        </w:rPr>
        <w:t> </w:t>
      </w:r>
      <w:r>
        <w:rPr>
          <w:i/>
          <w:sz w:val="24"/>
        </w:rPr>
        <w:t>Journal</w:t>
      </w:r>
      <w:r>
        <w:rPr>
          <w:i/>
          <w:spacing w:val="-8"/>
          <w:sz w:val="24"/>
        </w:rPr>
        <w:t> </w:t>
      </w:r>
      <w:r>
        <w:rPr>
          <w:i/>
          <w:sz w:val="24"/>
        </w:rPr>
        <w:t>of</w:t>
      </w:r>
      <w:r>
        <w:rPr>
          <w:i/>
          <w:spacing w:val="-8"/>
          <w:sz w:val="24"/>
        </w:rPr>
        <w:t> </w:t>
      </w:r>
      <w:r>
        <w:rPr>
          <w:i/>
          <w:sz w:val="24"/>
        </w:rPr>
        <w:t>Applied</w:t>
      </w:r>
      <w:r>
        <w:rPr>
          <w:i/>
          <w:spacing w:val="-8"/>
          <w:sz w:val="24"/>
        </w:rPr>
        <w:t> </w:t>
      </w:r>
      <w:r>
        <w:rPr>
          <w:i/>
          <w:sz w:val="24"/>
        </w:rPr>
        <w:t>Corporate</w:t>
      </w:r>
      <w:r>
        <w:rPr>
          <w:i/>
          <w:spacing w:val="-8"/>
          <w:sz w:val="24"/>
        </w:rPr>
        <w:t> </w:t>
      </w:r>
      <w:r>
        <w:rPr>
          <w:i/>
          <w:sz w:val="24"/>
        </w:rPr>
        <w:t>Finance</w:t>
      </w:r>
      <w:r>
        <w:rPr>
          <w:sz w:val="24"/>
        </w:rPr>
        <w:t>,</w:t>
      </w:r>
      <w:r>
        <w:rPr>
          <w:spacing w:val="-8"/>
          <w:sz w:val="24"/>
        </w:rPr>
        <w:t> </w:t>
      </w:r>
      <w:r>
        <w:rPr>
          <w:i/>
          <w:sz w:val="24"/>
        </w:rPr>
        <w:t>14</w:t>
      </w:r>
      <w:r>
        <w:rPr>
          <w:sz w:val="24"/>
        </w:rPr>
        <w:t>(3),</w:t>
      </w:r>
      <w:r>
        <w:rPr>
          <w:spacing w:val="-8"/>
          <w:sz w:val="24"/>
        </w:rPr>
        <w:t> </w:t>
      </w:r>
      <w:r>
        <w:rPr>
          <w:sz w:val="24"/>
        </w:rPr>
        <w:t>8–</w:t>
      </w:r>
      <w:r>
        <w:rPr>
          <w:sz w:val="24"/>
        </w:rPr>
        <w:t>21. </w:t>
      </w:r>
      <w:hyperlink r:id="rId110">
        <w:r>
          <w:rPr>
            <w:color w:val="0462C1"/>
            <w:spacing w:val="-2"/>
            <w:sz w:val="24"/>
            <w:u w:val="thick" w:color="0462C1"/>
          </w:rPr>
          <w:t>https://doi.org/10.1111/j.1745-6622.2001.tb00434.x</w:t>
        </w:r>
      </w:hyperlink>
    </w:p>
    <w:p>
      <w:pPr>
        <w:pStyle w:val="BodyText"/>
      </w:pPr>
    </w:p>
    <w:p>
      <w:pPr>
        <w:pStyle w:val="BodyText"/>
        <w:spacing w:before="8"/>
      </w:pPr>
    </w:p>
    <w:p>
      <w:pPr>
        <w:pStyle w:val="BodyText"/>
        <w:spacing w:line="230" w:lineRule="auto"/>
        <w:ind w:left="723" w:right="1381"/>
      </w:pPr>
      <w:r>
        <w:rPr/>
        <w:t>Kim, S.-Y., &amp; Park, H. (2011). Corporate Social Responsibility as an Organizational Attractiveness</w:t>
      </w:r>
      <w:r>
        <w:rPr>
          <w:spacing w:val="-4"/>
        </w:rPr>
        <w:t> </w:t>
      </w:r>
      <w:r>
        <w:rPr/>
        <w:t>for</w:t>
      </w:r>
      <w:r>
        <w:rPr>
          <w:spacing w:val="-4"/>
        </w:rPr>
        <w:t> </w:t>
      </w:r>
      <w:r>
        <w:rPr/>
        <w:t>Prospective</w:t>
      </w:r>
      <w:r>
        <w:rPr>
          <w:spacing w:val="-4"/>
        </w:rPr>
        <w:t> </w:t>
      </w:r>
      <w:r>
        <w:rPr/>
        <w:t>Public</w:t>
      </w:r>
      <w:r>
        <w:rPr>
          <w:spacing w:val="-4"/>
        </w:rPr>
        <w:t> </w:t>
      </w:r>
      <w:r>
        <w:rPr/>
        <w:t>Relations</w:t>
      </w:r>
      <w:r>
        <w:rPr>
          <w:spacing w:val="-4"/>
        </w:rPr>
        <w:t> </w:t>
      </w:r>
      <w:r>
        <w:rPr/>
        <w:t>Practitioners.</w:t>
      </w:r>
      <w:r>
        <w:rPr>
          <w:spacing w:val="-4"/>
        </w:rPr>
        <w:t> </w:t>
      </w:r>
      <w:r>
        <w:rPr/>
        <w:t>Journal</w:t>
      </w:r>
      <w:r>
        <w:rPr>
          <w:spacing w:val="-4"/>
        </w:rPr>
        <w:t> </w:t>
      </w:r>
      <w:r>
        <w:rPr/>
        <w:t>of</w:t>
      </w:r>
      <w:r>
        <w:rPr>
          <w:spacing w:val="-4"/>
        </w:rPr>
        <w:t> </w:t>
      </w:r>
      <w:r>
        <w:rPr/>
        <w:t>Business</w:t>
      </w:r>
      <w:r>
        <w:rPr>
          <w:spacing w:val="-4"/>
        </w:rPr>
        <w:t> </w:t>
      </w:r>
      <w:r>
        <w:rPr/>
        <w:t>Ethics,</w:t>
      </w:r>
      <w:r>
        <w:rPr>
          <w:spacing w:val="-4"/>
        </w:rPr>
        <w:t> </w:t>
      </w:r>
      <w:r>
        <w:rPr/>
        <w:t>103(4), 639–653. </w:t>
      </w:r>
      <w:hyperlink r:id="rId111">
        <w:r>
          <w:rPr>
            <w:color w:val="0462C1"/>
            <w:u w:val="thick" w:color="0462C1"/>
          </w:rPr>
          <w:t>https://doi.org/10.1007/s10551-011-0886-x</w:t>
        </w:r>
      </w:hyperlink>
    </w:p>
    <w:p>
      <w:pPr>
        <w:pStyle w:val="BodyText"/>
        <w:spacing w:before="8"/>
      </w:pPr>
    </w:p>
    <w:p>
      <w:pPr>
        <w:pStyle w:val="BodyText"/>
        <w:spacing w:line="230" w:lineRule="auto"/>
        <w:ind w:left="723" w:right="1191"/>
      </w:pPr>
      <w:r>
        <w:rPr/>
        <w:t>Li,</w:t>
      </w:r>
      <w:r>
        <w:rPr>
          <w:spacing w:val="-6"/>
        </w:rPr>
        <w:t> </w:t>
      </w:r>
      <w:r>
        <w:rPr/>
        <w:t>F.</w:t>
      </w:r>
      <w:r>
        <w:rPr>
          <w:spacing w:val="-6"/>
        </w:rPr>
        <w:t> </w:t>
      </w:r>
      <w:r>
        <w:rPr/>
        <w:t>(2008).</w:t>
      </w:r>
      <w:r>
        <w:rPr>
          <w:spacing w:val="-6"/>
        </w:rPr>
        <w:t> </w:t>
      </w:r>
      <w:r>
        <w:rPr/>
        <w:t>Annual</w:t>
      </w:r>
      <w:r>
        <w:rPr>
          <w:spacing w:val="-6"/>
        </w:rPr>
        <w:t> </w:t>
      </w:r>
      <w:r>
        <w:rPr/>
        <w:t>report</w:t>
      </w:r>
      <w:r>
        <w:rPr>
          <w:spacing w:val="-6"/>
        </w:rPr>
        <w:t> </w:t>
      </w:r>
      <w:r>
        <w:rPr/>
        <w:t>readability,</w:t>
      </w:r>
      <w:r>
        <w:rPr>
          <w:spacing w:val="-6"/>
        </w:rPr>
        <w:t> </w:t>
      </w:r>
      <w:r>
        <w:rPr/>
        <w:t>current</w:t>
      </w:r>
      <w:r>
        <w:rPr>
          <w:spacing w:val="-6"/>
        </w:rPr>
        <w:t> </w:t>
      </w:r>
      <w:r>
        <w:rPr/>
        <w:t>earnings,</w:t>
      </w:r>
      <w:r>
        <w:rPr>
          <w:spacing w:val="-6"/>
        </w:rPr>
        <w:t> </w:t>
      </w:r>
      <w:r>
        <w:rPr/>
        <w:t>and</w:t>
      </w:r>
      <w:r>
        <w:rPr>
          <w:spacing w:val="-6"/>
        </w:rPr>
        <w:t> </w:t>
      </w:r>
      <w:r>
        <w:rPr/>
        <w:t>earnings</w:t>
      </w:r>
      <w:r>
        <w:rPr>
          <w:spacing w:val="-6"/>
        </w:rPr>
        <w:t> </w:t>
      </w:r>
      <w:r>
        <w:rPr/>
        <w:t>persistence.</w:t>
      </w:r>
      <w:r>
        <w:rPr>
          <w:spacing w:val="-6"/>
        </w:rPr>
        <w:t> </w:t>
      </w:r>
      <w:r>
        <w:rPr/>
        <w:t>Journal</w:t>
      </w:r>
      <w:r>
        <w:rPr>
          <w:spacing w:val="-6"/>
        </w:rPr>
        <w:t> </w:t>
      </w:r>
      <w:r>
        <w:rPr/>
        <w:t>of Accounting and Economics, 45(2), 221–247. </w:t>
      </w:r>
      <w:hyperlink r:id="rId112">
        <w:r>
          <w:rPr>
            <w:color w:val="0462C1"/>
            <w:u w:val="thick" w:color="0462C1"/>
          </w:rPr>
          <w:t>https://doi.org/10.1016/j.jacceco.2008.02.003</w:t>
        </w:r>
      </w:hyperlink>
    </w:p>
    <w:p>
      <w:pPr>
        <w:pStyle w:val="BodyText"/>
        <w:spacing w:before="8"/>
      </w:pPr>
    </w:p>
    <w:p>
      <w:pPr>
        <w:pStyle w:val="BodyText"/>
        <w:spacing w:line="230" w:lineRule="auto" w:before="1"/>
        <w:ind w:left="723" w:right="1191"/>
      </w:pPr>
      <w:r>
        <w:rPr/>
        <w:t>Luo,</w:t>
      </w:r>
      <w:r>
        <w:rPr>
          <w:spacing w:val="-4"/>
        </w:rPr>
        <w:t> </w:t>
      </w:r>
      <w:r>
        <w:rPr/>
        <w:t>X.</w:t>
      </w:r>
      <w:r>
        <w:rPr>
          <w:spacing w:val="-4"/>
        </w:rPr>
        <w:t> </w:t>
      </w:r>
      <w:r>
        <w:rPr/>
        <w:t>R.,</w:t>
      </w:r>
      <w:r>
        <w:rPr>
          <w:spacing w:val="-4"/>
        </w:rPr>
        <w:t> </w:t>
      </w:r>
      <w:r>
        <w:rPr/>
        <w:t>Wang,</w:t>
      </w:r>
      <w:r>
        <w:rPr>
          <w:spacing w:val="-4"/>
        </w:rPr>
        <w:t> </w:t>
      </w:r>
      <w:r>
        <w:rPr/>
        <w:t>D.,</w:t>
      </w:r>
      <w:r>
        <w:rPr>
          <w:spacing w:val="-4"/>
        </w:rPr>
        <w:t> </w:t>
      </w:r>
      <w:r>
        <w:rPr/>
        <w:t>&amp;</w:t>
      </w:r>
      <w:r>
        <w:rPr>
          <w:spacing w:val="-4"/>
        </w:rPr>
        <w:t> </w:t>
      </w:r>
      <w:r>
        <w:rPr/>
        <w:t>Zhang,</w:t>
      </w:r>
      <w:r>
        <w:rPr>
          <w:spacing w:val="-4"/>
        </w:rPr>
        <w:t> </w:t>
      </w:r>
      <w:r>
        <w:rPr/>
        <w:t>J.</w:t>
      </w:r>
      <w:r>
        <w:rPr>
          <w:spacing w:val="-4"/>
        </w:rPr>
        <w:t> </w:t>
      </w:r>
      <w:r>
        <w:rPr/>
        <w:t>(2017).</w:t>
      </w:r>
      <w:r>
        <w:rPr>
          <w:spacing w:val="-4"/>
        </w:rPr>
        <w:t> </w:t>
      </w:r>
      <w:r>
        <w:rPr/>
        <w:t>Whose</w:t>
      </w:r>
      <w:r>
        <w:rPr>
          <w:spacing w:val="-4"/>
        </w:rPr>
        <w:t> </w:t>
      </w:r>
      <w:r>
        <w:rPr/>
        <w:t>Call</w:t>
      </w:r>
      <w:r>
        <w:rPr>
          <w:spacing w:val="-4"/>
        </w:rPr>
        <w:t> </w:t>
      </w:r>
      <w:r>
        <w:rPr/>
        <w:t>to</w:t>
      </w:r>
      <w:r>
        <w:rPr>
          <w:spacing w:val="-4"/>
        </w:rPr>
        <w:t> </w:t>
      </w:r>
      <w:r>
        <w:rPr/>
        <w:t>Answer:</w:t>
      </w:r>
      <w:r>
        <w:rPr>
          <w:spacing w:val="-4"/>
        </w:rPr>
        <w:t> </w:t>
      </w:r>
      <w:r>
        <w:rPr/>
        <w:t>Institutional</w:t>
      </w:r>
      <w:r>
        <w:rPr>
          <w:spacing w:val="-4"/>
        </w:rPr>
        <w:t> </w:t>
      </w:r>
      <w:r>
        <w:rPr/>
        <w:t>Complexity</w:t>
      </w:r>
      <w:r>
        <w:rPr>
          <w:spacing w:val="-4"/>
        </w:rPr>
        <w:t> </w:t>
      </w:r>
      <w:r>
        <w:rPr/>
        <w:t>and Firms’ CSR Reporting. Academy of Management Journal, 60(1), 321–344. </w:t>
      </w:r>
      <w:hyperlink r:id="rId113">
        <w:r>
          <w:rPr>
            <w:color w:val="0462C1"/>
            <w:spacing w:val="-2"/>
            <w:u w:val="thick" w:color="0462C1"/>
          </w:rPr>
          <w:t>https://doi.org/10.5465/amj.2014.0847</w:t>
        </w:r>
      </w:hyperlink>
    </w:p>
    <w:p>
      <w:pPr>
        <w:pStyle w:val="BodyText"/>
        <w:spacing w:before="9"/>
      </w:pPr>
    </w:p>
    <w:p>
      <w:pPr>
        <w:pStyle w:val="BodyText"/>
        <w:spacing w:line="230" w:lineRule="auto"/>
        <w:ind w:left="723" w:right="1381"/>
      </w:pPr>
      <w:r>
        <w:rPr/>
        <w:t>Park, T.-Y., &amp; Shaw, J. D. (2013). Turnover rates and organizational performance: A meta analysis.</w:t>
      </w:r>
      <w:r>
        <w:rPr>
          <w:spacing w:val="-5"/>
        </w:rPr>
        <w:t> </w:t>
      </w:r>
      <w:r>
        <w:rPr/>
        <w:t>Journal</w:t>
      </w:r>
      <w:r>
        <w:rPr>
          <w:spacing w:val="-2"/>
        </w:rPr>
        <w:t> </w:t>
      </w:r>
      <w:r>
        <w:rPr/>
        <w:t>of</w:t>
      </w:r>
      <w:r>
        <w:rPr>
          <w:spacing w:val="-2"/>
        </w:rPr>
        <w:t> </w:t>
      </w:r>
      <w:r>
        <w:rPr/>
        <w:t>Applied</w:t>
      </w:r>
      <w:r>
        <w:rPr>
          <w:spacing w:val="-3"/>
        </w:rPr>
        <w:t> </w:t>
      </w:r>
      <w:r>
        <w:rPr/>
        <w:t>Psychology,</w:t>
      </w:r>
      <w:r>
        <w:rPr>
          <w:spacing w:val="-2"/>
        </w:rPr>
        <w:t> </w:t>
      </w:r>
      <w:r>
        <w:rPr/>
        <w:t>98(2),</w:t>
      </w:r>
      <w:r>
        <w:rPr>
          <w:spacing w:val="-2"/>
        </w:rPr>
        <w:t> </w:t>
      </w:r>
      <w:r>
        <w:rPr/>
        <w:t>268–309.</w:t>
      </w:r>
      <w:r>
        <w:rPr>
          <w:spacing w:val="-2"/>
        </w:rPr>
        <w:t> </w:t>
      </w:r>
      <w:hyperlink r:id="rId114">
        <w:r>
          <w:rPr>
            <w:color w:val="0462C1"/>
            <w:spacing w:val="-2"/>
            <w:u w:val="thick" w:color="0462C1"/>
          </w:rPr>
          <w:t>https://doi.org/10.1037/a0030723</w:t>
        </w:r>
      </w:hyperlink>
    </w:p>
    <w:p>
      <w:pPr>
        <w:pStyle w:val="BodyText"/>
        <w:spacing w:line="223" w:lineRule="auto" w:before="259"/>
        <w:ind w:left="738" w:right="1948" w:hanging="15"/>
      </w:pPr>
      <w:r>
        <w:rPr/>
        <w:t>Peteraf,</w:t>
      </w:r>
      <w:r>
        <w:rPr>
          <w:spacing w:val="-3"/>
        </w:rPr>
        <w:t> </w:t>
      </w:r>
      <w:r>
        <w:rPr/>
        <w:t>M.</w:t>
      </w:r>
      <w:r>
        <w:rPr>
          <w:spacing w:val="-3"/>
        </w:rPr>
        <w:t> </w:t>
      </w:r>
      <w:r>
        <w:rPr/>
        <w:t>A.</w:t>
      </w:r>
      <w:r>
        <w:rPr>
          <w:spacing w:val="-3"/>
        </w:rPr>
        <w:t> </w:t>
      </w:r>
      <w:r>
        <w:rPr/>
        <w:t>(1993).</w:t>
      </w:r>
      <w:r>
        <w:rPr>
          <w:spacing w:val="-3"/>
        </w:rPr>
        <w:t> </w:t>
      </w:r>
      <w:r>
        <w:rPr/>
        <w:t>The</w:t>
      </w:r>
      <w:r>
        <w:rPr>
          <w:spacing w:val="-3"/>
        </w:rPr>
        <w:t> </w:t>
      </w:r>
      <w:r>
        <w:rPr/>
        <w:t>cornerstones</w:t>
      </w:r>
      <w:r>
        <w:rPr>
          <w:spacing w:val="-3"/>
        </w:rPr>
        <w:t> </w:t>
      </w:r>
      <w:r>
        <w:rPr/>
        <w:t>of</w:t>
      </w:r>
      <w:r>
        <w:rPr>
          <w:spacing w:val="-3"/>
        </w:rPr>
        <w:t> </w:t>
      </w:r>
      <w:r>
        <w:rPr/>
        <w:t>competitive</w:t>
      </w:r>
      <w:r>
        <w:rPr>
          <w:spacing w:val="-3"/>
        </w:rPr>
        <w:t> </w:t>
      </w:r>
      <w:r>
        <w:rPr/>
        <w:t>advantage:</w:t>
      </w:r>
      <w:r>
        <w:rPr>
          <w:spacing w:val="-3"/>
        </w:rPr>
        <w:t> </w:t>
      </w:r>
      <w:r>
        <w:rPr/>
        <w:t>A</w:t>
      </w:r>
      <w:r>
        <w:rPr>
          <w:spacing w:val="-3"/>
        </w:rPr>
        <w:t> </w:t>
      </w:r>
      <w:r>
        <w:rPr/>
        <w:t>resource</w:t>
      </w:r>
      <w:r>
        <w:rPr>
          <w:rFonts w:ascii="Segoe UI Symbol" w:hAnsi="Segoe UI Symbol"/>
        </w:rPr>
        <w:t>-</w:t>
      </w:r>
      <w:r>
        <w:rPr/>
        <w:t>based</w:t>
      </w:r>
      <w:r>
        <w:rPr>
          <w:spacing w:val="-3"/>
        </w:rPr>
        <w:t> </w:t>
      </w:r>
      <w:r>
        <w:rPr/>
        <w:t>view. Strategic Management Journal, 14(3), 179–191. </w:t>
      </w:r>
      <w:hyperlink r:id="rId115">
        <w:r>
          <w:rPr>
            <w:color w:val="0462C1"/>
            <w:u w:val="thick" w:color="0462C1"/>
          </w:rPr>
          <w:t>https://doi.org/10.1002/smj.4250140303</w:t>
        </w:r>
      </w:hyperlink>
    </w:p>
    <w:p>
      <w:pPr>
        <w:pStyle w:val="BodyText"/>
        <w:spacing w:line="223" w:lineRule="auto" w:before="239"/>
        <w:ind w:left="723" w:right="1580"/>
      </w:pPr>
      <w:r>
        <w:rPr/>
        <w:t>Shaw, J. D., Park, T., &amp; Kim, E. (2013). A resource</w:t>
      </w:r>
      <w:r>
        <w:rPr>
          <w:rFonts w:ascii="Segoe UI Symbol" w:hAnsi="Segoe UI Symbol"/>
        </w:rPr>
        <w:t>-</w:t>
      </w:r>
      <w:r>
        <w:rPr/>
        <w:t>based perspective on human capital losses, HRM</w:t>
      </w:r>
      <w:r>
        <w:rPr>
          <w:spacing w:val="-1"/>
        </w:rPr>
        <w:t> </w:t>
      </w:r>
      <w:r>
        <w:rPr/>
        <w:t>investments,</w:t>
      </w:r>
      <w:r>
        <w:rPr>
          <w:spacing w:val="-1"/>
        </w:rPr>
        <w:t> </w:t>
      </w:r>
      <w:r>
        <w:rPr/>
        <w:t>and organizational</w:t>
      </w:r>
      <w:r>
        <w:rPr>
          <w:spacing w:val="-1"/>
        </w:rPr>
        <w:t> </w:t>
      </w:r>
      <w:r>
        <w:rPr/>
        <w:t>performance. Strategic</w:t>
      </w:r>
      <w:r>
        <w:rPr>
          <w:spacing w:val="-1"/>
        </w:rPr>
        <w:t> </w:t>
      </w:r>
      <w:r>
        <w:rPr/>
        <w:t>Management Journal,</w:t>
      </w:r>
      <w:r>
        <w:rPr>
          <w:spacing w:val="-1"/>
        </w:rPr>
        <w:t> </w:t>
      </w:r>
      <w:r>
        <w:rPr/>
        <w:t>34(5), </w:t>
      </w:r>
      <w:r>
        <w:rPr>
          <w:spacing w:val="-4"/>
        </w:rPr>
        <w:t>572–</w:t>
      </w:r>
    </w:p>
    <w:p>
      <w:pPr>
        <w:pStyle w:val="BodyText"/>
        <w:spacing w:line="268" w:lineRule="exact"/>
        <w:ind w:left="723"/>
      </w:pPr>
      <w:r>
        <w:rPr/>
        <w:t>589. </w:t>
      </w:r>
      <w:hyperlink r:id="rId116">
        <w:r>
          <w:rPr>
            <w:color w:val="0462C1"/>
            <w:spacing w:val="-2"/>
            <w:u w:val="thick" w:color="0462C1"/>
          </w:rPr>
          <w:t>https://doi.org/10.1002/smj.2025</w:t>
        </w:r>
      </w:hyperlink>
    </w:p>
    <w:p>
      <w:pPr>
        <w:pStyle w:val="BodyText"/>
        <w:spacing w:before="7"/>
      </w:pPr>
    </w:p>
    <w:p>
      <w:pPr>
        <w:pStyle w:val="BodyText"/>
        <w:spacing w:line="230" w:lineRule="auto"/>
        <w:ind w:left="723"/>
      </w:pPr>
      <w:r>
        <w:rPr/>
        <w:t>Spence,</w:t>
      </w:r>
      <w:r>
        <w:rPr>
          <w:spacing w:val="-4"/>
        </w:rPr>
        <w:t> </w:t>
      </w:r>
      <w:r>
        <w:rPr/>
        <w:t>M.</w:t>
      </w:r>
      <w:r>
        <w:rPr>
          <w:spacing w:val="-4"/>
        </w:rPr>
        <w:t> </w:t>
      </w:r>
      <w:r>
        <w:rPr/>
        <w:t>(1973).</w:t>
      </w:r>
      <w:r>
        <w:rPr>
          <w:spacing w:val="-4"/>
        </w:rPr>
        <w:t> </w:t>
      </w:r>
      <w:r>
        <w:rPr/>
        <w:t>Job</w:t>
      </w:r>
      <w:r>
        <w:rPr>
          <w:spacing w:val="-4"/>
        </w:rPr>
        <w:t> </w:t>
      </w:r>
      <w:r>
        <w:rPr/>
        <w:t>Market</w:t>
      </w:r>
      <w:r>
        <w:rPr>
          <w:spacing w:val="-4"/>
        </w:rPr>
        <w:t> </w:t>
      </w:r>
      <w:r>
        <w:rPr/>
        <w:t>Signaling.</w:t>
      </w:r>
      <w:r>
        <w:rPr>
          <w:spacing w:val="-4"/>
        </w:rPr>
        <w:t> </w:t>
      </w:r>
      <w:r>
        <w:rPr/>
        <w:t>The</w:t>
      </w:r>
      <w:r>
        <w:rPr>
          <w:spacing w:val="-4"/>
        </w:rPr>
        <w:t> </w:t>
      </w:r>
      <w:r>
        <w:rPr/>
        <w:t>Quarterly</w:t>
      </w:r>
      <w:r>
        <w:rPr>
          <w:spacing w:val="-4"/>
        </w:rPr>
        <w:t> </w:t>
      </w:r>
      <w:r>
        <w:rPr/>
        <w:t>Journal</w:t>
      </w:r>
      <w:r>
        <w:rPr>
          <w:spacing w:val="-4"/>
        </w:rPr>
        <w:t> </w:t>
      </w:r>
      <w:r>
        <w:rPr/>
        <w:t>of</w:t>
      </w:r>
      <w:r>
        <w:rPr>
          <w:spacing w:val="-4"/>
        </w:rPr>
        <w:t> </w:t>
      </w:r>
      <w:r>
        <w:rPr/>
        <w:t>Economics,</w:t>
      </w:r>
      <w:r>
        <w:rPr>
          <w:spacing w:val="-4"/>
        </w:rPr>
        <w:t> </w:t>
      </w:r>
      <w:r>
        <w:rPr/>
        <w:t>87(3),</w:t>
      </w:r>
      <w:r>
        <w:rPr>
          <w:spacing w:val="-4"/>
        </w:rPr>
        <w:t> </w:t>
      </w:r>
      <w:r>
        <w:rPr/>
        <w:t>355. </w:t>
      </w:r>
      <w:hyperlink r:id="rId117">
        <w:r>
          <w:rPr>
            <w:color w:val="0462C1"/>
            <w:spacing w:val="-2"/>
            <w:u w:val="thick" w:color="0462C1"/>
          </w:rPr>
          <w:t>https://doi.org/10.2307/1882010</w:t>
        </w:r>
      </w:hyperlink>
    </w:p>
    <w:p>
      <w:pPr>
        <w:pStyle w:val="BodyText"/>
        <w:spacing w:before="1"/>
      </w:pPr>
    </w:p>
    <w:p>
      <w:pPr>
        <w:pStyle w:val="BodyText"/>
        <w:ind w:left="723"/>
      </w:pPr>
      <w:r>
        <w:rPr/>
        <w:t>Surroca,</w:t>
      </w:r>
      <w:r>
        <w:rPr>
          <w:spacing w:val="-3"/>
        </w:rPr>
        <w:t> </w:t>
      </w:r>
      <w:r>
        <w:rPr/>
        <w:t>J.,</w:t>
      </w:r>
      <w:r>
        <w:rPr>
          <w:spacing w:val="-2"/>
        </w:rPr>
        <w:t> </w:t>
      </w:r>
      <w:r>
        <w:rPr/>
        <w:t>Tribó,</w:t>
      </w:r>
      <w:r>
        <w:rPr>
          <w:spacing w:val="-3"/>
        </w:rPr>
        <w:t> </w:t>
      </w:r>
      <w:r>
        <w:rPr/>
        <w:t>J.</w:t>
      </w:r>
      <w:r>
        <w:rPr>
          <w:spacing w:val="-2"/>
        </w:rPr>
        <w:t> </w:t>
      </w:r>
      <w:r>
        <w:rPr/>
        <w:t>A.,</w:t>
      </w:r>
      <w:r>
        <w:rPr>
          <w:spacing w:val="-3"/>
        </w:rPr>
        <w:t> </w:t>
      </w:r>
      <w:r>
        <w:rPr/>
        <w:t>&amp;</w:t>
      </w:r>
      <w:r>
        <w:rPr>
          <w:spacing w:val="-2"/>
        </w:rPr>
        <w:t> </w:t>
      </w:r>
      <w:r>
        <w:rPr/>
        <w:t>Waddock,</w:t>
      </w:r>
      <w:r>
        <w:rPr>
          <w:spacing w:val="-2"/>
        </w:rPr>
        <w:t> </w:t>
      </w:r>
      <w:r>
        <w:rPr/>
        <w:t>S.</w:t>
      </w:r>
      <w:r>
        <w:rPr>
          <w:spacing w:val="-3"/>
        </w:rPr>
        <w:t> </w:t>
      </w:r>
      <w:r>
        <w:rPr/>
        <w:t>(2010).</w:t>
      </w:r>
      <w:r>
        <w:rPr>
          <w:spacing w:val="-2"/>
        </w:rPr>
        <w:t> </w:t>
      </w:r>
      <w:r>
        <w:rPr/>
        <w:t>Corporate</w:t>
      </w:r>
      <w:r>
        <w:rPr>
          <w:spacing w:val="-3"/>
        </w:rPr>
        <w:t> </w:t>
      </w:r>
      <w:r>
        <w:rPr/>
        <w:t>responsibility</w:t>
      </w:r>
      <w:r>
        <w:rPr>
          <w:spacing w:val="-2"/>
        </w:rPr>
        <w:t> </w:t>
      </w:r>
      <w:r>
        <w:rPr/>
        <w:t>and</w:t>
      </w:r>
      <w:r>
        <w:rPr>
          <w:spacing w:val="-2"/>
        </w:rPr>
        <w:t> financial</w:t>
      </w:r>
    </w:p>
    <w:p>
      <w:pPr>
        <w:pStyle w:val="BodyText"/>
        <w:spacing w:after="0"/>
        <w:sectPr>
          <w:pgSz w:w="12240" w:h="15840"/>
          <w:pgMar w:header="0" w:footer="706" w:top="640" w:bottom="960" w:left="720" w:right="0"/>
        </w:sectPr>
      </w:pPr>
    </w:p>
    <w:p>
      <w:pPr>
        <w:spacing w:line="230" w:lineRule="auto" w:before="80"/>
        <w:ind w:left="723" w:right="0" w:firstLine="0"/>
        <w:jc w:val="left"/>
        <w:rPr>
          <w:sz w:val="24"/>
        </w:rPr>
      </w:pPr>
      <w:r>
        <w:rPr>
          <w:sz w:val="24"/>
        </w:rPr>
        <w:t>performance:</w:t>
      </w:r>
      <w:r>
        <w:rPr>
          <w:spacing w:val="-4"/>
          <w:sz w:val="24"/>
        </w:rPr>
        <w:t> </w:t>
      </w:r>
      <w:r>
        <w:rPr>
          <w:sz w:val="24"/>
        </w:rPr>
        <w:t>the</w:t>
      </w:r>
      <w:r>
        <w:rPr>
          <w:spacing w:val="-4"/>
          <w:sz w:val="24"/>
        </w:rPr>
        <w:t> </w:t>
      </w:r>
      <w:r>
        <w:rPr>
          <w:sz w:val="24"/>
        </w:rPr>
        <w:t>role</w:t>
      </w:r>
      <w:r>
        <w:rPr>
          <w:spacing w:val="-4"/>
          <w:sz w:val="24"/>
        </w:rPr>
        <w:t> </w:t>
      </w:r>
      <w:r>
        <w:rPr>
          <w:sz w:val="24"/>
        </w:rPr>
        <w:t>of</w:t>
      </w:r>
      <w:r>
        <w:rPr>
          <w:spacing w:val="-4"/>
          <w:sz w:val="24"/>
        </w:rPr>
        <w:t> </w:t>
      </w:r>
      <w:r>
        <w:rPr>
          <w:sz w:val="24"/>
        </w:rPr>
        <w:t>intangible</w:t>
      </w:r>
      <w:r>
        <w:rPr>
          <w:spacing w:val="-4"/>
          <w:sz w:val="24"/>
        </w:rPr>
        <w:t> </w:t>
      </w:r>
      <w:r>
        <w:rPr>
          <w:sz w:val="24"/>
        </w:rPr>
        <w:t>resources.</w:t>
      </w:r>
      <w:r>
        <w:rPr>
          <w:spacing w:val="-4"/>
          <w:sz w:val="24"/>
        </w:rPr>
        <w:t> </w:t>
      </w:r>
      <w:r>
        <w:rPr>
          <w:i/>
          <w:sz w:val="24"/>
        </w:rPr>
        <w:t>Strategic</w:t>
      </w:r>
      <w:r>
        <w:rPr>
          <w:i/>
          <w:spacing w:val="-4"/>
          <w:sz w:val="24"/>
        </w:rPr>
        <w:t> </w:t>
      </w:r>
      <w:r>
        <w:rPr>
          <w:i/>
          <w:sz w:val="24"/>
        </w:rPr>
        <w:t>Management</w:t>
      </w:r>
      <w:r>
        <w:rPr>
          <w:i/>
          <w:spacing w:val="-4"/>
          <w:sz w:val="24"/>
        </w:rPr>
        <w:t> </w:t>
      </w:r>
      <w:r>
        <w:rPr>
          <w:i/>
          <w:sz w:val="24"/>
        </w:rPr>
        <w:t>Journal</w:t>
      </w:r>
      <w:r>
        <w:rPr>
          <w:sz w:val="24"/>
        </w:rPr>
        <w:t>,</w:t>
      </w:r>
      <w:r>
        <w:rPr>
          <w:spacing w:val="-4"/>
          <w:sz w:val="24"/>
        </w:rPr>
        <w:t> </w:t>
      </w:r>
      <w:r>
        <w:rPr>
          <w:i/>
          <w:sz w:val="24"/>
        </w:rPr>
        <w:t>31</w:t>
      </w:r>
      <w:r>
        <w:rPr>
          <w:sz w:val="24"/>
        </w:rPr>
        <w:t>(5),</w:t>
      </w:r>
      <w:r>
        <w:rPr>
          <w:spacing w:val="-4"/>
          <w:sz w:val="24"/>
        </w:rPr>
        <w:t> </w:t>
      </w:r>
      <w:r>
        <w:rPr>
          <w:sz w:val="24"/>
        </w:rPr>
        <w:t>463–</w:t>
      </w:r>
      <w:r>
        <w:rPr>
          <w:sz w:val="24"/>
        </w:rPr>
        <w:t>490. </w:t>
      </w:r>
      <w:hyperlink r:id="rId118">
        <w:r>
          <w:rPr>
            <w:color w:val="0462C1"/>
            <w:spacing w:val="-2"/>
            <w:sz w:val="24"/>
            <w:u w:val="thick" w:color="0462C1"/>
          </w:rPr>
          <w:t>https://doi.org/10.1002/smj.820</w:t>
        </w:r>
      </w:hyperlink>
    </w:p>
    <w:p>
      <w:pPr>
        <w:pStyle w:val="BodyText"/>
        <w:spacing w:before="8"/>
      </w:pPr>
    </w:p>
    <w:p>
      <w:pPr>
        <w:pStyle w:val="BodyText"/>
        <w:spacing w:line="230" w:lineRule="auto" w:before="1"/>
        <w:ind w:left="723" w:right="1872"/>
        <w:jc w:val="both"/>
      </w:pPr>
      <w:r>
        <w:rPr/>
        <w:t>Wang,</w:t>
      </w:r>
      <w:r>
        <w:rPr>
          <w:spacing w:val="-7"/>
        </w:rPr>
        <w:t> </w:t>
      </w:r>
      <w:r>
        <w:rPr/>
        <w:t>H.,</w:t>
      </w:r>
      <w:r>
        <w:rPr>
          <w:spacing w:val="-7"/>
        </w:rPr>
        <w:t> </w:t>
      </w:r>
      <w:r>
        <w:rPr/>
        <w:t>Tong,</w:t>
      </w:r>
      <w:r>
        <w:rPr>
          <w:spacing w:val="-7"/>
        </w:rPr>
        <w:t> </w:t>
      </w:r>
      <w:r>
        <w:rPr/>
        <w:t>L.,</w:t>
      </w:r>
      <w:r>
        <w:rPr>
          <w:spacing w:val="-7"/>
        </w:rPr>
        <w:t> </w:t>
      </w:r>
      <w:r>
        <w:rPr/>
        <w:t>Takeuchi,</w:t>
      </w:r>
      <w:r>
        <w:rPr>
          <w:spacing w:val="-7"/>
        </w:rPr>
        <w:t> </w:t>
      </w:r>
      <w:r>
        <w:rPr/>
        <w:t>R.,</w:t>
      </w:r>
      <w:r>
        <w:rPr>
          <w:spacing w:val="-7"/>
        </w:rPr>
        <w:t> </w:t>
      </w:r>
      <w:r>
        <w:rPr/>
        <w:t>&amp;</w:t>
      </w:r>
      <w:r>
        <w:rPr>
          <w:spacing w:val="-7"/>
        </w:rPr>
        <w:t> </w:t>
      </w:r>
      <w:r>
        <w:rPr/>
        <w:t>George,</w:t>
      </w:r>
      <w:r>
        <w:rPr>
          <w:spacing w:val="-7"/>
        </w:rPr>
        <w:t> </w:t>
      </w:r>
      <w:r>
        <w:rPr/>
        <w:t>G.</w:t>
      </w:r>
      <w:r>
        <w:rPr>
          <w:spacing w:val="-7"/>
        </w:rPr>
        <w:t> </w:t>
      </w:r>
      <w:r>
        <w:rPr/>
        <w:t>(2016).</w:t>
      </w:r>
      <w:r>
        <w:rPr>
          <w:spacing w:val="-7"/>
        </w:rPr>
        <w:t> </w:t>
      </w:r>
      <w:r>
        <w:rPr/>
        <w:t>Corporate</w:t>
      </w:r>
      <w:r>
        <w:rPr>
          <w:spacing w:val="-7"/>
        </w:rPr>
        <w:t> </w:t>
      </w:r>
      <w:r>
        <w:rPr/>
        <w:t>Social</w:t>
      </w:r>
      <w:r>
        <w:rPr>
          <w:spacing w:val="-7"/>
        </w:rPr>
        <w:t> </w:t>
      </w:r>
      <w:r>
        <w:rPr/>
        <w:t>Responsibility:</w:t>
      </w:r>
      <w:r>
        <w:rPr>
          <w:spacing w:val="-7"/>
        </w:rPr>
        <w:t> </w:t>
      </w:r>
      <w:r>
        <w:rPr/>
        <w:t>An Overview</w:t>
      </w:r>
      <w:r>
        <w:rPr>
          <w:spacing w:val="-6"/>
        </w:rPr>
        <w:t> </w:t>
      </w:r>
      <w:r>
        <w:rPr/>
        <w:t>and</w:t>
      </w:r>
      <w:r>
        <w:rPr>
          <w:spacing w:val="-6"/>
        </w:rPr>
        <w:t> </w:t>
      </w:r>
      <w:r>
        <w:rPr/>
        <w:t>New</w:t>
      </w:r>
      <w:r>
        <w:rPr>
          <w:spacing w:val="-6"/>
        </w:rPr>
        <w:t> </w:t>
      </w:r>
      <w:r>
        <w:rPr/>
        <w:t>Research</w:t>
      </w:r>
      <w:r>
        <w:rPr>
          <w:spacing w:val="-6"/>
        </w:rPr>
        <w:t> </w:t>
      </w:r>
      <w:r>
        <w:rPr/>
        <w:t>Directions:</w:t>
      </w:r>
      <w:r>
        <w:rPr>
          <w:spacing w:val="-6"/>
        </w:rPr>
        <w:t> </w:t>
      </w:r>
      <w:r>
        <w:rPr/>
        <w:t>Thematic</w:t>
      </w:r>
      <w:r>
        <w:rPr>
          <w:spacing w:val="-6"/>
        </w:rPr>
        <w:t> </w:t>
      </w:r>
      <w:r>
        <w:rPr/>
        <w:t>Issue</w:t>
      </w:r>
      <w:r>
        <w:rPr>
          <w:spacing w:val="-6"/>
        </w:rPr>
        <w:t> </w:t>
      </w:r>
      <w:r>
        <w:rPr/>
        <w:t>on</w:t>
      </w:r>
      <w:r>
        <w:rPr>
          <w:spacing w:val="-6"/>
        </w:rPr>
        <w:t> </w:t>
      </w:r>
      <w:r>
        <w:rPr/>
        <w:t>Corporate</w:t>
      </w:r>
      <w:r>
        <w:rPr>
          <w:spacing w:val="-6"/>
        </w:rPr>
        <w:t> </w:t>
      </w:r>
      <w:r>
        <w:rPr/>
        <w:t>Social</w:t>
      </w:r>
      <w:r>
        <w:rPr>
          <w:spacing w:val="-6"/>
        </w:rPr>
        <w:t> </w:t>
      </w:r>
      <w:r>
        <w:rPr/>
        <w:t>Responsibility. Academy of Management Journal, 59(2), 534–544. </w:t>
      </w:r>
      <w:hyperlink r:id="rId119">
        <w:r>
          <w:rPr>
            <w:color w:val="0462C1"/>
            <w:u w:val="thick" w:color="0462C1"/>
          </w:rPr>
          <w:t>https://doi.org/10.5465/amj.2016.5001</w:t>
        </w:r>
      </w:hyperlink>
    </w:p>
    <w:p>
      <w:pPr>
        <w:pStyle w:val="BodyText"/>
        <w:spacing w:before="7"/>
      </w:pPr>
    </w:p>
    <w:p>
      <w:pPr>
        <w:spacing w:line="230" w:lineRule="auto" w:before="0"/>
        <w:ind w:left="723" w:right="1948" w:firstLine="0"/>
        <w:jc w:val="left"/>
        <w:rPr>
          <w:sz w:val="24"/>
        </w:rPr>
      </w:pPr>
      <w:r>
        <w:rPr>
          <w:sz w:val="24"/>
        </w:rPr>
        <w:t>Wooldridge,</w:t>
      </w:r>
      <w:r>
        <w:rPr>
          <w:spacing w:val="-6"/>
          <w:sz w:val="24"/>
        </w:rPr>
        <w:t> </w:t>
      </w:r>
      <w:r>
        <w:rPr>
          <w:sz w:val="24"/>
        </w:rPr>
        <w:t>J.</w:t>
      </w:r>
      <w:r>
        <w:rPr>
          <w:spacing w:val="-6"/>
          <w:sz w:val="24"/>
        </w:rPr>
        <w:t> </w:t>
      </w:r>
      <w:r>
        <w:rPr>
          <w:sz w:val="24"/>
        </w:rPr>
        <w:t>M.</w:t>
      </w:r>
      <w:r>
        <w:rPr>
          <w:spacing w:val="-6"/>
          <w:sz w:val="24"/>
        </w:rPr>
        <w:t> </w:t>
      </w:r>
      <w:r>
        <w:rPr>
          <w:sz w:val="24"/>
        </w:rPr>
        <w:t>(2010).</w:t>
      </w:r>
      <w:r>
        <w:rPr>
          <w:spacing w:val="-6"/>
          <w:sz w:val="24"/>
        </w:rPr>
        <w:t> </w:t>
      </w:r>
      <w:r>
        <w:rPr>
          <w:i/>
          <w:sz w:val="24"/>
        </w:rPr>
        <w:t>Econometric</w:t>
      </w:r>
      <w:r>
        <w:rPr>
          <w:i/>
          <w:spacing w:val="-6"/>
          <w:sz w:val="24"/>
        </w:rPr>
        <w:t> </w:t>
      </w:r>
      <w:r>
        <w:rPr>
          <w:i/>
          <w:sz w:val="24"/>
        </w:rPr>
        <w:t>analysis</w:t>
      </w:r>
      <w:r>
        <w:rPr>
          <w:i/>
          <w:spacing w:val="-6"/>
          <w:sz w:val="24"/>
        </w:rPr>
        <w:t> </w:t>
      </w:r>
      <w:r>
        <w:rPr>
          <w:i/>
          <w:sz w:val="24"/>
        </w:rPr>
        <w:t>of</w:t>
      </w:r>
      <w:r>
        <w:rPr>
          <w:i/>
          <w:spacing w:val="-6"/>
          <w:sz w:val="24"/>
        </w:rPr>
        <w:t> </w:t>
      </w:r>
      <w:r>
        <w:rPr>
          <w:i/>
          <w:sz w:val="24"/>
        </w:rPr>
        <w:t>cross</w:t>
      </w:r>
      <w:r>
        <w:rPr>
          <w:i/>
          <w:spacing w:val="-6"/>
          <w:sz w:val="24"/>
        </w:rPr>
        <w:t> </w:t>
      </w:r>
      <w:r>
        <w:rPr>
          <w:i/>
          <w:sz w:val="24"/>
        </w:rPr>
        <w:t>section</w:t>
      </w:r>
      <w:r>
        <w:rPr>
          <w:i/>
          <w:spacing w:val="-6"/>
          <w:sz w:val="24"/>
        </w:rPr>
        <w:t> </w:t>
      </w:r>
      <w:r>
        <w:rPr>
          <w:i/>
          <w:sz w:val="24"/>
        </w:rPr>
        <w:t>and</w:t>
      </w:r>
      <w:r>
        <w:rPr>
          <w:i/>
          <w:spacing w:val="-6"/>
          <w:sz w:val="24"/>
        </w:rPr>
        <w:t> </w:t>
      </w:r>
      <w:r>
        <w:rPr>
          <w:i/>
          <w:sz w:val="24"/>
        </w:rPr>
        <w:t>panel</w:t>
      </w:r>
      <w:r>
        <w:rPr>
          <w:i/>
          <w:spacing w:val="-6"/>
          <w:sz w:val="24"/>
        </w:rPr>
        <w:t> </w:t>
      </w:r>
      <w:r>
        <w:rPr>
          <w:i/>
          <w:sz w:val="24"/>
        </w:rPr>
        <w:t>data</w:t>
      </w:r>
      <w:r>
        <w:rPr>
          <w:i/>
          <w:spacing w:val="-6"/>
          <w:sz w:val="24"/>
        </w:rPr>
        <w:t> </w:t>
      </w:r>
      <w:r>
        <w:rPr>
          <w:sz w:val="24"/>
        </w:rPr>
        <w:t>(Second edition). MIT Press.</w:t>
      </w:r>
    </w:p>
    <w:p>
      <w:pPr>
        <w:pStyle w:val="BodyText"/>
        <w:spacing w:before="2"/>
      </w:pPr>
    </w:p>
    <w:p>
      <w:pPr>
        <w:pStyle w:val="BodyText"/>
        <w:spacing w:line="237" w:lineRule="auto"/>
        <w:ind w:left="723" w:right="1381"/>
      </w:pPr>
      <w:r>
        <w:rPr/>
        <w:t>Wright,</w:t>
      </w:r>
      <w:r>
        <w:rPr>
          <w:spacing w:val="-5"/>
        </w:rPr>
        <w:t> </w:t>
      </w:r>
      <w:r>
        <w:rPr/>
        <w:t>P.</w:t>
      </w:r>
      <w:r>
        <w:rPr>
          <w:spacing w:val="-5"/>
        </w:rPr>
        <w:t> </w:t>
      </w:r>
      <w:r>
        <w:rPr/>
        <w:t>M.,</w:t>
      </w:r>
      <w:r>
        <w:rPr>
          <w:spacing w:val="-5"/>
        </w:rPr>
        <w:t> </w:t>
      </w:r>
      <w:r>
        <w:rPr/>
        <w:t>Dunford,</w:t>
      </w:r>
      <w:r>
        <w:rPr>
          <w:spacing w:val="-5"/>
        </w:rPr>
        <w:t> </w:t>
      </w:r>
      <w:r>
        <w:rPr/>
        <w:t>B.</w:t>
      </w:r>
      <w:r>
        <w:rPr>
          <w:spacing w:val="-5"/>
        </w:rPr>
        <w:t> </w:t>
      </w:r>
      <w:r>
        <w:rPr/>
        <w:t>B.,</w:t>
      </w:r>
      <w:r>
        <w:rPr>
          <w:spacing w:val="-5"/>
        </w:rPr>
        <w:t> </w:t>
      </w:r>
      <w:r>
        <w:rPr/>
        <w:t>&amp;</w:t>
      </w:r>
      <w:r>
        <w:rPr>
          <w:spacing w:val="-5"/>
        </w:rPr>
        <w:t> </w:t>
      </w:r>
      <w:r>
        <w:rPr/>
        <w:t>Snell,</w:t>
      </w:r>
      <w:r>
        <w:rPr>
          <w:spacing w:val="-5"/>
        </w:rPr>
        <w:t> </w:t>
      </w:r>
      <w:r>
        <w:rPr/>
        <w:t>S.</w:t>
      </w:r>
      <w:r>
        <w:rPr>
          <w:spacing w:val="-5"/>
        </w:rPr>
        <w:t> </w:t>
      </w:r>
      <w:r>
        <w:rPr/>
        <w:t>A.</w:t>
      </w:r>
      <w:r>
        <w:rPr>
          <w:spacing w:val="-5"/>
        </w:rPr>
        <w:t> </w:t>
      </w:r>
      <w:r>
        <w:rPr/>
        <w:t>(2001).</w:t>
      </w:r>
      <w:r>
        <w:rPr>
          <w:spacing w:val="-5"/>
        </w:rPr>
        <w:t> </w:t>
      </w:r>
      <w:r>
        <w:rPr/>
        <w:t>Human</w:t>
      </w:r>
      <w:r>
        <w:rPr>
          <w:spacing w:val="-5"/>
        </w:rPr>
        <w:t> </w:t>
      </w:r>
      <w:r>
        <w:rPr/>
        <w:t>resources</w:t>
      </w:r>
      <w:r>
        <w:rPr>
          <w:spacing w:val="-5"/>
        </w:rPr>
        <w:t> </w:t>
      </w:r>
      <w:r>
        <w:rPr/>
        <w:t>and</w:t>
      </w:r>
      <w:r>
        <w:rPr>
          <w:spacing w:val="-5"/>
        </w:rPr>
        <w:t> </w:t>
      </w:r>
      <w:r>
        <w:rPr/>
        <w:t>the</w:t>
      </w:r>
      <w:r>
        <w:rPr>
          <w:spacing w:val="-5"/>
        </w:rPr>
        <w:t> </w:t>
      </w:r>
      <w:r>
        <w:rPr/>
        <w:t>resource-</w:t>
      </w:r>
      <w:r>
        <w:rPr/>
        <w:t>based view of the firm. Journal of Management, 27(6), 701–721. </w:t>
      </w:r>
      <w:hyperlink r:id="rId120">
        <w:r>
          <w:rPr>
            <w:color w:val="0462C1"/>
            <w:spacing w:val="-2"/>
            <w:u w:val="thick" w:color="0462C1"/>
          </w:rPr>
          <w:t>https://doi.org/10.1177/014920630102700607</w:t>
        </w:r>
      </w:hyperlink>
    </w:p>
    <w:p>
      <w:pPr>
        <w:pStyle w:val="BodyText"/>
        <w:spacing w:after="0" w:line="237" w:lineRule="auto"/>
        <w:sectPr>
          <w:pgSz w:w="12240" w:h="15840"/>
          <w:pgMar w:header="0" w:footer="706" w:top="620" w:bottom="960" w:left="720" w:right="0"/>
        </w:sectPr>
      </w:pPr>
    </w:p>
    <w:p>
      <w:pPr>
        <w:pStyle w:val="Heading3"/>
        <w:spacing w:line="230" w:lineRule="auto" w:before="80"/>
        <w:ind w:left="4088" w:right="1619" w:hanging="1838"/>
        <w:jc w:val="left"/>
      </w:pPr>
      <w:bookmarkStart w:name="Project Management Discourse on Reddit: " w:id="68"/>
      <w:bookmarkEnd w:id="68"/>
      <w:r>
        <w:rPr>
          <w:b w:val="0"/>
        </w:rPr>
      </w:r>
      <w:bookmarkStart w:name="h.smjy7jr4utm5" w:id="69"/>
      <w:bookmarkEnd w:id="69"/>
      <w:r>
        <w:rPr>
          <w:b w:val="0"/>
        </w:rPr>
      </w:r>
      <w:r>
        <w:rPr/>
        <w:t>Project</w:t>
      </w:r>
      <w:r>
        <w:rPr>
          <w:spacing w:val="-11"/>
        </w:rPr>
        <w:t> </w:t>
      </w:r>
      <w:r>
        <w:rPr/>
        <w:t>Management</w:t>
      </w:r>
      <w:r>
        <w:rPr>
          <w:spacing w:val="-11"/>
        </w:rPr>
        <w:t> </w:t>
      </w:r>
      <w:r>
        <w:rPr/>
        <w:t>Discourse</w:t>
      </w:r>
      <w:r>
        <w:rPr>
          <w:spacing w:val="-11"/>
        </w:rPr>
        <w:t> </w:t>
      </w:r>
      <w:r>
        <w:rPr/>
        <w:t>on</w:t>
      </w:r>
      <w:r>
        <w:rPr>
          <w:spacing w:val="-11"/>
        </w:rPr>
        <w:t> </w:t>
      </w:r>
      <w:r>
        <w:rPr/>
        <w:t>Reddit:</w:t>
      </w:r>
      <w:r>
        <w:rPr>
          <w:spacing w:val="-11"/>
        </w:rPr>
        <w:t> </w:t>
      </w:r>
      <w:r>
        <w:rPr/>
        <w:t>A</w:t>
      </w:r>
      <w:r>
        <w:rPr>
          <w:spacing w:val="-11"/>
        </w:rPr>
        <w:t> </w:t>
      </w:r>
      <w:r>
        <w:rPr/>
        <w:t>Topic</w:t>
      </w:r>
      <w:r>
        <w:rPr>
          <w:spacing w:val="-11"/>
        </w:rPr>
        <w:t> </w:t>
      </w:r>
      <w:r>
        <w:rPr/>
        <w:t>and Sentiment Analysis</w:t>
      </w:r>
    </w:p>
    <w:p>
      <w:pPr>
        <w:pStyle w:val="BodyText"/>
        <w:spacing w:line="253" w:lineRule="exact" w:before="192"/>
        <w:ind w:right="719"/>
        <w:jc w:val="center"/>
      </w:pPr>
      <w:r>
        <w:rPr/>
        <w:t>Leigh </w:t>
      </w:r>
      <w:r>
        <w:rPr>
          <w:spacing w:val="-2"/>
        </w:rPr>
        <w:t>R.Hartman</w:t>
      </w:r>
    </w:p>
    <w:p>
      <w:pPr>
        <w:pStyle w:val="BodyText"/>
        <w:spacing w:line="199" w:lineRule="auto" w:before="15"/>
        <w:ind w:left="2427" w:right="3145"/>
        <w:jc w:val="center"/>
      </w:pPr>
      <w:r>
        <w:rPr/>
        <w:t>School</w:t>
      </w:r>
      <w:r>
        <w:rPr>
          <w:spacing w:val="-7"/>
        </w:rPr>
        <w:t> </w:t>
      </w:r>
      <w:r>
        <w:rPr/>
        <w:t>of</w:t>
      </w:r>
      <w:r>
        <w:rPr>
          <w:spacing w:val="-7"/>
        </w:rPr>
        <w:t> </w:t>
      </w:r>
      <w:r>
        <w:rPr/>
        <w:t>Economics,</w:t>
      </w:r>
      <w:r>
        <w:rPr>
          <w:spacing w:val="-7"/>
        </w:rPr>
        <w:t> </w:t>
      </w:r>
      <w:r>
        <w:rPr/>
        <w:t>Management,</w:t>
      </w:r>
      <w:r>
        <w:rPr>
          <w:spacing w:val="-7"/>
        </w:rPr>
        <w:t> </w:t>
      </w:r>
      <w:r>
        <w:rPr/>
        <w:t>and</w:t>
      </w:r>
      <w:r>
        <w:rPr>
          <w:spacing w:val="-7"/>
        </w:rPr>
        <w:t> </w:t>
      </w:r>
      <w:r>
        <w:rPr/>
        <w:t>Project</w:t>
      </w:r>
      <w:r>
        <w:rPr>
          <w:spacing w:val="-7"/>
        </w:rPr>
        <w:t> </w:t>
      </w:r>
      <w:r>
        <w:rPr/>
        <w:t>Management College of Business</w:t>
      </w:r>
    </w:p>
    <w:p>
      <w:pPr>
        <w:pStyle w:val="BodyText"/>
        <w:spacing w:line="199" w:lineRule="auto" w:before="1"/>
        <w:ind w:left="4030" w:right="4748"/>
        <w:jc w:val="center"/>
      </w:pPr>
      <w:r>
        <w:rPr/>
        <w:t>Western</w:t>
      </w:r>
      <w:r>
        <w:rPr>
          <w:spacing w:val="-15"/>
        </w:rPr>
        <w:t> </w:t>
      </w:r>
      <w:r>
        <w:rPr/>
        <w:t>Carolina</w:t>
      </w:r>
      <w:r>
        <w:rPr>
          <w:spacing w:val="-15"/>
        </w:rPr>
        <w:t> </w:t>
      </w:r>
      <w:r>
        <w:rPr/>
        <w:t>University 1 University Way</w:t>
      </w:r>
    </w:p>
    <w:p>
      <w:pPr>
        <w:pStyle w:val="BodyText"/>
        <w:spacing w:line="199" w:lineRule="auto" w:before="2"/>
        <w:ind w:left="3512" w:right="4230"/>
        <w:jc w:val="center"/>
      </w:pPr>
      <w:r>
        <w:rPr/>
        <w:t>Cullowhee, NC 28723 </w:t>
      </w:r>
      <w:hyperlink r:id="rId122">
        <w:r>
          <w:rPr/>
          <w:t>lhartman@wcu.edu</w:t>
        </w:r>
      </w:hyperlink>
      <w:r>
        <w:rPr>
          <w:spacing w:val="-15"/>
        </w:rPr>
        <w:t> </w:t>
      </w:r>
      <w:r>
        <w:rPr/>
        <w:t>(Contact</w:t>
      </w:r>
      <w:r>
        <w:rPr>
          <w:spacing w:val="-15"/>
        </w:rPr>
        <w:t> </w:t>
      </w:r>
      <w:r>
        <w:rPr/>
        <w:t>Author)</w:t>
      </w:r>
    </w:p>
    <w:p>
      <w:pPr>
        <w:pStyle w:val="BodyText"/>
        <w:spacing w:line="253" w:lineRule="exact" w:before="235"/>
        <w:ind w:right="719"/>
        <w:jc w:val="center"/>
      </w:pPr>
      <w:r>
        <w:rPr/>
        <w:t>John C. </w:t>
      </w:r>
      <w:r>
        <w:rPr>
          <w:spacing w:val="-4"/>
        </w:rPr>
        <w:t>Shaw</w:t>
      </w:r>
    </w:p>
    <w:p>
      <w:pPr>
        <w:pStyle w:val="BodyText"/>
        <w:spacing w:line="199" w:lineRule="auto" w:before="16"/>
        <w:ind w:left="3214" w:right="3932"/>
        <w:jc w:val="center"/>
      </w:pPr>
      <w:r>
        <w:rPr/>
        <w:t>School of Business and Communication Davis</w:t>
      </w:r>
      <w:r>
        <w:rPr>
          <w:spacing w:val="-11"/>
        </w:rPr>
        <w:t> </w:t>
      </w:r>
      <w:r>
        <w:rPr/>
        <w:t>College</w:t>
      </w:r>
      <w:r>
        <w:rPr>
          <w:spacing w:val="-11"/>
        </w:rPr>
        <w:t> </w:t>
      </w:r>
      <w:r>
        <w:rPr/>
        <w:t>of</w:t>
      </w:r>
      <w:r>
        <w:rPr>
          <w:spacing w:val="-11"/>
        </w:rPr>
        <w:t> </w:t>
      </w:r>
      <w:r>
        <w:rPr/>
        <w:t>Business</w:t>
      </w:r>
      <w:r>
        <w:rPr>
          <w:spacing w:val="-11"/>
        </w:rPr>
        <w:t> </w:t>
      </w:r>
      <w:r>
        <w:rPr/>
        <w:t>and</w:t>
      </w:r>
      <w:r>
        <w:rPr>
          <w:spacing w:val="-11"/>
        </w:rPr>
        <w:t> </w:t>
      </w:r>
      <w:r>
        <w:rPr/>
        <w:t>Technology Jacksonville University</w:t>
      </w:r>
    </w:p>
    <w:p>
      <w:pPr>
        <w:pStyle w:val="BodyText"/>
        <w:spacing w:line="199" w:lineRule="auto" w:before="2"/>
        <w:ind w:left="4243" w:right="4961"/>
        <w:jc w:val="center"/>
      </w:pPr>
      <w:r>
        <w:rPr/>
        <w:t>2800</w:t>
      </w:r>
      <w:r>
        <w:rPr>
          <w:spacing w:val="-13"/>
        </w:rPr>
        <w:t> </w:t>
      </w:r>
      <w:r>
        <w:rPr/>
        <w:t>University</w:t>
      </w:r>
      <w:r>
        <w:rPr>
          <w:spacing w:val="-13"/>
        </w:rPr>
        <w:t> </w:t>
      </w:r>
      <w:r>
        <w:rPr/>
        <w:t>Blvd</w:t>
      </w:r>
      <w:r>
        <w:rPr>
          <w:spacing w:val="-13"/>
        </w:rPr>
        <w:t> </w:t>
      </w:r>
      <w:r>
        <w:rPr/>
        <w:t>N Jacksonville, FL 32211 </w:t>
      </w:r>
      <w:hyperlink r:id="rId123">
        <w:r>
          <w:rPr>
            <w:spacing w:val="-2"/>
          </w:rPr>
          <w:t>jshaw5@ju.edu</w:t>
        </w:r>
      </w:hyperlink>
    </w:p>
    <w:p>
      <w:pPr>
        <w:pStyle w:val="BodyText"/>
        <w:spacing w:line="253" w:lineRule="exact" w:before="236"/>
        <w:ind w:right="718"/>
        <w:jc w:val="center"/>
      </w:pPr>
      <w:r>
        <w:rPr/>
        <w:t>Janice M. </w:t>
      </w:r>
      <w:r>
        <w:rPr>
          <w:spacing w:val="-2"/>
        </w:rPr>
        <w:t>Gordon</w:t>
      </w:r>
    </w:p>
    <w:p>
      <w:pPr>
        <w:pStyle w:val="BodyText"/>
        <w:spacing w:line="199" w:lineRule="auto" w:before="15"/>
        <w:ind w:left="2427" w:right="3145"/>
        <w:jc w:val="center"/>
      </w:pPr>
      <w:r>
        <w:rPr/>
        <w:t>School</w:t>
      </w:r>
      <w:r>
        <w:rPr>
          <w:spacing w:val="-7"/>
        </w:rPr>
        <w:t> </w:t>
      </w:r>
      <w:r>
        <w:rPr/>
        <w:t>of</w:t>
      </w:r>
      <w:r>
        <w:rPr>
          <w:spacing w:val="-7"/>
        </w:rPr>
        <w:t> </w:t>
      </w:r>
      <w:r>
        <w:rPr/>
        <w:t>Economics,</w:t>
      </w:r>
      <w:r>
        <w:rPr>
          <w:spacing w:val="-7"/>
        </w:rPr>
        <w:t> </w:t>
      </w:r>
      <w:r>
        <w:rPr/>
        <w:t>Management,</w:t>
      </w:r>
      <w:r>
        <w:rPr>
          <w:spacing w:val="-7"/>
        </w:rPr>
        <w:t> </w:t>
      </w:r>
      <w:r>
        <w:rPr/>
        <w:t>and</w:t>
      </w:r>
      <w:r>
        <w:rPr>
          <w:spacing w:val="-7"/>
        </w:rPr>
        <w:t> </w:t>
      </w:r>
      <w:r>
        <w:rPr/>
        <w:t>Project</w:t>
      </w:r>
      <w:r>
        <w:rPr>
          <w:spacing w:val="-7"/>
        </w:rPr>
        <w:t> </w:t>
      </w:r>
      <w:r>
        <w:rPr/>
        <w:t>Management College of Business</w:t>
      </w:r>
    </w:p>
    <w:p>
      <w:pPr>
        <w:pStyle w:val="BodyText"/>
        <w:spacing w:line="199" w:lineRule="auto" w:before="2"/>
        <w:ind w:left="4030" w:right="4748"/>
        <w:jc w:val="center"/>
      </w:pPr>
      <w:r>
        <w:rPr/>
        <w:t>Western</w:t>
      </w:r>
      <w:r>
        <w:rPr>
          <w:spacing w:val="-15"/>
        </w:rPr>
        <w:t> </w:t>
      </w:r>
      <w:r>
        <w:rPr/>
        <w:t>Carolina</w:t>
      </w:r>
      <w:r>
        <w:rPr>
          <w:spacing w:val="-15"/>
        </w:rPr>
        <w:t> </w:t>
      </w:r>
      <w:r>
        <w:rPr/>
        <w:t>University 1 University Way</w:t>
      </w:r>
    </w:p>
    <w:p>
      <w:pPr>
        <w:pStyle w:val="BodyText"/>
        <w:spacing w:line="199" w:lineRule="auto" w:before="2"/>
        <w:ind w:left="4323" w:right="5041"/>
        <w:jc w:val="center"/>
      </w:pPr>
      <w:r>
        <w:rPr/>
        <w:t>Cullowhee,</w:t>
      </w:r>
      <w:r>
        <w:rPr>
          <w:spacing w:val="-15"/>
        </w:rPr>
        <w:t> </w:t>
      </w:r>
      <w:r>
        <w:rPr/>
        <w:t>NC</w:t>
      </w:r>
      <w:r>
        <w:rPr>
          <w:spacing w:val="-15"/>
        </w:rPr>
        <w:t> </w:t>
      </w:r>
      <w:r>
        <w:rPr/>
        <w:t>28723 </w:t>
      </w:r>
      <w:hyperlink r:id="rId124">
        <w:r>
          <w:rPr>
            <w:spacing w:val="-2"/>
          </w:rPr>
          <w:t>gordonj@wcu.edu</w:t>
        </w:r>
      </w:hyperlink>
    </w:p>
    <w:p>
      <w:pPr>
        <w:pStyle w:val="BodyText"/>
        <w:spacing w:before="231"/>
        <w:ind w:left="720"/>
      </w:pPr>
      <w:r>
        <w:rPr/>
        <w:t>Keywords: project management discourse; topic modeling and sentiment </w:t>
      </w:r>
      <w:r>
        <w:rPr>
          <w:spacing w:val="-2"/>
        </w:rPr>
        <w:t>analysis</w:t>
      </w:r>
    </w:p>
    <w:p>
      <w:pPr>
        <w:pStyle w:val="BodyText"/>
        <w:spacing w:before="105"/>
      </w:pPr>
    </w:p>
    <w:p>
      <w:pPr>
        <w:pStyle w:val="Heading4"/>
      </w:pPr>
      <w:r>
        <w:rPr>
          <w:spacing w:val="-2"/>
        </w:rPr>
        <w:t>Introduction</w:t>
      </w:r>
    </w:p>
    <w:p>
      <w:pPr>
        <w:pStyle w:val="BodyText"/>
        <w:spacing w:line="266" w:lineRule="auto" w:before="201"/>
        <w:ind w:left="723" w:right="1448"/>
      </w:pPr>
      <w:r>
        <w:rPr/>
        <w:t>Project management is characterized by role ambiguity, distributed authority, and high interpersonal demand (Pinto &amp; Kharbanda, 1995). Reddit, a popular discussion platform, supports a lively ecosystem of career- and practice-oriented conversations in which practitioners discuss</w:t>
      </w:r>
      <w:r>
        <w:rPr>
          <w:spacing w:val="-4"/>
        </w:rPr>
        <w:t> </w:t>
      </w:r>
      <w:r>
        <w:rPr/>
        <w:t>work</w:t>
      </w:r>
      <w:r>
        <w:rPr>
          <w:spacing w:val="-4"/>
        </w:rPr>
        <w:t> </w:t>
      </w:r>
      <w:r>
        <w:rPr/>
        <w:t>experiences,</w:t>
      </w:r>
      <w:r>
        <w:rPr>
          <w:spacing w:val="-4"/>
        </w:rPr>
        <w:t> </w:t>
      </w:r>
      <w:r>
        <w:rPr/>
        <w:t>career</w:t>
      </w:r>
      <w:r>
        <w:rPr>
          <w:spacing w:val="-4"/>
        </w:rPr>
        <w:t> </w:t>
      </w:r>
      <w:r>
        <w:rPr/>
        <w:t>decisions,</w:t>
      </w:r>
      <w:r>
        <w:rPr>
          <w:spacing w:val="-4"/>
        </w:rPr>
        <w:t> </w:t>
      </w:r>
      <w:r>
        <w:rPr/>
        <w:t>and</w:t>
      </w:r>
      <w:r>
        <w:rPr>
          <w:spacing w:val="-4"/>
        </w:rPr>
        <w:t> </w:t>
      </w:r>
      <w:r>
        <w:rPr/>
        <w:t>professional</w:t>
      </w:r>
      <w:r>
        <w:rPr>
          <w:spacing w:val="-4"/>
        </w:rPr>
        <w:t> </w:t>
      </w:r>
      <w:r>
        <w:rPr/>
        <w:t>challenges</w:t>
      </w:r>
      <w:r>
        <w:rPr>
          <w:spacing w:val="-4"/>
        </w:rPr>
        <w:t> </w:t>
      </w:r>
      <w:r>
        <w:rPr/>
        <w:t>(Massanari,</w:t>
      </w:r>
      <w:r>
        <w:rPr>
          <w:spacing w:val="-4"/>
        </w:rPr>
        <w:t> </w:t>
      </w:r>
      <w:r>
        <w:rPr/>
        <w:t>2015).</w:t>
      </w:r>
      <w:r>
        <w:rPr>
          <w:spacing w:val="-4"/>
        </w:rPr>
        <w:t> </w:t>
      </w:r>
      <w:r>
        <w:rPr/>
        <w:t>As</w:t>
      </w:r>
      <w:r>
        <w:rPr>
          <w:spacing w:val="-4"/>
        </w:rPr>
        <w:t> </w:t>
      </w:r>
      <w:r>
        <w:rPr/>
        <w:t>an informal digital space, Reddit offers a potentially rich vantage point for observing how project managers (PMs) discuss and interpret the profession’s tensions (Good &amp; Cavanagh, 2017).</w:t>
      </w:r>
    </w:p>
    <w:p>
      <w:pPr>
        <w:pStyle w:val="BodyText"/>
        <w:spacing w:line="266" w:lineRule="auto"/>
        <w:ind w:left="723" w:right="1191"/>
      </w:pPr>
      <w:r>
        <w:rPr/>
        <w:t>Despite</w:t>
      </w:r>
      <w:r>
        <w:rPr>
          <w:spacing w:val="-5"/>
        </w:rPr>
        <w:t> </w:t>
      </w:r>
      <w:r>
        <w:rPr/>
        <w:t>extensive</w:t>
      </w:r>
      <w:r>
        <w:rPr>
          <w:spacing w:val="-5"/>
        </w:rPr>
        <w:t> </w:t>
      </w:r>
      <w:r>
        <w:rPr/>
        <w:t>research</w:t>
      </w:r>
      <w:r>
        <w:rPr>
          <w:spacing w:val="-5"/>
        </w:rPr>
        <w:t> </w:t>
      </w:r>
      <w:r>
        <w:rPr/>
        <w:t>on</w:t>
      </w:r>
      <w:r>
        <w:rPr>
          <w:spacing w:val="-5"/>
        </w:rPr>
        <w:t> </w:t>
      </w:r>
      <w:r>
        <w:rPr/>
        <w:t>communication</w:t>
      </w:r>
      <w:r>
        <w:rPr>
          <w:spacing w:val="-5"/>
        </w:rPr>
        <w:t> </w:t>
      </w:r>
      <w:r>
        <w:rPr/>
        <w:t>and</w:t>
      </w:r>
      <w:r>
        <w:rPr>
          <w:spacing w:val="-5"/>
        </w:rPr>
        <w:t> </w:t>
      </w:r>
      <w:r>
        <w:rPr/>
        <w:t>knowledge</w:t>
      </w:r>
      <w:r>
        <w:rPr>
          <w:spacing w:val="-5"/>
        </w:rPr>
        <w:t> </w:t>
      </w:r>
      <w:r>
        <w:rPr/>
        <w:t>sharing</w:t>
      </w:r>
      <w:r>
        <w:rPr>
          <w:spacing w:val="-5"/>
        </w:rPr>
        <w:t> </w:t>
      </w:r>
      <w:r>
        <w:rPr/>
        <w:t>(Söderlund,</w:t>
      </w:r>
      <w:r>
        <w:rPr>
          <w:spacing w:val="-5"/>
        </w:rPr>
        <w:t> </w:t>
      </w:r>
      <w:r>
        <w:rPr/>
        <w:t>2011),</w:t>
      </w:r>
      <w:r>
        <w:rPr>
          <w:spacing w:val="-5"/>
        </w:rPr>
        <w:t> </w:t>
      </w:r>
      <w:r>
        <w:rPr/>
        <w:t>the informal, peer-driven conversations that occur online remain largely unexamined in project management research.</w:t>
      </w:r>
    </w:p>
    <w:p>
      <w:pPr>
        <w:pStyle w:val="BodyText"/>
        <w:spacing w:line="266" w:lineRule="auto" w:before="170"/>
        <w:ind w:left="723" w:right="1619"/>
      </w:pPr>
      <w:r>
        <w:rPr/>
        <w:t>This</w:t>
      </w:r>
      <w:r>
        <w:rPr>
          <w:spacing w:val="-6"/>
        </w:rPr>
        <w:t> </w:t>
      </w:r>
      <w:r>
        <w:rPr/>
        <w:t>paper</w:t>
      </w:r>
      <w:r>
        <w:rPr>
          <w:spacing w:val="-6"/>
        </w:rPr>
        <w:t> </w:t>
      </w:r>
      <w:r>
        <w:rPr/>
        <w:t>describes</w:t>
      </w:r>
      <w:r>
        <w:rPr>
          <w:spacing w:val="-6"/>
        </w:rPr>
        <w:t> </w:t>
      </w:r>
      <w:r>
        <w:rPr/>
        <w:t>an</w:t>
      </w:r>
      <w:r>
        <w:rPr>
          <w:spacing w:val="-6"/>
        </w:rPr>
        <w:t> </w:t>
      </w:r>
      <w:r>
        <w:rPr/>
        <w:t>exploratory,</w:t>
      </w:r>
      <w:r>
        <w:rPr>
          <w:spacing w:val="-6"/>
        </w:rPr>
        <w:t> </w:t>
      </w:r>
      <w:r>
        <w:rPr/>
        <w:t>methods-driven</w:t>
      </w:r>
      <w:r>
        <w:rPr>
          <w:spacing w:val="-6"/>
        </w:rPr>
        <w:t> </w:t>
      </w:r>
      <w:r>
        <w:rPr/>
        <w:t>project</w:t>
      </w:r>
      <w:r>
        <w:rPr>
          <w:spacing w:val="-6"/>
        </w:rPr>
        <w:t> </w:t>
      </w:r>
      <w:r>
        <w:rPr/>
        <w:t>that</w:t>
      </w:r>
      <w:r>
        <w:rPr>
          <w:spacing w:val="-6"/>
        </w:rPr>
        <w:t> </w:t>
      </w:r>
      <w:r>
        <w:rPr/>
        <w:t>examines</w:t>
      </w:r>
      <w:r>
        <w:rPr>
          <w:spacing w:val="-6"/>
        </w:rPr>
        <w:t> </w:t>
      </w:r>
      <w:r>
        <w:rPr/>
        <w:t>project</w:t>
      </w:r>
      <w:r>
        <w:rPr>
          <w:spacing w:val="-6"/>
        </w:rPr>
        <w:t> </w:t>
      </w:r>
      <w:r>
        <w:rPr/>
        <w:t>management discourse by analyzing user-generated content from two large, actively moderated project management subreddits: r/projectmanagement and r/PMcareers. We examine what project managers discuss, which concerns dominate community attention, and how emotional tone varies across topic categories. The study is guided by two exploratory research questions:</w:t>
      </w:r>
    </w:p>
    <w:p>
      <w:pPr>
        <w:pStyle w:val="ListParagraph"/>
        <w:numPr>
          <w:ilvl w:val="0"/>
          <w:numId w:val="27"/>
        </w:numPr>
        <w:tabs>
          <w:tab w:pos="1323" w:val="left" w:leader="none"/>
        </w:tabs>
        <w:spacing w:line="240" w:lineRule="auto" w:before="174" w:after="0"/>
        <w:ind w:left="1323" w:right="0" w:hanging="240"/>
        <w:jc w:val="left"/>
        <w:rPr>
          <w:sz w:val="24"/>
        </w:rPr>
      </w:pPr>
      <w:r>
        <w:rPr>
          <w:sz w:val="24"/>
        </w:rPr>
        <w:t>What</w:t>
      </w:r>
      <w:r>
        <w:rPr>
          <w:spacing w:val="-1"/>
          <w:sz w:val="24"/>
        </w:rPr>
        <w:t> </w:t>
      </w:r>
      <w:r>
        <w:rPr>
          <w:sz w:val="24"/>
        </w:rPr>
        <w:t>key</w:t>
      </w:r>
      <w:r>
        <w:rPr>
          <w:spacing w:val="-1"/>
          <w:sz w:val="24"/>
        </w:rPr>
        <w:t> </w:t>
      </w:r>
      <w:r>
        <w:rPr>
          <w:sz w:val="24"/>
        </w:rPr>
        <w:t>topics emerge</w:t>
      </w:r>
      <w:r>
        <w:rPr>
          <w:spacing w:val="-1"/>
          <w:sz w:val="24"/>
        </w:rPr>
        <w:t> </w:t>
      </w:r>
      <w:r>
        <w:rPr>
          <w:sz w:val="24"/>
        </w:rPr>
        <w:t>from project</w:t>
      </w:r>
      <w:r>
        <w:rPr>
          <w:spacing w:val="-1"/>
          <w:sz w:val="24"/>
        </w:rPr>
        <w:t> </w:t>
      </w:r>
      <w:r>
        <w:rPr>
          <w:sz w:val="24"/>
        </w:rPr>
        <w:t>management discussions</w:t>
      </w:r>
      <w:r>
        <w:rPr>
          <w:spacing w:val="-1"/>
          <w:sz w:val="24"/>
        </w:rPr>
        <w:t> </w:t>
      </w:r>
      <w:r>
        <w:rPr>
          <w:sz w:val="24"/>
        </w:rPr>
        <w:t>on </w:t>
      </w:r>
      <w:r>
        <w:rPr>
          <w:spacing w:val="-2"/>
          <w:sz w:val="24"/>
        </w:rPr>
        <w:t>Reddit?</w:t>
      </w:r>
    </w:p>
    <w:p>
      <w:pPr>
        <w:pStyle w:val="ListParagraph"/>
        <w:numPr>
          <w:ilvl w:val="0"/>
          <w:numId w:val="27"/>
        </w:numPr>
        <w:tabs>
          <w:tab w:pos="1323" w:val="left" w:leader="none"/>
        </w:tabs>
        <w:spacing w:line="240" w:lineRule="auto" w:before="29" w:after="0"/>
        <w:ind w:left="1323" w:right="0" w:hanging="240"/>
        <w:jc w:val="left"/>
        <w:rPr>
          <w:sz w:val="24"/>
        </w:rPr>
      </w:pPr>
      <w:r>
        <w:rPr>
          <w:sz w:val="24"/>
        </w:rPr>
        <w:t>What sentiments do project managers express within topic </w:t>
      </w:r>
      <w:r>
        <w:rPr>
          <w:spacing w:val="-2"/>
          <w:sz w:val="24"/>
        </w:rPr>
        <w:t>areas?</w:t>
      </w:r>
    </w:p>
    <w:p>
      <w:pPr>
        <w:pStyle w:val="BodyText"/>
        <w:spacing w:line="266" w:lineRule="auto" w:before="203"/>
        <w:ind w:left="723" w:right="1381"/>
      </w:pPr>
      <w:r>
        <w:rPr/>
        <w:t>This exploratory study adapts established analytic techniques from Reddit-based scholarly research</w:t>
      </w:r>
      <w:r>
        <w:rPr>
          <w:spacing w:val="-4"/>
        </w:rPr>
        <w:t> </w:t>
      </w:r>
      <w:r>
        <w:rPr/>
        <w:t>to</w:t>
      </w:r>
      <w:r>
        <w:rPr>
          <w:spacing w:val="-4"/>
        </w:rPr>
        <w:t> </w:t>
      </w:r>
      <w:r>
        <w:rPr/>
        <w:t>examine</w:t>
      </w:r>
      <w:r>
        <w:rPr>
          <w:spacing w:val="-4"/>
        </w:rPr>
        <w:t> </w:t>
      </w:r>
      <w:r>
        <w:rPr/>
        <w:t>project</w:t>
      </w:r>
      <w:r>
        <w:rPr>
          <w:spacing w:val="-4"/>
        </w:rPr>
        <w:t> </w:t>
      </w:r>
      <w:r>
        <w:rPr/>
        <w:t>management</w:t>
      </w:r>
      <w:r>
        <w:rPr>
          <w:spacing w:val="-4"/>
        </w:rPr>
        <w:t> </w:t>
      </w:r>
      <w:r>
        <w:rPr/>
        <w:t>community</w:t>
      </w:r>
      <w:r>
        <w:rPr>
          <w:spacing w:val="-4"/>
        </w:rPr>
        <w:t> </w:t>
      </w:r>
      <w:r>
        <w:rPr/>
        <w:t>exchanges</w:t>
      </w:r>
      <w:r>
        <w:rPr>
          <w:spacing w:val="-4"/>
        </w:rPr>
        <w:t> </w:t>
      </w:r>
      <w:r>
        <w:rPr/>
        <w:t>in</w:t>
      </w:r>
      <w:r>
        <w:rPr>
          <w:spacing w:val="-4"/>
        </w:rPr>
        <w:t> </w:t>
      </w:r>
      <w:r>
        <w:rPr/>
        <w:t>informal</w:t>
      </w:r>
      <w:r>
        <w:rPr>
          <w:spacing w:val="-4"/>
        </w:rPr>
        <w:t> </w:t>
      </w:r>
      <w:r>
        <w:rPr/>
        <w:t>online</w:t>
      </w:r>
      <w:r>
        <w:rPr>
          <w:spacing w:val="-4"/>
        </w:rPr>
        <w:t> </w:t>
      </w:r>
      <w:r>
        <w:rPr/>
        <w:t>spaces.</w:t>
      </w:r>
      <w:r>
        <w:rPr>
          <w:spacing w:val="-4"/>
        </w:rPr>
        <w:t> </w:t>
      </w:r>
      <w:r>
        <w:rPr/>
        <w:t>The findings provide a preliminary snapshot of the concerns and affective expressions surfaced in</w:t>
      </w:r>
    </w:p>
    <w:p>
      <w:pPr>
        <w:pStyle w:val="BodyText"/>
        <w:spacing w:after="0" w:line="266" w:lineRule="auto"/>
        <w:sectPr>
          <w:footerReference w:type="default" r:id="rId121"/>
          <w:pgSz w:w="12240" w:h="15840"/>
          <w:pgMar w:header="0" w:footer="776" w:top="620" w:bottom="960" w:left="720" w:right="0"/>
        </w:sectPr>
      </w:pPr>
    </w:p>
    <w:p>
      <w:pPr>
        <w:pStyle w:val="BodyText"/>
        <w:spacing w:before="60"/>
        <w:ind w:left="723"/>
      </w:pPr>
      <w:r>
        <w:rPr/>
        <w:t>peer-driven</w:t>
      </w:r>
      <w:r>
        <w:rPr>
          <w:spacing w:val="-1"/>
        </w:rPr>
        <w:t> </w:t>
      </w:r>
      <w:r>
        <w:rPr/>
        <w:t>communities</w:t>
      </w:r>
      <w:r>
        <w:rPr>
          <w:spacing w:val="-1"/>
        </w:rPr>
        <w:t> </w:t>
      </w:r>
      <w:r>
        <w:rPr/>
        <w:t>and point</w:t>
      </w:r>
      <w:r>
        <w:rPr>
          <w:spacing w:val="-1"/>
        </w:rPr>
        <w:t> </w:t>
      </w:r>
      <w:r>
        <w:rPr/>
        <w:t>to</w:t>
      </w:r>
      <w:r>
        <w:rPr>
          <w:spacing w:val="-1"/>
        </w:rPr>
        <w:t> </w:t>
      </w:r>
      <w:r>
        <w:rPr/>
        <w:t>opportunities for</w:t>
      </w:r>
      <w:r>
        <w:rPr>
          <w:spacing w:val="-1"/>
        </w:rPr>
        <w:t> </w:t>
      </w:r>
      <w:r>
        <w:rPr/>
        <w:t>future </w:t>
      </w:r>
      <w:r>
        <w:rPr>
          <w:spacing w:val="-2"/>
        </w:rPr>
        <w:t>research.</w:t>
      </w:r>
    </w:p>
    <w:p>
      <w:pPr>
        <w:pStyle w:val="Heading4"/>
        <w:spacing w:before="204"/>
      </w:pPr>
      <w:r>
        <w:rPr/>
        <w:t>Literature</w:t>
      </w:r>
      <w:r>
        <w:rPr>
          <w:spacing w:val="-5"/>
        </w:rPr>
        <w:t> </w:t>
      </w:r>
      <w:r>
        <w:rPr>
          <w:spacing w:val="-2"/>
        </w:rPr>
        <w:t>Overview</w:t>
      </w:r>
    </w:p>
    <w:p>
      <w:pPr>
        <w:pStyle w:val="BodyText"/>
        <w:spacing w:line="266" w:lineRule="auto" w:before="198"/>
        <w:ind w:left="723" w:right="1497"/>
      </w:pPr>
      <w:r>
        <w:rPr/>
        <w:t>Project</w:t>
      </w:r>
      <w:r>
        <w:rPr>
          <w:spacing w:val="-5"/>
        </w:rPr>
        <w:t> </w:t>
      </w:r>
      <w:r>
        <w:rPr/>
        <w:t>management</w:t>
      </w:r>
      <w:r>
        <w:rPr>
          <w:spacing w:val="-5"/>
        </w:rPr>
        <w:t> </w:t>
      </w:r>
      <w:r>
        <w:rPr/>
        <w:t>sensemaking</w:t>
      </w:r>
      <w:r>
        <w:rPr>
          <w:spacing w:val="-5"/>
        </w:rPr>
        <w:t> </w:t>
      </w:r>
      <w:r>
        <w:rPr/>
        <w:t>scholarship</w:t>
      </w:r>
      <w:r>
        <w:rPr>
          <w:spacing w:val="-5"/>
        </w:rPr>
        <w:t> </w:t>
      </w:r>
      <w:r>
        <w:rPr/>
        <w:t>underscores</w:t>
      </w:r>
      <w:r>
        <w:rPr>
          <w:spacing w:val="-5"/>
        </w:rPr>
        <w:t> </w:t>
      </w:r>
      <w:r>
        <w:rPr/>
        <w:t>that</w:t>
      </w:r>
      <w:r>
        <w:rPr>
          <w:spacing w:val="-5"/>
        </w:rPr>
        <w:t> </w:t>
      </w:r>
      <w:r>
        <w:rPr/>
        <w:t>practitioners</w:t>
      </w:r>
      <w:r>
        <w:rPr>
          <w:spacing w:val="-5"/>
        </w:rPr>
        <w:t> </w:t>
      </w:r>
      <w:r>
        <w:rPr/>
        <w:t>construct</w:t>
      </w:r>
      <w:r>
        <w:rPr>
          <w:spacing w:val="-5"/>
        </w:rPr>
        <w:t> </w:t>
      </w:r>
      <w:r>
        <w:rPr/>
        <w:t>career</w:t>
      </w:r>
      <w:r>
        <w:rPr>
          <w:spacing w:val="-5"/>
        </w:rPr>
        <w:t> </w:t>
      </w:r>
      <w:r>
        <w:rPr/>
        <w:t>and practice-related meaning through ongoing social interaction, narrative exchange, and reflection on project-related situations, interpreting ambiguous cues retrospectively to create plausible accounts of experience (Maitlis &amp; Christianson, 2014; Weick, 1995). Smith (2007) frames projects as complex social processes in which professionals draw on conversations, stories, and community norms to interpret ambiguity and negotiate their identities as competent project actors. Research on collective sensemaking similarly shows that managers use communal language and peer reference points to reframe unexpected events, assess career progress, and stabilize evolving understandings of what good project management looks like in practice (Hekkala et al., 2018). This body of work indicates that sensemaking is not confined to formal organizational settings but extends into professional communities where meanings are socially </w:t>
      </w:r>
      <w:r>
        <w:rPr>
          <w:spacing w:val="-2"/>
        </w:rPr>
        <w:t>constructed.</w:t>
      </w:r>
    </w:p>
    <w:p>
      <w:pPr>
        <w:pStyle w:val="BodyText"/>
        <w:spacing w:before="30"/>
      </w:pPr>
    </w:p>
    <w:p>
      <w:pPr>
        <w:pStyle w:val="BodyText"/>
        <w:spacing w:line="266" w:lineRule="auto"/>
        <w:ind w:left="723" w:right="1392"/>
      </w:pPr>
      <w:r>
        <w:rPr/>
        <w:t>Reddit’s anonymous, peer-driven subreddit structure supports topic-focused communities in which</w:t>
      </w:r>
      <w:r>
        <w:rPr>
          <w:spacing w:val="-4"/>
        </w:rPr>
        <w:t> </w:t>
      </w:r>
      <w:r>
        <w:rPr/>
        <w:t>practitioners</w:t>
      </w:r>
      <w:r>
        <w:rPr>
          <w:spacing w:val="-4"/>
        </w:rPr>
        <w:t> </w:t>
      </w:r>
      <w:r>
        <w:rPr/>
        <w:t>narrate</w:t>
      </w:r>
      <w:r>
        <w:rPr>
          <w:spacing w:val="-4"/>
        </w:rPr>
        <w:t> </w:t>
      </w:r>
      <w:r>
        <w:rPr/>
        <w:t>experiences,</w:t>
      </w:r>
      <w:r>
        <w:rPr>
          <w:spacing w:val="-4"/>
        </w:rPr>
        <w:t> </w:t>
      </w:r>
      <w:r>
        <w:rPr/>
        <w:t>seek</w:t>
      </w:r>
      <w:r>
        <w:rPr>
          <w:spacing w:val="-4"/>
        </w:rPr>
        <w:t> </w:t>
      </w:r>
      <w:r>
        <w:rPr/>
        <w:t>validation,</w:t>
      </w:r>
      <w:r>
        <w:rPr>
          <w:spacing w:val="-4"/>
        </w:rPr>
        <w:t> </w:t>
      </w:r>
      <w:r>
        <w:rPr/>
        <w:t>and</w:t>
      </w:r>
      <w:r>
        <w:rPr>
          <w:spacing w:val="-4"/>
        </w:rPr>
        <w:t> </w:t>
      </w:r>
      <w:r>
        <w:rPr/>
        <w:t>negotiate</w:t>
      </w:r>
      <w:r>
        <w:rPr>
          <w:spacing w:val="-4"/>
        </w:rPr>
        <w:t> </w:t>
      </w:r>
      <w:r>
        <w:rPr/>
        <w:t>shared</w:t>
      </w:r>
      <w:r>
        <w:rPr>
          <w:spacing w:val="-4"/>
        </w:rPr>
        <w:t> </w:t>
      </w:r>
      <w:r>
        <w:rPr/>
        <w:t>interpretations</w:t>
      </w:r>
      <w:r>
        <w:rPr>
          <w:spacing w:val="-4"/>
        </w:rPr>
        <w:t> </w:t>
      </w:r>
      <w:r>
        <w:rPr/>
        <w:t>of work and career challenges (Li et al., 2023; Muljana et al., 2022). Anonymity and relative freedom from organizational surveillance appear to enable the articulation of uncertainty, frustration, and identity ambiguity that may be muted in formal settings (Amaya et al., 2021; Fiesler et al., 2024).</w:t>
      </w:r>
    </w:p>
    <w:p>
      <w:pPr>
        <w:pStyle w:val="BodyText"/>
        <w:spacing w:line="266" w:lineRule="auto" w:before="172"/>
        <w:ind w:left="723" w:right="1492"/>
      </w:pPr>
      <w:r>
        <w:rPr/>
        <w:t>Advances in natural language processing (NLP) have expanded researchers’ ability to examine large-scale digital discourse as a window into collective meaning-making. (Amaya et al., 2021; Westrupp</w:t>
      </w:r>
      <w:r>
        <w:rPr>
          <w:spacing w:val="-7"/>
        </w:rPr>
        <w:t> </w:t>
      </w:r>
      <w:r>
        <w:rPr/>
        <w:t>et</w:t>
      </w:r>
      <w:r>
        <w:rPr>
          <w:spacing w:val="-7"/>
        </w:rPr>
        <w:t> </w:t>
      </w:r>
      <w:r>
        <w:rPr/>
        <w:t>al.,</w:t>
      </w:r>
      <w:r>
        <w:rPr>
          <w:spacing w:val="-7"/>
        </w:rPr>
        <w:t> </w:t>
      </w:r>
      <w:r>
        <w:rPr/>
        <w:t>2022).</w:t>
      </w:r>
      <w:r>
        <w:rPr>
          <w:spacing w:val="-7"/>
        </w:rPr>
        <w:t> </w:t>
      </w:r>
      <w:r>
        <w:rPr/>
        <w:t>Topic</w:t>
      </w:r>
      <w:r>
        <w:rPr>
          <w:spacing w:val="-7"/>
        </w:rPr>
        <w:t> </w:t>
      </w:r>
      <w:r>
        <w:rPr/>
        <w:t>modeling</w:t>
      </w:r>
      <w:r>
        <w:rPr>
          <w:spacing w:val="-7"/>
        </w:rPr>
        <w:t> </w:t>
      </w:r>
      <w:r>
        <w:rPr/>
        <w:t>approaches</w:t>
      </w:r>
      <w:r>
        <w:rPr>
          <w:spacing w:val="-7"/>
        </w:rPr>
        <w:t> </w:t>
      </w:r>
      <w:r>
        <w:rPr/>
        <w:t>support</w:t>
      </w:r>
      <w:r>
        <w:rPr>
          <w:spacing w:val="-7"/>
        </w:rPr>
        <w:t> </w:t>
      </w:r>
      <w:r>
        <w:rPr/>
        <w:t>the</w:t>
      </w:r>
      <w:r>
        <w:rPr>
          <w:spacing w:val="-7"/>
        </w:rPr>
        <w:t> </w:t>
      </w:r>
      <w:r>
        <w:rPr/>
        <w:t>identification</w:t>
      </w:r>
      <w:r>
        <w:rPr>
          <w:spacing w:val="-7"/>
        </w:rPr>
        <w:t> </w:t>
      </w:r>
      <w:r>
        <w:rPr/>
        <w:t>of</w:t>
      </w:r>
      <w:r>
        <w:rPr>
          <w:spacing w:val="-7"/>
        </w:rPr>
        <w:t> </w:t>
      </w:r>
      <w:r>
        <w:rPr/>
        <w:t>recurring</w:t>
      </w:r>
      <w:r>
        <w:rPr>
          <w:spacing w:val="-7"/>
        </w:rPr>
        <w:t> </w:t>
      </w:r>
      <w:r>
        <w:rPr/>
        <w:t>themes within</w:t>
      </w:r>
      <w:r>
        <w:rPr>
          <w:spacing w:val="-1"/>
        </w:rPr>
        <w:t> </w:t>
      </w:r>
      <w:r>
        <w:rPr/>
        <w:t>unstructured</w:t>
      </w:r>
      <w:r>
        <w:rPr>
          <w:spacing w:val="-1"/>
        </w:rPr>
        <w:t> </w:t>
      </w:r>
      <w:r>
        <w:rPr/>
        <w:t>text,</w:t>
      </w:r>
      <w:r>
        <w:rPr>
          <w:spacing w:val="-1"/>
        </w:rPr>
        <w:t> </w:t>
      </w:r>
      <w:r>
        <w:rPr/>
        <w:t>enabling</w:t>
      </w:r>
      <w:r>
        <w:rPr>
          <w:spacing w:val="-1"/>
        </w:rPr>
        <w:t> </w:t>
      </w:r>
      <w:r>
        <w:rPr/>
        <w:t>scholars</w:t>
      </w:r>
      <w:r>
        <w:rPr>
          <w:spacing w:val="-1"/>
        </w:rPr>
        <w:t> </w:t>
      </w:r>
      <w:r>
        <w:rPr/>
        <w:t>to</w:t>
      </w:r>
      <w:r>
        <w:rPr>
          <w:spacing w:val="-1"/>
        </w:rPr>
        <w:t> </w:t>
      </w:r>
      <w:r>
        <w:rPr/>
        <w:t>characterize</w:t>
      </w:r>
      <w:r>
        <w:rPr>
          <w:spacing w:val="-1"/>
        </w:rPr>
        <w:t> </w:t>
      </w:r>
      <w:r>
        <w:rPr/>
        <w:t>how</w:t>
      </w:r>
      <w:r>
        <w:rPr>
          <w:spacing w:val="-1"/>
        </w:rPr>
        <w:t> </w:t>
      </w:r>
      <w:r>
        <w:rPr/>
        <w:t>communities</w:t>
      </w:r>
      <w:r>
        <w:rPr>
          <w:spacing w:val="-1"/>
        </w:rPr>
        <w:t> </w:t>
      </w:r>
      <w:r>
        <w:rPr/>
        <w:t>organize</w:t>
      </w:r>
      <w:r>
        <w:rPr>
          <w:spacing w:val="-1"/>
        </w:rPr>
        <w:t> </w:t>
      </w:r>
      <w:r>
        <w:rPr/>
        <w:t>discussion around shared concerns. Bidirectional Encoder Representations from Transformers (BERTopic) combines contextual embeddings with density-based clustering and class-based term weighting to generate semantically coherent topics, making it well-suited for capturing nuance in short, informal,</w:t>
      </w:r>
      <w:r>
        <w:rPr>
          <w:spacing w:val="-2"/>
        </w:rPr>
        <w:t> </w:t>
      </w:r>
      <w:r>
        <w:rPr/>
        <w:t>and</w:t>
      </w:r>
      <w:r>
        <w:rPr>
          <w:spacing w:val="-2"/>
        </w:rPr>
        <w:t> </w:t>
      </w:r>
      <w:r>
        <w:rPr/>
        <w:t>heterogeneous</w:t>
      </w:r>
      <w:r>
        <w:rPr>
          <w:spacing w:val="-2"/>
        </w:rPr>
        <w:t> </w:t>
      </w:r>
      <w:r>
        <w:rPr/>
        <w:t>texts</w:t>
      </w:r>
      <w:r>
        <w:rPr>
          <w:spacing w:val="-2"/>
        </w:rPr>
        <w:t> </w:t>
      </w:r>
      <w:r>
        <w:rPr/>
        <w:t>(Cheddak</w:t>
      </w:r>
      <w:r>
        <w:rPr>
          <w:spacing w:val="-2"/>
        </w:rPr>
        <w:t> </w:t>
      </w:r>
      <w:r>
        <w:rPr/>
        <w:t>et</w:t>
      </w:r>
      <w:r>
        <w:rPr>
          <w:spacing w:val="-2"/>
        </w:rPr>
        <w:t> </w:t>
      </w:r>
      <w:r>
        <w:rPr/>
        <w:t>al.,</w:t>
      </w:r>
      <w:r>
        <w:rPr>
          <w:spacing w:val="-2"/>
        </w:rPr>
        <w:t> </w:t>
      </w:r>
      <w:r>
        <w:rPr/>
        <w:t>2024).</w:t>
      </w:r>
      <w:r>
        <w:rPr>
          <w:spacing w:val="-2"/>
        </w:rPr>
        <w:t> </w:t>
      </w:r>
      <w:r>
        <w:rPr/>
        <w:t>In</w:t>
      </w:r>
      <w:r>
        <w:rPr>
          <w:spacing w:val="-2"/>
        </w:rPr>
        <w:t> </w:t>
      </w:r>
      <w:r>
        <w:rPr/>
        <w:t>this</w:t>
      </w:r>
      <w:r>
        <w:rPr>
          <w:spacing w:val="-2"/>
        </w:rPr>
        <w:t> </w:t>
      </w:r>
      <w:r>
        <w:rPr/>
        <w:t>study,</w:t>
      </w:r>
      <w:r>
        <w:rPr>
          <w:spacing w:val="-2"/>
        </w:rPr>
        <w:t> </w:t>
      </w:r>
      <w:r>
        <w:rPr/>
        <w:t>topic</w:t>
      </w:r>
      <w:r>
        <w:rPr>
          <w:spacing w:val="-2"/>
        </w:rPr>
        <w:t> </w:t>
      </w:r>
      <w:r>
        <w:rPr/>
        <w:t>modeling</w:t>
      </w:r>
      <w:r>
        <w:rPr>
          <w:spacing w:val="-2"/>
        </w:rPr>
        <w:t> </w:t>
      </w:r>
      <w:r>
        <w:rPr/>
        <w:t>is</w:t>
      </w:r>
      <w:r>
        <w:rPr>
          <w:spacing w:val="-2"/>
        </w:rPr>
        <w:t> </w:t>
      </w:r>
      <w:r>
        <w:rPr/>
        <w:t>used</w:t>
      </w:r>
      <w:r>
        <w:rPr>
          <w:spacing w:val="-2"/>
        </w:rPr>
        <w:t> </w:t>
      </w:r>
      <w:r>
        <w:rPr/>
        <w:t>to surface the dominant conversation clusters through which project managers collectively frame and discuss work-related concerns.</w:t>
      </w:r>
    </w:p>
    <w:p>
      <w:pPr>
        <w:pStyle w:val="BodyText"/>
        <w:spacing w:line="266" w:lineRule="auto" w:before="171"/>
        <w:ind w:left="723" w:right="1497"/>
      </w:pPr>
      <w:r>
        <w:rPr/>
        <w:t>Complementing topic modeling, sentiment analysis provides insight into the affective dimensions of community conversations. VADER (Valence Aware Dictionary and sEntiment Reasoner) is widely used in social media research due to its sensitivity to conversational language, including slang, emphasis, and informal expression (Hutto &amp; Gilbert, 2014; Savela et al., 2024). Its compound score offers an indicator of emotional valence and intensity, supporting analysis of how practitioners express frustration, reassurance, optimism, or ambivalence. The following</w:t>
      </w:r>
      <w:r>
        <w:rPr>
          <w:spacing w:val="-4"/>
        </w:rPr>
        <w:t> </w:t>
      </w:r>
      <w:r>
        <w:rPr/>
        <w:t>section</w:t>
      </w:r>
      <w:r>
        <w:rPr>
          <w:spacing w:val="-4"/>
        </w:rPr>
        <w:t> </w:t>
      </w:r>
      <w:r>
        <w:rPr/>
        <w:t>describes</w:t>
      </w:r>
      <w:r>
        <w:rPr>
          <w:spacing w:val="-4"/>
        </w:rPr>
        <w:t> </w:t>
      </w:r>
      <w:r>
        <w:rPr/>
        <w:t>how</w:t>
      </w:r>
      <w:r>
        <w:rPr>
          <w:spacing w:val="-4"/>
        </w:rPr>
        <w:t> </w:t>
      </w:r>
      <w:r>
        <w:rPr/>
        <w:t>these</w:t>
      </w:r>
      <w:r>
        <w:rPr>
          <w:spacing w:val="-4"/>
        </w:rPr>
        <w:t> </w:t>
      </w:r>
      <w:r>
        <w:rPr/>
        <w:t>analytic</w:t>
      </w:r>
      <w:r>
        <w:rPr>
          <w:spacing w:val="-4"/>
        </w:rPr>
        <w:t> </w:t>
      </w:r>
      <w:r>
        <w:rPr/>
        <w:t>approaches</w:t>
      </w:r>
      <w:r>
        <w:rPr>
          <w:spacing w:val="-4"/>
        </w:rPr>
        <w:t> </w:t>
      </w:r>
      <w:r>
        <w:rPr/>
        <w:t>were</w:t>
      </w:r>
      <w:r>
        <w:rPr>
          <w:spacing w:val="-4"/>
        </w:rPr>
        <w:t> </w:t>
      </w:r>
      <w:r>
        <w:rPr/>
        <w:t>implemented</w:t>
      </w:r>
      <w:r>
        <w:rPr>
          <w:spacing w:val="-4"/>
        </w:rPr>
        <w:t> </w:t>
      </w:r>
      <w:r>
        <w:rPr/>
        <w:t>to</w:t>
      </w:r>
      <w:r>
        <w:rPr>
          <w:spacing w:val="-4"/>
        </w:rPr>
        <w:t> </w:t>
      </w:r>
      <w:r>
        <w:rPr/>
        <w:t>examine</w:t>
      </w:r>
      <w:r>
        <w:rPr>
          <w:spacing w:val="-4"/>
        </w:rPr>
        <w:t> </w:t>
      </w:r>
      <w:r>
        <w:rPr/>
        <w:t>project management conversations on Reddit.</w:t>
      </w:r>
    </w:p>
    <w:p>
      <w:pPr>
        <w:pStyle w:val="Heading4"/>
        <w:spacing w:before="172"/>
      </w:pPr>
      <w:r>
        <w:rPr>
          <w:spacing w:val="-2"/>
        </w:rPr>
        <w:t>Methodology</w:t>
      </w:r>
    </w:p>
    <w:p>
      <w:pPr>
        <w:pStyle w:val="BodyText"/>
        <w:spacing w:line="266" w:lineRule="auto" w:before="200"/>
        <w:ind w:left="723" w:hanging="15"/>
      </w:pPr>
      <w:r>
        <w:rPr>
          <w:b/>
          <w:i/>
        </w:rPr>
        <w:t>Data</w:t>
      </w:r>
      <w:r>
        <w:rPr>
          <w:b/>
          <w:i/>
          <w:spacing w:val="-4"/>
        </w:rPr>
        <w:t> </w:t>
      </w:r>
      <w:r>
        <w:rPr>
          <w:b/>
          <w:i/>
        </w:rPr>
        <w:t>Collection:</w:t>
      </w:r>
      <w:r>
        <w:rPr>
          <w:b/>
          <w:i/>
          <w:spacing w:val="-4"/>
        </w:rPr>
        <w:t> </w:t>
      </w:r>
      <w:r>
        <w:rPr/>
        <w:t>The</w:t>
      </w:r>
      <w:r>
        <w:rPr>
          <w:spacing w:val="-4"/>
        </w:rPr>
        <w:t> </w:t>
      </w:r>
      <w:r>
        <w:rPr/>
        <w:t>dataset</w:t>
      </w:r>
      <w:r>
        <w:rPr>
          <w:spacing w:val="-4"/>
        </w:rPr>
        <w:t> </w:t>
      </w:r>
      <w:r>
        <w:rPr/>
        <w:t>includes</w:t>
      </w:r>
      <w:r>
        <w:rPr>
          <w:spacing w:val="-4"/>
        </w:rPr>
        <w:t> </w:t>
      </w:r>
      <w:r>
        <w:rPr/>
        <w:t>570</w:t>
      </w:r>
      <w:r>
        <w:rPr>
          <w:spacing w:val="-4"/>
        </w:rPr>
        <w:t> </w:t>
      </w:r>
      <w:r>
        <w:rPr/>
        <w:t>original</w:t>
      </w:r>
      <w:r>
        <w:rPr>
          <w:spacing w:val="-4"/>
        </w:rPr>
        <w:t> </w:t>
      </w:r>
      <w:r>
        <w:rPr/>
        <w:t>posts</w:t>
      </w:r>
      <w:r>
        <w:rPr>
          <w:spacing w:val="-4"/>
        </w:rPr>
        <w:t> </w:t>
      </w:r>
      <w:r>
        <w:rPr/>
        <w:t>and</w:t>
      </w:r>
      <w:r>
        <w:rPr>
          <w:spacing w:val="-4"/>
        </w:rPr>
        <w:t> </w:t>
      </w:r>
      <w:r>
        <w:rPr/>
        <w:t>6,852</w:t>
      </w:r>
      <w:r>
        <w:rPr>
          <w:spacing w:val="-4"/>
        </w:rPr>
        <w:t> </w:t>
      </w:r>
      <w:r>
        <w:rPr/>
        <w:t>comments</w:t>
      </w:r>
      <w:r>
        <w:rPr>
          <w:spacing w:val="-4"/>
        </w:rPr>
        <w:t> </w:t>
      </w:r>
      <w:r>
        <w:rPr/>
        <w:t>collected</w:t>
      </w:r>
      <w:r>
        <w:rPr>
          <w:spacing w:val="-4"/>
        </w:rPr>
        <w:t> </w:t>
      </w:r>
      <w:r>
        <w:rPr/>
        <w:t>from r/projectmanagement and r/PMcareers using the Python Reddit API Wrapper (PRAW), an</w:t>
      </w:r>
    </w:p>
    <w:p>
      <w:pPr>
        <w:pStyle w:val="BodyText"/>
        <w:spacing w:after="0" w:line="266" w:lineRule="auto"/>
        <w:sectPr>
          <w:footerReference w:type="default" r:id="rId125"/>
          <w:pgSz w:w="12240" w:h="15840"/>
          <w:pgMar w:header="0" w:footer="707" w:top="640" w:bottom="900" w:left="720" w:right="0"/>
          <w:pgNumType w:start="79"/>
        </w:sectPr>
      </w:pPr>
    </w:p>
    <w:p>
      <w:pPr>
        <w:pStyle w:val="BodyText"/>
        <w:spacing w:line="266" w:lineRule="auto" w:before="60"/>
        <w:ind w:left="723" w:right="1619"/>
      </w:pPr>
      <w:r>
        <w:rPr/>
        <w:t>application</w:t>
      </w:r>
      <w:r>
        <w:rPr>
          <w:spacing w:val="-4"/>
        </w:rPr>
        <w:t> </w:t>
      </w:r>
      <w:r>
        <w:rPr/>
        <w:t>programming</w:t>
      </w:r>
      <w:r>
        <w:rPr>
          <w:spacing w:val="-4"/>
        </w:rPr>
        <w:t> </w:t>
      </w:r>
      <w:r>
        <w:rPr/>
        <w:t>interface</w:t>
      </w:r>
      <w:r>
        <w:rPr>
          <w:spacing w:val="-4"/>
        </w:rPr>
        <w:t> </w:t>
      </w:r>
      <w:r>
        <w:rPr/>
        <w:t>that</w:t>
      </w:r>
      <w:r>
        <w:rPr>
          <w:spacing w:val="-4"/>
        </w:rPr>
        <w:t> </w:t>
      </w:r>
      <w:r>
        <w:rPr/>
        <w:t>enables</w:t>
      </w:r>
      <w:r>
        <w:rPr>
          <w:spacing w:val="-4"/>
        </w:rPr>
        <w:t> </w:t>
      </w:r>
      <w:r>
        <w:rPr/>
        <w:t>structured,</w:t>
      </w:r>
      <w:r>
        <w:rPr>
          <w:spacing w:val="-4"/>
        </w:rPr>
        <w:t> </w:t>
      </w:r>
      <w:r>
        <w:rPr/>
        <w:t>programmatic</w:t>
      </w:r>
      <w:r>
        <w:rPr>
          <w:spacing w:val="-4"/>
        </w:rPr>
        <w:t> </w:t>
      </w:r>
      <w:r>
        <w:rPr/>
        <w:t>access</w:t>
      </w:r>
      <w:r>
        <w:rPr>
          <w:spacing w:val="-4"/>
        </w:rPr>
        <w:t> </w:t>
      </w:r>
      <w:r>
        <w:rPr/>
        <w:t>to</w:t>
      </w:r>
      <w:r>
        <w:rPr>
          <w:spacing w:val="-4"/>
        </w:rPr>
        <w:t> </w:t>
      </w:r>
      <w:r>
        <w:rPr/>
        <w:t>Reddit</w:t>
      </w:r>
      <w:r>
        <w:rPr>
          <w:spacing w:val="-4"/>
        </w:rPr>
        <w:t> </w:t>
      </w:r>
      <w:r>
        <w:rPr/>
        <w:t>data. Data collection occurred between September 17 and November 2, 2025, and included all documents (posts or comments) written in English and submitted as original text (excluding linked posts, reposts, and moderator announcements). For each document, metadata such as score (net upvotes minus downvotes) and number of comments were recorded.</w:t>
      </w:r>
    </w:p>
    <w:p>
      <w:pPr>
        <w:pStyle w:val="BodyText"/>
        <w:spacing w:line="266" w:lineRule="auto" w:before="173"/>
        <w:ind w:left="723" w:right="1442" w:hanging="15"/>
      </w:pPr>
      <w:r>
        <w:rPr>
          <w:b/>
          <w:i/>
        </w:rPr>
        <w:t>Data Preprocessing: </w:t>
      </w:r>
      <w:r>
        <w:rPr/>
        <w:t>In alignment with guidelines for ethical social media research (Amaya et al., 2021), the dataset was anonymized by removing usernames and other identifiable information. Posts and comments were treated as separate documents for analysis and linked by</w:t>
      </w:r>
      <w:r>
        <w:rPr>
          <w:spacing w:val="40"/>
        </w:rPr>
        <w:t> </w:t>
      </w:r>
      <w:r>
        <w:rPr/>
        <w:t>a</w:t>
      </w:r>
      <w:r>
        <w:rPr>
          <w:spacing w:val="-5"/>
        </w:rPr>
        <w:t> </w:t>
      </w:r>
      <w:r>
        <w:rPr/>
        <w:t>unique</w:t>
      </w:r>
      <w:r>
        <w:rPr>
          <w:spacing w:val="-5"/>
        </w:rPr>
        <w:t> </w:t>
      </w:r>
      <w:r>
        <w:rPr/>
        <w:t>post</w:t>
      </w:r>
      <w:r>
        <w:rPr>
          <w:spacing w:val="-5"/>
        </w:rPr>
        <w:t> </w:t>
      </w:r>
      <w:r>
        <w:rPr/>
        <w:t>identifier.</w:t>
      </w:r>
      <w:r>
        <w:rPr>
          <w:spacing w:val="-5"/>
        </w:rPr>
        <w:t> </w:t>
      </w:r>
      <w:r>
        <w:rPr/>
        <w:t>Data</w:t>
      </w:r>
      <w:r>
        <w:rPr>
          <w:spacing w:val="-5"/>
        </w:rPr>
        <w:t> </w:t>
      </w:r>
      <w:r>
        <w:rPr/>
        <w:t>preprocessing</w:t>
      </w:r>
      <w:r>
        <w:rPr>
          <w:spacing w:val="-5"/>
        </w:rPr>
        <w:t> </w:t>
      </w:r>
      <w:r>
        <w:rPr/>
        <w:t>involved</w:t>
      </w:r>
      <w:r>
        <w:rPr>
          <w:spacing w:val="-5"/>
        </w:rPr>
        <w:t> </w:t>
      </w:r>
      <w:r>
        <w:rPr/>
        <w:t>removing</w:t>
      </w:r>
      <w:r>
        <w:rPr>
          <w:spacing w:val="-5"/>
        </w:rPr>
        <w:t> </w:t>
      </w:r>
      <w:r>
        <w:rPr/>
        <w:t>or</w:t>
      </w:r>
      <w:r>
        <w:rPr>
          <w:spacing w:val="-5"/>
        </w:rPr>
        <w:t> </w:t>
      </w:r>
      <w:r>
        <w:rPr/>
        <w:t>masking</w:t>
      </w:r>
      <w:r>
        <w:rPr>
          <w:spacing w:val="-5"/>
        </w:rPr>
        <w:t> </w:t>
      </w:r>
      <w:r>
        <w:rPr/>
        <w:t>URLs,</w:t>
      </w:r>
      <w:r>
        <w:rPr>
          <w:spacing w:val="-5"/>
        </w:rPr>
        <w:t> </w:t>
      </w:r>
      <w:r>
        <w:rPr/>
        <w:t>emojis,</w:t>
      </w:r>
      <w:r>
        <w:rPr>
          <w:spacing w:val="-5"/>
        </w:rPr>
        <w:t> </w:t>
      </w:r>
      <w:r>
        <w:rPr/>
        <w:t>quoted text, profanity, overt political statements, and nonlinguistic artifacts. Additionally, non-English posts, linked content, and moderator announcements were excluded. The text was lowercased, and stopwords were removed. Preprocessing yielded 520 usable posts and 6,471 usable </w:t>
      </w:r>
      <w:r>
        <w:rPr>
          <w:spacing w:val="-2"/>
        </w:rPr>
        <w:t>comments.</w:t>
      </w:r>
    </w:p>
    <w:p>
      <w:pPr>
        <w:pStyle w:val="BodyText"/>
        <w:spacing w:line="266" w:lineRule="auto" w:before="172"/>
        <w:ind w:left="723" w:right="1544" w:firstLine="15"/>
      </w:pPr>
      <w:r>
        <w:rPr>
          <w:b/>
          <w:i/>
        </w:rPr>
        <w:t>Topic</w:t>
      </w:r>
      <w:r>
        <w:rPr>
          <w:b/>
          <w:i/>
          <w:spacing w:val="-10"/>
        </w:rPr>
        <w:t> </w:t>
      </w:r>
      <w:r>
        <w:rPr>
          <w:b/>
          <w:i/>
        </w:rPr>
        <w:t>Modeling:</w:t>
      </w:r>
      <w:r>
        <w:rPr>
          <w:b/>
          <w:i/>
          <w:spacing w:val="-10"/>
        </w:rPr>
        <w:t> </w:t>
      </w:r>
      <w:r>
        <w:rPr/>
        <w:t>Topic</w:t>
      </w:r>
      <w:r>
        <w:rPr>
          <w:spacing w:val="-10"/>
        </w:rPr>
        <w:t> </w:t>
      </w:r>
      <w:r>
        <w:rPr/>
        <w:t>modeling</w:t>
      </w:r>
      <w:r>
        <w:rPr>
          <w:spacing w:val="-10"/>
        </w:rPr>
        <w:t> </w:t>
      </w:r>
      <w:r>
        <w:rPr/>
        <w:t>was</w:t>
      </w:r>
      <w:r>
        <w:rPr>
          <w:spacing w:val="-10"/>
        </w:rPr>
        <w:t> </w:t>
      </w:r>
      <w:r>
        <w:rPr/>
        <w:t>conducted</w:t>
      </w:r>
      <w:r>
        <w:rPr>
          <w:spacing w:val="-10"/>
        </w:rPr>
        <w:t> </w:t>
      </w:r>
      <w:r>
        <w:rPr/>
        <w:t>using</w:t>
      </w:r>
      <w:r>
        <w:rPr>
          <w:spacing w:val="-10"/>
        </w:rPr>
        <w:t> </w:t>
      </w:r>
      <w:r>
        <w:rPr/>
        <w:t>BERTopic,</w:t>
      </w:r>
      <w:r>
        <w:rPr>
          <w:spacing w:val="-10"/>
        </w:rPr>
        <w:t> </w:t>
      </w:r>
      <w:r>
        <w:rPr/>
        <w:t>which</w:t>
      </w:r>
      <w:r>
        <w:rPr>
          <w:spacing w:val="-10"/>
        </w:rPr>
        <w:t> </w:t>
      </w:r>
      <w:r>
        <w:rPr/>
        <w:t>generated</w:t>
      </w:r>
      <w:r>
        <w:rPr>
          <w:spacing w:val="-10"/>
        </w:rPr>
        <w:t> </w:t>
      </w:r>
      <w:r>
        <w:rPr/>
        <w:t>ten</w:t>
      </w:r>
      <w:r>
        <w:rPr>
          <w:spacing w:val="-10"/>
        </w:rPr>
        <w:t> </w:t>
      </w:r>
      <w:r>
        <w:rPr/>
        <w:t>machine derived clusters based on semantic similarity in the corpus. Texts were embedded using a pre trained Sentence-BERT model (all-MiniLM-L6-v2), reduced via UMAP (n_neighbors=15, n_components=5), and clustered using HDBSCAN (min_cluster_size=30). Machine-generated clusters and outlier posts were then refined through a human-in-the-loop crosswalk comparing computational clusters with human-defined categories, yielding four consolidated thematic domains. Consolidation decisions prioritized semantic coherence and interpretive clarity. The machine-to-human theme crosswalk appears in Appendix A.</w:t>
      </w:r>
    </w:p>
    <w:p>
      <w:pPr>
        <w:pStyle w:val="BodyText"/>
        <w:spacing w:line="266" w:lineRule="auto" w:before="170"/>
        <w:ind w:left="723" w:right="1464" w:hanging="15"/>
      </w:pPr>
      <w:r>
        <w:rPr>
          <w:b/>
          <w:i/>
        </w:rPr>
        <w:t>Intercoder Reliability and Qualitative Validation: </w:t>
      </w:r>
      <w:r>
        <w:rPr/>
        <w:t>To ensure consistent interpretation of the consolidated themes, two researchers independently reviewed randomly selected posts within each</w:t>
      </w:r>
      <w:r>
        <w:rPr>
          <w:spacing w:val="-3"/>
        </w:rPr>
        <w:t> </w:t>
      </w:r>
      <w:r>
        <w:rPr/>
        <w:t>cluster</w:t>
      </w:r>
      <w:r>
        <w:rPr>
          <w:spacing w:val="-3"/>
        </w:rPr>
        <w:t> </w:t>
      </w:r>
      <w:r>
        <w:rPr/>
        <w:t>and</w:t>
      </w:r>
      <w:r>
        <w:rPr>
          <w:spacing w:val="-3"/>
        </w:rPr>
        <w:t> </w:t>
      </w:r>
      <w:r>
        <w:rPr/>
        <w:t>assigned</w:t>
      </w:r>
      <w:r>
        <w:rPr>
          <w:spacing w:val="-3"/>
        </w:rPr>
        <w:t> </w:t>
      </w:r>
      <w:r>
        <w:rPr/>
        <w:t>descriptive</w:t>
      </w:r>
      <w:r>
        <w:rPr>
          <w:spacing w:val="-3"/>
        </w:rPr>
        <w:t> </w:t>
      </w:r>
      <w:r>
        <w:rPr/>
        <w:t>labels.</w:t>
      </w:r>
      <w:r>
        <w:rPr>
          <w:spacing w:val="-3"/>
        </w:rPr>
        <w:t> </w:t>
      </w:r>
      <w:r>
        <w:rPr/>
        <w:t>A</w:t>
      </w:r>
      <w:r>
        <w:rPr>
          <w:spacing w:val="-3"/>
        </w:rPr>
        <w:t> </w:t>
      </w:r>
      <w:r>
        <w:rPr/>
        <w:t>reliability</w:t>
      </w:r>
      <w:r>
        <w:rPr>
          <w:spacing w:val="-3"/>
        </w:rPr>
        <w:t> </w:t>
      </w:r>
      <w:r>
        <w:rPr/>
        <w:t>check</w:t>
      </w:r>
      <w:r>
        <w:rPr>
          <w:spacing w:val="-3"/>
        </w:rPr>
        <w:t> </w:t>
      </w:r>
      <w:r>
        <w:rPr/>
        <w:t>conducted</w:t>
      </w:r>
      <w:r>
        <w:rPr>
          <w:spacing w:val="-3"/>
        </w:rPr>
        <w:t> </w:t>
      </w:r>
      <w:r>
        <w:rPr/>
        <w:t>on</w:t>
      </w:r>
      <w:r>
        <w:rPr>
          <w:spacing w:val="-3"/>
        </w:rPr>
        <w:t> </w:t>
      </w:r>
      <w:r>
        <w:rPr/>
        <w:t>a</w:t>
      </w:r>
      <w:r>
        <w:rPr>
          <w:spacing w:val="-3"/>
        </w:rPr>
        <w:t> </w:t>
      </w:r>
      <w:r>
        <w:rPr/>
        <w:t>subset</w:t>
      </w:r>
      <w:r>
        <w:rPr>
          <w:spacing w:val="-3"/>
        </w:rPr>
        <w:t> </w:t>
      </w:r>
      <w:r>
        <w:rPr/>
        <w:t>of</w:t>
      </w:r>
      <w:r>
        <w:rPr>
          <w:spacing w:val="-3"/>
        </w:rPr>
        <w:t> </w:t>
      </w:r>
      <w:r>
        <w:rPr/>
        <w:t>45</w:t>
      </w:r>
      <w:r>
        <w:rPr>
          <w:spacing w:val="-3"/>
        </w:rPr>
        <w:t> </w:t>
      </w:r>
      <w:r>
        <w:rPr/>
        <w:t>posts (approximately 8% of the dataset), drawn across clusters, yielded 84% agreement between</w:t>
      </w:r>
      <w:r>
        <w:rPr>
          <w:spacing w:val="40"/>
        </w:rPr>
        <w:t> </w:t>
      </w:r>
      <w:r>
        <w:rPr/>
        <w:t>coders (O’Connor &amp; Joffe, 2020).</w:t>
      </w:r>
    </w:p>
    <w:p>
      <w:pPr>
        <w:pStyle w:val="BodyText"/>
        <w:spacing w:line="266" w:lineRule="auto" w:before="174"/>
        <w:ind w:left="723" w:right="1191" w:hanging="15"/>
      </w:pPr>
      <w:r>
        <w:rPr>
          <w:b/>
          <w:i/>
        </w:rPr>
        <w:t>Sentiment Analysis with VADER</w:t>
      </w:r>
      <w:r>
        <w:rPr/>
        <w:t>: Sentiment analysis was applied to all comments using the VADER</w:t>
      </w:r>
      <w:r>
        <w:rPr>
          <w:spacing w:val="-5"/>
        </w:rPr>
        <w:t> </w:t>
      </w:r>
      <w:r>
        <w:rPr/>
        <w:t>algorithm.</w:t>
      </w:r>
      <w:r>
        <w:rPr>
          <w:spacing w:val="-5"/>
        </w:rPr>
        <w:t> </w:t>
      </w:r>
      <w:r>
        <w:rPr/>
        <w:t>Each</w:t>
      </w:r>
      <w:r>
        <w:rPr>
          <w:spacing w:val="-5"/>
        </w:rPr>
        <w:t> </w:t>
      </w:r>
      <w:r>
        <w:rPr/>
        <w:t>document</w:t>
      </w:r>
      <w:r>
        <w:rPr>
          <w:spacing w:val="-5"/>
        </w:rPr>
        <w:t> </w:t>
      </w:r>
      <w:r>
        <w:rPr/>
        <w:t>received</w:t>
      </w:r>
      <w:r>
        <w:rPr>
          <w:spacing w:val="-5"/>
        </w:rPr>
        <w:t> </w:t>
      </w:r>
      <w:r>
        <w:rPr/>
        <w:t>a</w:t>
      </w:r>
      <w:r>
        <w:rPr>
          <w:spacing w:val="-5"/>
        </w:rPr>
        <w:t> </w:t>
      </w:r>
      <w:r>
        <w:rPr/>
        <w:t>compound</w:t>
      </w:r>
      <w:r>
        <w:rPr>
          <w:spacing w:val="-5"/>
        </w:rPr>
        <w:t> </w:t>
      </w:r>
      <w:r>
        <w:rPr/>
        <w:t>score</w:t>
      </w:r>
      <w:r>
        <w:rPr>
          <w:spacing w:val="-5"/>
        </w:rPr>
        <w:t> </w:t>
      </w:r>
      <w:r>
        <w:rPr/>
        <w:t>ranging</w:t>
      </w:r>
      <w:r>
        <w:rPr>
          <w:spacing w:val="-5"/>
        </w:rPr>
        <w:t> </w:t>
      </w:r>
      <w:r>
        <w:rPr/>
        <w:t>from</w:t>
      </w:r>
      <w:r>
        <w:rPr>
          <w:spacing w:val="-5"/>
        </w:rPr>
        <w:t> </w:t>
      </w:r>
      <w:r>
        <w:rPr/>
        <w:t>-1</w:t>
      </w:r>
      <w:r>
        <w:rPr>
          <w:spacing w:val="-5"/>
        </w:rPr>
        <w:t> </w:t>
      </w:r>
      <w:r>
        <w:rPr/>
        <w:t>to</w:t>
      </w:r>
      <w:r>
        <w:rPr>
          <w:spacing w:val="-5"/>
        </w:rPr>
        <w:t> </w:t>
      </w:r>
      <w:r>
        <w:rPr/>
        <w:t>+1.</w:t>
      </w:r>
      <w:r>
        <w:rPr>
          <w:spacing w:val="-5"/>
        </w:rPr>
        <w:t> </w:t>
      </w:r>
      <w:r>
        <w:rPr/>
        <w:t>Scores</w:t>
      </w:r>
      <w:r>
        <w:rPr>
          <w:spacing w:val="-5"/>
        </w:rPr>
        <w:t> </w:t>
      </w:r>
      <w:r>
        <w:rPr/>
        <w:t>&gt;</w:t>
      </w:r>
    </w:p>
    <w:p>
      <w:pPr>
        <w:pStyle w:val="BodyText"/>
        <w:spacing w:line="266" w:lineRule="auto"/>
        <w:ind w:left="723" w:right="1381"/>
      </w:pPr>
      <w:r>
        <w:rPr/>
        <w:t>0.05 were categorized as positive, scores &lt; –0.05 as negative, and the remainder as neutral. Average</w:t>
      </w:r>
      <w:r>
        <w:rPr>
          <w:spacing w:val="-6"/>
        </w:rPr>
        <w:t> </w:t>
      </w:r>
      <w:r>
        <w:rPr/>
        <w:t>sentiment,</w:t>
      </w:r>
      <w:r>
        <w:rPr>
          <w:spacing w:val="-6"/>
        </w:rPr>
        <w:t> </w:t>
      </w:r>
      <w:r>
        <w:rPr/>
        <w:t>standard</w:t>
      </w:r>
      <w:r>
        <w:rPr>
          <w:spacing w:val="-6"/>
        </w:rPr>
        <w:t> </w:t>
      </w:r>
      <w:r>
        <w:rPr/>
        <w:t>deviation,</w:t>
      </w:r>
      <w:r>
        <w:rPr>
          <w:spacing w:val="-6"/>
        </w:rPr>
        <w:t> </w:t>
      </w:r>
      <w:r>
        <w:rPr/>
        <w:t>and</w:t>
      </w:r>
      <w:r>
        <w:rPr>
          <w:spacing w:val="-6"/>
        </w:rPr>
        <w:t> </w:t>
      </w:r>
      <w:r>
        <w:rPr/>
        <w:t>proportion</w:t>
      </w:r>
      <w:r>
        <w:rPr>
          <w:spacing w:val="-6"/>
        </w:rPr>
        <w:t> </w:t>
      </w:r>
      <w:r>
        <w:rPr/>
        <w:t>of</w:t>
      </w:r>
      <w:r>
        <w:rPr>
          <w:spacing w:val="-6"/>
        </w:rPr>
        <w:t> </w:t>
      </w:r>
      <w:r>
        <w:rPr/>
        <w:t>negative</w:t>
      </w:r>
      <w:r>
        <w:rPr>
          <w:spacing w:val="-6"/>
        </w:rPr>
        <w:t> </w:t>
      </w:r>
      <w:r>
        <w:rPr/>
        <w:t>comments</w:t>
      </w:r>
      <w:r>
        <w:rPr>
          <w:spacing w:val="-6"/>
        </w:rPr>
        <w:t> </w:t>
      </w:r>
      <w:r>
        <w:rPr/>
        <w:t>were</w:t>
      </w:r>
      <w:r>
        <w:rPr>
          <w:spacing w:val="-6"/>
        </w:rPr>
        <w:t> </w:t>
      </w:r>
      <w:r>
        <w:rPr/>
        <w:t>calculated</w:t>
      </w:r>
      <w:r>
        <w:rPr>
          <w:spacing w:val="-6"/>
        </w:rPr>
        <w:t> </w:t>
      </w:r>
      <w:r>
        <w:rPr/>
        <w:t>for each topic cluster.</w:t>
      </w:r>
    </w:p>
    <w:p>
      <w:pPr>
        <w:pStyle w:val="BodyText"/>
        <w:spacing w:line="266" w:lineRule="auto" w:before="172"/>
        <w:ind w:left="723" w:right="1461" w:hanging="15"/>
      </w:pPr>
      <w:r>
        <w:rPr>
          <w:b/>
          <w:i/>
        </w:rPr>
        <w:t>Ethical</w:t>
      </w:r>
      <w:r>
        <w:rPr>
          <w:b/>
          <w:i/>
          <w:spacing w:val="-6"/>
        </w:rPr>
        <w:t> </w:t>
      </w:r>
      <w:r>
        <w:rPr>
          <w:b/>
          <w:i/>
        </w:rPr>
        <w:t>Considerations:</w:t>
      </w:r>
      <w:r>
        <w:rPr>
          <w:b/>
          <w:i/>
          <w:spacing w:val="-6"/>
        </w:rPr>
        <w:t> </w:t>
      </w:r>
      <w:r>
        <w:rPr/>
        <w:t>This</w:t>
      </w:r>
      <w:r>
        <w:rPr>
          <w:spacing w:val="-6"/>
        </w:rPr>
        <w:t> </w:t>
      </w:r>
      <w:r>
        <w:rPr/>
        <w:t>study</w:t>
      </w:r>
      <w:r>
        <w:rPr>
          <w:spacing w:val="-6"/>
        </w:rPr>
        <w:t> </w:t>
      </w:r>
      <w:r>
        <w:rPr/>
        <w:t>received</w:t>
      </w:r>
      <w:r>
        <w:rPr>
          <w:spacing w:val="-6"/>
        </w:rPr>
        <w:t> </w:t>
      </w:r>
      <w:r>
        <w:rPr/>
        <w:t>approval</w:t>
      </w:r>
      <w:r>
        <w:rPr>
          <w:spacing w:val="-6"/>
        </w:rPr>
        <w:t> </w:t>
      </w:r>
      <w:r>
        <w:rPr/>
        <w:t>from</w:t>
      </w:r>
      <w:r>
        <w:rPr>
          <w:spacing w:val="-6"/>
        </w:rPr>
        <w:t> </w:t>
      </w:r>
      <w:r>
        <w:rPr/>
        <w:t>the</w:t>
      </w:r>
      <w:r>
        <w:rPr>
          <w:spacing w:val="-6"/>
        </w:rPr>
        <w:t> </w:t>
      </w:r>
      <w:r>
        <w:rPr/>
        <w:t>university’s</w:t>
      </w:r>
      <w:r>
        <w:rPr>
          <w:spacing w:val="-6"/>
        </w:rPr>
        <w:t> </w:t>
      </w:r>
      <w:r>
        <w:rPr/>
        <w:t>Institutional</w:t>
      </w:r>
      <w:r>
        <w:rPr>
          <w:spacing w:val="-6"/>
        </w:rPr>
        <w:t> </w:t>
      </w:r>
      <w:r>
        <w:rPr/>
        <w:t>Review Board and the moderators of both subreddits. All content was obtained from publicly accessible Reddit forums, and all Python scripts used for data extraction, cleaning, and BERTopic and VADER analysis were developed with the assistance of ChatGPT as a coding and scripting aid; all analytic decisions and interpretations were made by the researchers.</w:t>
      </w:r>
    </w:p>
    <w:p>
      <w:pPr>
        <w:pStyle w:val="Heading4"/>
        <w:spacing w:before="172"/>
      </w:pPr>
      <w:r>
        <w:rPr/>
        <w:t>Results and </w:t>
      </w:r>
      <w:r>
        <w:rPr>
          <w:spacing w:val="-2"/>
        </w:rPr>
        <w:t>Implications</w:t>
      </w:r>
    </w:p>
    <w:p>
      <w:pPr>
        <w:pStyle w:val="BodyText"/>
        <w:spacing w:line="266" w:lineRule="auto" w:before="200"/>
        <w:ind w:left="723" w:right="1191"/>
      </w:pPr>
      <w:r>
        <w:rPr/>
        <w:t>Analysis reveals four distinct themes through which project managers discuss and frame professional concerns and uncertainties. A cross-theme “certification” tag underscores how credentialing anxieties permeate conversations across themes, shaping users’ interpretations of career</w:t>
      </w:r>
      <w:r>
        <w:rPr>
          <w:spacing w:val="-6"/>
        </w:rPr>
        <w:t> </w:t>
      </w:r>
      <w:r>
        <w:rPr/>
        <w:t>mobility,</w:t>
      </w:r>
      <w:r>
        <w:rPr>
          <w:spacing w:val="-6"/>
        </w:rPr>
        <w:t> </w:t>
      </w:r>
      <w:r>
        <w:rPr/>
        <w:t>legitimacy,</w:t>
      </w:r>
      <w:r>
        <w:rPr>
          <w:spacing w:val="-7"/>
        </w:rPr>
        <w:t> </w:t>
      </w:r>
      <w:r>
        <w:rPr/>
        <w:t>and</w:t>
      </w:r>
      <w:r>
        <w:rPr>
          <w:spacing w:val="-6"/>
        </w:rPr>
        <w:t> </w:t>
      </w:r>
      <w:r>
        <w:rPr/>
        <w:t>preparedness.</w:t>
      </w:r>
      <w:r>
        <w:rPr>
          <w:spacing w:val="-6"/>
        </w:rPr>
        <w:t> </w:t>
      </w:r>
      <w:r>
        <w:rPr/>
        <w:t>Each</w:t>
      </w:r>
      <w:r>
        <w:rPr>
          <w:spacing w:val="-7"/>
        </w:rPr>
        <w:t> </w:t>
      </w:r>
      <w:r>
        <w:rPr/>
        <w:t>theme</w:t>
      </w:r>
      <w:r>
        <w:rPr>
          <w:spacing w:val="-6"/>
        </w:rPr>
        <w:t> </w:t>
      </w:r>
      <w:r>
        <w:rPr/>
        <w:t>highlights</w:t>
      </w:r>
      <w:r>
        <w:rPr>
          <w:spacing w:val="-6"/>
        </w:rPr>
        <w:t> </w:t>
      </w:r>
      <w:r>
        <w:rPr/>
        <w:t>a</w:t>
      </w:r>
      <w:r>
        <w:rPr>
          <w:spacing w:val="-7"/>
        </w:rPr>
        <w:t> </w:t>
      </w:r>
      <w:r>
        <w:rPr/>
        <w:t>different</w:t>
      </w:r>
      <w:r>
        <w:rPr>
          <w:spacing w:val="-6"/>
        </w:rPr>
        <w:t> </w:t>
      </w:r>
      <w:r>
        <w:rPr/>
        <w:t>facet</w:t>
      </w:r>
      <w:r>
        <w:rPr>
          <w:spacing w:val="-6"/>
        </w:rPr>
        <w:t> </w:t>
      </w:r>
      <w:r>
        <w:rPr/>
        <w:t>of</w:t>
      </w:r>
      <w:r>
        <w:rPr>
          <w:spacing w:val="-7"/>
        </w:rPr>
        <w:t> </w:t>
      </w:r>
      <w:r>
        <w:rPr/>
        <w:t>project related discussion, and together they reflect a professional community negotiating questions of</w:t>
      </w:r>
    </w:p>
    <w:p>
      <w:pPr>
        <w:pStyle w:val="BodyText"/>
        <w:spacing w:after="0" w:line="266" w:lineRule="auto"/>
        <w:sectPr>
          <w:pgSz w:w="12240" w:h="15840"/>
          <w:pgMar w:header="0" w:footer="707" w:top="640" w:bottom="960" w:left="720" w:right="0"/>
        </w:sectPr>
      </w:pPr>
    </w:p>
    <w:p>
      <w:pPr>
        <w:pStyle w:val="BodyText"/>
        <w:spacing w:line="266" w:lineRule="auto" w:before="60"/>
        <w:ind w:left="723" w:right="1619"/>
      </w:pPr>
      <w:r>
        <w:rPr/>
        <w:t>identity,</w:t>
      </w:r>
      <w:r>
        <w:rPr>
          <w:spacing w:val="-6"/>
        </w:rPr>
        <w:t> </w:t>
      </w:r>
      <w:r>
        <w:rPr/>
        <w:t>labor</w:t>
      </w:r>
      <w:r>
        <w:rPr>
          <w:spacing w:val="-6"/>
        </w:rPr>
        <w:t> </w:t>
      </w:r>
      <w:r>
        <w:rPr/>
        <w:t>market</w:t>
      </w:r>
      <w:r>
        <w:rPr>
          <w:spacing w:val="-6"/>
        </w:rPr>
        <w:t> </w:t>
      </w:r>
      <w:r>
        <w:rPr/>
        <w:t>conditions,</w:t>
      </w:r>
      <w:r>
        <w:rPr>
          <w:spacing w:val="-6"/>
        </w:rPr>
        <w:t> </w:t>
      </w:r>
      <w:r>
        <w:rPr/>
        <w:t>capability</w:t>
      </w:r>
      <w:r>
        <w:rPr>
          <w:spacing w:val="-6"/>
        </w:rPr>
        <w:t> </w:t>
      </w:r>
      <w:r>
        <w:rPr/>
        <w:t>development,</w:t>
      </w:r>
      <w:r>
        <w:rPr>
          <w:spacing w:val="-6"/>
        </w:rPr>
        <w:t> </w:t>
      </w:r>
      <w:r>
        <w:rPr/>
        <w:t>and</w:t>
      </w:r>
      <w:r>
        <w:rPr>
          <w:spacing w:val="-6"/>
        </w:rPr>
        <w:t> </w:t>
      </w:r>
      <w:r>
        <w:rPr/>
        <w:t>interpersonal</w:t>
      </w:r>
      <w:r>
        <w:rPr>
          <w:spacing w:val="-6"/>
        </w:rPr>
        <w:t> </w:t>
      </w:r>
      <w:r>
        <w:rPr/>
        <w:t>strain.</w:t>
      </w:r>
      <w:r>
        <w:rPr>
          <w:spacing w:val="-6"/>
        </w:rPr>
        <w:t> </w:t>
      </w:r>
      <w:r>
        <w:rPr/>
        <w:t>The</w:t>
      </w:r>
      <w:r>
        <w:rPr>
          <w:spacing w:val="-6"/>
        </w:rPr>
        <w:t> </w:t>
      </w:r>
      <w:r>
        <w:rPr/>
        <w:t>sections that follow introduce each thematic domain (defined in Appendix B) and summarize core </w:t>
      </w:r>
      <w:r>
        <w:rPr>
          <w:spacing w:val="-2"/>
        </w:rPr>
        <w:t>patterns.</w:t>
      </w:r>
    </w:p>
    <w:p>
      <w:pPr>
        <w:pStyle w:val="BodyText"/>
        <w:spacing w:line="266" w:lineRule="auto" w:before="172"/>
        <w:ind w:left="723" w:right="1381" w:firstLine="15"/>
      </w:pPr>
      <w:r>
        <w:rPr>
          <w:b/>
          <w:i/>
        </w:rPr>
        <w:t>Career Navigation &amp; PM Identity: </w:t>
      </w:r>
      <w:r>
        <w:rPr/>
        <w:t>This was the largest theme, comprising 185 posts (36%), in which</w:t>
      </w:r>
      <w:r>
        <w:rPr>
          <w:spacing w:val="-4"/>
        </w:rPr>
        <w:t> </w:t>
      </w:r>
      <w:r>
        <w:rPr/>
        <w:t>users</w:t>
      </w:r>
      <w:r>
        <w:rPr>
          <w:spacing w:val="-4"/>
        </w:rPr>
        <w:t> </w:t>
      </w:r>
      <w:r>
        <w:rPr/>
        <w:t>explored</w:t>
      </w:r>
      <w:r>
        <w:rPr>
          <w:spacing w:val="-4"/>
        </w:rPr>
        <w:t> </w:t>
      </w:r>
      <w:r>
        <w:rPr/>
        <w:t>what</w:t>
      </w:r>
      <w:r>
        <w:rPr>
          <w:spacing w:val="-4"/>
        </w:rPr>
        <w:t> </w:t>
      </w:r>
      <w:r>
        <w:rPr/>
        <w:t>it</w:t>
      </w:r>
      <w:r>
        <w:rPr>
          <w:spacing w:val="-4"/>
        </w:rPr>
        <w:t> </w:t>
      </w:r>
      <w:r>
        <w:rPr/>
        <w:t>means</w:t>
      </w:r>
      <w:r>
        <w:rPr>
          <w:spacing w:val="-4"/>
        </w:rPr>
        <w:t> </w:t>
      </w:r>
      <w:r>
        <w:rPr/>
        <w:t>to</w:t>
      </w:r>
      <w:r>
        <w:rPr>
          <w:spacing w:val="-4"/>
        </w:rPr>
        <w:t> </w:t>
      </w:r>
      <w:r>
        <w:rPr/>
        <w:t>become</w:t>
      </w:r>
      <w:r>
        <w:rPr>
          <w:spacing w:val="-4"/>
        </w:rPr>
        <w:t> </w:t>
      </w:r>
      <w:r>
        <w:rPr/>
        <w:t>or</w:t>
      </w:r>
      <w:r>
        <w:rPr>
          <w:spacing w:val="-4"/>
        </w:rPr>
        <w:t> </w:t>
      </w:r>
      <w:r>
        <w:rPr/>
        <w:t>to</w:t>
      </w:r>
      <w:r>
        <w:rPr>
          <w:spacing w:val="-4"/>
        </w:rPr>
        <w:t> </w:t>
      </w:r>
      <w:r>
        <w:rPr/>
        <w:t>be</w:t>
      </w:r>
      <w:r>
        <w:rPr>
          <w:spacing w:val="-4"/>
        </w:rPr>
        <w:t> </w:t>
      </w:r>
      <w:r>
        <w:rPr/>
        <w:t>recognized</w:t>
      </w:r>
      <w:r>
        <w:rPr>
          <w:spacing w:val="-4"/>
        </w:rPr>
        <w:t> </w:t>
      </w:r>
      <w:r>
        <w:rPr/>
        <w:t>as</w:t>
      </w:r>
      <w:r>
        <w:rPr>
          <w:spacing w:val="-4"/>
        </w:rPr>
        <w:t> </w:t>
      </w:r>
      <w:r>
        <w:rPr/>
        <w:t>a</w:t>
      </w:r>
      <w:r>
        <w:rPr>
          <w:spacing w:val="-4"/>
        </w:rPr>
        <w:t> </w:t>
      </w:r>
      <w:r>
        <w:rPr/>
        <w:t>project</w:t>
      </w:r>
      <w:r>
        <w:rPr>
          <w:spacing w:val="-4"/>
        </w:rPr>
        <w:t> </w:t>
      </w:r>
      <w:r>
        <w:rPr/>
        <w:t>manager.</w:t>
      </w:r>
      <w:r>
        <w:rPr>
          <w:spacing w:val="-4"/>
        </w:rPr>
        <w:t> </w:t>
      </w:r>
      <w:r>
        <w:rPr/>
        <w:t>Despite having the lowest average score (5), posts generated substantial discussion, averaging 9 comments, indicating strong community engagement around identity-related questions.</w:t>
      </w:r>
    </w:p>
    <w:p>
      <w:pPr>
        <w:pStyle w:val="BodyText"/>
        <w:spacing w:line="266" w:lineRule="auto" w:before="174"/>
        <w:ind w:left="723" w:right="1191"/>
      </w:pPr>
      <w:r>
        <w:rPr/>
        <w:t>Emotional</w:t>
      </w:r>
      <w:r>
        <w:rPr>
          <w:spacing w:val="-7"/>
        </w:rPr>
        <w:t> </w:t>
      </w:r>
      <w:r>
        <w:rPr/>
        <w:t>expression</w:t>
      </w:r>
      <w:r>
        <w:rPr>
          <w:spacing w:val="-7"/>
        </w:rPr>
        <w:t> </w:t>
      </w:r>
      <w:r>
        <w:rPr/>
        <w:t>in</w:t>
      </w:r>
      <w:r>
        <w:rPr>
          <w:spacing w:val="-7"/>
        </w:rPr>
        <w:t> </w:t>
      </w:r>
      <w:r>
        <w:rPr/>
        <w:t>this</w:t>
      </w:r>
      <w:r>
        <w:rPr>
          <w:spacing w:val="-7"/>
        </w:rPr>
        <w:t> </w:t>
      </w:r>
      <w:r>
        <w:rPr/>
        <w:t>category</w:t>
      </w:r>
      <w:r>
        <w:rPr>
          <w:spacing w:val="-7"/>
        </w:rPr>
        <w:t> </w:t>
      </w:r>
      <w:r>
        <w:rPr/>
        <w:t>was</w:t>
      </w:r>
      <w:r>
        <w:rPr>
          <w:spacing w:val="-7"/>
        </w:rPr>
        <w:t> </w:t>
      </w:r>
      <w:r>
        <w:rPr/>
        <w:t>notably</w:t>
      </w:r>
      <w:r>
        <w:rPr>
          <w:spacing w:val="-7"/>
        </w:rPr>
        <w:t> </w:t>
      </w:r>
      <w:r>
        <w:rPr/>
        <w:t>positive</w:t>
      </w:r>
      <w:r>
        <w:rPr>
          <w:spacing w:val="-7"/>
        </w:rPr>
        <w:t> </w:t>
      </w:r>
      <w:r>
        <w:rPr/>
        <w:t>(0.3404</w:t>
      </w:r>
      <w:r>
        <w:rPr>
          <w:spacing w:val="-7"/>
        </w:rPr>
        <w:t> </w:t>
      </w:r>
      <w:r>
        <w:rPr/>
        <w:t>average</w:t>
      </w:r>
      <w:r>
        <w:rPr>
          <w:spacing w:val="-7"/>
        </w:rPr>
        <w:t> </w:t>
      </w:r>
      <w:r>
        <w:rPr/>
        <w:t>VADER</w:t>
      </w:r>
      <w:r>
        <w:rPr>
          <w:spacing w:val="-7"/>
        </w:rPr>
        <w:t> </w:t>
      </w:r>
      <w:r>
        <w:rPr/>
        <w:t>compound), with a low rate of negative comments (15%) and relatively stable emotional tone (SD 0.4533).</w:t>
      </w:r>
    </w:p>
    <w:p>
      <w:pPr>
        <w:pStyle w:val="BodyText"/>
        <w:spacing w:line="266" w:lineRule="auto"/>
        <w:ind w:left="723" w:right="1523"/>
      </w:pPr>
      <w:r>
        <w:rPr/>
        <w:t>Entries frequently expressed uncertainty around legitimacy (“Am I really a PM?”), transitions (“Can I move into PM from my current field?”), and growth pathways. The high number of certification-tagged</w:t>
      </w:r>
      <w:r>
        <w:rPr>
          <w:spacing w:val="-4"/>
        </w:rPr>
        <w:t> </w:t>
      </w:r>
      <w:r>
        <w:rPr/>
        <w:t>posts</w:t>
      </w:r>
      <w:r>
        <w:rPr>
          <w:spacing w:val="-4"/>
        </w:rPr>
        <w:t> </w:t>
      </w:r>
      <w:r>
        <w:rPr/>
        <w:t>(101)</w:t>
      </w:r>
      <w:r>
        <w:rPr>
          <w:spacing w:val="-4"/>
        </w:rPr>
        <w:t> </w:t>
      </w:r>
      <w:r>
        <w:rPr/>
        <w:t>suggests</w:t>
      </w:r>
      <w:r>
        <w:rPr>
          <w:spacing w:val="-4"/>
        </w:rPr>
        <w:t> </w:t>
      </w:r>
      <w:r>
        <w:rPr/>
        <w:t>that</w:t>
      </w:r>
      <w:r>
        <w:rPr>
          <w:spacing w:val="-4"/>
        </w:rPr>
        <w:t> </w:t>
      </w:r>
      <w:r>
        <w:rPr/>
        <w:t>credentials</w:t>
      </w:r>
      <w:r>
        <w:rPr>
          <w:spacing w:val="-4"/>
        </w:rPr>
        <w:t> </w:t>
      </w:r>
      <w:r>
        <w:rPr/>
        <w:t>may</w:t>
      </w:r>
      <w:r>
        <w:rPr>
          <w:spacing w:val="-4"/>
        </w:rPr>
        <w:t> </w:t>
      </w:r>
      <w:r>
        <w:rPr/>
        <w:t>function</w:t>
      </w:r>
      <w:r>
        <w:rPr>
          <w:spacing w:val="-4"/>
        </w:rPr>
        <w:t> </w:t>
      </w:r>
      <w:r>
        <w:rPr/>
        <w:t>as</w:t>
      </w:r>
      <w:r>
        <w:rPr>
          <w:spacing w:val="-4"/>
        </w:rPr>
        <w:t> </w:t>
      </w:r>
      <w:r>
        <w:rPr/>
        <w:t>identity</w:t>
      </w:r>
      <w:r>
        <w:rPr>
          <w:spacing w:val="-4"/>
        </w:rPr>
        <w:t> </w:t>
      </w:r>
      <w:r>
        <w:rPr/>
        <w:t>anchors</w:t>
      </w:r>
      <w:r>
        <w:rPr>
          <w:spacing w:val="-4"/>
        </w:rPr>
        <w:t> </w:t>
      </w:r>
      <w:r>
        <w:rPr/>
        <w:t>within an otherwise fluid professional discourse.</w:t>
      </w:r>
    </w:p>
    <w:p>
      <w:pPr>
        <w:pStyle w:val="BodyText"/>
        <w:spacing w:line="266" w:lineRule="auto" w:before="172"/>
        <w:ind w:left="723" w:right="1461"/>
      </w:pPr>
      <w:r>
        <w:rPr>
          <w:b/>
          <w:i/>
        </w:rPr>
        <w:t>Job</w:t>
      </w:r>
      <w:r>
        <w:rPr>
          <w:b/>
          <w:i/>
          <w:spacing w:val="-3"/>
        </w:rPr>
        <w:t> </w:t>
      </w:r>
      <w:r>
        <w:rPr>
          <w:b/>
          <w:i/>
        </w:rPr>
        <w:t>Search</w:t>
      </w:r>
      <w:r>
        <w:rPr>
          <w:b/>
          <w:i/>
          <w:spacing w:val="-3"/>
        </w:rPr>
        <w:t> </w:t>
      </w:r>
      <w:r>
        <w:rPr>
          <w:b/>
          <w:i/>
        </w:rPr>
        <w:t>&amp;</w:t>
      </w:r>
      <w:r>
        <w:rPr>
          <w:b/>
          <w:i/>
          <w:spacing w:val="-3"/>
        </w:rPr>
        <w:t> </w:t>
      </w:r>
      <w:r>
        <w:rPr>
          <w:b/>
          <w:i/>
        </w:rPr>
        <w:t>Labor</w:t>
      </w:r>
      <w:r>
        <w:rPr>
          <w:b/>
          <w:i/>
          <w:spacing w:val="-3"/>
        </w:rPr>
        <w:t> </w:t>
      </w:r>
      <w:r>
        <w:rPr>
          <w:b/>
          <w:i/>
        </w:rPr>
        <w:t>Market:</w:t>
      </w:r>
      <w:r>
        <w:rPr>
          <w:b/>
          <w:i/>
          <w:spacing w:val="-3"/>
        </w:rPr>
        <w:t> </w:t>
      </w:r>
      <w:r>
        <w:rPr/>
        <w:t>The</w:t>
      </w:r>
      <w:r>
        <w:rPr>
          <w:spacing w:val="-3"/>
        </w:rPr>
        <w:t> </w:t>
      </w:r>
      <w:r>
        <w:rPr/>
        <w:t>second</w:t>
      </w:r>
      <w:r>
        <w:rPr>
          <w:spacing w:val="-3"/>
        </w:rPr>
        <w:t> </w:t>
      </w:r>
      <w:r>
        <w:rPr/>
        <w:t>theme</w:t>
      </w:r>
      <w:r>
        <w:rPr>
          <w:spacing w:val="-3"/>
        </w:rPr>
        <w:t> </w:t>
      </w:r>
      <w:r>
        <w:rPr/>
        <w:t>centers</w:t>
      </w:r>
      <w:r>
        <w:rPr>
          <w:spacing w:val="-3"/>
        </w:rPr>
        <w:t> </w:t>
      </w:r>
      <w:r>
        <w:rPr/>
        <w:t>on</w:t>
      </w:r>
      <w:r>
        <w:rPr>
          <w:spacing w:val="-3"/>
        </w:rPr>
        <w:t> </w:t>
      </w:r>
      <w:r>
        <w:rPr/>
        <w:t>the</w:t>
      </w:r>
      <w:r>
        <w:rPr>
          <w:spacing w:val="-3"/>
        </w:rPr>
        <w:t> </w:t>
      </w:r>
      <w:r>
        <w:rPr/>
        <w:t>mechanics</w:t>
      </w:r>
      <w:r>
        <w:rPr>
          <w:spacing w:val="-3"/>
        </w:rPr>
        <w:t> </w:t>
      </w:r>
      <w:r>
        <w:rPr/>
        <w:t>and</w:t>
      </w:r>
      <w:r>
        <w:rPr>
          <w:spacing w:val="-3"/>
        </w:rPr>
        <w:t> </w:t>
      </w:r>
      <w:r>
        <w:rPr/>
        <w:t>emotional</w:t>
      </w:r>
      <w:r>
        <w:rPr>
          <w:spacing w:val="-3"/>
        </w:rPr>
        <w:t> </w:t>
      </w:r>
      <w:r>
        <w:rPr/>
        <w:t>weight of navigating PM hiring. A total of 117 posts (23%) addressed résumés, interviews, compensation, and job availability. These posts exhibited higher visibility (average score of 9) and steady engagement (10 comments per post). Notably, 31 of these posts (26%) explicitly referenced professional certifications, most often in relation to screening criteria, signaling credibility, or differentiating candidates in a competitive labor market.</w:t>
      </w:r>
    </w:p>
    <w:p>
      <w:pPr>
        <w:pStyle w:val="BodyText"/>
        <w:spacing w:line="266" w:lineRule="auto" w:before="172"/>
        <w:ind w:left="723" w:right="1381"/>
      </w:pPr>
      <w:r>
        <w:rPr/>
        <w:t>The emotional tone within this theme was more ambivalent (average 0.2655; 21% negative comments). Users commonly described discouraging situations, such as repeated résumé rejections</w:t>
      </w:r>
      <w:r>
        <w:rPr>
          <w:spacing w:val="-3"/>
        </w:rPr>
        <w:t> </w:t>
      </w:r>
      <w:r>
        <w:rPr/>
        <w:t>or</w:t>
      </w:r>
      <w:r>
        <w:rPr>
          <w:spacing w:val="-3"/>
        </w:rPr>
        <w:t> </w:t>
      </w:r>
      <w:r>
        <w:rPr/>
        <w:t>uncertainty</w:t>
      </w:r>
      <w:r>
        <w:rPr>
          <w:spacing w:val="-3"/>
        </w:rPr>
        <w:t> </w:t>
      </w:r>
      <w:r>
        <w:rPr/>
        <w:t>around</w:t>
      </w:r>
      <w:r>
        <w:rPr>
          <w:spacing w:val="-3"/>
        </w:rPr>
        <w:t> </w:t>
      </w:r>
      <w:r>
        <w:rPr/>
        <w:t>salary</w:t>
      </w:r>
      <w:r>
        <w:rPr>
          <w:spacing w:val="-3"/>
        </w:rPr>
        <w:t> </w:t>
      </w:r>
      <w:r>
        <w:rPr/>
        <w:t>norms.</w:t>
      </w:r>
      <w:r>
        <w:rPr>
          <w:spacing w:val="-3"/>
        </w:rPr>
        <w:t> </w:t>
      </w:r>
      <w:r>
        <w:rPr/>
        <w:t>The</w:t>
      </w:r>
      <w:r>
        <w:rPr>
          <w:spacing w:val="-3"/>
        </w:rPr>
        <w:t> </w:t>
      </w:r>
      <w:r>
        <w:rPr/>
        <w:t>highest-scoring</w:t>
      </w:r>
      <w:r>
        <w:rPr>
          <w:spacing w:val="-3"/>
        </w:rPr>
        <w:t> </w:t>
      </w:r>
      <w:r>
        <w:rPr/>
        <w:t>post</w:t>
      </w:r>
      <w:r>
        <w:rPr>
          <w:spacing w:val="-3"/>
        </w:rPr>
        <w:t> </w:t>
      </w:r>
      <w:r>
        <w:rPr/>
        <w:t>(272)</w:t>
      </w:r>
      <w:r>
        <w:rPr>
          <w:spacing w:val="-3"/>
        </w:rPr>
        <w:t> </w:t>
      </w:r>
      <w:r>
        <w:rPr/>
        <w:t>described</w:t>
      </w:r>
      <w:r>
        <w:rPr>
          <w:spacing w:val="-3"/>
        </w:rPr>
        <w:t> </w:t>
      </w:r>
      <w:r>
        <w:rPr/>
        <w:t>a</w:t>
      </w:r>
      <w:r>
        <w:rPr>
          <w:spacing w:val="-3"/>
        </w:rPr>
        <w:t> </w:t>
      </w:r>
      <w:r>
        <w:rPr/>
        <w:t>job search scenario that resonated broadly with community concerns about employment </w:t>
      </w:r>
      <w:r>
        <w:rPr>
          <w:spacing w:val="-4"/>
        </w:rPr>
        <w:t>stability.</w:t>
      </w:r>
    </w:p>
    <w:p>
      <w:pPr>
        <w:pStyle w:val="BodyText"/>
        <w:spacing w:line="266" w:lineRule="auto" w:before="172"/>
        <w:ind w:left="723" w:right="1437" w:hanging="15"/>
      </w:pPr>
      <w:r>
        <w:rPr>
          <w:b/>
          <w:i/>
        </w:rPr>
        <w:t>PM Practice, Methods &amp; Organizational Capability</w:t>
      </w:r>
      <w:r>
        <w:rPr/>
        <w:t>: This theme includes 143 posts (28%) focused</w:t>
      </w:r>
      <w:r>
        <w:rPr>
          <w:spacing w:val="-1"/>
        </w:rPr>
        <w:t> </w:t>
      </w:r>
      <w:r>
        <w:rPr/>
        <w:t>on</w:t>
      </w:r>
      <w:r>
        <w:rPr>
          <w:spacing w:val="-1"/>
        </w:rPr>
        <w:t> </w:t>
      </w:r>
      <w:r>
        <w:rPr/>
        <w:t>the</w:t>
      </w:r>
      <w:r>
        <w:rPr>
          <w:spacing w:val="-1"/>
        </w:rPr>
        <w:t> </w:t>
      </w:r>
      <w:r>
        <w:rPr/>
        <w:t>pragmatic</w:t>
      </w:r>
      <w:r>
        <w:rPr>
          <w:spacing w:val="-1"/>
        </w:rPr>
        <w:t> </w:t>
      </w:r>
      <w:r>
        <w:rPr/>
        <w:t>aspects</w:t>
      </w:r>
      <w:r>
        <w:rPr>
          <w:spacing w:val="-1"/>
        </w:rPr>
        <w:t> </w:t>
      </w:r>
      <w:r>
        <w:rPr/>
        <w:t>of</w:t>
      </w:r>
      <w:r>
        <w:rPr>
          <w:spacing w:val="-1"/>
        </w:rPr>
        <w:t> </w:t>
      </w:r>
      <w:r>
        <w:rPr/>
        <w:t>project</w:t>
      </w:r>
      <w:r>
        <w:rPr>
          <w:spacing w:val="-1"/>
        </w:rPr>
        <w:t> </w:t>
      </w:r>
      <w:r>
        <w:rPr/>
        <w:t>work,</w:t>
      </w:r>
      <w:r>
        <w:rPr>
          <w:spacing w:val="-1"/>
        </w:rPr>
        <w:t> </w:t>
      </w:r>
      <w:r>
        <w:rPr/>
        <w:t>including</w:t>
      </w:r>
      <w:r>
        <w:rPr>
          <w:spacing w:val="-1"/>
        </w:rPr>
        <w:t> </w:t>
      </w:r>
      <w:r>
        <w:rPr/>
        <w:t>tools,</w:t>
      </w:r>
      <w:r>
        <w:rPr>
          <w:spacing w:val="-1"/>
        </w:rPr>
        <w:t> </w:t>
      </w:r>
      <w:r>
        <w:rPr/>
        <w:t>frameworks,</w:t>
      </w:r>
      <w:r>
        <w:rPr>
          <w:spacing w:val="-1"/>
        </w:rPr>
        <w:t> </w:t>
      </w:r>
      <w:r>
        <w:rPr/>
        <w:t>workflows,</w:t>
      </w:r>
      <w:r>
        <w:rPr>
          <w:spacing w:val="-1"/>
        </w:rPr>
        <w:t> </w:t>
      </w:r>
      <w:r>
        <w:rPr/>
        <w:t>Agile practices,</w:t>
      </w:r>
      <w:r>
        <w:rPr>
          <w:spacing w:val="-6"/>
        </w:rPr>
        <w:t> </w:t>
      </w:r>
      <w:r>
        <w:rPr/>
        <w:t>and</w:t>
      </w:r>
      <w:r>
        <w:rPr>
          <w:spacing w:val="-6"/>
        </w:rPr>
        <w:t> </w:t>
      </w:r>
      <w:r>
        <w:rPr/>
        <w:t>organizational</w:t>
      </w:r>
      <w:r>
        <w:rPr>
          <w:spacing w:val="-6"/>
        </w:rPr>
        <w:t> </w:t>
      </w:r>
      <w:r>
        <w:rPr/>
        <w:t>maturity.</w:t>
      </w:r>
      <w:r>
        <w:rPr>
          <w:spacing w:val="-6"/>
        </w:rPr>
        <w:t> </w:t>
      </w:r>
      <w:r>
        <w:rPr/>
        <w:t>This</w:t>
      </w:r>
      <w:r>
        <w:rPr>
          <w:spacing w:val="-6"/>
        </w:rPr>
        <w:t> </w:t>
      </w:r>
      <w:r>
        <w:rPr/>
        <w:t>theme</w:t>
      </w:r>
      <w:r>
        <w:rPr>
          <w:spacing w:val="-6"/>
        </w:rPr>
        <w:t> </w:t>
      </w:r>
      <w:r>
        <w:rPr/>
        <w:t>reflects</w:t>
      </w:r>
      <w:r>
        <w:rPr>
          <w:spacing w:val="-6"/>
        </w:rPr>
        <w:t> </w:t>
      </w:r>
      <w:r>
        <w:rPr/>
        <w:t>the</w:t>
      </w:r>
      <w:r>
        <w:rPr>
          <w:spacing w:val="-6"/>
        </w:rPr>
        <w:t> </w:t>
      </w:r>
      <w:r>
        <w:rPr/>
        <w:t>second-highest</w:t>
      </w:r>
      <w:r>
        <w:rPr>
          <w:spacing w:val="-6"/>
        </w:rPr>
        <w:t> </w:t>
      </w:r>
      <w:r>
        <w:rPr/>
        <w:t>level</w:t>
      </w:r>
      <w:r>
        <w:rPr>
          <w:spacing w:val="-6"/>
        </w:rPr>
        <w:t> </w:t>
      </w:r>
      <w:r>
        <w:rPr/>
        <w:t>of</w:t>
      </w:r>
      <w:r>
        <w:rPr>
          <w:spacing w:val="-6"/>
        </w:rPr>
        <w:t> </w:t>
      </w:r>
      <w:r>
        <w:rPr/>
        <w:t>community engagement (19 comments on average) and the highest average post score (17), suggesting that practice-oriented knowledge exchange is a central community function.</w:t>
      </w:r>
    </w:p>
    <w:p>
      <w:pPr>
        <w:pStyle w:val="BodyText"/>
        <w:spacing w:line="266" w:lineRule="auto" w:before="172"/>
        <w:ind w:left="723" w:right="1381"/>
      </w:pPr>
      <w:r>
        <w:rPr/>
        <w:t>The</w:t>
      </w:r>
      <w:r>
        <w:rPr>
          <w:spacing w:val="-1"/>
        </w:rPr>
        <w:t> </w:t>
      </w:r>
      <w:r>
        <w:rPr/>
        <w:t>theme’s</w:t>
      </w:r>
      <w:r>
        <w:rPr>
          <w:spacing w:val="-1"/>
        </w:rPr>
        <w:t> </w:t>
      </w:r>
      <w:r>
        <w:rPr/>
        <w:t>emotional</w:t>
      </w:r>
      <w:r>
        <w:rPr>
          <w:spacing w:val="-1"/>
        </w:rPr>
        <w:t> </w:t>
      </w:r>
      <w:r>
        <w:rPr/>
        <w:t>profile</w:t>
      </w:r>
      <w:r>
        <w:rPr>
          <w:spacing w:val="-1"/>
        </w:rPr>
        <w:t> </w:t>
      </w:r>
      <w:r>
        <w:rPr/>
        <w:t>is</w:t>
      </w:r>
      <w:r>
        <w:rPr>
          <w:spacing w:val="-1"/>
        </w:rPr>
        <w:t> </w:t>
      </w:r>
      <w:r>
        <w:rPr/>
        <w:t>comparatively</w:t>
      </w:r>
      <w:r>
        <w:rPr>
          <w:spacing w:val="-1"/>
        </w:rPr>
        <w:t> </w:t>
      </w:r>
      <w:r>
        <w:rPr/>
        <w:t>positive</w:t>
      </w:r>
      <w:r>
        <w:rPr>
          <w:spacing w:val="-1"/>
        </w:rPr>
        <w:t> </w:t>
      </w:r>
      <w:r>
        <w:rPr/>
        <w:t>(0.3194)</w:t>
      </w:r>
      <w:r>
        <w:rPr>
          <w:spacing w:val="-1"/>
        </w:rPr>
        <w:t> </w:t>
      </w:r>
      <w:r>
        <w:rPr/>
        <w:t>but</w:t>
      </w:r>
      <w:r>
        <w:rPr>
          <w:spacing w:val="-1"/>
        </w:rPr>
        <w:t> </w:t>
      </w:r>
      <w:r>
        <w:rPr/>
        <w:t>more</w:t>
      </w:r>
      <w:r>
        <w:rPr>
          <w:spacing w:val="-1"/>
        </w:rPr>
        <w:t> </w:t>
      </w:r>
      <w:r>
        <w:rPr/>
        <w:t>variable</w:t>
      </w:r>
      <w:r>
        <w:rPr>
          <w:spacing w:val="-1"/>
        </w:rPr>
        <w:t> </w:t>
      </w:r>
      <w:r>
        <w:rPr/>
        <w:t>(SD</w:t>
      </w:r>
      <w:r>
        <w:rPr>
          <w:spacing w:val="-1"/>
        </w:rPr>
        <w:t> </w:t>
      </w:r>
      <w:r>
        <w:rPr/>
        <w:t>0.4935). Entries frequently describe perceived capability gaps within organizations, such as being tasked with</w:t>
      </w:r>
      <w:r>
        <w:rPr>
          <w:spacing w:val="-5"/>
        </w:rPr>
        <w:t> </w:t>
      </w:r>
      <w:r>
        <w:rPr/>
        <w:t>delivering</w:t>
      </w:r>
      <w:r>
        <w:rPr>
          <w:spacing w:val="-5"/>
        </w:rPr>
        <w:t> </w:t>
      </w:r>
      <w:r>
        <w:rPr/>
        <w:t>complex</w:t>
      </w:r>
      <w:r>
        <w:rPr>
          <w:spacing w:val="-5"/>
        </w:rPr>
        <w:t> </w:t>
      </w:r>
      <w:r>
        <w:rPr/>
        <w:t>outcomes</w:t>
      </w:r>
      <w:r>
        <w:rPr>
          <w:spacing w:val="-5"/>
        </w:rPr>
        <w:t> </w:t>
      </w:r>
      <w:r>
        <w:rPr/>
        <w:t>without</w:t>
      </w:r>
      <w:r>
        <w:rPr>
          <w:spacing w:val="-5"/>
        </w:rPr>
        <w:t> </w:t>
      </w:r>
      <w:r>
        <w:rPr/>
        <w:t>adequate</w:t>
      </w:r>
      <w:r>
        <w:rPr>
          <w:spacing w:val="-5"/>
        </w:rPr>
        <w:t> </w:t>
      </w:r>
      <w:r>
        <w:rPr/>
        <w:t>tools,</w:t>
      </w:r>
      <w:r>
        <w:rPr>
          <w:spacing w:val="-5"/>
        </w:rPr>
        <w:t> </w:t>
      </w:r>
      <w:r>
        <w:rPr/>
        <w:t>clarity,</w:t>
      </w:r>
      <w:r>
        <w:rPr>
          <w:spacing w:val="-5"/>
        </w:rPr>
        <w:t> </w:t>
      </w:r>
      <w:r>
        <w:rPr/>
        <w:t>or</w:t>
      </w:r>
      <w:r>
        <w:rPr>
          <w:spacing w:val="-5"/>
        </w:rPr>
        <w:t> </w:t>
      </w:r>
      <w:r>
        <w:rPr/>
        <w:t>governance</w:t>
      </w:r>
      <w:r>
        <w:rPr>
          <w:spacing w:val="-5"/>
        </w:rPr>
        <w:t> </w:t>
      </w:r>
      <w:r>
        <w:rPr/>
        <w:t>structures.</w:t>
      </w:r>
      <w:r>
        <w:rPr>
          <w:spacing w:val="-5"/>
        </w:rPr>
        <w:t> </w:t>
      </w:r>
      <w:r>
        <w:rPr/>
        <w:t>Only 18 certification tags appeared in this cluster, indicating that these exchanges center primarily on practice rather than credentials.</w:t>
      </w:r>
    </w:p>
    <w:p>
      <w:pPr>
        <w:pStyle w:val="BodyText"/>
        <w:spacing w:line="266" w:lineRule="auto" w:before="172"/>
        <w:ind w:left="708" w:right="1381"/>
      </w:pPr>
      <w:r>
        <w:rPr>
          <w:b/>
          <w:i/>
        </w:rPr>
        <w:t>Interpersonal &amp; Organizational Dynamics: </w:t>
      </w:r>
      <w:r>
        <w:rPr/>
        <w:t>Although this was the smallest cluster (75 posts; 14%),</w:t>
      </w:r>
      <w:r>
        <w:rPr>
          <w:spacing w:val="-4"/>
        </w:rPr>
        <w:t> </w:t>
      </w:r>
      <w:r>
        <w:rPr/>
        <w:t>it</w:t>
      </w:r>
      <w:r>
        <w:rPr>
          <w:spacing w:val="-4"/>
        </w:rPr>
        <w:t> </w:t>
      </w:r>
      <w:r>
        <w:rPr/>
        <w:t>exhibited</w:t>
      </w:r>
      <w:r>
        <w:rPr>
          <w:spacing w:val="-4"/>
        </w:rPr>
        <w:t> </w:t>
      </w:r>
      <w:r>
        <w:rPr/>
        <w:t>the</w:t>
      </w:r>
      <w:r>
        <w:rPr>
          <w:spacing w:val="-4"/>
        </w:rPr>
        <w:t> </w:t>
      </w:r>
      <w:r>
        <w:rPr/>
        <w:t>greatest</w:t>
      </w:r>
      <w:r>
        <w:rPr>
          <w:spacing w:val="-4"/>
        </w:rPr>
        <w:t> </w:t>
      </w:r>
      <w:r>
        <w:rPr/>
        <w:t>emotional</w:t>
      </w:r>
      <w:r>
        <w:rPr>
          <w:spacing w:val="-4"/>
        </w:rPr>
        <w:t> </w:t>
      </w:r>
      <w:r>
        <w:rPr/>
        <w:t>intensity</w:t>
      </w:r>
      <w:r>
        <w:rPr>
          <w:spacing w:val="-4"/>
        </w:rPr>
        <w:t> </w:t>
      </w:r>
      <w:r>
        <w:rPr/>
        <w:t>and</w:t>
      </w:r>
      <w:r>
        <w:rPr>
          <w:spacing w:val="-4"/>
        </w:rPr>
        <w:t> </w:t>
      </w:r>
      <w:r>
        <w:rPr/>
        <w:t>community</w:t>
      </w:r>
      <w:r>
        <w:rPr>
          <w:spacing w:val="-4"/>
        </w:rPr>
        <w:t> </w:t>
      </w:r>
      <w:r>
        <w:rPr/>
        <w:t>engagement.</w:t>
      </w:r>
      <w:r>
        <w:rPr>
          <w:spacing w:val="-4"/>
        </w:rPr>
        <w:t> </w:t>
      </w:r>
      <w:r>
        <w:rPr/>
        <w:t>Posts</w:t>
      </w:r>
      <w:r>
        <w:rPr>
          <w:spacing w:val="-4"/>
        </w:rPr>
        <w:t> </w:t>
      </w:r>
      <w:r>
        <w:rPr/>
        <w:t>addressing burnout,</w:t>
      </w:r>
      <w:r>
        <w:rPr>
          <w:spacing w:val="-1"/>
        </w:rPr>
        <w:t> </w:t>
      </w:r>
      <w:r>
        <w:rPr/>
        <w:t>conflict,</w:t>
      </w:r>
      <w:r>
        <w:rPr>
          <w:spacing w:val="-1"/>
        </w:rPr>
        <w:t> </w:t>
      </w:r>
      <w:r>
        <w:rPr/>
        <w:t>stakeholder</w:t>
      </w:r>
      <w:r>
        <w:rPr>
          <w:spacing w:val="-1"/>
        </w:rPr>
        <w:t> </w:t>
      </w:r>
      <w:r>
        <w:rPr/>
        <w:t>tension,</w:t>
      </w:r>
      <w:r>
        <w:rPr>
          <w:spacing w:val="-1"/>
        </w:rPr>
        <w:t> </w:t>
      </w:r>
      <w:r>
        <w:rPr/>
        <w:t>role</w:t>
      </w:r>
      <w:r>
        <w:rPr>
          <w:spacing w:val="-1"/>
        </w:rPr>
        <w:t> </w:t>
      </w:r>
      <w:r>
        <w:rPr/>
        <w:t>creep,</w:t>
      </w:r>
      <w:r>
        <w:rPr>
          <w:spacing w:val="-1"/>
        </w:rPr>
        <w:t> </w:t>
      </w:r>
      <w:r>
        <w:rPr/>
        <w:t>and</w:t>
      </w:r>
      <w:r>
        <w:rPr>
          <w:spacing w:val="-1"/>
        </w:rPr>
        <w:t> </w:t>
      </w:r>
      <w:r>
        <w:rPr/>
        <w:t>organizational</w:t>
      </w:r>
      <w:r>
        <w:rPr>
          <w:spacing w:val="-1"/>
        </w:rPr>
        <w:t> </w:t>
      </w:r>
      <w:r>
        <w:rPr/>
        <w:t>culture</w:t>
      </w:r>
      <w:r>
        <w:rPr>
          <w:spacing w:val="-1"/>
        </w:rPr>
        <w:t> </w:t>
      </w:r>
      <w:r>
        <w:rPr/>
        <w:t>received</w:t>
      </w:r>
      <w:r>
        <w:rPr>
          <w:spacing w:val="-1"/>
        </w:rPr>
        <w:t> </w:t>
      </w:r>
      <w:r>
        <w:rPr/>
        <w:t>the</w:t>
      </w:r>
      <w:r>
        <w:rPr>
          <w:spacing w:val="-1"/>
        </w:rPr>
        <w:t> </w:t>
      </w:r>
      <w:r>
        <w:rPr/>
        <w:t>highest average score (43), the highest individual score (507), and the highest average comment count</w:t>
      </w:r>
    </w:p>
    <w:p>
      <w:pPr>
        <w:pStyle w:val="BodyText"/>
        <w:ind w:left="708"/>
      </w:pPr>
      <w:r>
        <w:rPr/>
        <w:t>(22). Only 9 posts referenced certifications, suggesting limited relevance in this </w:t>
      </w:r>
      <w:r>
        <w:rPr>
          <w:spacing w:val="-2"/>
        </w:rPr>
        <w:t>theme.</w:t>
      </w:r>
    </w:p>
    <w:p>
      <w:pPr>
        <w:pStyle w:val="BodyText"/>
        <w:spacing w:line="266" w:lineRule="auto" w:before="204"/>
        <w:ind w:left="723" w:right="1191"/>
      </w:pPr>
      <w:r>
        <w:rPr/>
        <w:t>Emotional tone was the lowest of all themes (average 0.2253), with the highest proportion of negative</w:t>
      </w:r>
      <w:r>
        <w:rPr>
          <w:spacing w:val="-4"/>
        </w:rPr>
        <w:t> </w:t>
      </w:r>
      <w:r>
        <w:rPr/>
        <w:t>comments</w:t>
      </w:r>
      <w:r>
        <w:rPr>
          <w:spacing w:val="-4"/>
        </w:rPr>
        <w:t> </w:t>
      </w:r>
      <w:r>
        <w:rPr/>
        <w:t>(28%)</w:t>
      </w:r>
      <w:r>
        <w:rPr>
          <w:spacing w:val="-4"/>
        </w:rPr>
        <w:t> </w:t>
      </w:r>
      <w:r>
        <w:rPr/>
        <w:t>and</w:t>
      </w:r>
      <w:r>
        <w:rPr>
          <w:spacing w:val="-4"/>
        </w:rPr>
        <w:t> </w:t>
      </w:r>
      <w:r>
        <w:rPr/>
        <w:t>the</w:t>
      </w:r>
      <w:r>
        <w:rPr>
          <w:spacing w:val="-4"/>
        </w:rPr>
        <w:t> </w:t>
      </w:r>
      <w:r>
        <w:rPr/>
        <w:t>greatest</w:t>
      </w:r>
      <w:r>
        <w:rPr>
          <w:spacing w:val="-4"/>
        </w:rPr>
        <w:t> </w:t>
      </w:r>
      <w:r>
        <w:rPr/>
        <w:t>volatility</w:t>
      </w:r>
      <w:r>
        <w:rPr>
          <w:spacing w:val="-4"/>
        </w:rPr>
        <w:t> </w:t>
      </w:r>
      <w:r>
        <w:rPr/>
        <w:t>(SD</w:t>
      </w:r>
      <w:r>
        <w:rPr>
          <w:spacing w:val="-4"/>
        </w:rPr>
        <w:t> </w:t>
      </w:r>
      <w:r>
        <w:rPr/>
        <w:t>0.5405).</w:t>
      </w:r>
      <w:r>
        <w:rPr>
          <w:spacing w:val="-4"/>
        </w:rPr>
        <w:t> </w:t>
      </w:r>
      <w:r>
        <w:rPr/>
        <w:t>This</w:t>
      </w:r>
      <w:r>
        <w:rPr>
          <w:spacing w:val="-4"/>
        </w:rPr>
        <w:t> </w:t>
      </w:r>
      <w:r>
        <w:rPr/>
        <w:t>cluster</w:t>
      </w:r>
      <w:r>
        <w:rPr>
          <w:spacing w:val="-4"/>
        </w:rPr>
        <w:t> </w:t>
      </w:r>
      <w:r>
        <w:rPr/>
        <w:t>highlights</w:t>
      </w:r>
      <w:r>
        <w:rPr>
          <w:spacing w:val="-4"/>
        </w:rPr>
        <w:t> </w:t>
      </w:r>
      <w:r>
        <w:rPr/>
        <w:t>how interpersonal and organizational stressors are considered, pointing to an affectively charged</w:t>
      </w:r>
    </w:p>
    <w:p>
      <w:pPr>
        <w:pStyle w:val="BodyText"/>
        <w:spacing w:after="0" w:line="266" w:lineRule="auto"/>
        <w:sectPr>
          <w:pgSz w:w="12240" w:h="15840"/>
          <w:pgMar w:header="0" w:footer="707" w:top="640" w:bottom="960" w:left="720" w:right="0"/>
        </w:sectPr>
      </w:pPr>
    </w:p>
    <w:p>
      <w:pPr>
        <w:pStyle w:val="BodyText"/>
        <w:spacing w:before="60"/>
        <w:ind w:left="723"/>
      </w:pPr>
      <w:r>
        <w:rPr/>
        <w:t>dimension of project work that receives notable </w:t>
      </w:r>
      <w:r>
        <w:rPr>
          <w:spacing w:val="-2"/>
        </w:rPr>
        <w:t>attention.</w:t>
      </w:r>
    </w:p>
    <w:p>
      <w:pPr>
        <w:pStyle w:val="BodyText"/>
        <w:spacing w:before="30"/>
      </w:pPr>
    </w:p>
    <w:p>
      <w:pPr>
        <w:pStyle w:val="Heading4"/>
      </w:pPr>
      <w:r>
        <w:rPr>
          <w:spacing w:val="-2"/>
        </w:rPr>
        <w:t>Conclusion</w:t>
      </w:r>
    </w:p>
    <w:p>
      <w:pPr>
        <w:pStyle w:val="BodyText"/>
        <w:spacing w:line="266" w:lineRule="auto"/>
        <w:ind w:left="723" w:right="1447"/>
      </w:pPr>
      <w:r>
        <w:rPr/>
        <w:t>Across themes, consistent emotional and structural patterns reveal how project managers discuss and interpret their work. The observations depict a professional community navigating intertwined</w:t>
      </w:r>
      <w:r>
        <w:rPr>
          <w:spacing w:val="-7"/>
        </w:rPr>
        <w:t> </w:t>
      </w:r>
      <w:r>
        <w:rPr/>
        <w:t>concerns,</w:t>
      </w:r>
      <w:r>
        <w:rPr>
          <w:spacing w:val="-7"/>
        </w:rPr>
        <w:t> </w:t>
      </w:r>
      <w:r>
        <w:rPr/>
        <w:t>including</w:t>
      </w:r>
      <w:r>
        <w:rPr>
          <w:spacing w:val="-7"/>
        </w:rPr>
        <w:t> </w:t>
      </w:r>
      <w:r>
        <w:rPr/>
        <w:t>identity</w:t>
      </w:r>
      <w:r>
        <w:rPr>
          <w:spacing w:val="-7"/>
        </w:rPr>
        <w:t> </w:t>
      </w:r>
      <w:r>
        <w:rPr/>
        <w:t>ambiguity,</w:t>
      </w:r>
      <w:r>
        <w:rPr>
          <w:spacing w:val="-7"/>
        </w:rPr>
        <w:t> </w:t>
      </w:r>
      <w:r>
        <w:rPr/>
        <w:t>labor-market</w:t>
      </w:r>
      <w:r>
        <w:rPr>
          <w:spacing w:val="-7"/>
        </w:rPr>
        <w:t> </w:t>
      </w:r>
      <w:r>
        <w:rPr/>
        <w:t>precarity,</w:t>
      </w:r>
      <w:r>
        <w:rPr>
          <w:spacing w:val="-7"/>
        </w:rPr>
        <w:t> </w:t>
      </w:r>
      <w:r>
        <w:rPr/>
        <w:t>gaps</w:t>
      </w:r>
      <w:r>
        <w:rPr>
          <w:spacing w:val="-7"/>
        </w:rPr>
        <w:t> </w:t>
      </w:r>
      <w:r>
        <w:rPr/>
        <w:t>in</w:t>
      </w:r>
      <w:r>
        <w:rPr>
          <w:spacing w:val="-7"/>
        </w:rPr>
        <w:t> </w:t>
      </w:r>
      <w:r>
        <w:rPr/>
        <w:t>organizational capability, and the interpersonal demands of project work. Certification emerges as a stabilizing signal of legitimacy amid opaque hiring practices and persistent competition. Job-search and career-transition threads cast vulnerability as a widely shared phenomenon rather than as an isolated individual struggle. Users describe compensating for perceived organizational immaturity by filling gaps in processes, tooling, and alignment that extend beyond their formal roles. As discussions shift toward interpersonal conflict, including managing sponsors, unclear authority,</w:t>
      </w:r>
      <w:r>
        <w:rPr>
          <w:spacing w:val="-5"/>
        </w:rPr>
        <w:t> </w:t>
      </w:r>
      <w:r>
        <w:rPr/>
        <w:t>and</w:t>
      </w:r>
      <w:r>
        <w:rPr>
          <w:spacing w:val="-5"/>
        </w:rPr>
        <w:t> </w:t>
      </w:r>
      <w:r>
        <w:rPr/>
        <w:t>team-level</w:t>
      </w:r>
      <w:r>
        <w:rPr>
          <w:spacing w:val="-5"/>
        </w:rPr>
        <w:t> </w:t>
      </w:r>
      <w:r>
        <w:rPr/>
        <w:t>stress,</w:t>
      </w:r>
      <w:r>
        <w:rPr>
          <w:spacing w:val="-5"/>
        </w:rPr>
        <w:t> </w:t>
      </w:r>
      <w:r>
        <w:rPr/>
        <w:t>sentiment</w:t>
      </w:r>
      <w:r>
        <w:rPr>
          <w:spacing w:val="-5"/>
        </w:rPr>
        <w:t> </w:t>
      </w:r>
      <w:r>
        <w:rPr/>
        <w:t>becomes</w:t>
      </w:r>
      <w:r>
        <w:rPr>
          <w:spacing w:val="-5"/>
        </w:rPr>
        <w:t> </w:t>
      </w:r>
      <w:r>
        <w:rPr/>
        <w:t>more</w:t>
      </w:r>
      <w:r>
        <w:rPr>
          <w:spacing w:val="-5"/>
        </w:rPr>
        <w:t> </w:t>
      </w:r>
      <w:r>
        <w:rPr/>
        <w:t>negative</w:t>
      </w:r>
      <w:r>
        <w:rPr>
          <w:spacing w:val="-5"/>
        </w:rPr>
        <w:t> </w:t>
      </w:r>
      <w:r>
        <w:rPr/>
        <w:t>and</w:t>
      </w:r>
      <w:r>
        <w:rPr>
          <w:spacing w:val="-5"/>
        </w:rPr>
        <w:t> </w:t>
      </w:r>
      <w:r>
        <w:rPr/>
        <w:t>volatile.</w:t>
      </w:r>
      <w:r>
        <w:rPr>
          <w:spacing w:val="-5"/>
        </w:rPr>
        <w:t> </w:t>
      </w:r>
      <w:r>
        <w:rPr/>
        <w:t>Reddit</w:t>
      </w:r>
      <w:r>
        <w:rPr>
          <w:spacing w:val="-5"/>
        </w:rPr>
        <w:t> </w:t>
      </w:r>
      <w:r>
        <w:rPr/>
        <w:t>appears</w:t>
      </w:r>
      <w:r>
        <w:rPr>
          <w:spacing w:val="-5"/>
        </w:rPr>
        <w:t> </w:t>
      </w:r>
      <w:r>
        <w:rPr/>
        <w:t>to function as a grassroots sensemaking and peer-coaching venue in which project managers collectively interpret career shocks, capability gaps, and interpersonal strain.</w:t>
      </w:r>
    </w:p>
    <w:p>
      <w:pPr>
        <w:pStyle w:val="BodyText"/>
        <w:spacing w:line="266" w:lineRule="auto" w:before="171"/>
        <w:ind w:left="723" w:right="1506" w:hanging="15"/>
      </w:pPr>
      <w:r>
        <w:rPr>
          <w:b/>
          <w:i/>
        </w:rPr>
        <w:t>Limitations: </w:t>
      </w:r>
      <w:r>
        <w:rPr/>
        <w:t>This analysis is limited to two English-language subreddits, producing a self selected sample of users who may be more tech-savvy and more inclined to seek online peer support than the broader PM population. Automated sentiment analysis tools such as VADER may misinterpret sarcasm or emotionally complex language, and topic modeling may merge or excessively parse concepts. The dataset reflects an eight-week period and cannot capture temporal dynamics. Intercoder agreement of 84%, while acceptable, suggests some interpretive ambiguity in theme boundaries. These constraints limit the generalizability of the initial study but</w:t>
      </w:r>
      <w:r>
        <w:rPr>
          <w:spacing w:val="-3"/>
        </w:rPr>
        <w:t> </w:t>
      </w:r>
      <w:r>
        <w:rPr/>
        <w:t>position</w:t>
      </w:r>
      <w:r>
        <w:rPr>
          <w:spacing w:val="-3"/>
        </w:rPr>
        <w:t> </w:t>
      </w:r>
      <w:r>
        <w:rPr/>
        <w:t>Reddit</w:t>
      </w:r>
      <w:r>
        <w:rPr>
          <w:spacing w:val="-3"/>
        </w:rPr>
        <w:t> </w:t>
      </w:r>
      <w:r>
        <w:rPr/>
        <w:t>as</w:t>
      </w:r>
      <w:r>
        <w:rPr>
          <w:spacing w:val="-3"/>
        </w:rPr>
        <w:t> </w:t>
      </w:r>
      <w:r>
        <w:rPr/>
        <w:t>a</w:t>
      </w:r>
      <w:r>
        <w:rPr>
          <w:spacing w:val="-3"/>
        </w:rPr>
        <w:t> </w:t>
      </w:r>
      <w:r>
        <w:rPr/>
        <w:t>useful</w:t>
      </w:r>
      <w:r>
        <w:rPr>
          <w:spacing w:val="-3"/>
        </w:rPr>
        <w:t> </w:t>
      </w:r>
      <w:r>
        <w:rPr/>
        <w:t>site</w:t>
      </w:r>
      <w:r>
        <w:rPr>
          <w:spacing w:val="-3"/>
        </w:rPr>
        <w:t> </w:t>
      </w:r>
      <w:r>
        <w:rPr/>
        <w:t>for</w:t>
      </w:r>
      <w:r>
        <w:rPr>
          <w:spacing w:val="-3"/>
        </w:rPr>
        <w:t> </w:t>
      </w:r>
      <w:r>
        <w:rPr/>
        <w:t>examining</w:t>
      </w:r>
      <w:r>
        <w:rPr>
          <w:spacing w:val="-3"/>
        </w:rPr>
        <w:t> </w:t>
      </w:r>
      <w:r>
        <w:rPr/>
        <w:t>the</w:t>
      </w:r>
      <w:r>
        <w:rPr>
          <w:spacing w:val="-3"/>
        </w:rPr>
        <w:t> </w:t>
      </w:r>
      <w:r>
        <w:rPr/>
        <w:t>concerns</w:t>
      </w:r>
      <w:r>
        <w:rPr>
          <w:spacing w:val="-3"/>
        </w:rPr>
        <w:t> </w:t>
      </w:r>
      <w:r>
        <w:rPr/>
        <w:t>and</w:t>
      </w:r>
      <w:r>
        <w:rPr>
          <w:spacing w:val="-3"/>
        </w:rPr>
        <w:t> </w:t>
      </w:r>
      <w:r>
        <w:rPr/>
        <w:t>attitudes</w:t>
      </w:r>
      <w:r>
        <w:rPr>
          <w:spacing w:val="-3"/>
        </w:rPr>
        <w:t> </w:t>
      </w:r>
      <w:r>
        <w:rPr/>
        <w:t>of</w:t>
      </w:r>
      <w:r>
        <w:rPr>
          <w:spacing w:val="-3"/>
        </w:rPr>
        <w:t> </w:t>
      </w:r>
      <w:r>
        <w:rPr/>
        <w:t>digitally</w:t>
      </w:r>
      <w:r>
        <w:rPr>
          <w:spacing w:val="-3"/>
        </w:rPr>
        <w:t> </w:t>
      </w:r>
      <w:r>
        <w:rPr/>
        <w:t>engaged project managers.</w:t>
      </w:r>
    </w:p>
    <w:p>
      <w:pPr>
        <w:pStyle w:val="BodyText"/>
        <w:spacing w:line="266" w:lineRule="auto" w:before="171"/>
        <w:ind w:left="723" w:right="1381"/>
      </w:pPr>
      <w:r>
        <w:rPr>
          <w:b/>
          <w:i/>
        </w:rPr>
        <w:t>Future Research: </w:t>
      </w:r>
      <w:r>
        <w:rPr/>
        <w:t>Data collection from these subreddits is ongoing and is intended to support analysis</w:t>
      </w:r>
      <w:r>
        <w:rPr>
          <w:spacing w:val="-3"/>
        </w:rPr>
        <w:t> </w:t>
      </w:r>
      <w:r>
        <w:rPr/>
        <w:t>across</w:t>
      </w:r>
      <w:r>
        <w:rPr>
          <w:spacing w:val="-3"/>
        </w:rPr>
        <w:t> </w:t>
      </w:r>
      <w:r>
        <w:rPr/>
        <w:t>a</w:t>
      </w:r>
      <w:r>
        <w:rPr>
          <w:spacing w:val="-3"/>
        </w:rPr>
        <w:t> </w:t>
      </w:r>
      <w:r>
        <w:rPr/>
        <w:t>larger</w:t>
      </w:r>
      <w:r>
        <w:rPr>
          <w:spacing w:val="-3"/>
        </w:rPr>
        <w:t> </w:t>
      </w:r>
      <w:r>
        <w:rPr/>
        <w:t>corpus.</w:t>
      </w:r>
      <w:r>
        <w:rPr>
          <w:spacing w:val="-3"/>
        </w:rPr>
        <w:t> </w:t>
      </w:r>
      <w:r>
        <w:rPr/>
        <w:t>Adapting</w:t>
      </w:r>
      <w:r>
        <w:rPr>
          <w:spacing w:val="-3"/>
        </w:rPr>
        <w:t> </w:t>
      </w:r>
      <w:r>
        <w:rPr/>
        <w:t>this</w:t>
      </w:r>
      <w:r>
        <w:rPr>
          <w:spacing w:val="-3"/>
        </w:rPr>
        <w:t> </w:t>
      </w:r>
      <w:r>
        <w:rPr/>
        <w:t>analytic</w:t>
      </w:r>
      <w:r>
        <w:rPr>
          <w:spacing w:val="-3"/>
        </w:rPr>
        <w:t> </w:t>
      </w:r>
      <w:r>
        <w:rPr/>
        <w:t>approach</w:t>
      </w:r>
      <w:r>
        <w:rPr>
          <w:spacing w:val="-3"/>
        </w:rPr>
        <w:t> </w:t>
      </w:r>
      <w:r>
        <w:rPr/>
        <w:t>to</w:t>
      </w:r>
      <w:r>
        <w:rPr>
          <w:spacing w:val="-3"/>
        </w:rPr>
        <w:t> </w:t>
      </w:r>
      <w:r>
        <w:rPr/>
        <w:t>an</w:t>
      </w:r>
      <w:r>
        <w:rPr>
          <w:spacing w:val="-3"/>
        </w:rPr>
        <w:t> </w:t>
      </w:r>
      <w:r>
        <w:rPr/>
        <w:t>expanded</w:t>
      </w:r>
      <w:r>
        <w:rPr>
          <w:spacing w:val="-3"/>
        </w:rPr>
        <w:t> </w:t>
      </w:r>
      <w:r>
        <w:rPr/>
        <w:t>dataset</w:t>
      </w:r>
      <w:r>
        <w:rPr>
          <w:spacing w:val="-3"/>
        </w:rPr>
        <w:t> </w:t>
      </w:r>
      <w:r>
        <w:rPr/>
        <w:t>will</w:t>
      </w:r>
      <w:r>
        <w:rPr>
          <w:spacing w:val="-3"/>
        </w:rPr>
        <w:t> </w:t>
      </w:r>
      <w:r>
        <w:rPr/>
        <w:t>allow deeper examination of subthemes within and across thematic domains. A larger corpus may also enable assessment of topic stability, shifts in thematic prominence, and changes in sentiment distributions over time, as well as exploration of patterns that intersect with established organizational behavior and project management constructs. The approach may be extended to other profession-oriented subreddits to support comparative analysis of peer-driven professional discourse. Integrating survey or interview data could further support triangulation of observed discourse patterns.</w:t>
      </w:r>
    </w:p>
    <w:p>
      <w:pPr>
        <w:pStyle w:val="BodyText"/>
        <w:spacing w:line="266" w:lineRule="auto" w:before="172"/>
        <w:ind w:left="723" w:right="1438"/>
      </w:pPr>
      <w:r>
        <w:rPr/>
        <w:t>This pilot study demonstrates the value of leveraging professionally oriented subreddits to examine</w:t>
      </w:r>
      <w:r>
        <w:rPr>
          <w:spacing w:val="-1"/>
        </w:rPr>
        <w:t> </w:t>
      </w:r>
      <w:r>
        <w:rPr/>
        <w:t>patterns</w:t>
      </w:r>
      <w:r>
        <w:rPr>
          <w:spacing w:val="-1"/>
        </w:rPr>
        <w:t> </w:t>
      </w:r>
      <w:r>
        <w:rPr/>
        <w:t>in</w:t>
      </w:r>
      <w:r>
        <w:rPr>
          <w:spacing w:val="-1"/>
        </w:rPr>
        <w:t> </w:t>
      </w:r>
      <w:r>
        <w:rPr/>
        <w:t>peer-driven</w:t>
      </w:r>
      <w:r>
        <w:rPr>
          <w:spacing w:val="-1"/>
        </w:rPr>
        <w:t> </w:t>
      </w:r>
      <w:r>
        <w:rPr/>
        <w:t>professional</w:t>
      </w:r>
      <w:r>
        <w:rPr>
          <w:spacing w:val="-1"/>
        </w:rPr>
        <w:t> </w:t>
      </w:r>
      <w:r>
        <w:rPr/>
        <w:t>discourse.</w:t>
      </w:r>
      <w:r>
        <w:rPr>
          <w:spacing w:val="-1"/>
        </w:rPr>
        <w:t> </w:t>
      </w:r>
      <w:r>
        <w:rPr/>
        <w:t>By</w:t>
      </w:r>
      <w:r>
        <w:rPr>
          <w:spacing w:val="-1"/>
        </w:rPr>
        <w:t> </w:t>
      </w:r>
      <w:r>
        <w:rPr/>
        <w:t>identifying</w:t>
      </w:r>
      <w:r>
        <w:rPr>
          <w:spacing w:val="-1"/>
        </w:rPr>
        <w:t> </w:t>
      </w:r>
      <w:r>
        <w:rPr/>
        <w:t>the</w:t>
      </w:r>
      <w:r>
        <w:rPr>
          <w:spacing w:val="-1"/>
        </w:rPr>
        <w:t> </w:t>
      </w:r>
      <w:r>
        <w:rPr/>
        <w:t>concerns</w:t>
      </w:r>
      <w:r>
        <w:rPr>
          <w:spacing w:val="-1"/>
        </w:rPr>
        <w:t> </w:t>
      </w:r>
      <w:r>
        <w:rPr/>
        <w:t>and</w:t>
      </w:r>
      <w:r>
        <w:rPr>
          <w:spacing w:val="-1"/>
        </w:rPr>
        <w:t> </w:t>
      </w:r>
      <w:r>
        <w:rPr/>
        <w:t>affective expressions that project managers share in informal digital spaces, this work illustrates how social</w:t>
      </w:r>
      <w:r>
        <w:rPr>
          <w:spacing w:val="-4"/>
        </w:rPr>
        <w:t> </w:t>
      </w:r>
      <w:r>
        <w:rPr/>
        <w:t>media</w:t>
      </w:r>
      <w:r>
        <w:rPr>
          <w:spacing w:val="-4"/>
        </w:rPr>
        <w:t> </w:t>
      </w:r>
      <w:r>
        <w:rPr/>
        <w:t>data</w:t>
      </w:r>
      <w:r>
        <w:rPr>
          <w:spacing w:val="-4"/>
        </w:rPr>
        <w:t> </w:t>
      </w:r>
      <w:r>
        <w:rPr/>
        <w:t>can</w:t>
      </w:r>
      <w:r>
        <w:rPr>
          <w:spacing w:val="-4"/>
        </w:rPr>
        <w:t> </w:t>
      </w:r>
      <w:r>
        <w:rPr/>
        <w:t>complement</w:t>
      </w:r>
      <w:r>
        <w:rPr>
          <w:spacing w:val="-4"/>
        </w:rPr>
        <w:t> </w:t>
      </w:r>
      <w:r>
        <w:rPr/>
        <w:t>traditional</w:t>
      </w:r>
      <w:r>
        <w:rPr>
          <w:spacing w:val="-4"/>
        </w:rPr>
        <w:t> </w:t>
      </w:r>
      <w:r>
        <w:rPr/>
        <w:t>organizational</w:t>
      </w:r>
      <w:r>
        <w:rPr>
          <w:spacing w:val="-4"/>
        </w:rPr>
        <w:t> </w:t>
      </w:r>
      <w:r>
        <w:rPr/>
        <w:t>research</w:t>
      </w:r>
      <w:r>
        <w:rPr>
          <w:spacing w:val="-4"/>
        </w:rPr>
        <w:t> </w:t>
      </w:r>
      <w:r>
        <w:rPr/>
        <w:t>and</w:t>
      </w:r>
      <w:r>
        <w:rPr>
          <w:spacing w:val="-4"/>
        </w:rPr>
        <w:t> </w:t>
      </w:r>
      <w:r>
        <w:rPr/>
        <w:t>inform</w:t>
      </w:r>
      <w:r>
        <w:rPr>
          <w:spacing w:val="-4"/>
        </w:rPr>
        <w:t> </w:t>
      </w:r>
      <w:r>
        <w:rPr/>
        <w:t>future</w:t>
      </w:r>
      <w:r>
        <w:rPr>
          <w:spacing w:val="-4"/>
        </w:rPr>
        <w:t> </w:t>
      </w:r>
      <w:r>
        <w:rPr/>
        <w:t>empirical and pedagogical inquiry.</w:t>
      </w:r>
    </w:p>
    <w:p>
      <w:pPr>
        <w:pStyle w:val="Heading4"/>
        <w:spacing w:before="172"/>
      </w:pPr>
      <w:r>
        <w:rPr>
          <w:spacing w:val="-2"/>
        </w:rPr>
        <w:t>References</w:t>
      </w:r>
    </w:p>
    <w:p>
      <w:pPr>
        <w:pStyle w:val="BodyText"/>
        <w:spacing w:line="230" w:lineRule="auto" w:before="230"/>
        <w:ind w:left="1428" w:right="1191" w:hanging="705"/>
      </w:pPr>
      <w:r>
        <w:rPr/>
        <w:t>Amaya, A., Bach, R., Keusch, F., &amp; Kreuter, F. (2021). New Data Sources in Social Science Research:</w:t>
      </w:r>
      <w:r>
        <w:rPr>
          <w:spacing w:val="-6"/>
        </w:rPr>
        <w:t> </w:t>
      </w:r>
      <w:r>
        <w:rPr/>
        <w:t>Things</w:t>
      </w:r>
      <w:r>
        <w:rPr>
          <w:spacing w:val="-6"/>
        </w:rPr>
        <w:t> </w:t>
      </w:r>
      <w:r>
        <w:rPr/>
        <w:t>to</w:t>
      </w:r>
      <w:r>
        <w:rPr>
          <w:spacing w:val="-6"/>
        </w:rPr>
        <w:t> </w:t>
      </w:r>
      <w:r>
        <w:rPr/>
        <w:t>Know</w:t>
      </w:r>
      <w:r>
        <w:rPr>
          <w:spacing w:val="-6"/>
        </w:rPr>
        <w:t> </w:t>
      </w:r>
      <w:r>
        <w:rPr/>
        <w:t>Before</w:t>
      </w:r>
      <w:r>
        <w:rPr>
          <w:spacing w:val="-6"/>
        </w:rPr>
        <w:t> </w:t>
      </w:r>
      <w:r>
        <w:rPr/>
        <w:t>Working</w:t>
      </w:r>
      <w:r>
        <w:rPr>
          <w:spacing w:val="-6"/>
        </w:rPr>
        <w:t> </w:t>
      </w:r>
      <w:r>
        <w:rPr/>
        <w:t>With</w:t>
      </w:r>
      <w:r>
        <w:rPr>
          <w:spacing w:val="-6"/>
        </w:rPr>
        <w:t> </w:t>
      </w:r>
      <w:r>
        <w:rPr/>
        <w:t>Reddit</w:t>
      </w:r>
      <w:r>
        <w:rPr>
          <w:spacing w:val="-6"/>
        </w:rPr>
        <w:t> </w:t>
      </w:r>
      <w:r>
        <w:rPr/>
        <w:t>Data.</w:t>
      </w:r>
      <w:r>
        <w:rPr>
          <w:spacing w:val="-7"/>
        </w:rPr>
        <w:t> </w:t>
      </w:r>
      <w:r>
        <w:rPr>
          <w:i/>
        </w:rPr>
        <w:t>Social</w:t>
      </w:r>
      <w:r>
        <w:rPr>
          <w:i/>
          <w:spacing w:val="-6"/>
        </w:rPr>
        <w:t> </w:t>
      </w:r>
      <w:r>
        <w:rPr>
          <w:i/>
        </w:rPr>
        <w:t>Science</w:t>
      </w:r>
      <w:r>
        <w:rPr>
          <w:i/>
          <w:spacing w:val="-6"/>
        </w:rPr>
        <w:t> </w:t>
      </w:r>
      <w:r>
        <w:rPr>
          <w:i/>
        </w:rPr>
        <w:t>Computer</w:t>
      </w:r>
      <w:r>
        <w:rPr>
          <w:i/>
        </w:rPr>
        <w:t> Review</w:t>
      </w:r>
      <w:r>
        <w:rPr/>
        <w:t>, </w:t>
      </w:r>
      <w:r>
        <w:rPr>
          <w:i/>
        </w:rPr>
        <w:t>39</w:t>
      </w:r>
      <w:r>
        <w:rPr/>
        <w:t>(5), 943-960. </w:t>
      </w:r>
      <w:hyperlink r:id="rId126">
        <w:r>
          <w:rPr>
            <w:color w:val="1154CC"/>
            <w:u w:val="thick" w:color="1154CC"/>
          </w:rPr>
          <w:t>https://doi.org/10.1177/0894439319893305</w:t>
        </w:r>
      </w:hyperlink>
    </w:p>
    <w:p>
      <w:pPr>
        <w:pStyle w:val="BodyText"/>
        <w:spacing w:after="0" w:line="230" w:lineRule="auto"/>
        <w:sectPr>
          <w:pgSz w:w="12240" w:h="15840"/>
          <w:pgMar w:header="0" w:footer="707" w:top="640" w:bottom="960" w:left="720" w:right="0"/>
        </w:sectPr>
      </w:pPr>
    </w:p>
    <w:p>
      <w:pPr>
        <w:pStyle w:val="BodyText"/>
        <w:spacing w:line="230" w:lineRule="auto" w:before="80"/>
        <w:ind w:left="729" w:right="2058"/>
        <w:jc w:val="center"/>
      </w:pPr>
      <w:r>
        <w:rPr/>
        <w:t>Cheddak,</w:t>
      </w:r>
      <w:r>
        <w:rPr>
          <w:spacing w:val="-9"/>
        </w:rPr>
        <w:t> </w:t>
      </w:r>
      <w:r>
        <w:rPr/>
        <w:t>A.,</w:t>
      </w:r>
      <w:r>
        <w:rPr>
          <w:spacing w:val="-9"/>
        </w:rPr>
        <w:t> </w:t>
      </w:r>
      <w:r>
        <w:rPr/>
        <w:t>Ait</w:t>
      </w:r>
      <w:r>
        <w:rPr>
          <w:spacing w:val="-9"/>
        </w:rPr>
        <w:t> </w:t>
      </w:r>
      <w:r>
        <w:rPr/>
        <w:t>Baha,</w:t>
      </w:r>
      <w:r>
        <w:rPr>
          <w:spacing w:val="-9"/>
        </w:rPr>
        <w:t> </w:t>
      </w:r>
      <w:r>
        <w:rPr/>
        <w:t>T.,</w:t>
      </w:r>
      <w:r>
        <w:rPr>
          <w:spacing w:val="-9"/>
        </w:rPr>
        <w:t> </w:t>
      </w:r>
      <w:r>
        <w:rPr/>
        <w:t>Es-Saady,</w:t>
      </w:r>
      <w:r>
        <w:rPr>
          <w:spacing w:val="-9"/>
        </w:rPr>
        <w:t> </w:t>
      </w:r>
      <w:r>
        <w:rPr/>
        <w:t>Y.,</w:t>
      </w:r>
      <w:r>
        <w:rPr>
          <w:spacing w:val="-9"/>
        </w:rPr>
        <w:t> </w:t>
      </w:r>
      <w:r>
        <w:rPr/>
        <w:t>El</w:t>
      </w:r>
      <w:r>
        <w:rPr>
          <w:spacing w:val="-9"/>
        </w:rPr>
        <w:t> </w:t>
      </w:r>
      <w:r>
        <w:rPr/>
        <w:t>Hajji,</w:t>
      </w:r>
      <w:r>
        <w:rPr>
          <w:spacing w:val="-9"/>
        </w:rPr>
        <w:t> </w:t>
      </w:r>
      <w:r>
        <w:rPr/>
        <w:t>M.,</w:t>
      </w:r>
      <w:r>
        <w:rPr>
          <w:spacing w:val="-9"/>
        </w:rPr>
        <w:t> </w:t>
      </w:r>
      <w:r>
        <w:rPr/>
        <w:t>&amp;</w:t>
      </w:r>
      <w:r>
        <w:rPr>
          <w:spacing w:val="-9"/>
        </w:rPr>
        <w:t> </w:t>
      </w:r>
      <w:r>
        <w:rPr/>
        <w:t>Baslam,</w:t>
      </w:r>
      <w:r>
        <w:rPr>
          <w:spacing w:val="-9"/>
        </w:rPr>
        <w:t> </w:t>
      </w:r>
      <w:r>
        <w:rPr/>
        <w:t>M.</w:t>
      </w:r>
      <w:r>
        <w:rPr>
          <w:spacing w:val="-9"/>
        </w:rPr>
        <w:t> </w:t>
      </w:r>
      <w:r>
        <w:rPr/>
        <w:t>(2024).</w:t>
      </w:r>
      <w:r>
        <w:rPr>
          <w:spacing w:val="-9"/>
        </w:rPr>
        <w:t> </w:t>
      </w:r>
      <w:r>
        <w:rPr/>
        <w:t>BERTopic</w:t>
      </w:r>
      <w:r>
        <w:rPr>
          <w:spacing w:val="-9"/>
        </w:rPr>
        <w:t> </w:t>
      </w:r>
      <w:r>
        <w:rPr/>
        <w:t>for Enhanced Idea Management and Topic Generation in Brainstorming Sessions.</w:t>
      </w:r>
    </w:p>
    <w:p>
      <w:pPr>
        <w:spacing w:line="266" w:lineRule="exact" w:before="0"/>
        <w:ind w:left="0" w:right="1329" w:firstLine="0"/>
        <w:jc w:val="center"/>
        <w:rPr>
          <w:sz w:val="24"/>
        </w:rPr>
      </w:pPr>
      <w:r>
        <w:rPr>
          <w:i/>
          <w:sz w:val="24"/>
        </w:rPr>
        <w:t>Information</w:t>
      </w:r>
      <w:r>
        <w:rPr>
          <w:sz w:val="24"/>
        </w:rPr>
        <w:t>, </w:t>
      </w:r>
      <w:r>
        <w:rPr>
          <w:i/>
          <w:sz w:val="24"/>
        </w:rPr>
        <w:t>15</w:t>
      </w:r>
      <w:r>
        <w:rPr>
          <w:sz w:val="24"/>
        </w:rPr>
        <w:t>(6), 365. </w:t>
      </w:r>
      <w:hyperlink r:id="rId127">
        <w:r>
          <w:rPr>
            <w:color w:val="457886"/>
            <w:spacing w:val="-2"/>
            <w:sz w:val="24"/>
            <w:u w:val="thick" w:color="457886"/>
          </w:rPr>
          <w:t>https://doi.org/10.3390/info15060365</w:t>
        </w:r>
      </w:hyperlink>
    </w:p>
    <w:p>
      <w:pPr>
        <w:spacing w:line="230" w:lineRule="auto" w:before="274"/>
        <w:ind w:left="1443" w:right="1609" w:hanging="720"/>
        <w:jc w:val="both"/>
        <w:rPr>
          <w:sz w:val="24"/>
        </w:rPr>
      </w:pPr>
      <w:r>
        <w:rPr>
          <w:sz w:val="24"/>
        </w:rPr>
        <w:t>Fiesler, C., Zimmer, M.,</w:t>
      </w:r>
      <w:r>
        <w:rPr>
          <w:spacing w:val="-4"/>
          <w:sz w:val="24"/>
        </w:rPr>
        <w:t> </w:t>
      </w:r>
      <w:r>
        <w:rPr>
          <w:sz w:val="24"/>
        </w:rPr>
        <w:t>Proferes,</w:t>
      </w:r>
      <w:r>
        <w:rPr>
          <w:spacing w:val="-4"/>
          <w:sz w:val="24"/>
        </w:rPr>
        <w:t> </w:t>
      </w:r>
      <w:r>
        <w:rPr>
          <w:sz w:val="24"/>
        </w:rPr>
        <w:t>N.,</w:t>
      </w:r>
      <w:r>
        <w:rPr>
          <w:spacing w:val="-4"/>
          <w:sz w:val="24"/>
        </w:rPr>
        <w:t> </w:t>
      </w:r>
      <w:r>
        <w:rPr>
          <w:sz w:val="24"/>
        </w:rPr>
        <w:t>Gilbert,</w:t>
      </w:r>
      <w:r>
        <w:rPr>
          <w:spacing w:val="-4"/>
          <w:sz w:val="24"/>
        </w:rPr>
        <w:t> </w:t>
      </w:r>
      <w:r>
        <w:rPr>
          <w:sz w:val="24"/>
        </w:rPr>
        <w:t>S.,</w:t>
      </w:r>
      <w:r>
        <w:rPr>
          <w:spacing w:val="-4"/>
          <w:sz w:val="24"/>
        </w:rPr>
        <w:t> </w:t>
      </w:r>
      <w:r>
        <w:rPr>
          <w:sz w:val="24"/>
        </w:rPr>
        <w:t>&amp;</w:t>
      </w:r>
      <w:r>
        <w:rPr>
          <w:spacing w:val="-4"/>
          <w:sz w:val="24"/>
        </w:rPr>
        <w:t> </w:t>
      </w:r>
      <w:r>
        <w:rPr>
          <w:sz w:val="24"/>
        </w:rPr>
        <w:t>Jones,</w:t>
      </w:r>
      <w:r>
        <w:rPr>
          <w:spacing w:val="-4"/>
          <w:sz w:val="24"/>
        </w:rPr>
        <w:t> </w:t>
      </w:r>
      <w:r>
        <w:rPr>
          <w:sz w:val="24"/>
        </w:rPr>
        <w:t>N.</w:t>
      </w:r>
      <w:r>
        <w:rPr>
          <w:spacing w:val="-4"/>
          <w:sz w:val="24"/>
        </w:rPr>
        <w:t> </w:t>
      </w:r>
      <w:r>
        <w:rPr>
          <w:sz w:val="24"/>
        </w:rPr>
        <w:t>(2024).</w:t>
      </w:r>
      <w:r>
        <w:rPr>
          <w:spacing w:val="-4"/>
          <w:sz w:val="24"/>
        </w:rPr>
        <w:t> </w:t>
      </w:r>
      <w:r>
        <w:rPr>
          <w:sz w:val="24"/>
        </w:rPr>
        <w:t>Remember</w:t>
      </w:r>
      <w:r>
        <w:rPr>
          <w:spacing w:val="-4"/>
          <w:sz w:val="24"/>
        </w:rPr>
        <w:t> </w:t>
      </w:r>
      <w:r>
        <w:rPr>
          <w:sz w:val="24"/>
        </w:rPr>
        <w:t>the</w:t>
      </w:r>
      <w:r>
        <w:rPr>
          <w:spacing w:val="-4"/>
          <w:sz w:val="24"/>
        </w:rPr>
        <w:t> </w:t>
      </w:r>
      <w:r>
        <w:rPr>
          <w:sz w:val="24"/>
        </w:rPr>
        <w:t>human:</w:t>
      </w:r>
      <w:r>
        <w:rPr>
          <w:spacing w:val="-4"/>
          <w:sz w:val="24"/>
        </w:rPr>
        <w:t> </w:t>
      </w:r>
      <w:r>
        <w:rPr>
          <w:sz w:val="24"/>
        </w:rPr>
        <w:t>A systematic review of ethical</w:t>
      </w:r>
      <w:r>
        <w:rPr>
          <w:spacing w:val="-4"/>
          <w:sz w:val="24"/>
        </w:rPr>
        <w:t> </w:t>
      </w:r>
      <w:r>
        <w:rPr>
          <w:sz w:val="24"/>
        </w:rPr>
        <w:t>considerations</w:t>
      </w:r>
      <w:r>
        <w:rPr>
          <w:spacing w:val="-4"/>
          <w:sz w:val="24"/>
        </w:rPr>
        <w:t> </w:t>
      </w:r>
      <w:r>
        <w:rPr>
          <w:sz w:val="24"/>
        </w:rPr>
        <w:t>in</w:t>
      </w:r>
      <w:r>
        <w:rPr>
          <w:spacing w:val="-4"/>
          <w:sz w:val="24"/>
        </w:rPr>
        <w:t> </w:t>
      </w:r>
      <w:r>
        <w:rPr>
          <w:sz w:val="24"/>
        </w:rPr>
        <w:t>Reddit</w:t>
      </w:r>
      <w:r>
        <w:rPr>
          <w:spacing w:val="-4"/>
          <w:sz w:val="24"/>
        </w:rPr>
        <w:t> </w:t>
      </w:r>
      <w:r>
        <w:rPr>
          <w:sz w:val="24"/>
        </w:rPr>
        <w:t>research.</w:t>
      </w:r>
      <w:r>
        <w:rPr>
          <w:spacing w:val="-4"/>
          <w:sz w:val="24"/>
        </w:rPr>
        <w:t> </w:t>
      </w:r>
      <w:r>
        <w:rPr>
          <w:i/>
          <w:sz w:val="24"/>
        </w:rPr>
        <w:t>Proceedings</w:t>
      </w:r>
      <w:r>
        <w:rPr>
          <w:i/>
          <w:spacing w:val="-4"/>
          <w:sz w:val="24"/>
        </w:rPr>
        <w:t> </w:t>
      </w:r>
      <w:r>
        <w:rPr>
          <w:i/>
          <w:sz w:val="24"/>
        </w:rPr>
        <w:t>of</w:t>
      </w:r>
      <w:r>
        <w:rPr>
          <w:i/>
          <w:spacing w:val="-4"/>
          <w:sz w:val="24"/>
        </w:rPr>
        <w:t> </w:t>
      </w:r>
      <w:r>
        <w:rPr>
          <w:i/>
          <w:sz w:val="24"/>
        </w:rPr>
        <w:t>the</w:t>
      </w:r>
      <w:r>
        <w:rPr>
          <w:i/>
          <w:spacing w:val="-4"/>
          <w:sz w:val="24"/>
        </w:rPr>
        <w:t> </w:t>
      </w:r>
      <w:r>
        <w:rPr>
          <w:i/>
          <w:sz w:val="24"/>
        </w:rPr>
        <w:t>ACM</w:t>
      </w:r>
      <w:r>
        <w:rPr>
          <w:i/>
          <w:sz w:val="24"/>
        </w:rPr>
        <w:t> on Human-Computer Interaction</w:t>
      </w:r>
      <w:r>
        <w:rPr>
          <w:sz w:val="24"/>
        </w:rPr>
        <w:t>, </w:t>
      </w:r>
      <w:r>
        <w:rPr>
          <w:i/>
          <w:sz w:val="24"/>
        </w:rPr>
        <w:t>8</w:t>
      </w:r>
      <w:r>
        <w:rPr>
          <w:sz w:val="24"/>
        </w:rPr>
        <w:t>(GROUP), 1-33. </w:t>
      </w:r>
      <w:hyperlink r:id="rId128">
        <w:r>
          <w:rPr>
            <w:color w:val="457886"/>
            <w:sz w:val="24"/>
            <w:u w:val="thick" w:color="457886"/>
          </w:rPr>
          <w:t>https://doi.org/10.1145/3613904</w:t>
        </w:r>
      </w:hyperlink>
    </w:p>
    <w:p>
      <w:pPr>
        <w:pStyle w:val="BodyText"/>
        <w:spacing w:line="230" w:lineRule="auto" w:before="274"/>
        <w:ind w:left="742" w:right="1877"/>
        <w:jc w:val="center"/>
      </w:pPr>
      <w:r>
        <w:rPr/>
        <w:t>Good,</w:t>
      </w:r>
      <w:r>
        <w:rPr>
          <w:spacing w:val="-6"/>
        </w:rPr>
        <w:t> </w:t>
      </w:r>
      <w:r>
        <w:rPr/>
        <w:t>D.,</w:t>
      </w:r>
      <w:r>
        <w:rPr>
          <w:spacing w:val="-6"/>
        </w:rPr>
        <w:t> </w:t>
      </w:r>
      <w:r>
        <w:rPr/>
        <w:t>&amp;</w:t>
      </w:r>
      <w:r>
        <w:rPr>
          <w:spacing w:val="-6"/>
        </w:rPr>
        <w:t> </w:t>
      </w:r>
      <w:r>
        <w:rPr/>
        <w:t>Cavanagh,</w:t>
      </w:r>
      <w:r>
        <w:rPr>
          <w:spacing w:val="-6"/>
        </w:rPr>
        <w:t> </w:t>
      </w:r>
      <w:r>
        <w:rPr/>
        <w:t>K.</w:t>
      </w:r>
      <w:r>
        <w:rPr>
          <w:spacing w:val="-6"/>
        </w:rPr>
        <w:t> </w:t>
      </w:r>
      <w:r>
        <w:rPr/>
        <w:t>(2017).</w:t>
      </w:r>
      <w:r>
        <w:rPr>
          <w:spacing w:val="-6"/>
        </w:rPr>
        <w:t> </w:t>
      </w:r>
      <w:r>
        <w:rPr/>
        <w:t>It</w:t>
      </w:r>
      <w:r>
        <w:rPr>
          <w:spacing w:val="-6"/>
        </w:rPr>
        <w:t> </w:t>
      </w:r>
      <w:r>
        <w:rPr/>
        <w:t>Takes</w:t>
      </w:r>
      <w:r>
        <w:rPr>
          <w:spacing w:val="-6"/>
        </w:rPr>
        <w:t> </w:t>
      </w:r>
      <w:r>
        <w:rPr/>
        <w:t>a</w:t>
      </w:r>
      <w:r>
        <w:rPr>
          <w:spacing w:val="-6"/>
        </w:rPr>
        <w:t> </w:t>
      </w:r>
      <w:r>
        <w:rPr/>
        <w:t>(Virtual)</w:t>
      </w:r>
      <w:r>
        <w:rPr>
          <w:spacing w:val="-6"/>
        </w:rPr>
        <w:t> </w:t>
      </w:r>
      <w:r>
        <w:rPr/>
        <w:t>Village:</w:t>
      </w:r>
      <w:r>
        <w:rPr>
          <w:spacing w:val="-6"/>
        </w:rPr>
        <w:t> </w:t>
      </w:r>
      <w:r>
        <w:rPr/>
        <w:t>Exploring</w:t>
      </w:r>
      <w:r>
        <w:rPr>
          <w:spacing w:val="-6"/>
        </w:rPr>
        <w:t> </w:t>
      </w:r>
      <w:r>
        <w:rPr/>
        <w:t>the</w:t>
      </w:r>
      <w:r>
        <w:rPr>
          <w:spacing w:val="-6"/>
        </w:rPr>
        <w:t> </w:t>
      </w:r>
      <w:r>
        <w:rPr/>
        <w:t>role</w:t>
      </w:r>
      <w:r>
        <w:rPr>
          <w:spacing w:val="-6"/>
        </w:rPr>
        <w:t> </w:t>
      </w:r>
      <w:r>
        <w:rPr/>
        <w:t>of</w:t>
      </w:r>
      <w:r>
        <w:rPr>
          <w:spacing w:val="-6"/>
        </w:rPr>
        <w:t> </w:t>
      </w:r>
      <w:r>
        <w:rPr/>
        <w:t>a</w:t>
      </w:r>
      <w:r>
        <w:rPr>
          <w:spacing w:val="-6"/>
        </w:rPr>
        <w:t> </w:t>
      </w:r>
      <w:r>
        <w:rPr/>
        <w:t>career community to support sensemaking as a proactive socialization practice [Original</w:t>
      </w:r>
      <w:r>
        <w:rPr>
          <w:spacing w:val="40"/>
        </w:rPr>
        <w:t> </w:t>
      </w:r>
      <w:r>
        <w:rPr/>
        <w:t>Research]. </w:t>
      </w:r>
      <w:r>
        <w:rPr>
          <w:i/>
        </w:rPr>
        <w:t>Frontiers in Psychology</w:t>
      </w:r>
      <w:r>
        <w:rPr/>
        <w:t>, </w:t>
      </w:r>
      <w:r>
        <w:rPr>
          <w:i/>
        </w:rPr>
        <w:t>8</w:t>
      </w:r>
      <w:r>
        <w:rPr/>
        <w:t>. </w:t>
      </w:r>
      <w:hyperlink r:id="rId129">
        <w:r>
          <w:rPr>
            <w:color w:val="457886"/>
            <w:u w:val="thick" w:color="457886"/>
          </w:rPr>
          <w:t>https://doi.org/10.3389/fpsyg.2017.00097</w:t>
        </w:r>
      </w:hyperlink>
    </w:p>
    <w:p>
      <w:pPr>
        <w:pStyle w:val="BodyText"/>
        <w:spacing w:line="230" w:lineRule="auto" w:before="275"/>
        <w:ind w:left="1458" w:right="1953" w:hanging="735"/>
      </w:pPr>
      <w:r>
        <w:rPr/>
        <w:t>Hekkala, R., Stein, M.-K., &amp; Rossi, M. (2018). Metaphors in managerial and employee sensemaking</w:t>
      </w:r>
      <w:r>
        <w:rPr>
          <w:spacing w:val="-5"/>
        </w:rPr>
        <w:t> </w:t>
      </w:r>
      <w:r>
        <w:rPr/>
        <w:t>in</w:t>
      </w:r>
      <w:r>
        <w:rPr>
          <w:spacing w:val="-5"/>
        </w:rPr>
        <w:t> </w:t>
      </w:r>
      <w:r>
        <w:rPr/>
        <w:t>an</w:t>
      </w:r>
      <w:r>
        <w:rPr>
          <w:spacing w:val="-5"/>
        </w:rPr>
        <w:t> </w:t>
      </w:r>
      <w:r>
        <w:rPr/>
        <w:t>information</w:t>
      </w:r>
      <w:r>
        <w:rPr>
          <w:spacing w:val="-5"/>
        </w:rPr>
        <w:t> </w:t>
      </w:r>
      <w:r>
        <w:rPr/>
        <w:t>systems</w:t>
      </w:r>
      <w:r>
        <w:rPr>
          <w:spacing w:val="-5"/>
        </w:rPr>
        <w:t> </w:t>
      </w:r>
      <w:r>
        <w:rPr/>
        <w:t>project.</w:t>
      </w:r>
      <w:r>
        <w:rPr>
          <w:spacing w:val="-5"/>
        </w:rPr>
        <w:t> </w:t>
      </w:r>
      <w:r>
        <w:rPr>
          <w:i/>
        </w:rPr>
        <w:t>Information</w:t>
      </w:r>
      <w:r>
        <w:rPr>
          <w:i/>
          <w:spacing w:val="-5"/>
        </w:rPr>
        <w:t> </w:t>
      </w:r>
      <w:r>
        <w:rPr>
          <w:i/>
        </w:rPr>
        <w:t>Systems</w:t>
      </w:r>
      <w:r>
        <w:rPr>
          <w:i/>
          <w:spacing w:val="-5"/>
        </w:rPr>
        <w:t> </w:t>
      </w:r>
      <w:r>
        <w:rPr>
          <w:i/>
        </w:rPr>
        <w:t>Journal</w:t>
      </w:r>
      <w:r>
        <w:rPr/>
        <w:t>,</w:t>
      </w:r>
      <w:r>
        <w:rPr>
          <w:spacing w:val="-5"/>
        </w:rPr>
        <w:t> </w:t>
      </w:r>
      <w:r>
        <w:rPr>
          <w:i/>
        </w:rPr>
        <w:t>28</w:t>
      </w:r>
      <w:r>
        <w:rPr/>
        <w:t>(1), 142- 174. </w:t>
      </w:r>
      <w:hyperlink r:id="rId130">
        <w:r>
          <w:rPr>
            <w:color w:val="457886"/>
            <w:u w:val="thick" w:color="457886"/>
          </w:rPr>
          <w:t>https://doi.org/10.1111/isj.12133</w:t>
        </w:r>
      </w:hyperlink>
    </w:p>
    <w:p>
      <w:pPr>
        <w:spacing w:line="230" w:lineRule="auto" w:before="275"/>
        <w:ind w:left="686" w:right="1521" w:firstLine="0"/>
        <w:jc w:val="center"/>
        <w:rPr>
          <w:sz w:val="24"/>
        </w:rPr>
      </w:pPr>
      <w:r>
        <w:rPr>
          <w:sz w:val="24"/>
        </w:rPr>
        <w:t>Hutto, C., &amp; Gilbert, E. (2014). VADER: A parsimonious rule-based model for sentiment analysis</w:t>
      </w:r>
      <w:r>
        <w:rPr>
          <w:spacing w:val="-6"/>
          <w:sz w:val="24"/>
        </w:rPr>
        <w:t> </w:t>
      </w:r>
      <w:r>
        <w:rPr>
          <w:sz w:val="24"/>
        </w:rPr>
        <w:t>of</w:t>
      </w:r>
      <w:r>
        <w:rPr>
          <w:spacing w:val="-6"/>
          <w:sz w:val="24"/>
        </w:rPr>
        <w:t> </w:t>
      </w:r>
      <w:r>
        <w:rPr>
          <w:sz w:val="24"/>
        </w:rPr>
        <w:t>social</w:t>
      </w:r>
      <w:r>
        <w:rPr>
          <w:spacing w:val="-6"/>
          <w:sz w:val="24"/>
        </w:rPr>
        <w:t> </w:t>
      </w:r>
      <w:r>
        <w:rPr>
          <w:sz w:val="24"/>
        </w:rPr>
        <w:t>media</w:t>
      </w:r>
      <w:r>
        <w:rPr>
          <w:spacing w:val="-6"/>
          <w:sz w:val="24"/>
        </w:rPr>
        <w:t> </w:t>
      </w:r>
      <w:r>
        <w:rPr>
          <w:sz w:val="24"/>
        </w:rPr>
        <w:t>text.</w:t>
      </w:r>
      <w:r>
        <w:rPr>
          <w:spacing w:val="-6"/>
          <w:sz w:val="24"/>
        </w:rPr>
        <w:t> </w:t>
      </w:r>
      <w:r>
        <w:rPr>
          <w:i/>
          <w:sz w:val="24"/>
        </w:rPr>
        <w:t>Proceedings</w:t>
      </w:r>
      <w:r>
        <w:rPr>
          <w:i/>
          <w:spacing w:val="-6"/>
          <w:sz w:val="24"/>
        </w:rPr>
        <w:t> </w:t>
      </w:r>
      <w:r>
        <w:rPr>
          <w:i/>
          <w:sz w:val="24"/>
        </w:rPr>
        <w:t>of</w:t>
      </w:r>
      <w:r>
        <w:rPr>
          <w:i/>
          <w:spacing w:val="-6"/>
          <w:sz w:val="24"/>
        </w:rPr>
        <w:t> </w:t>
      </w:r>
      <w:r>
        <w:rPr>
          <w:i/>
          <w:sz w:val="24"/>
        </w:rPr>
        <w:t>the</w:t>
      </w:r>
      <w:r>
        <w:rPr>
          <w:i/>
          <w:spacing w:val="-6"/>
          <w:sz w:val="24"/>
        </w:rPr>
        <w:t> </w:t>
      </w:r>
      <w:r>
        <w:rPr>
          <w:i/>
          <w:sz w:val="24"/>
        </w:rPr>
        <w:t>International</w:t>
      </w:r>
      <w:r>
        <w:rPr>
          <w:i/>
          <w:spacing w:val="-6"/>
          <w:sz w:val="24"/>
        </w:rPr>
        <w:t> </w:t>
      </w:r>
      <w:r>
        <w:rPr>
          <w:i/>
          <w:sz w:val="24"/>
        </w:rPr>
        <w:t>AAAI</w:t>
      </w:r>
      <w:r>
        <w:rPr>
          <w:i/>
          <w:spacing w:val="-6"/>
          <w:sz w:val="24"/>
        </w:rPr>
        <w:t> </w:t>
      </w:r>
      <w:r>
        <w:rPr>
          <w:i/>
          <w:sz w:val="24"/>
        </w:rPr>
        <w:t>Conference</w:t>
      </w:r>
      <w:r>
        <w:rPr>
          <w:i/>
          <w:spacing w:val="-6"/>
          <w:sz w:val="24"/>
        </w:rPr>
        <w:t> </w:t>
      </w:r>
      <w:r>
        <w:rPr>
          <w:i/>
          <w:sz w:val="24"/>
        </w:rPr>
        <w:t>on</w:t>
      </w:r>
      <w:r>
        <w:rPr>
          <w:i/>
          <w:spacing w:val="-6"/>
          <w:sz w:val="24"/>
        </w:rPr>
        <w:t> </w:t>
      </w:r>
      <w:r>
        <w:rPr>
          <w:i/>
          <w:sz w:val="24"/>
        </w:rPr>
        <w:t>Web</w:t>
      </w:r>
      <w:r>
        <w:rPr>
          <w:i/>
          <w:spacing w:val="40"/>
          <w:sz w:val="24"/>
        </w:rPr>
        <w:t> </w:t>
      </w:r>
      <w:r>
        <w:rPr>
          <w:i/>
          <w:sz w:val="24"/>
        </w:rPr>
        <w:t>and</w:t>
      </w:r>
      <w:r>
        <w:rPr>
          <w:i/>
          <w:sz w:val="24"/>
        </w:rPr>
        <w:t> Social Media</w:t>
      </w:r>
      <w:r>
        <w:rPr>
          <w:sz w:val="24"/>
        </w:rPr>
        <w:t>, </w:t>
      </w:r>
      <w:r>
        <w:rPr>
          <w:i/>
          <w:sz w:val="24"/>
        </w:rPr>
        <w:t>8</w:t>
      </w:r>
      <w:r>
        <w:rPr>
          <w:sz w:val="24"/>
        </w:rPr>
        <w:t>(1), 216-225. </w:t>
      </w:r>
      <w:hyperlink r:id="rId131">
        <w:r>
          <w:rPr>
            <w:color w:val="457886"/>
            <w:sz w:val="24"/>
            <w:u w:val="thick" w:color="457886"/>
          </w:rPr>
          <w:t>https://doi.org/10.1609/icwsm.v8i1.14550</w:t>
        </w:r>
      </w:hyperlink>
    </w:p>
    <w:p>
      <w:pPr>
        <w:pStyle w:val="BodyText"/>
        <w:spacing w:line="230" w:lineRule="auto" w:before="275"/>
        <w:ind w:left="1443" w:right="1191" w:hanging="720"/>
      </w:pPr>
      <w:r>
        <w:rPr/>
        <w:t>Li,</w:t>
      </w:r>
      <w:r>
        <w:rPr>
          <w:spacing w:val="-6"/>
        </w:rPr>
        <w:t> </w:t>
      </w:r>
      <w:r>
        <w:rPr/>
        <w:t>S.,</w:t>
      </w:r>
      <w:r>
        <w:rPr>
          <w:spacing w:val="-6"/>
        </w:rPr>
        <w:t> </w:t>
      </w:r>
      <w:r>
        <w:rPr/>
        <w:t>Xie,</w:t>
      </w:r>
      <w:r>
        <w:rPr>
          <w:spacing w:val="-6"/>
        </w:rPr>
        <w:t> </w:t>
      </w:r>
      <w:r>
        <w:rPr/>
        <w:t>Z.,</w:t>
      </w:r>
      <w:r>
        <w:rPr>
          <w:spacing w:val="-6"/>
        </w:rPr>
        <w:t> </w:t>
      </w:r>
      <w:r>
        <w:rPr/>
        <w:t>Chiu,</w:t>
      </w:r>
      <w:r>
        <w:rPr>
          <w:spacing w:val="-6"/>
        </w:rPr>
        <w:t> </w:t>
      </w:r>
      <w:r>
        <w:rPr/>
        <w:t>D.</w:t>
      </w:r>
      <w:r>
        <w:rPr>
          <w:spacing w:val="-6"/>
        </w:rPr>
        <w:t> </w:t>
      </w:r>
      <w:r>
        <w:rPr/>
        <w:t>K.</w:t>
      </w:r>
      <w:r>
        <w:rPr>
          <w:spacing w:val="-6"/>
        </w:rPr>
        <w:t> </w:t>
      </w:r>
      <w:r>
        <w:rPr/>
        <w:t>W.,</w:t>
      </w:r>
      <w:r>
        <w:rPr>
          <w:spacing w:val="-6"/>
        </w:rPr>
        <w:t> </w:t>
      </w:r>
      <w:r>
        <w:rPr/>
        <w:t>&amp;</w:t>
      </w:r>
      <w:r>
        <w:rPr>
          <w:spacing w:val="-6"/>
        </w:rPr>
        <w:t> </w:t>
      </w:r>
      <w:r>
        <w:rPr/>
        <w:t>Ho,</w:t>
      </w:r>
      <w:r>
        <w:rPr>
          <w:spacing w:val="-6"/>
        </w:rPr>
        <w:t> </w:t>
      </w:r>
      <w:r>
        <w:rPr/>
        <w:t>K.</w:t>
      </w:r>
      <w:r>
        <w:rPr>
          <w:spacing w:val="-6"/>
        </w:rPr>
        <w:t> </w:t>
      </w:r>
      <w:r>
        <w:rPr/>
        <w:t>K.</w:t>
      </w:r>
      <w:r>
        <w:rPr>
          <w:spacing w:val="-6"/>
        </w:rPr>
        <w:t> </w:t>
      </w:r>
      <w:r>
        <w:rPr/>
        <w:t>W.</w:t>
      </w:r>
      <w:r>
        <w:rPr>
          <w:spacing w:val="-6"/>
        </w:rPr>
        <w:t> </w:t>
      </w:r>
      <w:r>
        <w:rPr/>
        <w:t>(2023).</w:t>
      </w:r>
      <w:r>
        <w:rPr>
          <w:spacing w:val="-6"/>
        </w:rPr>
        <w:t> </w:t>
      </w:r>
      <w:r>
        <w:rPr/>
        <w:t>Sentiment</w:t>
      </w:r>
      <w:r>
        <w:rPr>
          <w:spacing w:val="-6"/>
        </w:rPr>
        <w:t> </w:t>
      </w:r>
      <w:r>
        <w:rPr/>
        <w:t>Analysis</w:t>
      </w:r>
      <w:r>
        <w:rPr>
          <w:spacing w:val="-6"/>
        </w:rPr>
        <w:t> </w:t>
      </w:r>
      <w:r>
        <w:rPr/>
        <w:t>and</w:t>
      </w:r>
      <w:r>
        <w:rPr>
          <w:spacing w:val="-6"/>
        </w:rPr>
        <w:t> </w:t>
      </w:r>
      <w:r>
        <w:rPr/>
        <w:t>Topic</w:t>
      </w:r>
      <w:r>
        <w:rPr>
          <w:spacing w:val="-6"/>
        </w:rPr>
        <w:t> </w:t>
      </w:r>
      <w:r>
        <w:rPr/>
        <w:t>Modeling Regarding Online Classes on the Reddit Platform: Educators versus Learners. </w:t>
      </w:r>
      <w:r>
        <w:rPr>
          <w:i/>
        </w:rPr>
        <w:t>Applied</w:t>
      </w:r>
      <w:r>
        <w:rPr>
          <w:i/>
        </w:rPr>
        <w:t> Sciences</w:t>
      </w:r>
      <w:r>
        <w:rPr/>
        <w:t>, </w:t>
      </w:r>
      <w:r>
        <w:rPr>
          <w:i/>
        </w:rPr>
        <w:t>13</w:t>
      </w:r>
      <w:r>
        <w:rPr/>
        <w:t>(4), 2250. </w:t>
      </w:r>
      <w:hyperlink r:id="rId132">
        <w:r>
          <w:rPr>
            <w:color w:val="457886"/>
            <w:u w:val="thick" w:color="457886"/>
          </w:rPr>
          <w:t>https://doi.org/10.3390/app13042250</w:t>
        </w:r>
      </w:hyperlink>
    </w:p>
    <w:p>
      <w:pPr>
        <w:pStyle w:val="BodyText"/>
        <w:spacing w:line="237" w:lineRule="auto" w:before="268"/>
        <w:ind w:left="1443" w:right="1191" w:hanging="720"/>
      </w:pPr>
      <w:r>
        <w:rPr/>
        <w:t>Maitlis,</w:t>
      </w:r>
      <w:r>
        <w:rPr>
          <w:spacing w:val="-5"/>
        </w:rPr>
        <w:t> </w:t>
      </w:r>
      <w:r>
        <w:rPr/>
        <w:t>S.,</w:t>
      </w:r>
      <w:r>
        <w:rPr>
          <w:spacing w:val="-5"/>
        </w:rPr>
        <w:t> </w:t>
      </w:r>
      <w:r>
        <w:rPr/>
        <w:t>&amp;</w:t>
      </w:r>
      <w:r>
        <w:rPr>
          <w:spacing w:val="-5"/>
        </w:rPr>
        <w:t> </w:t>
      </w:r>
      <w:r>
        <w:rPr/>
        <w:t>Christianson,</w:t>
      </w:r>
      <w:r>
        <w:rPr>
          <w:spacing w:val="-5"/>
        </w:rPr>
        <w:t> </w:t>
      </w:r>
      <w:r>
        <w:rPr/>
        <w:t>M.</w:t>
      </w:r>
      <w:r>
        <w:rPr>
          <w:spacing w:val="-5"/>
        </w:rPr>
        <w:t> </w:t>
      </w:r>
      <w:r>
        <w:rPr/>
        <w:t>(2014).</w:t>
      </w:r>
      <w:r>
        <w:rPr>
          <w:spacing w:val="-5"/>
        </w:rPr>
        <w:t> </w:t>
      </w:r>
      <w:r>
        <w:rPr/>
        <w:t>Sensemaking</w:t>
      </w:r>
      <w:r>
        <w:rPr>
          <w:spacing w:val="-5"/>
        </w:rPr>
        <w:t> </w:t>
      </w:r>
      <w:r>
        <w:rPr/>
        <w:t>in</w:t>
      </w:r>
      <w:r>
        <w:rPr>
          <w:spacing w:val="-5"/>
        </w:rPr>
        <w:t> </w:t>
      </w:r>
      <w:r>
        <w:rPr/>
        <w:t>organizations:</w:t>
      </w:r>
      <w:r>
        <w:rPr>
          <w:spacing w:val="-5"/>
        </w:rPr>
        <w:t> </w:t>
      </w:r>
      <w:r>
        <w:rPr/>
        <w:t>Taking</w:t>
      </w:r>
      <w:r>
        <w:rPr>
          <w:spacing w:val="-5"/>
        </w:rPr>
        <w:t> </w:t>
      </w:r>
      <w:r>
        <w:rPr/>
        <w:t>stock</w:t>
      </w:r>
      <w:r>
        <w:rPr>
          <w:spacing w:val="-5"/>
        </w:rPr>
        <w:t> </w:t>
      </w:r>
      <w:r>
        <w:rPr/>
        <w:t>and</w:t>
      </w:r>
      <w:r>
        <w:rPr>
          <w:spacing w:val="-5"/>
        </w:rPr>
        <w:t> </w:t>
      </w:r>
      <w:r>
        <w:rPr/>
        <w:t>moving forward. </w:t>
      </w:r>
      <w:r>
        <w:rPr>
          <w:i/>
        </w:rPr>
        <w:t>Academy of Management Annals</w:t>
      </w:r>
      <w:r>
        <w:rPr/>
        <w:t>, </w:t>
      </w:r>
      <w:r>
        <w:rPr>
          <w:i/>
        </w:rPr>
        <w:t>8</w:t>
      </w:r>
      <w:r>
        <w:rPr/>
        <w:t>(1), 57-125. </w:t>
      </w:r>
      <w:hyperlink r:id="rId133">
        <w:r>
          <w:rPr>
            <w:color w:val="457886"/>
            <w:spacing w:val="-2"/>
            <w:u w:val="thick" w:color="457886"/>
          </w:rPr>
          <w:t>https://doi.org/10.1080/19416520.2014.873177</w:t>
        </w:r>
      </w:hyperlink>
    </w:p>
    <w:p>
      <w:pPr>
        <w:spacing w:line="270" w:lineRule="exact" w:before="270"/>
        <w:ind w:left="0" w:right="1236" w:firstLine="0"/>
        <w:jc w:val="center"/>
        <w:rPr>
          <w:sz w:val="24"/>
        </w:rPr>
      </w:pPr>
      <w:r>
        <w:rPr>
          <w:sz w:val="24"/>
        </w:rPr>
        <w:t>Massanari,</w:t>
      </w:r>
      <w:r>
        <w:rPr>
          <w:spacing w:val="-5"/>
          <w:sz w:val="24"/>
        </w:rPr>
        <w:t> </w:t>
      </w:r>
      <w:r>
        <w:rPr>
          <w:sz w:val="24"/>
        </w:rPr>
        <w:t>A.</w:t>
      </w:r>
      <w:r>
        <w:rPr>
          <w:spacing w:val="-3"/>
          <w:sz w:val="24"/>
        </w:rPr>
        <w:t> </w:t>
      </w:r>
      <w:r>
        <w:rPr>
          <w:sz w:val="24"/>
        </w:rPr>
        <w:t>L.</w:t>
      </w:r>
      <w:r>
        <w:rPr>
          <w:spacing w:val="-3"/>
          <w:sz w:val="24"/>
        </w:rPr>
        <w:t> </w:t>
      </w:r>
      <w:r>
        <w:rPr>
          <w:sz w:val="24"/>
        </w:rPr>
        <w:t>(2015).</w:t>
      </w:r>
      <w:r>
        <w:rPr>
          <w:spacing w:val="-3"/>
          <w:sz w:val="24"/>
        </w:rPr>
        <w:t> </w:t>
      </w:r>
      <w:r>
        <w:rPr>
          <w:i/>
          <w:sz w:val="24"/>
        </w:rPr>
        <w:t>Participatory</w:t>
      </w:r>
      <w:r>
        <w:rPr>
          <w:i/>
          <w:spacing w:val="-3"/>
          <w:sz w:val="24"/>
        </w:rPr>
        <w:t> </w:t>
      </w:r>
      <w:r>
        <w:rPr>
          <w:i/>
          <w:sz w:val="24"/>
        </w:rPr>
        <w:t>culture,</w:t>
      </w:r>
      <w:r>
        <w:rPr>
          <w:i/>
          <w:spacing w:val="-3"/>
          <w:sz w:val="24"/>
        </w:rPr>
        <w:t> </w:t>
      </w:r>
      <w:r>
        <w:rPr>
          <w:i/>
          <w:sz w:val="24"/>
        </w:rPr>
        <w:t>community,</w:t>
      </w:r>
      <w:r>
        <w:rPr>
          <w:i/>
          <w:spacing w:val="-3"/>
          <w:sz w:val="24"/>
        </w:rPr>
        <w:t> </w:t>
      </w:r>
      <w:r>
        <w:rPr>
          <w:i/>
          <w:sz w:val="24"/>
        </w:rPr>
        <w:t>and</w:t>
      </w:r>
      <w:r>
        <w:rPr>
          <w:i/>
          <w:spacing w:val="-3"/>
          <w:sz w:val="24"/>
        </w:rPr>
        <w:t> </w:t>
      </w:r>
      <w:r>
        <w:rPr>
          <w:i/>
          <w:sz w:val="24"/>
        </w:rPr>
        <w:t>play:</w:t>
      </w:r>
      <w:r>
        <w:rPr>
          <w:i/>
          <w:spacing w:val="-3"/>
          <w:sz w:val="24"/>
        </w:rPr>
        <w:t> </w:t>
      </w:r>
      <w:r>
        <w:rPr>
          <w:i/>
          <w:sz w:val="24"/>
        </w:rPr>
        <w:t>Learning</w:t>
      </w:r>
      <w:r>
        <w:rPr>
          <w:i/>
          <w:spacing w:val="-3"/>
          <w:sz w:val="24"/>
        </w:rPr>
        <w:t> </w:t>
      </w:r>
      <w:r>
        <w:rPr>
          <w:i/>
          <w:sz w:val="24"/>
        </w:rPr>
        <w:t>from</w:t>
      </w:r>
      <w:r>
        <w:rPr>
          <w:i/>
          <w:spacing w:val="-2"/>
          <w:sz w:val="24"/>
        </w:rPr>
        <w:t> Reddit</w:t>
      </w:r>
      <w:r>
        <w:rPr>
          <w:spacing w:val="-2"/>
          <w:sz w:val="24"/>
        </w:rPr>
        <w:t>.</w:t>
      </w:r>
    </w:p>
    <w:p>
      <w:pPr>
        <w:pStyle w:val="BodyText"/>
        <w:spacing w:line="267" w:lineRule="exact"/>
        <w:ind w:left="679" w:right="7116"/>
        <w:jc w:val="center"/>
      </w:pPr>
      <w:r>
        <w:rPr/>
        <w:t>Peter Lang </w:t>
      </w:r>
      <w:r>
        <w:rPr>
          <w:spacing w:val="-2"/>
        </w:rPr>
        <w:t>Publishing.</w:t>
      </w:r>
    </w:p>
    <w:p>
      <w:pPr>
        <w:pStyle w:val="BodyText"/>
        <w:spacing w:line="228" w:lineRule="auto" w:before="8"/>
        <w:ind w:left="743" w:right="1562"/>
        <w:jc w:val="center"/>
      </w:pPr>
      <w:r>
        <w:rPr/>
        <w:t>Muljana,</w:t>
      </w:r>
      <w:r>
        <w:rPr>
          <w:spacing w:val="-6"/>
        </w:rPr>
        <w:t> </w:t>
      </w:r>
      <w:r>
        <w:rPr/>
        <w:t>P.</w:t>
      </w:r>
      <w:r>
        <w:rPr>
          <w:spacing w:val="-6"/>
        </w:rPr>
        <w:t> </w:t>
      </w:r>
      <w:r>
        <w:rPr/>
        <w:t>S.,</w:t>
      </w:r>
      <w:r>
        <w:rPr>
          <w:spacing w:val="-6"/>
        </w:rPr>
        <w:t> </w:t>
      </w:r>
      <w:r>
        <w:rPr/>
        <w:t>Willet,</w:t>
      </w:r>
      <w:r>
        <w:rPr>
          <w:spacing w:val="-6"/>
        </w:rPr>
        <w:t> </w:t>
      </w:r>
      <w:r>
        <w:rPr/>
        <w:t>K.</w:t>
      </w:r>
      <w:r>
        <w:rPr>
          <w:spacing w:val="-6"/>
        </w:rPr>
        <w:t> </w:t>
      </w:r>
      <w:r>
        <w:rPr/>
        <w:t>B.</w:t>
      </w:r>
      <w:r>
        <w:rPr>
          <w:spacing w:val="-6"/>
        </w:rPr>
        <w:t> </w:t>
      </w:r>
      <w:r>
        <w:rPr/>
        <w:t>S.,</w:t>
      </w:r>
      <w:r>
        <w:rPr>
          <w:spacing w:val="-6"/>
        </w:rPr>
        <w:t> </w:t>
      </w:r>
      <w:r>
        <w:rPr/>
        <w:t>&amp;</w:t>
      </w:r>
      <w:r>
        <w:rPr>
          <w:spacing w:val="-6"/>
        </w:rPr>
        <w:t> </w:t>
      </w:r>
      <w:r>
        <w:rPr/>
        <w:t>Luo,</w:t>
      </w:r>
      <w:r>
        <w:rPr>
          <w:spacing w:val="-6"/>
        </w:rPr>
        <w:t> </w:t>
      </w:r>
      <w:r>
        <w:rPr/>
        <w:t>T.</w:t>
      </w:r>
      <w:r>
        <w:rPr>
          <w:spacing w:val="-6"/>
        </w:rPr>
        <w:t> </w:t>
      </w:r>
      <w:r>
        <w:rPr/>
        <w:t>(2022).</w:t>
      </w:r>
      <w:r>
        <w:rPr>
          <w:spacing w:val="-6"/>
        </w:rPr>
        <w:t> </w:t>
      </w:r>
      <w:r>
        <w:rPr/>
        <w:t>Adjusting</w:t>
      </w:r>
      <w:r>
        <w:rPr>
          <w:spacing w:val="-6"/>
        </w:rPr>
        <w:t> </w:t>
      </w:r>
      <w:r>
        <w:rPr/>
        <w:t>sails</w:t>
      </w:r>
      <w:r>
        <w:rPr>
          <w:spacing w:val="-6"/>
        </w:rPr>
        <w:t> </w:t>
      </w:r>
      <w:r>
        <w:rPr/>
        <w:t>for</w:t>
      </w:r>
      <w:r>
        <w:rPr>
          <w:spacing w:val="-6"/>
        </w:rPr>
        <w:t> </w:t>
      </w:r>
      <w:r>
        <w:rPr/>
        <w:t>changing</w:t>
      </w:r>
      <w:r>
        <w:rPr>
          <w:spacing w:val="-6"/>
        </w:rPr>
        <w:t> </w:t>
      </w:r>
      <w:r>
        <w:rPr/>
        <w:t>winds:</w:t>
      </w:r>
      <w:r>
        <w:rPr>
          <w:spacing w:val="-6"/>
        </w:rPr>
        <w:t> </w:t>
      </w:r>
      <w:r>
        <w:rPr/>
        <w:t>exploring Reddit use for professional purposes in higher education. </w:t>
      </w:r>
      <w:r>
        <w:rPr>
          <w:i/>
        </w:rPr>
        <w:t>Journal of Computing in</w:t>
      </w:r>
      <w:r>
        <w:rPr>
          <w:i/>
          <w:spacing w:val="40"/>
        </w:rPr>
        <w:t> </w:t>
      </w:r>
      <w:r>
        <w:rPr>
          <w:i/>
        </w:rPr>
        <w:t>Higher</w:t>
      </w:r>
      <w:r>
        <w:rPr>
          <w:i/>
        </w:rPr>
        <w:t> Education</w:t>
      </w:r>
      <w:r>
        <w:rPr/>
        <w:t>, </w:t>
      </w:r>
      <w:r>
        <w:rPr>
          <w:i/>
        </w:rPr>
        <w:t>34</w:t>
      </w:r>
      <w:r>
        <w:rPr/>
        <w:t>(3), 679-707. </w:t>
      </w:r>
      <w:hyperlink r:id="rId134">
        <w:r>
          <w:rPr>
            <w:color w:val="457886"/>
            <w:u w:val="thick" w:color="457886"/>
          </w:rPr>
          <w:t>https://doi.org/10.1007/s12528-022-09317-2</w:t>
        </w:r>
      </w:hyperlink>
    </w:p>
    <w:p>
      <w:pPr>
        <w:pStyle w:val="BodyText"/>
        <w:spacing w:before="3"/>
      </w:pPr>
    </w:p>
    <w:p>
      <w:pPr>
        <w:spacing w:line="230" w:lineRule="auto" w:before="0"/>
        <w:ind w:left="1838" w:right="1191" w:hanging="1086"/>
        <w:jc w:val="left"/>
        <w:rPr>
          <w:sz w:val="24"/>
        </w:rPr>
      </w:pPr>
      <w:r>
        <w:rPr>
          <w:sz w:val="24"/>
        </w:rPr>
        <w:t>O’Connor,</w:t>
      </w:r>
      <w:r>
        <w:rPr>
          <w:spacing w:val="-5"/>
          <w:sz w:val="24"/>
        </w:rPr>
        <w:t> </w:t>
      </w:r>
      <w:r>
        <w:rPr>
          <w:sz w:val="24"/>
        </w:rPr>
        <w:t>C.,</w:t>
      </w:r>
      <w:r>
        <w:rPr>
          <w:spacing w:val="-5"/>
          <w:sz w:val="24"/>
        </w:rPr>
        <w:t> </w:t>
      </w:r>
      <w:r>
        <w:rPr>
          <w:sz w:val="24"/>
        </w:rPr>
        <w:t>&amp;</w:t>
      </w:r>
      <w:r>
        <w:rPr>
          <w:spacing w:val="-5"/>
          <w:sz w:val="24"/>
        </w:rPr>
        <w:t> </w:t>
      </w:r>
      <w:r>
        <w:rPr>
          <w:sz w:val="24"/>
        </w:rPr>
        <w:t>Joffe,</w:t>
      </w:r>
      <w:r>
        <w:rPr>
          <w:spacing w:val="-5"/>
          <w:sz w:val="24"/>
        </w:rPr>
        <w:t> </w:t>
      </w:r>
      <w:r>
        <w:rPr>
          <w:sz w:val="24"/>
        </w:rPr>
        <w:t>H.</w:t>
      </w:r>
      <w:r>
        <w:rPr>
          <w:spacing w:val="-5"/>
          <w:sz w:val="24"/>
        </w:rPr>
        <w:t> </w:t>
      </w:r>
      <w:r>
        <w:rPr>
          <w:sz w:val="24"/>
        </w:rPr>
        <w:t>(2020).</w:t>
      </w:r>
      <w:r>
        <w:rPr>
          <w:spacing w:val="-5"/>
          <w:sz w:val="24"/>
        </w:rPr>
        <w:t> </w:t>
      </w:r>
      <w:r>
        <w:rPr>
          <w:sz w:val="24"/>
        </w:rPr>
        <w:t>Intercoder</w:t>
      </w:r>
      <w:r>
        <w:rPr>
          <w:spacing w:val="-5"/>
          <w:sz w:val="24"/>
        </w:rPr>
        <w:t> </w:t>
      </w:r>
      <w:r>
        <w:rPr>
          <w:sz w:val="24"/>
        </w:rPr>
        <w:t>Reliability</w:t>
      </w:r>
      <w:r>
        <w:rPr>
          <w:spacing w:val="-5"/>
          <w:sz w:val="24"/>
        </w:rPr>
        <w:t> </w:t>
      </w:r>
      <w:r>
        <w:rPr>
          <w:sz w:val="24"/>
        </w:rPr>
        <w:t>in</w:t>
      </w:r>
      <w:r>
        <w:rPr>
          <w:spacing w:val="-5"/>
          <w:sz w:val="24"/>
        </w:rPr>
        <w:t> </w:t>
      </w:r>
      <w:r>
        <w:rPr>
          <w:sz w:val="24"/>
        </w:rPr>
        <w:t>Qualitative</w:t>
      </w:r>
      <w:r>
        <w:rPr>
          <w:spacing w:val="-5"/>
          <w:sz w:val="24"/>
        </w:rPr>
        <w:t> </w:t>
      </w:r>
      <w:r>
        <w:rPr>
          <w:sz w:val="24"/>
        </w:rPr>
        <w:t>Research:</w:t>
      </w:r>
      <w:r>
        <w:rPr>
          <w:spacing w:val="-5"/>
          <w:sz w:val="24"/>
        </w:rPr>
        <w:t> </w:t>
      </w:r>
      <w:r>
        <w:rPr>
          <w:sz w:val="24"/>
        </w:rPr>
        <w:t>Debates</w:t>
      </w:r>
      <w:r>
        <w:rPr>
          <w:spacing w:val="-5"/>
          <w:sz w:val="24"/>
        </w:rPr>
        <w:t> </w:t>
      </w:r>
      <w:r>
        <w:rPr>
          <w:sz w:val="24"/>
        </w:rPr>
        <w:t>and Practical Guidelines. </w:t>
      </w:r>
      <w:r>
        <w:rPr>
          <w:i/>
          <w:sz w:val="24"/>
        </w:rPr>
        <w:t>International Journal of Qualitative Methods</w:t>
      </w:r>
      <w:r>
        <w:rPr>
          <w:sz w:val="24"/>
        </w:rPr>
        <w:t>, </w:t>
      </w:r>
      <w:r>
        <w:rPr>
          <w:i/>
          <w:sz w:val="24"/>
        </w:rPr>
        <w:t>19</w:t>
      </w:r>
      <w:r>
        <w:rPr>
          <w:sz w:val="24"/>
        </w:rPr>
        <w:t>,</w:t>
      </w:r>
    </w:p>
    <w:p>
      <w:pPr>
        <w:pStyle w:val="BodyText"/>
        <w:spacing w:before="5"/>
        <w:ind w:left="1473"/>
      </w:pPr>
      <w:r>
        <w:rPr/>
        <w:t>1609406919899220. </w:t>
      </w:r>
      <w:hyperlink r:id="rId135">
        <w:r>
          <w:rPr>
            <w:color w:val="457886"/>
            <w:spacing w:val="-2"/>
            <w:u w:val="thick" w:color="457886"/>
          </w:rPr>
          <w:t>https://doi.org/10.1177/1609406919899220</w:t>
        </w:r>
      </w:hyperlink>
    </w:p>
    <w:p>
      <w:pPr>
        <w:pStyle w:val="BodyText"/>
        <w:spacing w:before="6"/>
      </w:pPr>
    </w:p>
    <w:p>
      <w:pPr>
        <w:pStyle w:val="BodyText"/>
        <w:spacing w:line="230" w:lineRule="auto"/>
        <w:ind w:left="1443" w:right="1619" w:hanging="720"/>
      </w:pPr>
      <w:r>
        <w:rPr/>
        <w:t>Pinto,</w:t>
      </w:r>
      <w:r>
        <w:rPr>
          <w:spacing w:val="-5"/>
        </w:rPr>
        <w:t> </w:t>
      </w:r>
      <w:r>
        <w:rPr/>
        <w:t>J.</w:t>
      </w:r>
      <w:r>
        <w:rPr>
          <w:spacing w:val="-5"/>
        </w:rPr>
        <w:t> </w:t>
      </w:r>
      <w:r>
        <w:rPr/>
        <w:t>K.,</w:t>
      </w:r>
      <w:r>
        <w:rPr>
          <w:spacing w:val="-5"/>
        </w:rPr>
        <w:t> </w:t>
      </w:r>
      <w:r>
        <w:rPr/>
        <w:t>&amp;</w:t>
      </w:r>
      <w:r>
        <w:rPr>
          <w:spacing w:val="-5"/>
        </w:rPr>
        <w:t> </w:t>
      </w:r>
      <w:r>
        <w:rPr/>
        <w:t>Kharbanda,</w:t>
      </w:r>
      <w:r>
        <w:rPr>
          <w:spacing w:val="-5"/>
        </w:rPr>
        <w:t> </w:t>
      </w:r>
      <w:r>
        <w:rPr/>
        <w:t>O.</w:t>
      </w:r>
      <w:r>
        <w:rPr>
          <w:spacing w:val="-5"/>
        </w:rPr>
        <w:t> </w:t>
      </w:r>
      <w:r>
        <w:rPr/>
        <w:t>P.</w:t>
      </w:r>
      <w:r>
        <w:rPr>
          <w:spacing w:val="-5"/>
        </w:rPr>
        <w:t> </w:t>
      </w:r>
      <w:r>
        <w:rPr/>
        <w:t>(1995).</w:t>
      </w:r>
      <w:r>
        <w:rPr>
          <w:spacing w:val="-5"/>
        </w:rPr>
        <w:t> </w:t>
      </w:r>
      <w:r>
        <w:rPr/>
        <w:t>Lessons</w:t>
      </w:r>
      <w:r>
        <w:rPr>
          <w:spacing w:val="-5"/>
        </w:rPr>
        <w:t> </w:t>
      </w:r>
      <w:r>
        <w:rPr/>
        <w:t>for</w:t>
      </w:r>
      <w:r>
        <w:rPr>
          <w:spacing w:val="-5"/>
        </w:rPr>
        <w:t> </w:t>
      </w:r>
      <w:r>
        <w:rPr/>
        <w:t>an</w:t>
      </w:r>
      <w:r>
        <w:rPr>
          <w:spacing w:val="-5"/>
        </w:rPr>
        <w:t> </w:t>
      </w:r>
      <w:r>
        <w:rPr/>
        <w:t>accidental</w:t>
      </w:r>
      <w:r>
        <w:rPr>
          <w:spacing w:val="-5"/>
        </w:rPr>
        <w:t> </w:t>
      </w:r>
      <w:r>
        <w:rPr/>
        <w:t>profession.</w:t>
      </w:r>
      <w:r>
        <w:rPr>
          <w:spacing w:val="-5"/>
        </w:rPr>
        <w:t> </w:t>
      </w:r>
      <w:r>
        <w:rPr>
          <w:i/>
        </w:rPr>
        <w:t>Business</w:t>
      </w:r>
      <w:r>
        <w:rPr>
          <w:i/>
        </w:rPr>
        <w:t> Horizons</w:t>
      </w:r>
      <w:r>
        <w:rPr/>
        <w:t>, </w:t>
      </w:r>
      <w:r>
        <w:rPr>
          <w:i/>
        </w:rPr>
        <w:t>38</w:t>
      </w:r>
      <w:r>
        <w:rPr/>
        <w:t>(2), 41-50. </w:t>
      </w:r>
      <w:hyperlink r:id="rId136">
        <w:r>
          <w:rPr>
            <w:color w:val="457886"/>
            <w:u w:val="thick" w:color="457886"/>
          </w:rPr>
          <w:t>https://doi.org/10.1016/0007-6813(95)90054-3</w:t>
        </w:r>
      </w:hyperlink>
    </w:p>
    <w:p>
      <w:pPr>
        <w:pStyle w:val="BodyText"/>
        <w:spacing w:line="235" w:lineRule="auto" w:before="265"/>
        <w:ind w:left="1443" w:right="1619" w:hanging="705"/>
      </w:pPr>
      <w:r>
        <w:rPr/>
        <w:t>Savela, N., Garcia, D., Pellert, M., &amp; Oksanen, A. (2024). Emotional talk about robotic technologies</w:t>
      </w:r>
      <w:r>
        <w:rPr>
          <w:spacing w:val="-4"/>
        </w:rPr>
        <w:t> </w:t>
      </w:r>
      <w:r>
        <w:rPr/>
        <w:t>on</w:t>
      </w:r>
      <w:r>
        <w:rPr>
          <w:spacing w:val="-4"/>
        </w:rPr>
        <w:t> </w:t>
      </w:r>
      <w:r>
        <w:rPr/>
        <w:t>Reddit:</w:t>
      </w:r>
      <w:r>
        <w:rPr>
          <w:spacing w:val="-4"/>
        </w:rPr>
        <w:t> </w:t>
      </w:r>
      <w:r>
        <w:rPr/>
        <w:t>Sentiment</w:t>
      </w:r>
      <w:r>
        <w:rPr>
          <w:spacing w:val="-4"/>
        </w:rPr>
        <w:t> </w:t>
      </w:r>
      <w:r>
        <w:rPr/>
        <w:t>analysis</w:t>
      </w:r>
      <w:r>
        <w:rPr>
          <w:spacing w:val="-4"/>
        </w:rPr>
        <w:t> </w:t>
      </w:r>
      <w:r>
        <w:rPr/>
        <w:t>of</w:t>
      </w:r>
      <w:r>
        <w:rPr>
          <w:spacing w:val="-4"/>
        </w:rPr>
        <w:t> </w:t>
      </w:r>
      <w:r>
        <w:rPr/>
        <w:t>life</w:t>
      </w:r>
      <w:r>
        <w:rPr>
          <w:spacing w:val="-4"/>
        </w:rPr>
        <w:t> </w:t>
      </w:r>
      <w:r>
        <w:rPr/>
        <w:t>domains,</w:t>
      </w:r>
      <w:r>
        <w:rPr>
          <w:spacing w:val="-4"/>
        </w:rPr>
        <w:t> </w:t>
      </w:r>
      <w:r>
        <w:rPr/>
        <w:t>motives,</w:t>
      </w:r>
      <w:r>
        <w:rPr>
          <w:spacing w:val="-4"/>
        </w:rPr>
        <w:t> </w:t>
      </w:r>
      <w:r>
        <w:rPr/>
        <w:t>and</w:t>
      </w:r>
      <w:r>
        <w:rPr>
          <w:spacing w:val="-4"/>
        </w:rPr>
        <w:t> </w:t>
      </w:r>
      <w:r>
        <w:rPr/>
        <w:t>temporal themes. </w:t>
      </w:r>
      <w:r>
        <w:rPr>
          <w:i/>
        </w:rPr>
        <w:t>New Media &amp; Society</w:t>
      </w:r>
      <w:r>
        <w:rPr/>
        <w:t>, </w:t>
      </w:r>
      <w:r>
        <w:rPr>
          <w:i/>
        </w:rPr>
        <w:t>26</w:t>
      </w:r>
      <w:r>
        <w:rPr/>
        <w:t>(2), 757-781. </w:t>
      </w:r>
      <w:hyperlink r:id="rId137">
        <w:r>
          <w:rPr>
            <w:color w:val="457886"/>
            <w:spacing w:val="-2"/>
            <w:u w:val="thick" w:color="457886"/>
          </w:rPr>
          <w:t>https://doi.org/10.1177/14614448211067259</w:t>
        </w:r>
      </w:hyperlink>
    </w:p>
    <w:p>
      <w:pPr>
        <w:pStyle w:val="BodyText"/>
        <w:spacing w:before="3"/>
      </w:pPr>
    </w:p>
    <w:p>
      <w:pPr>
        <w:spacing w:line="230" w:lineRule="auto" w:before="0"/>
        <w:ind w:left="1413" w:right="1381" w:hanging="675"/>
        <w:jc w:val="left"/>
        <w:rPr>
          <w:sz w:val="24"/>
        </w:rPr>
      </w:pPr>
      <w:r>
        <w:rPr>
          <w:sz w:val="24"/>
        </w:rPr>
        <w:t>Smith,</w:t>
      </w:r>
      <w:r>
        <w:rPr>
          <w:spacing w:val="-6"/>
          <w:sz w:val="24"/>
        </w:rPr>
        <w:t> </w:t>
      </w:r>
      <w:r>
        <w:rPr>
          <w:sz w:val="24"/>
        </w:rPr>
        <w:t>C.</w:t>
      </w:r>
      <w:r>
        <w:rPr>
          <w:spacing w:val="-6"/>
          <w:sz w:val="24"/>
        </w:rPr>
        <w:t> </w:t>
      </w:r>
      <w:r>
        <w:rPr>
          <w:sz w:val="24"/>
        </w:rPr>
        <w:t>(2007).</w:t>
      </w:r>
      <w:r>
        <w:rPr>
          <w:spacing w:val="-6"/>
          <w:sz w:val="24"/>
        </w:rPr>
        <w:t> </w:t>
      </w:r>
      <w:r>
        <w:rPr>
          <w:i/>
          <w:sz w:val="24"/>
        </w:rPr>
        <w:t>Making</w:t>
      </w:r>
      <w:r>
        <w:rPr>
          <w:i/>
          <w:spacing w:val="-6"/>
          <w:sz w:val="24"/>
        </w:rPr>
        <w:t> </w:t>
      </w:r>
      <w:r>
        <w:rPr>
          <w:i/>
          <w:sz w:val="24"/>
        </w:rPr>
        <w:t>sense</w:t>
      </w:r>
      <w:r>
        <w:rPr>
          <w:i/>
          <w:spacing w:val="-6"/>
          <w:sz w:val="24"/>
        </w:rPr>
        <w:t> </w:t>
      </w:r>
      <w:r>
        <w:rPr>
          <w:i/>
          <w:sz w:val="24"/>
        </w:rPr>
        <w:t>of</w:t>
      </w:r>
      <w:r>
        <w:rPr>
          <w:i/>
          <w:spacing w:val="-6"/>
          <w:sz w:val="24"/>
        </w:rPr>
        <w:t> </w:t>
      </w:r>
      <w:r>
        <w:rPr>
          <w:i/>
          <w:sz w:val="24"/>
        </w:rPr>
        <w:t>project</w:t>
      </w:r>
      <w:r>
        <w:rPr>
          <w:i/>
          <w:spacing w:val="-6"/>
          <w:sz w:val="24"/>
        </w:rPr>
        <w:t> </w:t>
      </w:r>
      <w:r>
        <w:rPr>
          <w:i/>
          <w:sz w:val="24"/>
        </w:rPr>
        <w:t>realities:</w:t>
      </w:r>
      <w:r>
        <w:rPr>
          <w:i/>
          <w:spacing w:val="-6"/>
          <w:sz w:val="24"/>
        </w:rPr>
        <w:t> </w:t>
      </w:r>
      <w:r>
        <w:rPr>
          <w:i/>
          <w:sz w:val="24"/>
        </w:rPr>
        <w:t>Theory,</w:t>
      </w:r>
      <w:r>
        <w:rPr>
          <w:i/>
          <w:spacing w:val="-6"/>
          <w:sz w:val="24"/>
        </w:rPr>
        <w:t> </w:t>
      </w:r>
      <w:r>
        <w:rPr>
          <w:i/>
          <w:sz w:val="24"/>
        </w:rPr>
        <w:t>practice</w:t>
      </w:r>
      <w:r>
        <w:rPr>
          <w:i/>
          <w:spacing w:val="-6"/>
          <w:sz w:val="24"/>
        </w:rPr>
        <w:t> </w:t>
      </w:r>
      <w:r>
        <w:rPr>
          <w:i/>
          <w:sz w:val="24"/>
        </w:rPr>
        <w:t>and</w:t>
      </w:r>
      <w:r>
        <w:rPr>
          <w:i/>
          <w:spacing w:val="-6"/>
          <w:sz w:val="24"/>
        </w:rPr>
        <w:t> </w:t>
      </w:r>
      <w:r>
        <w:rPr>
          <w:i/>
          <w:sz w:val="24"/>
        </w:rPr>
        <w:t>the</w:t>
      </w:r>
      <w:r>
        <w:rPr>
          <w:i/>
          <w:spacing w:val="-6"/>
          <w:sz w:val="24"/>
        </w:rPr>
        <w:t> </w:t>
      </w:r>
      <w:r>
        <w:rPr>
          <w:i/>
          <w:sz w:val="24"/>
        </w:rPr>
        <w:t>pursuit</w:t>
      </w:r>
      <w:r>
        <w:rPr>
          <w:i/>
          <w:spacing w:val="-6"/>
          <w:sz w:val="24"/>
        </w:rPr>
        <w:t> </w:t>
      </w:r>
      <w:r>
        <w:rPr>
          <w:i/>
          <w:sz w:val="24"/>
        </w:rPr>
        <w:t>of</w:t>
      </w:r>
      <w:r>
        <w:rPr>
          <w:i/>
          <w:sz w:val="24"/>
        </w:rPr>
        <w:t> performance</w:t>
      </w:r>
      <w:r>
        <w:rPr>
          <w:sz w:val="24"/>
        </w:rPr>
        <w:t>. Gower.</w:t>
      </w:r>
    </w:p>
    <w:p>
      <w:pPr>
        <w:pStyle w:val="BodyText"/>
        <w:spacing w:line="230" w:lineRule="auto" w:before="270"/>
        <w:ind w:left="1458" w:right="1628" w:hanging="720"/>
      </w:pPr>
      <w:r>
        <w:rPr/>
        <w:t>Söderlund, J. (2011). Pluralism in project management: navigating the crossroads of specialization</w:t>
      </w:r>
      <w:r>
        <w:rPr>
          <w:spacing w:val="-5"/>
        </w:rPr>
        <w:t> </w:t>
      </w:r>
      <w:r>
        <w:rPr/>
        <w:t>and</w:t>
      </w:r>
      <w:r>
        <w:rPr>
          <w:spacing w:val="-5"/>
        </w:rPr>
        <w:t> </w:t>
      </w:r>
      <w:r>
        <w:rPr/>
        <w:t>fragmentation.</w:t>
      </w:r>
      <w:r>
        <w:rPr>
          <w:spacing w:val="-5"/>
        </w:rPr>
        <w:t> </w:t>
      </w:r>
      <w:r>
        <w:rPr>
          <w:i/>
        </w:rPr>
        <w:t>International</w:t>
      </w:r>
      <w:r>
        <w:rPr>
          <w:i/>
          <w:spacing w:val="-5"/>
        </w:rPr>
        <w:t> </w:t>
      </w:r>
      <w:r>
        <w:rPr>
          <w:i/>
        </w:rPr>
        <w:t>Journal</w:t>
      </w:r>
      <w:r>
        <w:rPr>
          <w:i/>
          <w:spacing w:val="-5"/>
        </w:rPr>
        <w:t> </w:t>
      </w:r>
      <w:r>
        <w:rPr>
          <w:i/>
        </w:rPr>
        <w:t>of</w:t>
      </w:r>
      <w:r>
        <w:rPr>
          <w:i/>
          <w:spacing w:val="-5"/>
        </w:rPr>
        <w:t> </w:t>
      </w:r>
      <w:r>
        <w:rPr>
          <w:i/>
        </w:rPr>
        <w:t>Management</w:t>
      </w:r>
      <w:r>
        <w:rPr>
          <w:i/>
          <w:spacing w:val="-5"/>
        </w:rPr>
        <w:t> </w:t>
      </w:r>
      <w:r>
        <w:rPr>
          <w:i/>
        </w:rPr>
        <w:t>Reviews</w:t>
      </w:r>
      <w:r>
        <w:rPr/>
        <w:t>,</w:t>
      </w:r>
      <w:r>
        <w:rPr>
          <w:spacing w:val="-5"/>
        </w:rPr>
        <w:t> </w:t>
      </w:r>
      <w:r>
        <w:rPr>
          <w:i/>
        </w:rPr>
        <w:t>13</w:t>
      </w:r>
      <w:r>
        <w:rPr/>
        <w:t>(2), 153-176. </w:t>
      </w:r>
      <w:hyperlink r:id="rId138">
        <w:r>
          <w:rPr>
            <w:color w:val="457886"/>
            <w:u w:val="thick" w:color="457886"/>
          </w:rPr>
          <w:t>https://doi.org/10.1111/j.1468-2370.2010.00290.x</w:t>
        </w:r>
      </w:hyperlink>
    </w:p>
    <w:p>
      <w:pPr>
        <w:pStyle w:val="BodyText"/>
        <w:spacing w:after="0" w:line="230" w:lineRule="auto"/>
        <w:sectPr>
          <w:pgSz w:w="12240" w:h="15840"/>
          <w:pgMar w:header="0" w:footer="707" w:top="620" w:bottom="960" w:left="720" w:right="0"/>
        </w:sectPr>
      </w:pPr>
    </w:p>
    <w:p>
      <w:pPr>
        <w:spacing w:before="71"/>
        <w:ind w:left="738" w:right="0" w:firstLine="0"/>
        <w:jc w:val="left"/>
        <w:rPr>
          <w:sz w:val="24"/>
        </w:rPr>
      </w:pPr>
      <w:r>
        <w:rPr>
          <w:sz w:val="24"/>
        </w:rPr>
        <w:t>Weick,</w:t>
      </w:r>
      <w:r>
        <w:rPr>
          <w:spacing w:val="-6"/>
          <w:sz w:val="24"/>
        </w:rPr>
        <w:t> </w:t>
      </w:r>
      <w:r>
        <w:rPr>
          <w:sz w:val="24"/>
        </w:rPr>
        <w:t>K.</w:t>
      </w:r>
      <w:r>
        <w:rPr>
          <w:spacing w:val="-4"/>
          <w:sz w:val="24"/>
        </w:rPr>
        <w:t> </w:t>
      </w:r>
      <w:r>
        <w:rPr>
          <w:sz w:val="24"/>
        </w:rPr>
        <w:t>E.</w:t>
      </w:r>
      <w:r>
        <w:rPr>
          <w:spacing w:val="-3"/>
          <w:sz w:val="24"/>
        </w:rPr>
        <w:t> </w:t>
      </w:r>
      <w:r>
        <w:rPr>
          <w:sz w:val="24"/>
        </w:rPr>
        <w:t>(1995).</w:t>
      </w:r>
      <w:r>
        <w:rPr>
          <w:spacing w:val="-4"/>
          <w:sz w:val="24"/>
        </w:rPr>
        <w:t> </w:t>
      </w:r>
      <w:r>
        <w:rPr>
          <w:i/>
          <w:sz w:val="24"/>
        </w:rPr>
        <w:t>Sensemaking</w:t>
      </w:r>
      <w:r>
        <w:rPr>
          <w:i/>
          <w:spacing w:val="-4"/>
          <w:sz w:val="24"/>
        </w:rPr>
        <w:t> </w:t>
      </w:r>
      <w:r>
        <w:rPr>
          <w:i/>
          <w:sz w:val="24"/>
        </w:rPr>
        <w:t>in</w:t>
      </w:r>
      <w:r>
        <w:rPr>
          <w:i/>
          <w:spacing w:val="-3"/>
          <w:sz w:val="24"/>
        </w:rPr>
        <w:t> </w:t>
      </w:r>
      <w:r>
        <w:rPr>
          <w:i/>
          <w:sz w:val="24"/>
        </w:rPr>
        <w:t>organizations</w:t>
      </w:r>
      <w:r>
        <w:rPr>
          <w:sz w:val="24"/>
        </w:rPr>
        <w:t>.</w:t>
      </w:r>
      <w:r>
        <w:rPr>
          <w:spacing w:val="-4"/>
          <w:sz w:val="24"/>
        </w:rPr>
        <w:t> </w:t>
      </w:r>
      <w:r>
        <w:rPr>
          <w:sz w:val="24"/>
        </w:rPr>
        <w:t>Sage</w:t>
      </w:r>
      <w:r>
        <w:rPr>
          <w:spacing w:val="-3"/>
          <w:sz w:val="24"/>
        </w:rPr>
        <w:t> </w:t>
      </w:r>
      <w:r>
        <w:rPr>
          <w:spacing w:val="-2"/>
          <w:sz w:val="24"/>
        </w:rPr>
        <w:t>Publications.</w:t>
      </w:r>
    </w:p>
    <w:p>
      <w:pPr>
        <w:pStyle w:val="BodyText"/>
        <w:spacing w:line="235" w:lineRule="auto" w:before="181"/>
        <w:ind w:left="1443" w:right="1381" w:hanging="705"/>
      </w:pPr>
      <w:r>
        <w:rPr/>
        <w:t>Westrupp, E. M., Greenwood, C. J., Fuller-Tyszkiewicz, M., Berkowitz, T. S., Hagg, L., &amp; Youssef,</w:t>
      </w:r>
      <w:r>
        <w:rPr>
          <w:spacing w:val="-6"/>
        </w:rPr>
        <w:t> </w:t>
      </w:r>
      <w:r>
        <w:rPr/>
        <w:t>G.</w:t>
      </w:r>
      <w:r>
        <w:rPr>
          <w:spacing w:val="-6"/>
        </w:rPr>
        <w:t> </w:t>
      </w:r>
      <w:r>
        <w:rPr/>
        <w:t>(2022).</w:t>
      </w:r>
      <w:r>
        <w:rPr>
          <w:spacing w:val="-6"/>
        </w:rPr>
        <w:t> </w:t>
      </w:r>
      <w:r>
        <w:rPr/>
        <w:t>Text</w:t>
      </w:r>
      <w:r>
        <w:rPr>
          <w:spacing w:val="-6"/>
        </w:rPr>
        <w:t> </w:t>
      </w:r>
      <w:r>
        <w:rPr/>
        <w:t>mining</w:t>
      </w:r>
      <w:r>
        <w:rPr>
          <w:spacing w:val="-6"/>
        </w:rPr>
        <w:t> </w:t>
      </w:r>
      <w:r>
        <w:rPr/>
        <w:t>of</w:t>
      </w:r>
      <w:r>
        <w:rPr>
          <w:spacing w:val="-6"/>
        </w:rPr>
        <w:t> </w:t>
      </w:r>
      <w:r>
        <w:rPr/>
        <w:t>Reddit</w:t>
      </w:r>
      <w:r>
        <w:rPr>
          <w:spacing w:val="-6"/>
        </w:rPr>
        <w:t> </w:t>
      </w:r>
      <w:r>
        <w:rPr/>
        <w:t>posts:</w:t>
      </w:r>
      <w:r>
        <w:rPr>
          <w:spacing w:val="-6"/>
        </w:rPr>
        <w:t> </w:t>
      </w:r>
      <w:r>
        <w:rPr/>
        <w:t>Using</w:t>
      </w:r>
      <w:r>
        <w:rPr>
          <w:spacing w:val="-6"/>
        </w:rPr>
        <w:t> </w:t>
      </w:r>
      <w:r>
        <w:rPr/>
        <w:t>latent</w:t>
      </w:r>
      <w:r>
        <w:rPr>
          <w:spacing w:val="-6"/>
        </w:rPr>
        <w:t> </w:t>
      </w:r>
      <w:r>
        <w:rPr/>
        <w:t>Dirichlet</w:t>
      </w:r>
      <w:r>
        <w:rPr>
          <w:spacing w:val="-6"/>
        </w:rPr>
        <w:t> </w:t>
      </w:r>
      <w:r>
        <w:rPr/>
        <w:t>allocation</w:t>
      </w:r>
      <w:r>
        <w:rPr>
          <w:spacing w:val="-6"/>
        </w:rPr>
        <w:t> </w:t>
      </w:r>
      <w:r>
        <w:rPr/>
        <w:t>to identify common parenting issues. </w:t>
      </w:r>
      <w:r>
        <w:rPr>
          <w:i/>
        </w:rPr>
        <w:t>PLoS One</w:t>
      </w:r>
      <w:r>
        <w:rPr/>
        <w:t>, </w:t>
      </w:r>
      <w:r>
        <w:rPr>
          <w:i/>
        </w:rPr>
        <w:t>17</w:t>
      </w:r>
      <w:r>
        <w:rPr/>
        <w:t>(2), e0262529. </w:t>
      </w:r>
      <w:hyperlink r:id="rId139">
        <w:r>
          <w:rPr>
            <w:color w:val="457886"/>
            <w:spacing w:val="-2"/>
            <w:u w:val="thick" w:color="457886"/>
          </w:rPr>
          <w:t>https://doi.org/10.1371/journal.pone.0262529</w:t>
        </w:r>
      </w:hyperlink>
    </w:p>
    <w:p>
      <w:pPr>
        <w:pStyle w:val="BodyText"/>
        <w:spacing w:before="274"/>
      </w:pPr>
    </w:p>
    <w:p>
      <w:pPr>
        <w:spacing w:before="0"/>
        <w:ind w:left="723" w:right="0" w:firstLine="0"/>
        <w:jc w:val="left"/>
        <w:rPr>
          <w:b/>
          <w:sz w:val="24"/>
        </w:rPr>
      </w:pPr>
      <w:r>
        <w:rPr>
          <w:b/>
          <w:sz w:val="24"/>
        </w:rPr>
        <w:t>Appendix</w:t>
      </w:r>
      <w:r>
        <w:rPr>
          <w:b/>
          <w:spacing w:val="-4"/>
          <w:sz w:val="24"/>
        </w:rPr>
        <w:t> </w:t>
      </w:r>
      <w:r>
        <w:rPr>
          <w:b/>
          <w:sz w:val="24"/>
        </w:rPr>
        <w:t>A</w:t>
      </w:r>
      <w:r>
        <w:rPr>
          <w:b/>
          <w:spacing w:val="-3"/>
          <w:sz w:val="24"/>
        </w:rPr>
        <w:t> </w:t>
      </w:r>
      <w:r>
        <w:rPr>
          <w:b/>
          <w:sz w:val="24"/>
        </w:rPr>
        <w:t>Crosswalk</w:t>
      </w:r>
      <w:r>
        <w:rPr>
          <w:b/>
          <w:spacing w:val="-4"/>
          <w:sz w:val="24"/>
        </w:rPr>
        <w:t> </w:t>
      </w:r>
      <w:r>
        <w:rPr>
          <w:b/>
          <w:sz w:val="24"/>
        </w:rPr>
        <w:t>Between</w:t>
      </w:r>
      <w:r>
        <w:rPr>
          <w:b/>
          <w:spacing w:val="-3"/>
          <w:sz w:val="24"/>
        </w:rPr>
        <w:t> </w:t>
      </w:r>
      <w:r>
        <w:rPr>
          <w:b/>
          <w:sz w:val="24"/>
        </w:rPr>
        <w:t>Machine-Generated</w:t>
      </w:r>
      <w:r>
        <w:rPr>
          <w:b/>
          <w:spacing w:val="-4"/>
          <w:sz w:val="24"/>
        </w:rPr>
        <w:t> </w:t>
      </w:r>
      <w:r>
        <w:rPr>
          <w:b/>
          <w:sz w:val="24"/>
        </w:rPr>
        <w:t>Topics</w:t>
      </w:r>
      <w:r>
        <w:rPr>
          <w:b/>
          <w:spacing w:val="-3"/>
          <w:sz w:val="24"/>
        </w:rPr>
        <w:t> </w:t>
      </w:r>
      <w:r>
        <w:rPr>
          <w:b/>
          <w:sz w:val="24"/>
        </w:rPr>
        <w:t>and</w:t>
      </w:r>
      <w:r>
        <w:rPr>
          <w:b/>
          <w:spacing w:val="-4"/>
          <w:sz w:val="24"/>
        </w:rPr>
        <w:t> </w:t>
      </w:r>
      <w:r>
        <w:rPr>
          <w:b/>
          <w:sz w:val="24"/>
        </w:rPr>
        <w:t>Human-Aligned</w:t>
      </w:r>
      <w:r>
        <w:rPr>
          <w:b/>
          <w:spacing w:val="-3"/>
          <w:sz w:val="24"/>
        </w:rPr>
        <w:t> </w:t>
      </w:r>
      <w:r>
        <w:rPr>
          <w:b/>
          <w:spacing w:val="-2"/>
          <w:sz w:val="24"/>
        </w:rPr>
        <w:t>Themes</w:t>
      </w:r>
    </w:p>
    <w:tbl>
      <w:tblPr>
        <w:tblW w:w="0" w:type="auto"/>
        <w:jc w:val="left"/>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20"/>
        <w:gridCol w:w="1660"/>
        <w:gridCol w:w="2440"/>
        <w:gridCol w:w="1940"/>
        <w:gridCol w:w="2780"/>
      </w:tblGrid>
      <w:tr>
        <w:trPr>
          <w:trHeight w:val="479" w:hRule="atLeast"/>
        </w:trPr>
        <w:tc>
          <w:tcPr>
            <w:tcW w:w="9740" w:type="dxa"/>
            <w:gridSpan w:val="5"/>
          </w:tcPr>
          <w:p>
            <w:pPr>
              <w:pStyle w:val="TableParagraph"/>
              <w:spacing w:before="101"/>
              <w:ind w:left="942"/>
              <w:rPr>
                <w:b/>
                <w:sz w:val="24"/>
              </w:rPr>
            </w:pPr>
            <w:r>
              <w:rPr>
                <w:b/>
                <w:sz w:val="24"/>
              </w:rPr>
              <w:t>Crosswalk</w:t>
            </w:r>
            <w:r>
              <w:rPr>
                <w:b/>
                <w:spacing w:val="-5"/>
                <w:sz w:val="24"/>
              </w:rPr>
              <w:t> </w:t>
            </w:r>
            <w:r>
              <w:rPr>
                <w:b/>
                <w:sz w:val="24"/>
              </w:rPr>
              <w:t>Between</w:t>
            </w:r>
            <w:r>
              <w:rPr>
                <w:b/>
                <w:spacing w:val="-5"/>
                <w:sz w:val="24"/>
              </w:rPr>
              <w:t> </w:t>
            </w:r>
            <w:r>
              <w:rPr>
                <w:b/>
                <w:sz w:val="24"/>
              </w:rPr>
              <w:t>Machine-Generated</w:t>
            </w:r>
            <w:r>
              <w:rPr>
                <w:b/>
                <w:spacing w:val="-4"/>
                <w:sz w:val="24"/>
              </w:rPr>
              <w:t> </w:t>
            </w:r>
            <w:r>
              <w:rPr>
                <w:b/>
                <w:sz w:val="24"/>
              </w:rPr>
              <w:t>Topics</w:t>
            </w:r>
            <w:r>
              <w:rPr>
                <w:b/>
                <w:spacing w:val="-5"/>
                <w:sz w:val="24"/>
              </w:rPr>
              <w:t> </w:t>
            </w:r>
            <w:r>
              <w:rPr>
                <w:b/>
                <w:sz w:val="24"/>
              </w:rPr>
              <w:t>and</w:t>
            </w:r>
            <w:r>
              <w:rPr>
                <w:b/>
                <w:spacing w:val="-5"/>
                <w:sz w:val="24"/>
              </w:rPr>
              <w:t> </w:t>
            </w:r>
            <w:r>
              <w:rPr>
                <w:b/>
                <w:sz w:val="24"/>
              </w:rPr>
              <w:t>Human-Aligned</w:t>
            </w:r>
            <w:r>
              <w:rPr>
                <w:b/>
                <w:spacing w:val="-4"/>
                <w:sz w:val="24"/>
              </w:rPr>
              <w:t> </w:t>
            </w:r>
            <w:r>
              <w:rPr>
                <w:b/>
                <w:spacing w:val="-2"/>
                <w:sz w:val="24"/>
              </w:rPr>
              <w:t>Themes</w:t>
            </w:r>
          </w:p>
        </w:tc>
      </w:tr>
      <w:tr>
        <w:trPr>
          <w:trHeight w:val="479" w:hRule="atLeast"/>
        </w:trPr>
        <w:tc>
          <w:tcPr>
            <w:tcW w:w="5020" w:type="dxa"/>
            <w:gridSpan w:val="3"/>
          </w:tcPr>
          <w:p>
            <w:pPr>
              <w:pStyle w:val="TableParagraph"/>
              <w:spacing w:before="101"/>
              <w:ind w:left="1629"/>
              <w:rPr>
                <w:b/>
                <w:sz w:val="24"/>
              </w:rPr>
            </w:pPr>
            <w:r>
              <w:rPr>
                <w:b/>
                <w:sz w:val="24"/>
              </w:rPr>
              <w:t>Machine </w:t>
            </w:r>
            <w:r>
              <w:rPr>
                <w:b/>
                <w:spacing w:val="-2"/>
                <w:sz w:val="24"/>
              </w:rPr>
              <w:t>Defined</w:t>
            </w:r>
          </w:p>
        </w:tc>
        <w:tc>
          <w:tcPr>
            <w:tcW w:w="4720" w:type="dxa"/>
            <w:gridSpan w:val="2"/>
          </w:tcPr>
          <w:p>
            <w:pPr>
              <w:pStyle w:val="TableParagraph"/>
              <w:spacing w:before="101"/>
              <w:ind w:left="1544"/>
              <w:rPr>
                <w:b/>
                <w:sz w:val="24"/>
              </w:rPr>
            </w:pPr>
            <w:r>
              <w:rPr>
                <w:b/>
                <w:sz w:val="24"/>
              </w:rPr>
              <w:t>Human </w:t>
            </w:r>
            <w:r>
              <w:rPr>
                <w:b/>
                <w:spacing w:val="-2"/>
                <w:sz w:val="24"/>
              </w:rPr>
              <w:t>Aligned</w:t>
            </w:r>
          </w:p>
        </w:tc>
      </w:tr>
      <w:tr>
        <w:trPr>
          <w:trHeight w:val="760" w:hRule="atLeast"/>
        </w:trPr>
        <w:tc>
          <w:tcPr>
            <w:tcW w:w="920" w:type="dxa"/>
          </w:tcPr>
          <w:p>
            <w:pPr>
              <w:pStyle w:val="TableParagraph"/>
              <w:spacing w:before="102"/>
              <w:ind w:left="325" w:right="147" w:hanging="149"/>
              <w:rPr>
                <w:b/>
                <w:sz w:val="24"/>
              </w:rPr>
            </w:pPr>
            <w:r>
              <w:rPr>
                <w:b/>
                <w:spacing w:val="-6"/>
                <w:sz w:val="24"/>
              </w:rPr>
              <w:t>Topic ID</w:t>
            </w:r>
          </w:p>
        </w:tc>
        <w:tc>
          <w:tcPr>
            <w:tcW w:w="1660" w:type="dxa"/>
          </w:tcPr>
          <w:p>
            <w:pPr>
              <w:pStyle w:val="TableParagraph"/>
              <w:spacing w:before="102"/>
              <w:ind w:left="189" w:right="223" w:firstLine="200"/>
              <w:rPr>
                <w:b/>
                <w:sz w:val="24"/>
              </w:rPr>
            </w:pPr>
            <w:r>
              <w:rPr>
                <w:b/>
                <w:spacing w:val="-2"/>
                <w:sz w:val="24"/>
              </w:rPr>
              <w:t>Machine Topic</w:t>
            </w:r>
            <w:r>
              <w:rPr>
                <w:b/>
                <w:spacing w:val="-13"/>
                <w:sz w:val="24"/>
              </w:rPr>
              <w:t> </w:t>
            </w:r>
            <w:r>
              <w:rPr>
                <w:b/>
                <w:spacing w:val="-4"/>
                <w:sz w:val="24"/>
              </w:rPr>
              <w:t>Name</w:t>
            </w:r>
          </w:p>
        </w:tc>
        <w:tc>
          <w:tcPr>
            <w:tcW w:w="2440" w:type="dxa"/>
          </w:tcPr>
          <w:p>
            <w:pPr>
              <w:pStyle w:val="TableParagraph"/>
              <w:spacing w:before="102"/>
              <w:ind w:left="134" w:right="96" w:firstLine="255"/>
              <w:rPr>
                <w:b/>
                <w:sz w:val="24"/>
              </w:rPr>
            </w:pPr>
            <w:r>
              <w:rPr>
                <w:b/>
                <w:spacing w:val="-2"/>
                <w:sz w:val="24"/>
              </w:rPr>
              <w:t>Human-friendly </w:t>
            </w:r>
            <w:r>
              <w:rPr>
                <w:b/>
                <w:sz w:val="24"/>
              </w:rPr>
              <w:t>Machine</w:t>
            </w:r>
            <w:r>
              <w:rPr>
                <w:b/>
                <w:spacing w:val="-15"/>
                <w:sz w:val="24"/>
              </w:rPr>
              <w:t> </w:t>
            </w:r>
            <w:r>
              <w:rPr>
                <w:b/>
                <w:sz w:val="24"/>
              </w:rPr>
              <w:t>Topic</w:t>
            </w:r>
            <w:r>
              <w:rPr>
                <w:b/>
                <w:spacing w:val="-15"/>
                <w:sz w:val="24"/>
              </w:rPr>
              <w:t> </w:t>
            </w:r>
            <w:r>
              <w:rPr>
                <w:b/>
                <w:sz w:val="24"/>
              </w:rPr>
              <w:t>Name</w:t>
            </w:r>
          </w:p>
        </w:tc>
        <w:tc>
          <w:tcPr>
            <w:tcW w:w="1940" w:type="dxa"/>
          </w:tcPr>
          <w:p>
            <w:pPr>
              <w:pStyle w:val="TableParagraph"/>
              <w:spacing w:before="102"/>
              <w:ind w:left="613"/>
              <w:rPr>
                <w:b/>
                <w:sz w:val="24"/>
              </w:rPr>
            </w:pPr>
            <w:r>
              <w:rPr>
                <w:b/>
                <w:spacing w:val="-2"/>
                <w:sz w:val="24"/>
              </w:rPr>
              <w:t>Theme</w:t>
            </w:r>
          </w:p>
        </w:tc>
        <w:tc>
          <w:tcPr>
            <w:tcW w:w="2780" w:type="dxa"/>
          </w:tcPr>
          <w:p>
            <w:pPr>
              <w:pStyle w:val="TableParagraph"/>
              <w:spacing w:before="102"/>
              <w:ind w:left="895"/>
              <w:rPr>
                <w:b/>
                <w:sz w:val="24"/>
              </w:rPr>
            </w:pPr>
            <w:r>
              <w:rPr>
                <w:b/>
                <w:spacing w:val="-2"/>
                <w:sz w:val="24"/>
              </w:rPr>
              <w:t>Rationale</w:t>
            </w:r>
          </w:p>
        </w:tc>
      </w:tr>
      <w:tr>
        <w:trPr>
          <w:trHeight w:val="2220" w:hRule="atLeast"/>
        </w:trPr>
        <w:tc>
          <w:tcPr>
            <w:tcW w:w="920" w:type="dxa"/>
          </w:tcPr>
          <w:p>
            <w:pPr>
              <w:pStyle w:val="TableParagraph"/>
              <w:spacing w:before="99"/>
              <w:ind w:right="199"/>
              <w:jc w:val="right"/>
              <w:rPr>
                <w:b/>
                <w:sz w:val="24"/>
              </w:rPr>
            </w:pPr>
            <w:r>
              <w:rPr>
                <w:b/>
                <w:sz w:val="24"/>
              </w:rPr>
              <w:t>-</w:t>
            </w:r>
            <w:r>
              <w:rPr>
                <w:b/>
                <w:spacing w:val="-10"/>
                <w:sz w:val="24"/>
              </w:rPr>
              <w:t>1</w:t>
            </w:r>
          </w:p>
        </w:tc>
        <w:tc>
          <w:tcPr>
            <w:tcW w:w="1660" w:type="dxa"/>
          </w:tcPr>
          <w:p>
            <w:pPr>
              <w:pStyle w:val="TableParagraph"/>
              <w:spacing w:line="230" w:lineRule="auto" w:before="99"/>
              <w:ind w:left="213" w:right="223" w:firstLine="15"/>
              <w:rPr>
                <w:sz w:val="24"/>
              </w:rPr>
            </w:pPr>
            <w:r>
              <w:rPr>
                <w:spacing w:val="-2"/>
                <w:sz w:val="24"/>
              </w:rPr>
              <w:t>need_busin </w:t>
            </w:r>
            <w:r>
              <w:rPr>
                <w:spacing w:val="-4"/>
                <w:sz w:val="24"/>
              </w:rPr>
              <w:t>ess</w:t>
            </w:r>
          </w:p>
          <w:p>
            <w:pPr>
              <w:pStyle w:val="TableParagraph"/>
              <w:spacing w:line="266" w:lineRule="exact"/>
              <w:ind w:left="213"/>
              <w:rPr>
                <w:sz w:val="24"/>
              </w:rPr>
            </w:pPr>
            <w:r>
              <w:rPr>
                <w:spacing w:val="-2"/>
                <w:sz w:val="24"/>
              </w:rPr>
              <w:t>_good_love</w:t>
            </w:r>
          </w:p>
        </w:tc>
        <w:tc>
          <w:tcPr>
            <w:tcW w:w="2440" w:type="dxa"/>
          </w:tcPr>
          <w:p>
            <w:pPr>
              <w:pStyle w:val="TableParagraph"/>
              <w:spacing w:before="99"/>
              <w:ind w:left="233" w:right="96"/>
              <w:rPr>
                <w:sz w:val="24"/>
              </w:rPr>
            </w:pPr>
            <w:r>
              <w:rPr>
                <w:sz w:val="24"/>
              </w:rPr>
              <w:t>Career</w:t>
            </w:r>
            <w:r>
              <w:rPr>
                <w:spacing w:val="-15"/>
                <w:sz w:val="24"/>
              </w:rPr>
              <w:t> </w:t>
            </w:r>
            <w:r>
              <w:rPr>
                <w:sz w:val="24"/>
              </w:rPr>
              <w:t>Paths,</w:t>
            </w:r>
            <w:r>
              <w:rPr>
                <w:spacing w:val="-15"/>
                <w:sz w:val="24"/>
              </w:rPr>
              <w:t> </w:t>
            </w:r>
            <w:r>
              <w:rPr>
                <w:sz w:val="24"/>
              </w:rPr>
              <w:t>Job Realities, &amp; PM </w:t>
            </w:r>
            <w:r>
              <w:rPr>
                <w:spacing w:val="-2"/>
                <w:sz w:val="24"/>
              </w:rPr>
              <w:t>Identity</w:t>
            </w:r>
          </w:p>
        </w:tc>
        <w:tc>
          <w:tcPr>
            <w:tcW w:w="1940" w:type="dxa"/>
          </w:tcPr>
          <w:p>
            <w:pPr>
              <w:pStyle w:val="TableParagraph"/>
              <w:spacing w:before="99"/>
              <w:ind w:left="208" w:right="393" w:firstLine="15"/>
              <w:rPr>
                <w:sz w:val="24"/>
              </w:rPr>
            </w:pPr>
            <w:r>
              <w:rPr>
                <w:spacing w:val="-2"/>
                <w:sz w:val="24"/>
              </w:rPr>
              <w:t>Career </w:t>
            </w:r>
            <w:r>
              <w:rPr>
                <w:sz w:val="24"/>
              </w:rPr>
              <w:t>Navigation</w:t>
            </w:r>
            <w:r>
              <w:rPr>
                <w:spacing w:val="-15"/>
                <w:sz w:val="24"/>
              </w:rPr>
              <w:t> </w:t>
            </w:r>
            <w:r>
              <w:rPr>
                <w:sz w:val="24"/>
              </w:rPr>
              <w:t>&amp; PM Identity</w:t>
            </w:r>
          </w:p>
        </w:tc>
        <w:tc>
          <w:tcPr>
            <w:tcW w:w="2780" w:type="dxa"/>
          </w:tcPr>
          <w:p>
            <w:pPr>
              <w:pStyle w:val="TableParagraph"/>
              <w:spacing w:line="235" w:lineRule="auto" w:before="94"/>
              <w:ind w:left="218" w:right="750"/>
              <w:rPr>
                <w:sz w:val="24"/>
              </w:rPr>
            </w:pPr>
            <w:r>
              <w:rPr>
                <w:sz w:val="24"/>
              </w:rPr>
              <w:t>Mixed posts: burnout,</w:t>
            </w:r>
            <w:r>
              <w:rPr>
                <w:spacing w:val="40"/>
                <w:sz w:val="24"/>
              </w:rPr>
              <w:t> </w:t>
            </w:r>
            <w:r>
              <w:rPr>
                <w:sz w:val="24"/>
              </w:rPr>
              <w:t>identity doubt, job realities,</w:t>
            </w:r>
            <w:r>
              <w:rPr>
                <w:spacing w:val="-15"/>
                <w:sz w:val="24"/>
              </w:rPr>
              <w:t> </w:t>
            </w:r>
            <w:r>
              <w:rPr>
                <w:sz w:val="24"/>
              </w:rPr>
              <w:t>boundary</w:t>
            </w:r>
          </w:p>
          <w:p>
            <w:pPr>
              <w:pStyle w:val="TableParagraph"/>
              <w:spacing w:line="271" w:lineRule="auto" w:before="2"/>
              <w:ind w:left="218" w:right="370"/>
              <w:rPr>
                <w:sz w:val="24"/>
              </w:rPr>
            </w:pPr>
            <w:r>
              <w:rPr>
                <w:sz w:val="24"/>
              </w:rPr>
              <w:t>questions</w:t>
            </w:r>
            <w:r>
              <w:rPr>
                <w:spacing w:val="-9"/>
                <w:sz w:val="24"/>
              </w:rPr>
              <w:t> </w:t>
            </w:r>
            <w:r>
              <w:rPr>
                <w:sz w:val="24"/>
              </w:rPr>
              <w:t>→</w:t>
            </w:r>
            <w:r>
              <w:rPr>
                <w:spacing w:val="-9"/>
                <w:sz w:val="24"/>
              </w:rPr>
              <w:t> </w:t>
            </w:r>
            <w:r>
              <w:rPr>
                <w:sz w:val="24"/>
              </w:rPr>
              <w:t>belongs </w:t>
            </w:r>
            <w:r>
              <w:rPr>
                <w:w w:val="105"/>
                <w:sz w:val="24"/>
              </w:rPr>
              <w:t>in</w:t>
            </w:r>
            <w:r>
              <w:rPr>
                <w:spacing w:val="40"/>
                <w:w w:val="105"/>
                <w:sz w:val="24"/>
              </w:rPr>
              <w:t> </w:t>
            </w:r>
            <w:r>
              <w:rPr>
                <w:w w:val="105"/>
                <w:sz w:val="24"/>
              </w:rPr>
              <w:t>identity/growth </w:t>
            </w:r>
            <w:r>
              <w:rPr>
                <w:spacing w:val="-2"/>
                <w:w w:val="105"/>
                <w:sz w:val="24"/>
              </w:rPr>
              <w:t>space.</w:t>
            </w:r>
          </w:p>
        </w:tc>
      </w:tr>
      <w:tr>
        <w:trPr>
          <w:trHeight w:val="1540" w:hRule="atLeast"/>
        </w:trPr>
        <w:tc>
          <w:tcPr>
            <w:tcW w:w="920" w:type="dxa"/>
          </w:tcPr>
          <w:p>
            <w:pPr>
              <w:pStyle w:val="TableParagraph"/>
              <w:spacing w:before="93"/>
              <w:ind w:right="199"/>
              <w:jc w:val="right"/>
              <w:rPr>
                <w:b/>
                <w:sz w:val="24"/>
              </w:rPr>
            </w:pPr>
            <w:r>
              <w:rPr>
                <w:b/>
                <w:spacing w:val="-10"/>
                <w:sz w:val="24"/>
              </w:rPr>
              <w:t>0</w:t>
            </w:r>
          </w:p>
        </w:tc>
        <w:tc>
          <w:tcPr>
            <w:tcW w:w="1660" w:type="dxa"/>
          </w:tcPr>
          <w:p>
            <w:pPr>
              <w:pStyle w:val="TableParagraph"/>
              <w:spacing w:line="230" w:lineRule="auto" w:before="93"/>
              <w:ind w:left="228" w:right="223"/>
              <w:rPr>
                <w:sz w:val="24"/>
              </w:rPr>
            </w:pPr>
            <w:r>
              <w:rPr>
                <w:spacing w:val="-2"/>
                <w:sz w:val="24"/>
              </w:rPr>
              <w:t>tools_ai_tas </w:t>
            </w:r>
            <w:r>
              <w:rPr>
                <w:sz w:val="24"/>
              </w:rPr>
              <w:t>k_ tasks</w:t>
            </w:r>
          </w:p>
        </w:tc>
        <w:tc>
          <w:tcPr>
            <w:tcW w:w="2440" w:type="dxa"/>
          </w:tcPr>
          <w:p>
            <w:pPr>
              <w:pStyle w:val="TableParagraph"/>
              <w:spacing w:line="230" w:lineRule="auto" w:before="93"/>
              <w:ind w:left="233" w:right="814"/>
              <w:rPr>
                <w:sz w:val="24"/>
              </w:rPr>
            </w:pPr>
            <w:r>
              <w:rPr>
                <w:sz w:val="24"/>
              </w:rPr>
              <w:t>Tools,</w:t>
            </w:r>
            <w:r>
              <w:rPr>
                <w:spacing w:val="-15"/>
                <w:sz w:val="24"/>
              </w:rPr>
              <w:t> </w:t>
            </w:r>
            <w:r>
              <w:rPr>
                <w:sz w:val="24"/>
              </w:rPr>
              <w:t>AI,</w:t>
            </w:r>
            <w:r>
              <w:rPr>
                <w:spacing w:val="-15"/>
                <w:sz w:val="24"/>
              </w:rPr>
              <w:t> </w:t>
            </w:r>
            <w:r>
              <w:rPr>
                <w:sz w:val="24"/>
              </w:rPr>
              <w:t>and Day-to Day </w:t>
            </w:r>
            <w:r>
              <w:rPr>
                <w:spacing w:val="-2"/>
                <w:sz w:val="24"/>
              </w:rPr>
              <w:t>Workflow</w:t>
            </w:r>
          </w:p>
        </w:tc>
        <w:tc>
          <w:tcPr>
            <w:tcW w:w="1940" w:type="dxa"/>
          </w:tcPr>
          <w:p>
            <w:pPr>
              <w:pStyle w:val="TableParagraph"/>
              <w:spacing w:line="232" w:lineRule="auto" w:before="100"/>
              <w:ind w:left="223" w:right="393"/>
              <w:rPr>
                <w:sz w:val="24"/>
              </w:rPr>
            </w:pPr>
            <w:r>
              <w:rPr>
                <w:sz w:val="24"/>
              </w:rPr>
              <w:t>PM</w:t>
            </w:r>
            <w:r>
              <w:rPr>
                <w:spacing w:val="-15"/>
                <w:sz w:val="24"/>
              </w:rPr>
              <w:t> </w:t>
            </w:r>
            <w:r>
              <w:rPr>
                <w:sz w:val="24"/>
              </w:rPr>
              <w:t>Practice, Methods, &amp; </w:t>
            </w:r>
            <w:r>
              <w:rPr>
                <w:spacing w:val="-2"/>
                <w:sz w:val="24"/>
              </w:rPr>
              <w:t>Organization </w:t>
            </w:r>
            <w:r>
              <w:rPr>
                <w:spacing w:val="-6"/>
                <w:sz w:val="24"/>
              </w:rPr>
              <w:t>al</w:t>
            </w:r>
          </w:p>
          <w:p>
            <w:pPr>
              <w:pStyle w:val="TableParagraph"/>
              <w:spacing w:line="270" w:lineRule="exact"/>
              <w:ind w:left="223"/>
              <w:rPr>
                <w:sz w:val="24"/>
              </w:rPr>
            </w:pPr>
            <w:r>
              <w:rPr>
                <w:spacing w:val="-2"/>
                <w:sz w:val="24"/>
              </w:rPr>
              <w:t>Capability</w:t>
            </w:r>
          </w:p>
        </w:tc>
        <w:tc>
          <w:tcPr>
            <w:tcW w:w="2780" w:type="dxa"/>
          </w:tcPr>
          <w:p>
            <w:pPr>
              <w:pStyle w:val="TableParagraph"/>
              <w:spacing w:line="230" w:lineRule="auto" w:before="93"/>
              <w:ind w:left="203" w:right="370" w:firstLine="15"/>
              <w:rPr>
                <w:sz w:val="24"/>
              </w:rPr>
            </w:pPr>
            <w:r>
              <w:rPr>
                <w:sz w:val="24"/>
              </w:rPr>
              <w:t>Pure</w:t>
            </w:r>
            <w:r>
              <w:rPr>
                <w:spacing w:val="-13"/>
                <w:sz w:val="24"/>
              </w:rPr>
              <w:t> </w:t>
            </w:r>
            <w:r>
              <w:rPr>
                <w:sz w:val="24"/>
              </w:rPr>
              <w:t>tools</w:t>
            </w:r>
            <w:r>
              <w:rPr>
                <w:spacing w:val="-13"/>
                <w:sz w:val="24"/>
              </w:rPr>
              <w:t> </w:t>
            </w:r>
            <w:r>
              <w:rPr>
                <w:sz w:val="24"/>
              </w:rPr>
              <w:t>+</w:t>
            </w:r>
            <w:r>
              <w:rPr>
                <w:spacing w:val="-13"/>
                <w:sz w:val="24"/>
              </w:rPr>
              <w:t> </w:t>
            </w:r>
            <w:r>
              <w:rPr>
                <w:sz w:val="24"/>
              </w:rPr>
              <w:t>workflow usage cluster; no identity</w:t>
            </w:r>
            <w:r>
              <w:rPr>
                <w:spacing w:val="40"/>
                <w:sz w:val="24"/>
              </w:rPr>
              <w:t> </w:t>
            </w:r>
            <w:r>
              <w:rPr>
                <w:sz w:val="24"/>
              </w:rPr>
              <w:t>or career </w:t>
            </w:r>
            <w:r>
              <w:rPr>
                <w:spacing w:val="-2"/>
                <w:sz w:val="24"/>
              </w:rPr>
              <w:t>navigation</w:t>
            </w:r>
          </w:p>
          <w:p>
            <w:pPr>
              <w:pStyle w:val="TableParagraph"/>
              <w:spacing w:before="4"/>
              <w:ind w:left="218"/>
              <w:rPr>
                <w:sz w:val="24"/>
              </w:rPr>
            </w:pPr>
            <w:r>
              <w:rPr>
                <w:spacing w:val="-2"/>
                <w:sz w:val="24"/>
              </w:rPr>
              <w:t>content.</w:t>
            </w:r>
          </w:p>
        </w:tc>
      </w:tr>
      <w:tr>
        <w:trPr>
          <w:trHeight w:val="2080" w:hRule="atLeast"/>
        </w:trPr>
        <w:tc>
          <w:tcPr>
            <w:tcW w:w="920" w:type="dxa"/>
          </w:tcPr>
          <w:p>
            <w:pPr>
              <w:pStyle w:val="TableParagraph"/>
              <w:spacing w:before="103"/>
              <w:ind w:right="199"/>
              <w:jc w:val="right"/>
              <w:rPr>
                <w:b/>
                <w:sz w:val="24"/>
              </w:rPr>
            </w:pPr>
            <w:r>
              <w:rPr>
                <w:b/>
                <w:spacing w:val="-10"/>
                <w:sz w:val="24"/>
              </w:rPr>
              <w:t>1</w:t>
            </w:r>
          </w:p>
        </w:tc>
        <w:tc>
          <w:tcPr>
            <w:tcW w:w="1660" w:type="dxa"/>
          </w:tcPr>
          <w:p>
            <w:pPr>
              <w:pStyle w:val="TableParagraph"/>
              <w:spacing w:line="237" w:lineRule="auto" w:before="96"/>
              <w:ind w:left="136" w:right="70" w:firstLine="92"/>
              <w:rPr>
                <w:sz w:val="24"/>
              </w:rPr>
            </w:pPr>
            <w:r>
              <w:rPr>
                <w:spacing w:val="-2"/>
                <w:sz w:val="24"/>
              </w:rPr>
              <w:t>certificatio </w:t>
            </w:r>
            <w:r>
              <w:rPr>
                <w:sz w:val="24"/>
              </w:rPr>
              <w:t>n_c ourse_ </w:t>
            </w:r>
            <w:r>
              <w:rPr>
                <w:spacing w:val="-2"/>
                <w:sz w:val="24"/>
              </w:rPr>
              <w:t>courses_worth</w:t>
            </w:r>
          </w:p>
        </w:tc>
        <w:tc>
          <w:tcPr>
            <w:tcW w:w="2440" w:type="dxa"/>
          </w:tcPr>
          <w:p>
            <w:pPr>
              <w:pStyle w:val="TableParagraph"/>
              <w:spacing w:line="270" w:lineRule="exact" w:before="94"/>
              <w:ind w:left="233"/>
              <w:rPr>
                <w:sz w:val="24"/>
              </w:rPr>
            </w:pPr>
            <w:r>
              <w:rPr>
                <w:spacing w:val="-5"/>
                <w:sz w:val="24"/>
              </w:rPr>
              <w:t>PMP</w:t>
            </w:r>
          </w:p>
          <w:p>
            <w:pPr>
              <w:pStyle w:val="TableParagraph"/>
              <w:spacing w:line="230" w:lineRule="auto" w:before="3"/>
              <w:ind w:left="233" w:right="814"/>
              <w:rPr>
                <w:sz w:val="24"/>
              </w:rPr>
            </w:pPr>
            <w:r>
              <w:rPr>
                <w:spacing w:val="-2"/>
                <w:sz w:val="24"/>
              </w:rPr>
              <w:t>Certification, </w:t>
            </w:r>
            <w:r>
              <w:rPr>
                <w:sz w:val="24"/>
              </w:rPr>
              <w:t>Courses, &amp; </w:t>
            </w:r>
            <w:r>
              <w:rPr>
                <w:spacing w:val="-2"/>
                <w:sz w:val="24"/>
              </w:rPr>
              <w:t>Value</w:t>
            </w:r>
          </w:p>
        </w:tc>
        <w:tc>
          <w:tcPr>
            <w:tcW w:w="1940" w:type="dxa"/>
          </w:tcPr>
          <w:p>
            <w:pPr>
              <w:pStyle w:val="TableParagraph"/>
              <w:spacing w:line="232" w:lineRule="auto" w:before="110"/>
              <w:ind w:left="223" w:right="393"/>
              <w:rPr>
                <w:sz w:val="24"/>
              </w:rPr>
            </w:pPr>
            <w:r>
              <w:rPr>
                <w:sz w:val="24"/>
              </w:rPr>
              <w:t>PM</w:t>
            </w:r>
            <w:r>
              <w:rPr>
                <w:spacing w:val="-15"/>
                <w:sz w:val="24"/>
              </w:rPr>
              <w:t> </w:t>
            </w:r>
            <w:r>
              <w:rPr>
                <w:sz w:val="24"/>
              </w:rPr>
              <w:t>Practice, Methods, &amp; </w:t>
            </w:r>
            <w:r>
              <w:rPr>
                <w:spacing w:val="-2"/>
                <w:sz w:val="24"/>
              </w:rPr>
              <w:t>Organization </w:t>
            </w:r>
            <w:r>
              <w:rPr>
                <w:spacing w:val="-6"/>
                <w:sz w:val="24"/>
              </w:rPr>
              <w:t>al</w:t>
            </w:r>
          </w:p>
          <w:p>
            <w:pPr>
              <w:pStyle w:val="TableParagraph"/>
              <w:spacing w:line="270" w:lineRule="exact"/>
              <w:ind w:left="223"/>
              <w:rPr>
                <w:sz w:val="24"/>
              </w:rPr>
            </w:pPr>
            <w:r>
              <w:rPr>
                <w:spacing w:val="-2"/>
                <w:sz w:val="24"/>
              </w:rPr>
              <w:t>Capability</w:t>
            </w:r>
          </w:p>
        </w:tc>
        <w:tc>
          <w:tcPr>
            <w:tcW w:w="2780" w:type="dxa"/>
          </w:tcPr>
          <w:p>
            <w:pPr>
              <w:pStyle w:val="TableParagraph"/>
              <w:spacing w:line="230" w:lineRule="auto" w:before="112"/>
              <w:ind w:left="218" w:right="824"/>
              <w:rPr>
                <w:sz w:val="24"/>
              </w:rPr>
            </w:pPr>
            <w:r>
              <w:rPr>
                <w:sz w:val="24"/>
              </w:rPr>
              <w:t>Credentialing</w:t>
            </w:r>
            <w:r>
              <w:rPr>
                <w:spacing w:val="-15"/>
                <w:sz w:val="24"/>
              </w:rPr>
              <w:t> </w:t>
            </w:r>
            <w:r>
              <w:rPr>
                <w:sz w:val="24"/>
              </w:rPr>
              <w:t>and certification ROI (PMP,</w:t>
            </w:r>
            <w:r>
              <w:rPr>
                <w:spacing w:val="40"/>
                <w:sz w:val="24"/>
              </w:rPr>
              <w:t> </w:t>
            </w:r>
            <w:r>
              <w:rPr>
                <w:sz w:val="24"/>
              </w:rPr>
              <w:t>CAPM,</w:t>
            </w:r>
          </w:p>
          <w:p>
            <w:pPr>
              <w:pStyle w:val="TableParagraph"/>
              <w:spacing w:line="232" w:lineRule="auto"/>
              <w:ind w:left="203" w:right="604" w:firstLine="15"/>
              <w:rPr>
                <w:sz w:val="24"/>
              </w:rPr>
            </w:pPr>
            <w:r>
              <w:rPr>
                <w:sz w:val="24"/>
              </w:rPr>
              <w:t>courses). Not a career-identity</w:t>
            </w:r>
            <w:r>
              <w:rPr>
                <w:spacing w:val="-15"/>
                <w:sz w:val="24"/>
              </w:rPr>
              <w:t> </w:t>
            </w:r>
            <w:r>
              <w:rPr>
                <w:sz w:val="24"/>
              </w:rPr>
              <w:t>issue unless explicitly framed</w:t>
            </w:r>
            <w:r>
              <w:rPr>
                <w:spacing w:val="40"/>
                <w:sz w:val="24"/>
              </w:rPr>
              <w:t> </w:t>
            </w:r>
            <w:r>
              <w:rPr>
                <w:sz w:val="24"/>
              </w:rPr>
              <w:t>that way.</w:t>
            </w:r>
          </w:p>
        </w:tc>
      </w:tr>
      <w:tr>
        <w:trPr>
          <w:trHeight w:val="1739" w:hRule="atLeast"/>
        </w:trPr>
        <w:tc>
          <w:tcPr>
            <w:tcW w:w="920" w:type="dxa"/>
          </w:tcPr>
          <w:p>
            <w:pPr>
              <w:pStyle w:val="TableParagraph"/>
              <w:spacing w:before="97"/>
              <w:ind w:right="199"/>
              <w:jc w:val="right"/>
              <w:rPr>
                <w:b/>
                <w:sz w:val="24"/>
              </w:rPr>
            </w:pPr>
            <w:r>
              <w:rPr>
                <w:b/>
                <w:spacing w:val="-10"/>
                <w:sz w:val="24"/>
              </w:rPr>
              <w:t>2</w:t>
            </w:r>
          </w:p>
        </w:tc>
        <w:tc>
          <w:tcPr>
            <w:tcW w:w="1660" w:type="dxa"/>
          </w:tcPr>
          <w:p>
            <w:pPr>
              <w:pStyle w:val="TableParagraph"/>
              <w:spacing w:line="230" w:lineRule="auto" w:before="96"/>
              <w:ind w:left="213" w:right="223" w:firstLine="15"/>
              <w:rPr>
                <w:sz w:val="24"/>
              </w:rPr>
            </w:pPr>
            <w:r>
              <w:rPr>
                <w:spacing w:val="-2"/>
                <w:sz w:val="24"/>
              </w:rPr>
              <w:t>position_go </w:t>
            </w:r>
            <w:r>
              <w:rPr>
                <w:spacing w:val="-6"/>
                <w:sz w:val="24"/>
              </w:rPr>
              <w:t>od</w:t>
            </w:r>
          </w:p>
          <w:p>
            <w:pPr>
              <w:pStyle w:val="TableParagraph"/>
              <w:spacing w:line="242" w:lineRule="auto"/>
              <w:ind w:left="228" w:right="223" w:hanging="15"/>
              <w:rPr>
                <w:sz w:val="24"/>
              </w:rPr>
            </w:pPr>
            <w:r>
              <w:rPr>
                <w:spacing w:val="-2"/>
                <w:sz w:val="24"/>
              </w:rPr>
              <w:t>_business_ </w:t>
            </w:r>
            <w:r>
              <w:rPr>
                <w:spacing w:val="-4"/>
                <w:sz w:val="24"/>
              </w:rPr>
              <w:t>path</w:t>
            </w:r>
          </w:p>
        </w:tc>
        <w:tc>
          <w:tcPr>
            <w:tcW w:w="2440" w:type="dxa"/>
          </w:tcPr>
          <w:p>
            <w:pPr>
              <w:pStyle w:val="TableParagraph"/>
              <w:spacing w:line="230" w:lineRule="auto" w:before="106"/>
              <w:ind w:left="233" w:right="661"/>
              <w:rPr>
                <w:sz w:val="24"/>
              </w:rPr>
            </w:pPr>
            <w:r>
              <w:rPr>
                <w:sz w:val="24"/>
              </w:rPr>
              <w:t>Business</w:t>
            </w:r>
            <w:r>
              <w:rPr>
                <w:spacing w:val="-15"/>
                <w:sz w:val="24"/>
              </w:rPr>
              <w:t> </w:t>
            </w:r>
            <w:r>
              <w:rPr>
                <w:sz w:val="24"/>
              </w:rPr>
              <w:t>Skills, Degrees, &amp; Career</w:t>
            </w:r>
            <w:r>
              <w:rPr>
                <w:spacing w:val="40"/>
                <w:sz w:val="24"/>
              </w:rPr>
              <w:t> </w:t>
            </w:r>
            <w:r>
              <w:rPr>
                <w:sz w:val="24"/>
              </w:rPr>
              <w:t>Entry</w:t>
            </w:r>
          </w:p>
        </w:tc>
        <w:tc>
          <w:tcPr>
            <w:tcW w:w="1940" w:type="dxa"/>
          </w:tcPr>
          <w:p>
            <w:pPr>
              <w:pStyle w:val="TableParagraph"/>
              <w:spacing w:before="97"/>
              <w:ind w:left="208" w:right="393" w:firstLine="15"/>
              <w:rPr>
                <w:sz w:val="24"/>
              </w:rPr>
            </w:pPr>
            <w:r>
              <w:rPr>
                <w:spacing w:val="-2"/>
                <w:sz w:val="24"/>
              </w:rPr>
              <w:t>Career </w:t>
            </w:r>
            <w:r>
              <w:rPr>
                <w:sz w:val="24"/>
              </w:rPr>
              <w:t>Navigation</w:t>
            </w:r>
            <w:r>
              <w:rPr>
                <w:spacing w:val="-15"/>
                <w:sz w:val="24"/>
              </w:rPr>
              <w:t> </w:t>
            </w:r>
            <w:r>
              <w:rPr>
                <w:sz w:val="24"/>
              </w:rPr>
              <w:t>&amp; PM Identity</w:t>
            </w:r>
          </w:p>
        </w:tc>
        <w:tc>
          <w:tcPr>
            <w:tcW w:w="2780" w:type="dxa"/>
          </w:tcPr>
          <w:p>
            <w:pPr>
              <w:pStyle w:val="TableParagraph"/>
              <w:spacing w:line="271" w:lineRule="auto" w:before="100"/>
              <w:ind w:left="218" w:right="370"/>
              <w:rPr>
                <w:sz w:val="24"/>
              </w:rPr>
            </w:pPr>
            <w:r>
              <w:rPr>
                <w:sz w:val="24"/>
              </w:rPr>
              <w:t>Degree debates, </w:t>
            </w:r>
            <w:r>
              <w:rPr>
                <w:sz w:val="24"/>
              </w:rPr>
              <w:t>early career questions, “Is this a</w:t>
            </w:r>
            <w:r>
              <w:rPr>
                <w:spacing w:val="40"/>
                <w:sz w:val="24"/>
              </w:rPr>
              <w:t> </w:t>
            </w:r>
            <w:r>
              <w:rPr>
                <w:sz w:val="24"/>
              </w:rPr>
              <w:t>good path?” → </w:t>
            </w:r>
            <w:r>
              <w:rPr>
                <w:spacing w:val="-2"/>
                <w:sz w:val="24"/>
              </w:rPr>
              <w:t>entry</w:t>
            </w:r>
          </w:p>
          <w:p>
            <w:pPr>
              <w:pStyle w:val="TableParagraph"/>
              <w:ind w:left="218"/>
              <w:rPr>
                <w:sz w:val="24"/>
              </w:rPr>
            </w:pPr>
            <w:r>
              <w:rPr>
                <w:spacing w:val="-2"/>
                <w:sz w:val="24"/>
              </w:rPr>
              <w:t>mapping.</w:t>
            </w:r>
          </w:p>
        </w:tc>
      </w:tr>
      <w:tr>
        <w:trPr>
          <w:trHeight w:val="1260" w:hRule="atLeast"/>
        </w:trPr>
        <w:tc>
          <w:tcPr>
            <w:tcW w:w="920" w:type="dxa"/>
          </w:tcPr>
          <w:p>
            <w:pPr>
              <w:pStyle w:val="TableParagraph"/>
              <w:spacing w:before="89"/>
              <w:ind w:right="199"/>
              <w:jc w:val="right"/>
              <w:rPr>
                <w:b/>
                <w:sz w:val="24"/>
              </w:rPr>
            </w:pPr>
            <w:r>
              <w:rPr>
                <w:b/>
                <w:spacing w:val="-10"/>
                <w:sz w:val="24"/>
              </w:rPr>
              <w:t>3</w:t>
            </w:r>
          </w:p>
        </w:tc>
        <w:tc>
          <w:tcPr>
            <w:tcW w:w="1660" w:type="dxa"/>
          </w:tcPr>
          <w:p>
            <w:pPr>
              <w:pStyle w:val="TableParagraph"/>
              <w:spacing w:line="230" w:lineRule="auto" w:before="98"/>
              <w:ind w:left="228" w:right="70"/>
              <w:rPr>
                <w:sz w:val="24"/>
              </w:rPr>
            </w:pPr>
            <w:r>
              <w:rPr>
                <w:spacing w:val="-2"/>
                <w:sz w:val="24"/>
              </w:rPr>
              <w:t>resume_ feedback_fil </w:t>
            </w:r>
            <w:r>
              <w:rPr>
                <w:sz w:val="24"/>
              </w:rPr>
              <w:t>e_ score</w:t>
            </w:r>
          </w:p>
        </w:tc>
        <w:tc>
          <w:tcPr>
            <w:tcW w:w="2440" w:type="dxa"/>
          </w:tcPr>
          <w:p>
            <w:pPr>
              <w:pStyle w:val="TableParagraph"/>
              <w:spacing w:before="89"/>
              <w:ind w:left="233" w:right="96"/>
              <w:rPr>
                <w:sz w:val="24"/>
              </w:rPr>
            </w:pPr>
            <w:r>
              <w:rPr>
                <w:sz w:val="24"/>
              </w:rPr>
              <w:t>Résumé Review, Feedback,</w:t>
            </w:r>
            <w:r>
              <w:rPr>
                <w:spacing w:val="-15"/>
                <w:sz w:val="24"/>
              </w:rPr>
              <w:t> </w:t>
            </w:r>
            <w:r>
              <w:rPr>
                <w:sz w:val="24"/>
              </w:rPr>
              <w:t>&amp;</w:t>
            </w:r>
            <w:r>
              <w:rPr>
                <w:spacing w:val="-15"/>
                <w:sz w:val="24"/>
              </w:rPr>
              <w:t> </w:t>
            </w:r>
            <w:r>
              <w:rPr>
                <w:sz w:val="24"/>
              </w:rPr>
              <w:t>Scoring</w:t>
            </w:r>
          </w:p>
        </w:tc>
        <w:tc>
          <w:tcPr>
            <w:tcW w:w="1940" w:type="dxa"/>
          </w:tcPr>
          <w:p>
            <w:pPr>
              <w:pStyle w:val="TableParagraph"/>
              <w:spacing w:before="89"/>
              <w:ind w:left="223" w:right="362"/>
              <w:rPr>
                <w:sz w:val="24"/>
              </w:rPr>
            </w:pPr>
            <w:r>
              <w:rPr>
                <w:sz w:val="24"/>
              </w:rPr>
              <w:t>Job</w:t>
            </w:r>
            <w:r>
              <w:rPr>
                <w:spacing w:val="-3"/>
                <w:sz w:val="24"/>
              </w:rPr>
              <w:t> </w:t>
            </w:r>
            <w:r>
              <w:rPr>
                <w:sz w:val="24"/>
              </w:rPr>
              <w:t>Search</w:t>
            </w:r>
            <w:r>
              <w:rPr>
                <w:spacing w:val="-3"/>
                <w:sz w:val="24"/>
              </w:rPr>
              <w:t> </w:t>
            </w:r>
            <w:r>
              <w:rPr>
                <w:sz w:val="24"/>
              </w:rPr>
              <w:t>&amp; Labor </w:t>
            </w:r>
            <w:r>
              <w:rPr>
                <w:spacing w:val="-2"/>
                <w:sz w:val="24"/>
              </w:rPr>
              <w:t>Market</w:t>
            </w:r>
          </w:p>
        </w:tc>
        <w:tc>
          <w:tcPr>
            <w:tcW w:w="2780" w:type="dxa"/>
          </w:tcPr>
          <w:p>
            <w:pPr>
              <w:pStyle w:val="TableParagraph"/>
              <w:spacing w:line="230" w:lineRule="auto" w:before="98"/>
              <w:ind w:left="218" w:right="111"/>
              <w:rPr>
                <w:sz w:val="24"/>
              </w:rPr>
            </w:pPr>
            <w:r>
              <w:rPr>
                <w:spacing w:val="-4"/>
                <w:sz w:val="24"/>
              </w:rPr>
              <w:t>Pure </w:t>
            </w:r>
            <w:r>
              <w:rPr>
                <w:spacing w:val="-2"/>
                <w:sz w:val="24"/>
              </w:rPr>
              <w:t>résumé/interview/applic </w:t>
            </w:r>
            <w:r>
              <w:rPr>
                <w:sz w:val="24"/>
              </w:rPr>
              <w:t>ati</w:t>
            </w:r>
            <w:r>
              <w:rPr>
                <w:spacing w:val="23"/>
                <w:sz w:val="24"/>
              </w:rPr>
              <w:t> </w:t>
            </w:r>
            <w:r>
              <w:rPr>
                <w:sz w:val="24"/>
              </w:rPr>
              <w:t>on</w:t>
            </w:r>
            <w:r>
              <w:rPr>
                <w:spacing w:val="23"/>
                <w:sz w:val="24"/>
              </w:rPr>
              <w:t> </w:t>
            </w:r>
            <w:r>
              <w:rPr>
                <w:sz w:val="24"/>
              </w:rPr>
              <w:t>mechanics.</w:t>
            </w:r>
            <w:r>
              <w:rPr>
                <w:spacing w:val="23"/>
                <w:sz w:val="24"/>
              </w:rPr>
              <w:t> </w:t>
            </w:r>
            <w:r>
              <w:rPr>
                <w:sz w:val="24"/>
              </w:rPr>
              <w:t>Very clean</w:t>
            </w:r>
            <w:r>
              <w:rPr>
                <w:spacing w:val="40"/>
                <w:sz w:val="24"/>
              </w:rPr>
              <w:t> </w:t>
            </w:r>
            <w:r>
              <w:rPr>
                <w:sz w:val="24"/>
              </w:rPr>
              <w:t>cluster.</w:t>
            </w:r>
          </w:p>
        </w:tc>
      </w:tr>
    </w:tbl>
    <w:p>
      <w:pPr>
        <w:pStyle w:val="TableParagraph"/>
        <w:spacing w:after="0" w:line="230" w:lineRule="auto"/>
        <w:rPr>
          <w:sz w:val="24"/>
        </w:rPr>
        <w:sectPr>
          <w:pgSz w:w="12240" w:h="15840"/>
          <w:pgMar w:header="0" w:footer="707" w:top="620" w:bottom="960" w:left="720" w:right="0"/>
        </w:sectPr>
      </w:pPr>
    </w:p>
    <w:tbl>
      <w:tblPr>
        <w:tblW w:w="0" w:type="auto"/>
        <w:jc w:val="left"/>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20"/>
        <w:gridCol w:w="1660"/>
        <w:gridCol w:w="2440"/>
        <w:gridCol w:w="1940"/>
        <w:gridCol w:w="2780"/>
      </w:tblGrid>
      <w:tr>
        <w:trPr>
          <w:trHeight w:val="3180" w:hRule="atLeast"/>
        </w:trPr>
        <w:tc>
          <w:tcPr>
            <w:tcW w:w="920" w:type="dxa"/>
          </w:tcPr>
          <w:p>
            <w:pPr>
              <w:pStyle w:val="TableParagraph"/>
              <w:spacing w:before="100"/>
              <w:ind w:right="199"/>
              <w:jc w:val="right"/>
              <w:rPr>
                <w:b/>
                <w:sz w:val="24"/>
              </w:rPr>
            </w:pPr>
            <w:r>
              <w:rPr>
                <w:b/>
                <w:spacing w:val="-10"/>
                <w:sz w:val="24"/>
              </w:rPr>
              <w:t>4</w:t>
            </w:r>
          </w:p>
        </w:tc>
        <w:tc>
          <w:tcPr>
            <w:tcW w:w="1660" w:type="dxa"/>
          </w:tcPr>
          <w:p>
            <w:pPr>
              <w:pStyle w:val="TableParagraph"/>
              <w:spacing w:line="237" w:lineRule="auto" w:before="93"/>
              <w:ind w:left="228" w:right="182"/>
              <w:jc w:val="both"/>
              <w:rPr>
                <w:sz w:val="24"/>
              </w:rPr>
            </w:pPr>
            <w:r>
              <w:rPr>
                <w:spacing w:val="-2"/>
                <w:sz w:val="24"/>
              </w:rPr>
              <w:t>leadership_d </w:t>
            </w:r>
            <w:r>
              <w:rPr>
                <w:sz w:val="24"/>
              </w:rPr>
              <w:t>oe sn_boss_ </w:t>
            </w:r>
            <w:r>
              <w:rPr>
                <w:spacing w:val="-2"/>
                <w:sz w:val="24"/>
              </w:rPr>
              <w:t>meetings</w:t>
            </w:r>
          </w:p>
        </w:tc>
        <w:tc>
          <w:tcPr>
            <w:tcW w:w="2440" w:type="dxa"/>
          </w:tcPr>
          <w:p>
            <w:pPr>
              <w:pStyle w:val="TableParagraph"/>
              <w:spacing w:before="100"/>
              <w:ind w:left="233" w:right="528"/>
              <w:rPr>
                <w:sz w:val="24"/>
              </w:rPr>
            </w:pPr>
            <w:r>
              <w:rPr>
                <w:sz w:val="24"/>
              </w:rPr>
              <w:t>Leadership,</w:t>
            </w:r>
            <w:r>
              <w:rPr>
                <w:spacing w:val="-15"/>
                <w:sz w:val="24"/>
              </w:rPr>
              <w:t> </w:t>
            </w:r>
            <w:r>
              <w:rPr>
                <w:sz w:val="24"/>
              </w:rPr>
              <w:t>Boss Dynamics, &amp; </w:t>
            </w:r>
            <w:r>
              <w:rPr>
                <w:spacing w:val="-2"/>
                <w:sz w:val="24"/>
              </w:rPr>
              <w:t>Meetings</w:t>
            </w:r>
          </w:p>
        </w:tc>
        <w:tc>
          <w:tcPr>
            <w:tcW w:w="1940" w:type="dxa"/>
          </w:tcPr>
          <w:p>
            <w:pPr>
              <w:pStyle w:val="TableParagraph"/>
              <w:spacing w:line="235" w:lineRule="auto" w:before="96"/>
              <w:ind w:left="208" w:right="329" w:firstLine="15"/>
              <w:rPr>
                <w:sz w:val="24"/>
              </w:rPr>
            </w:pPr>
            <w:r>
              <w:rPr>
                <w:spacing w:val="-2"/>
                <w:sz w:val="24"/>
              </w:rPr>
              <w:t>Interpersonal </w:t>
            </w:r>
            <w:r>
              <w:rPr>
                <w:spacing w:val="-10"/>
                <w:sz w:val="24"/>
              </w:rPr>
              <w:t>&amp; </w:t>
            </w:r>
            <w:r>
              <w:rPr>
                <w:spacing w:val="-2"/>
                <w:sz w:val="24"/>
              </w:rPr>
              <w:t>Organization </w:t>
            </w:r>
            <w:r>
              <w:rPr>
                <w:sz w:val="24"/>
              </w:rPr>
              <w:t>al</w:t>
            </w:r>
            <w:r>
              <w:rPr>
                <w:spacing w:val="40"/>
                <w:sz w:val="24"/>
              </w:rPr>
              <w:t> </w:t>
            </w:r>
            <w:r>
              <w:rPr>
                <w:sz w:val="24"/>
              </w:rPr>
              <w:t>Dynamics </w:t>
            </w:r>
            <w:r>
              <w:rPr>
                <w:spacing w:val="-2"/>
                <w:sz w:val="24"/>
              </w:rPr>
              <w:t>(primary) Career </w:t>
            </w:r>
            <w:r>
              <w:rPr>
                <w:sz w:val="24"/>
              </w:rPr>
              <w:t>Navigation &amp; PM</w:t>
            </w:r>
            <w:r>
              <w:rPr>
                <w:spacing w:val="-12"/>
                <w:sz w:val="24"/>
              </w:rPr>
              <w:t> </w:t>
            </w:r>
            <w:r>
              <w:rPr>
                <w:sz w:val="24"/>
              </w:rPr>
              <w:t>Identity</w:t>
            </w:r>
            <w:r>
              <w:rPr>
                <w:spacing w:val="-12"/>
                <w:sz w:val="24"/>
              </w:rPr>
              <w:t> </w:t>
            </w:r>
            <w:r>
              <w:rPr>
                <w:sz w:val="24"/>
              </w:rPr>
              <w:t>if the post is about</w:t>
            </w:r>
            <w:r>
              <w:rPr>
                <w:spacing w:val="40"/>
                <w:sz w:val="24"/>
              </w:rPr>
              <w:t> </w:t>
            </w:r>
            <w:r>
              <w:rPr>
                <w:sz w:val="24"/>
              </w:rPr>
              <w:t>career</w:t>
            </w:r>
          </w:p>
          <w:p>
            <w:pPr>
              <w:pStyle w:val="TableParagraph"/>
              <w:ind w:left="223"/>
              <w:rPr>
                <w:sz w:val="24"/>
              </w:rPr>
            </w:pPr>
            <w:r>
              <w:rPr>
                <w:spacing w:val="-2"/>
                <w:sz w:val="24"/>
              </w:rPr>
              <w:t>meaning/growth</w:t>
            </w:r>
          </w:p>
        </w:tc>
        <w:tc>
          <w:tcPr>
            <w:tcW w:w="2780" w:type="dxa"/>
          </w:tcPr>
          <w:p>
            <w:pPr>
              <w:pStyle w:val="TableParagraph"/>
              <w:spacing w:line="271" w:lineRule="auto" w:before="104"/>
              <w:ind w:left="203" w:right="111" w:firstLine="15"/>
              <w:rPr>
                <w:sz w:val="24"/>
              </w:rPr>
            </w:pPr>
            <w:r>
              <w:rPr>
                <w:sz w:val="24"/>
              </w:rPr>
              <w:t>Boss conﬂict, meeting dynamics, poor leadership</w:t>
            </w:r>
            <w:r>
              <w:rPr>
                <w:spacing w:val="40"/>
                <w:sz w:val="24"/>
              </w:rPr>
              <w:t> </w:t>
            </w:r>
            <w:r>
              <w:rPr>
                <w:sz w:val="24"/>
              </w:rPr>
              <w:t>→ interpersonal theme unless framed as </w:t>
            </w:r>
            <w:r>
              <w:rPr>
                <w:sz w:val="24"/>
              </w:rPr>
              <w:t>“What does this mean for my PM future?”</w:t>
            </w:r>
          </w:p>
        </w:tc>
      </w:tr>
      <w:tr>
        <w:trPr>
          <w:trHeight w:val="1719" w:hRule="atLeast"/>
        </w:trPr>
        <w:tc>
          <w:tcPr>
            <w:tcW w:w="920" w:type="dxa"/>
          </w:tcPr>
          <w:p>
            <w:pPr>
              <w:pStyle w:val="TableParagraph"/>
              <w:spacing w:before="102"/>
              <w:ind w:right="199"/>
              <w:jc w:val="right"/>
              <w:rPr>
                <w:b/>
                <w:sz w:val="24"/>
              </w:rPr>
            </w:pPr>
            <w:r>
              <w:rPr>
                <w:b/>
                <w:spacing w:val="-10"/>
                <w:sz w:val="24"/>
              </w:rPr>
              <w:t>5</w:t>
            </w:r>
          </w:p>
        </w:tc>
        <w:tc>
          <w:tcPr>
            <w:tcW w:w="1660" w:type="dxa"/>
          </w:tcPr>
          <w:p>
            <w:pPr>
              <w:pStyle w:val="TableParagraph"/>
              <w:spacing w:line="237" w:lineRule="auto" w:before="95"/>
              <w:ind w:left="228" w:right="70"/>
              <w:rPr>
                <w:sz w:val="24"/>
              </w:rPr>
            </w:pPr>
            <w:r>
              <w:rPr>
                <w:spacing w:val="-2"/>
                <w:sz w:val="24"/>
              </w:rPr>
              <w:t>remote_base </w:t>
            </w:r>
            <w:r>
              <w:rPr>
                <w:sz w:val="24"/>
              </w:rPr>
              <w:t>d_ brand_ </w:t>
            </w:r>
            <w:r>
              <w:rPr>
                <w:spacing w:val="-2"/>
                <w:sz w:val="24"/>
              </w:rPr>
              <w:t>construction</w:t>
            </w:r>
          </w:p>
        </w:tc>
        <w:tc>
          <w:tcPr>
            <w:tcW w:w="2440" w:type="dxa"/>
          </w:tcPr>
          <w:p>
            <w:pPr>
              <w:pStyle w:val="TableParagraph"/>
              <w:spacing w:before="102"/>
              <w:ind w:left="233" w:right="428"/>
              <w:rPr>
                <w:sz w:val="24"/>
              </w:rPr>
            </w:pPr>
            <w:r>
              <w:rPr>
                <w:sz w:val="24"/>
              </w:rPr>
              <w:t>Remote Work &amp; Company</w:t>
            </w:r>
            <w:r>
              <w:rPr>
                <w:spacing w:val="-15"/>
                <w:sz w:val="24"/>
              </w:rPr>
              <w:t> </w:t>
            </w:r>
            <w:r>
              <w:rPr>
                <w:sz w:val="24"/>
              </w:rPr>
              <w:t>Context</w:t>
            </w:r>
          </w:p>
        </w:tc>
        <w:tc>
          <w:tcPr>
            <w:tcW w:w="1940" w:type="dxa"/>
          </w:tcPr>
          <w:p>
            <w:pPr>
              <w:pStyle w:val="TableParagraph"/>
              <w:spacing w:before="102"/>
              <w:ind w:left="208" w:right="393" w:firstLine="15"/>
              <w:rPr>
                <w:sz w:val="24"/>
              </w:rPr>
            </w:pPr>
            <w:r>
              <w:rPr>
                <w:spacing w:val="-2"/>
                <w:sz w:val="24"/>
              </w:rPr>
              <w:t>Career </w:t>
            </w:r>
            <w:r>
              <w:rPr>
                <w:sz w:val="24"/>
              </w:rPr>
              <w:t>Navigation</w:t>
            </w:r>
            <w:r>
              <w:rPr>
                <w:spacing w:val="-15"/>
                <w:sz w:val="24"/>
              </w:rPr>
              <w:t> </w:t>
            </w:r>
            <w:r>
              <w:rPr>
                <w:sz w:val="24"/>
              </w:rPr>
              <w:t>&amp; PM Identity</w:t>
            </w:r>
          </w:p>
        </w:tc>
        <w:tc>
          <w:tcPr>
            <w:tcW w:w="2780" w:type="dxa"/>
          </w:tcPr>
          <w:p>
            <w:pPr>
              <w:pStyle w:val="TableParagraph"/>
              <w:spacing w:line="264" w:lineRule="auto" w:before="102"/>
              <w:ind w:left="218" w:right="370"/>
              <w:rPr>
                <w:sz w:val="24"/>
              </w:rPr>
            </w:pPr>
            <w:r>
              <w:rPr>
                <w:sz w:val="24"/>
              </w:rPr>
              <w:t>Hybrid/remote work identity, role drift, cross industry work patterns →</w:t>
            </w:r>
            <w:r>
              <w:rPr>
                <w:spacing w:val="40"/>
                <w:sz w:val="24"/>
              </w:rPr>
              <w:t> </w:t>
            </w:r>
            <w:r>
              <w:rPr>
                <w:sz w:val="24"/>
              </w:rPr>
              <w:t>identity </w:t>
            </w:r>
            <w:r>
              <w:rPr>
                <w:sz w:val="24"/>
              </w:rPr>
              <w:t>+ job realities.</w:t>
            </w:r>
          </w:p>
        </w:tc>
      </w:tr>
    </w:tbl>
    <w:p>
      <w:pPr>
        <w:pStyle w:val="BodyText"/>
        <w:rPr>
          <w:b/>
          <w:sz w:val="20"/>
        </w:rPr>
      </w:pPr>
    </w:p>
    <w:p>
      <w:pPr>
        <w:pStyle w:val="BodyText"/>
        <w:spacing w:before="21"/>
        <w:rPr>
          <w:b/>
          <w:sz w:val="20"/>
        </w:rPr>
      </w:pPr>
    </w:p>
    <w:tbl>
      <w:tblPr>
        <w:tblW w:w="0" w:type="auto"/>
        <w:jc w:val="left"/>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20"/>
        <w:gridCol w:w="1660"/>
        <w:gridCol w:w="2440"/>
        <w:gridCol w:w="1940"/>
        <w:gridCol w:w="2780"/>
      </w:tblGrid>
      <w:tr>
        <w:trPr>
          <w:trHeight w:val="480" w:hRule="atLeast"/>
        </w:trPr>
        <w:tc>
          <w:tcPr>
            <w:tcW w:w="9740" w:type="dxa"/>
            <w:gridSpan w:val="5"/>
          </w:tcPr>
          <w:p>
            <w:pPr>
              <w:pStyle w:val="TableParagraph"/>
              <w:spacing w:before="118"/>
              <w:ind w:left="942"/>
              <w:rPr>
                <w:b/>
                <w:sz w:val="24"/>
              </w:rPr>
            </w:pPr>
            <w:r>
              <w:rPr>
                <w:b/>
                <w:sz w:val="24"/>
              </w:rPr>
              <w:t>Crosswalk</w:t>
            </w:r>
            <w:r>
              <w:rPr>
                <w:b/>
                <w:spacing w:val="-5"/>
                <w:sz w:val="24"/>
              </w:rPr>
              <w:t> </w:t>
            </w:r>
            <w:r>
              <w:rPr>
                <w:b/>
                <w:sz w:val="24"/>
              </w:rPr>
              <w:t>Between</w:t>
            </w:r>
            <w:r>
              <w:rPr>
                <w:b/>
                <w:spacing w:val="-5"/>
                <w:sz w:val="24"/>
              </w:rPr>
              <w:t> </w:t>
            </w:r>
            <w:r>
              <w:rPr>
                <w:b/>
                <w:sz w:val="24"/>
              </w:rPr>
              <w:t>Machine-Generated</w:t>
            </w:r>
            <w:r>
              <w:rPr>
                <w:b/>
                <w:spacing w:val="-4"/>
                <w:sz w:val="24"/>
              </w:rPr>
              <w:t> </w:t>
            </w:r>
            <w:r>
              <w:rPr>
                <w:b/>
                <w:sz w:val="24"/>
              </w:rPr>
              <w:t>Topics</w:t>
            </w:r>
            <w:r>
              <w:rPr>
                <w:b/>
                <w:spacing w:val="-5"/>
                <w:sz w:val="24"/>
              </w:rPr>
              <w:t> </w:t>
            </w:r>
            <w:r>
              <w:rPr>
                <w:b/>
                <w:sz w:val="24"/>
              </w:rPr>
              <w:t>and</w:t>
            </w:r>
            <w:r>
              <w:rPr>
                <w:b/>
                <w:spacing w:val="-5"/>
                <w:sz w:val="24"/>
              </w:rPr>
              <w:t> </w:t>
            </w:r>
            <w:r>
              <w:rPr>
                <w:b/>
                <w:sz w:val="24"/>
              </w:rPr>
              <w:t>Human-Aligned</w:t>
            </w:r>
            <w:r>
              <w:rPr>
                <w:b/>
                <w:spacing w:val="-4"/>
                <w:sz w:val="24"/>
              </w:rPr>
              <w:t> </w:t>
            </w:r>
            <w:r>
              <w:rPr>
                <w:b/>
                <w:spacing w:val="-2"/>
                <w:sz w:val="24"/>
              </w:rPr>
              <w:t>Themes</w:t>
            </w:r>
          </w:p>
        </w:tc>
      </w:tr>
      <w:tr>
        <w:trPr>
          <w:trHeight w:val="479" w:hRule="atLeast"/>
        </w:trPr>
        <w:tc>
          <w:tcPr>
            <w:tcW w:w="5020" w:type="dxa"/>
            <w:gridSpan w:val="3"/>
          </w:tcPr>
          <w:p>
            <w:pPr>
              <w:pStyle w:val="TableParagraph"/>
              <w:spacing w:before="119"/>
              <w:ind w:left="1629"/>
              <w:rPr>
                <w:b/>
                <w:sz w:val="24"/>
              </w:rPr>
            </w:pPr>
            <w:r>
              <w:rPr>
                <w:b/>
                <w:sz w:val="24"/>
              </w:rPr>
              <w:t>Machine </w:t>
            </w:r>
            <w:r>
              <w:rPr>
                <w:b/>
                <w:spacing w:val="-2"/>
                <w:sz w:val="24"/>
              </w:rPr>
              <w:t>Defined</w:t>
            </w:r>
          </w:p>
        </w:tc>
        <w:tc>
          <w:tcPr>
            <w:tcW w:w="4720" w:type="dxa"/>
            <w:gridSpan w:val="2"/>
          </w:tcPr>
          <w:p>
            <w:pPr>
              <w:pStyle w:val="TableParagraph"/>
              <w:spacing w:before="119"/>
              <w:ind w:left="1544"/>
              <w:rPr>
                <w:b/>
                <w:sz w:val="24"/>
              </w:rPr>
            </w:pPr>
            <w:r>
              <w:rPr>
                <w:b/>
                <w:sz w:val="24"/>
              </w:rPr>
              <w:t>Human </w:t>
            </w:r>
            <w:r>
              <w:rPr>
                <w:b/>
                <w:spacing w:val="-2"/>
                <w:sz w:val="24"/>
              </w:rPr>
              <w:t>Aligned</w:t>
            </w:r>
          </w:p>
        </w:tc>
      </w:tr>
      <w:tr>
        <w:trPr>
          <w:trHeight w:val="760" w:hRule="atLeast"/>
        </w:trPr>
        <w:tc>
          <w:tcPr>
            <w:tcW w:w="920" w:type="dxa"/>
          </w:tcPr>
          <w:p>
            <w:pPr>
              <w:pStyle w:val="TableParagraph"/>
              <w:spacing w:before="120"/>
              <w:ind w:left="325" w:right="147" w:hanging="149"/>
              <w:rPr>
                <w:b/>
                <w:sz w:val="24"/>
              </w:rPr>
            </w:pPr>
            <w:r>
              <w:rPr>
                <w:b/>
                <w:spacing w:val="-6"/>
                <w:sz w:val="24"/>
              </w:rPr>
              <w:t>Topic ID</w:t>
            </w:r>
          </w:p>
        </w:tc>
        <w:tc>
          <w:tcPr>
            <w:tcW w:w="1660" w:type="dxa"/>
          </w:tcPr>
          <w:p>
            <w:pPr>
              <w:pStyle w:val="TableParagraph"/>
              <w:spacing w:before="120"/>
              <w:ind w:left="189" w:right="223" w:firstLine="200"/>
              <w:rPr>
                <w:b/>
                <w:sz w:val="24"/>
              </w:rPr>
            </w:pPr>
            <w:r>
              <w:rPr>
                <w:b/>
                <w:spacing w:val="-2"/>
                <w:sz w:val="24"/>
              </w:rPr>
              <w:t>Machine Topic</w:t>
            </w:r>
            <w:r>
              <w:rPr>
                <w:b/>
                <w:spacing w:val="-13"/>
                <w:sz w:val="24"/>
              </w:rPr>
              <w:t> </w:t>
            </w:r>
            <w:r>
              <w:rPr>
                <w:b/>
                <w:spacing w:val="-4"/>
                <w:sz w:val="24"/>
              </w:rPr>
              <w:t>Name</w:t>
            </w:r>
          </w:p>
        </w:tc>
        <w:tc>
          <w:tcPr>
            <w:tcW w:w="2440" w:type="dxa"/>
          </w:tcPr>
          <w:p>
            <w:pPr>
              <w:pStyle w:val="TableParagraph"/>
              <w:spacing w:before="120"/>
              <w:ind w:left="134" w:right="96" w:firstLine="255"/>
              <w:rPr>
                <w:b/>
                <w:sz w:val="24"/>
              </w:rPr>
            </w:pPr>
            <w:r>
              <w:rPr>
                <w:b/>
                <w:spacing w:val="-2"/>
                <w:sz w:val="24"/>
              </w:rPr>
              <w:t>Human-friendly </w:t>
            </w:r>
            <w:r>
              <w:rPr>
                <w:b/>
                <w:sz w:val="24"/>
              </w:rPr>
              <w:t>Machine</w:t>
            </w:r>
            <w:r>
              <w:rPr>
                <w:b/>
                <w:spacing w:val="-15"/>
                <w:sz w:val="24"/>
              </w:rPr>
              <w:t> </w:t>
            </w:r>
            <w:r>
              <w:rPr>
                <w:b/>
                <w:sz w:val="24"/>
              </w:rPr>
              <w:t>Topic</w:t>
            </w:r>
            <w:r>
              <w:rPr>
                <w:b/>
                <w:spacing w:val="-15"/>
                <w:sz w:val="24"/>
              </w:rPr>
              <w:t> </w:t>
            </w:r>
            <w:r>
              <w:rPr>
                <w:b/>
                <w:sz w:val="24"/>
              </w:rPr>
              <w:t>Name</w:t>
            </w:r>
          </w:p>
        </w:tc>
        <w:tc>
          <w:tcPr>
            <w:tcW w:w="1940" w:type="dxa"/>
          </w:tcPr>
          <w:p>
            <w:pPr>
              <w:pStyle w:val="TableParagraph"/>
              <w:spacing w:before="120"/>
              <w:ind w:left="613"/>
              <w:rPr>
                <w:b/>
                <w:sz w:val="24"/>
              </w:rPr>
            </w:pPr>
            <w:r>
              <w:rPr>
                <w:b/>
                <w:spacing w:val="-2"/>
                <w:sz w:val="24"/>
              </w:rPr>
              <w:t>Theme</w:t>
            </w:r>
          </w:p>
        </w:tc>
        <w:tc>
          <w:tcPr>
            <w:tcW w:w="2780" w:type="dxa"/>
          </w:tcPr>
          <w:p>
            <w:pPr>
              <w:pStyle w:val="TableParagraph"/>
              <w:spacing w:before="120"/>
              <w:ind w:left="895"/>
              <w:rPr>
                <w:b/>
                <w:sz w:val="24"/>
              </w:rPr>
            </w:pPr>
            <w:r>
              <w:rPr>
                <w:b/>
                <w:spacing w:val="-2"/>
                <w:sz w:val="24"/>
              </w:rPr>
              <w:t>Rationale</w:t>
            </w:r>
          </w:p>
        </w:tc>
      </w:tr>
      <w:tr>
        <w:trPr>
          <w:trHeight w:val="1739" w:hRule="atLeast"/>
        </w:trPr>
        <w:tc>
          <w:tcPr>
            <w:tcW w:w="920" w:type="dxa"/>
          </w:tcPr>
          <w:p>
            <w:pPr>
              <w:pStyle w:val="TableParagraph"/>
              <w:spacing w:before="116"/>
              <w:ind w:right="184"/>
              <w:jc w:val="right"/>
              <w:rPr>
                <w:b/>
                <w:sz w:val="24"/>
              </w:rPr>
            </w:pPr>
            <w:r>
              <w:rPr>
                <w:b/>
                <w:spacing w:val="-10"/>
                <w:sz w:val="24"/>
              </w:rPr>
              <w:t>6</w:t>
            </w:r>
          </w:p>
        </w:tc>
        <w:tc>
          <w:tcPr>
            <w:tcW w:w="1660" w:type="dxa"/>
          </w:tcPr>
          <w:p>
            <w:pPr>
              <w:pStyle w:val="TableParagraph"/>
              <w:spacing w:line="230" w:lineRule="auto" w:before="116"/>
              <w:ind w:left="228" w:right="315"/>
              <w:rPr>
                <w:sz w:val="24"/>
              </w:rPr>
            </w:pPr>
            <w:r>
              <w:rPr>
                <w:spacing w:val="-2"/>
                <w:sz w:val="24"/>
              </w:rPr>
              <w:t>industry_di </w:t>
            </w:r>
            <w:r>
              <w:rPr>
                <w:spacing w:val="-6"/>
                <w:sz w:val="24"/>
              </w:rPr>
              <w:t>d_ </w:t>
            </w:r>
            <w:r>
              <w:rPr>
                <w:spacing w:val="-2"/>
                <w:sz w:val="24"/>
              </w:rPr>
              <w:t>doc_analys </w:t>
            </w:r>
            <w:r>
              <w:rPr>
                <w:spacing w:val="-10"/>
                <w:sz w:val="24"/>
              </w:rPr>
              <w:t>t</w:t>
            </w:r>
          </w:p>
        </w:tc>
        <w:tc>
          <w:tcPr>
            <w:tcW w:w="2440" w:type="dxa"/>
          </w:tcPr>
          <w:p>
            <w:pPr>
              <w:pStyle w:val="TableParagraph"/>
              <w:spacing w:line="230" w:lineRule="auto" w:before="116"/>
              <w:ind w:left="233" w:right="395"/>
              <w:rPr>
                <w:sz w:val="24"/>
              </w:rPr>
            </w:pPr>
            <w:r>
              <w:rPr>
                <w:spacing w:val="-2"/>
                <w:sz w:val="24"/>
              </w:rPr>
              <w:t>Industry Experience, </w:t>
            </w:r>
            <w:r>
              <w:rPr>
                <w:sz w:val="24"/>
              </w:rPr>
              <w:t>Documentation,</w:t>
            </w:r>
            <w:r>
              <w:rPr>
                <w:spacing w:val="-15"/>
                <w:sz w:val="24"/>
              </w:rPr>
              <w:t> </w:t>
            </w:r>
            <w:r>
              <w:rPr>
                <w:sz w:val="24"/>
              </w:rPr>
              <w:t>&amp; Analyst Work</w:t>
            </w:r>
          </w:p>
        </w:tc>
        <w:tc>
          <w:tcPr>
            <w:tcW w:w="1940" w:type="dxa"/>
          </w:tcPr>
          <w:p>
            <w:pPr>
              <w:pStyle w:val="TableParagraph"/>
              <w:spacing w:before="116"/>
              <w:ind w:left="208" w:right="393" w:firstLine="15"/>
              <w:rPr>
                <w:sz w:val="24"/>
              </w:rPr>
            </w:pPr>
            <w:r>
              <w:rPr>
                <w:spacing w:val="-2"/>
                <w:sz w:val="24"/>
              </w:rPr>
              <w:t>Career </w:t>
            </w:r>
            <w:r>
              <w:rPr>
                <w:sz w:val="24"/>
              </w:rPr>
              <w:t>Navigation</w:t>
            </w:r>
            <w:r>
              <w:rPr>
                <w:spacing w:val="-15"/>
                <w:sz w:val="24"/>
              </w:rPr>
              <w:t> </w:t>
            </w:r>
            <w:r>
              <w:rPr>
                <w:sz w:val="24"/>
              </w:rPr>
              <w:t>&amp; PM Identity</w:t>
            </w:r>
          </w:p>
        </w:tc>
        <w:tc>
          <w:tcPr>
            <w:tcW w:w="2780" w:type="dxa"/>
          </w:tcPr>
          <w:p>
            <w:pPr>
              <w:pStyle w:val="TableParagraph"/>
              <w:spacing w:line="256" w:lineRule="auto" w:before="116"/>
              <w:ind w:left="218"/>
              <w:rPr>
                <w:sz w:val="24"/>
              </w:rPr>
            </w:pPr>
            <w:r>
              <w:rPr>
                <w:spacing w:val="-2"/>
                <w:w w:val="105"/>
                <w:sz w:val="24"/>
              </w:rPr>
              <w:t>Cross-industry comparisons,</w:t>
            </w:r>
            <w:r>
              <w:rPr>
                <w:spacing w:val="-14"/>
                <w:w w:val="105"/>
                <w:sz w:val="24"/>
              </w:rPr>
              <w:t> </w:t>
            </w:r>
            <w:r>
              <w:rPr>
                <w:spacing w:val="-2"/>
                <w:w w:val="105"/>
                <w:sz w:val="24"/>
              </w:rPr>
              <w:t>BA/PM </w:t>
            </w:r>
            <w:r>
              <w:rPr>
                <w:w w:val="105"/>
                <w:sz w:val="24"/>
              </w:rPr>
              <w:t>hybrid expectations</w:t>
            </w:r>
          </w:p>
          <w:p>
            <w:pPr>
              <w:pStyle w:val="TableParagraph"/>
              <w:spacing w:line="271" w:lineRule="auto" w:before="17"/>
              <w:ind w:left="218"/>
              <w:rPr>
                <w:sz w:val="24"/>
              </w:rPr>
            </w:pPr>
            <w:r>
              <w:rPr>
                <w:sz w:val="24"/>
              </w:rPr>
              <w:t>→</w:t>
            </w:r>
            <w:r>
              <w:rPr>
                <w:spacing w:val="40"/>
                <w:sz w:val="24"/>
              </w:rPr>
              <w:t> </w:t>
            </w:r>
            <w:r>
              <w:rPr>
                <w:sz w:val="24"/>
              </w:rPr>
              <w:t>strong ﬁt </w:t>
            </w:r>
            <w:r>
              <w:rPr>
                <w:sz w:val="24"/>
              </w:rPr>
              <w:t>with subtheme</w:t>
            </w:r>
            <w:r>
              <w:rPr>
                <w:spacing w:val="40"/>
                <w:sz w:val="24"/>
              </w:rPr>
              <w:t> </w:t>
            </w:r>
            <w:r>
              <w:rPr>
                <w:sz w:val="24"/>
              </w:rPr>
              <w:t>1.4.</w:t>
            </w:r>
          </w:p>
        </w:tc>
      </w:tr>
      <w:tr>
        <w:trPr>
          <w:trHeight w:val="1999" w:hRule="atLeast"/>
        </w:trPr>
        <w:tc>
          <w:tcPr>
            <w:tcW w:w="920" w:type="dxa"/>
          </w:tcPr>
          <w:p>
            <w:pPr>
              <w:pStyle w:val="TableParagraph"/>
              <w:spacing w:before="103"/>
              <w:ind w:right="184"/>
              <w:jc w:val="right"/>
              <w:rPr>
                <w:b/>
                <w:sz w:val="24"/>
              </w:rPr>
            </w:pPr>
            <w:r>
              <w:rPr>
                <w:b/>
                <w:spacing w:val="-10"/>
                <w:sz w:val="24"/>
              </w:rPr>
              <w:t>7</w:t>
            </w:r>
          </w:p>
        </w:tc>
        <w:tc>
          <w:tcPr>
            <w:tcW w:w="1660" w:type="dxa"/>
          </w:tcPr>
          <w:p>
            <w:pPr>
              <w:pStyle w:val="TableParagraph"/>
              <w:spacing w:before="103"/>
              <w:ind w:left="228" w:right="223"/>
              <w:rPr>
                <w:sz w:val="24"/>
              </w:rPr>
            </w:pPr>
            <w:r>
              <w:rPr>
                <w:spacing w:val="-2"/>
                <w:sz w:val="24"/>
              </w:rPr>
              <w:t>interview_ questions_ interviews_ </w:t>
            </w:r>
            <w:r>
              <w:rPr>
                <w:spacing w:val="-4"/>
                <w:sz w:val="24"/>
              </w:rPr>
              <w:t>role</w:t>
            </w:r>
          </w:p>
        </w:tc>
        <w:tc>
          <w:tcPr>
            <w:tcW w:w="2440" w:type="dxa"/>
          </w:tcPr>
          <w:p>
            <w:pPr>
              <w:pStyle w:val="TableParagraph"/>
              <w:spacing w:line="230" w:lineRule="auto" w:before="102"/>
              <w:ind w:left="233" w:right="242"/>
              <w:rPr>
                <w:sz w:val="24"/>
              </w:rPr>
            </w:pPr>
            <w:r>
              <w:rPr>
                <w:sz w:val="24"/>
              </w:rPr>
              <w:t>Interview</w:t>
            </w:r>
            <w:r>
              <w:rPr>
                <w:spacing w:val="-15"/>
                <w:sz w:val="24"/>
              </w:rPr>
              <w:t> </w:t>
            </w:r>
            <w:r>
              <w:rPr>
                <w:sz w:val="24"/>
              </w:rPr>
              <w:t>Questions &amp;</w:t>
            </w:r>
            <w:r>
              <w:rPr>
                <w:spacing w:val="40"/>
                <w:sz w:val="24"/>
              </w:rPr>
              <w:t> </w:t>
            </w:r>
            <w:r>
              <w:rPr>
                <w:sz w:val="24"/>
              </w:rPr>
              <w:t>Hiring</w:t>
            </w:r>
          </w:p>
        </w:tc>
        <w:tc>
          <w:tcPr>
            <w:tcW w:w="1940" w:type="dxa"/>
          </w:tcPr>
          <w:p>
            <w:pPr>
              <w:pStyle w:val="TableParagraph"/>
              <w:spacing w:before="103"/>
              <w:ind w:left="223" w:right="362"/>
              <w:rPr>
                <w:sz w:val="24"/>
              </w:rPr>
            </w:pPr>
            <w:r>
              <w:rPr>
                <w:sz w:val="24"/>
              </w:rPr>
              <w:t>Job</w:t>
            </w:r>
            <w:r>
              <w:rPr>
                <w:spacing w:val="-3"/>
                <w:sz w:val="24"/>
              </w:rPr>
              <w:t> </w:t>
            </w:r>
            <w:r>
              <w:rPr>
                <w:sz w:val="24"/>
              </w:rPr>
              <w:t>Search</w:t>
            </w:r>
            <w:r>
              <w:rPr>
                <w:spacing w:val="-3"/>
                <w:sz w:val="24"/>
              </w:rPr>
              <w:t> </w:t>
            </w:r>
            <w:r>
              <w:rPr>
                <w:sz w:val="24"/>
              </w:rPr>
              <w:t>&amp; Labor </w:t>
            </w:r>
            <w:r>
              <w:rPr>
                <w:spacing w:val="-2"/>
                <w:sz w:val="24"/>
              </w:rPr>
              <w:t>Market</w:t>
            </w:r>
          </w:p>
        </w:tc>
        <w:tc>
          <w:tcPr>
            <w:tcW w:w="2780" w:type="dxa"/>
          </w:tcPr>
          <w:p>
            <w:pPr>
              <w:pStyle w:val="TableParagraph"/>
              <w:spacing w:before="103"/>
              <w:ind w:left="218"/>
              <w:rPr>
                <w:sz w:val="24"/>
              </w:rPr>
            </w:pPr>
            <w:r>
              <w:rPr>
                <w:sz w:val="24"/>
              </w:rPr>
              <w:t>Interview prep, </w:t>
            </w:r>
            <w:r>
              <w:rPr>
                <w:spacing w:val="-4"/>
                <w:sz w:val="24"/>
              </w:rPr>
              <w:t>role</w:t>
            </w:r>
          </w:p>
          <w:p>
            <w:pPr>
              <w:pStyle w:val="TableParagraph"/>
              <w:spacing w:before="3"/>
              <w:ind w:left="218"/>
              <w:rPr>
                <w:sz w:val="24"/>
              </w:rPr>
            </w:pPr>
            <w:r>
              <w:rPr>
                <w:w w:val="105"/>
                <w:sz w:val="24"/>
              </w:rPr>
              <w:t>expectation</w:t>
            </w:r>
            <w:r>
              <w:rPr>
                <w:spacing w:val="1"/>
                <w:w w:val="105"/>
                <w:sz w:val="24"/>
              </w:rPr>
              <w:t> </w:t>
            </w:r>
            <w:r>
              <w:rPr>
                <w:spacing w:val="-2"/>
                <w:w w:val="105"/>
                <w:sz w:val="24"/>
              </w:rPr>
              <w:t>questions</w:t>
            </w:r>
          </w:p>
          <w:p>
            <w:pPr>
              <w:pStyle w:val="TableParagraph"/>
              <w:spacing w:line="271" w:lineRule="auto" w:before="36"/>
              <w:ind w:left="203" w:right="612"/>
              <w:rPr>
                <w:sz w:val="24"/>
              </w:rPr>
            </w:pPr>
            <w:r>
              <w:rPr>
                <w:sz w:val="24"/>
              </w:rPr>
              <w:t>→</w:t>
            </w:r>
            <w:r>
              <w:rPr>
                <w:spacing w:val="40"/>
                <w:sz w:val="24"/>
              </w:rPr>
              <w:t> </w:t>
            </w:r>
            <w:r>
              <w:rPr>
                <w:sz w:val="24"/>
              </w:rPr>
              <w:t>belongs in job search even</w:t>
            </w:r>
            <w:r>
              <w:rPr>
                <w:spacing w:val="40"/>
                <w:sz w:val="24"/>
              </w:rPr>
              <w:t> </w:t>
            </w:r>
            <w:r>
              <w:rPr>
                <w:sz w:val="24"/>
              </w:rPr>
              <w:t>if identity-coded </w:t>
            </w:r>
            <w:r>
              <w:rPr>
                <w:sz w:val="24"/>
              </w:rPr>
              <w:t>text </w:t>
            </w:r>
            <w:r>
              <w:rPr>
                <w:spacing w:val="-2"/>
                <w:sz w:val="24"/>
              </w:rPr>
              <w:t>appears.</w:t>
            </w:r>
          </w:p>
        </w:tc>
      </w:tr>
      <w:tr>
        <w:trPr>
          <w:trHeight w:val="1940" w:hRule="atLeast"/>
        </w:trPr>
        <w:tc>
          <w:tcPr>
            <w:tcW w:w="920" w:type="dxa"/>
          </w:tcPr>
          <w:p>
            <w:pPr>
              <w:pStyle w:val="TableParagraph"/>
              <w:spacing w:before="111"/>
              <w:ind w:right="184"/>
              <w:jc w:val="right"/>
              <w:rPr>
                <w:b/>
                <w:sz w:val="24"/>
              </w:rPr>
            </w:pPr>
            <w:r>
              <w:rPr>
                <w:b/>
                <w:spacing w:val="-10"/>
                <w:sz w:val="24"/>
              </w:rPr>
              <w:t>8</w:t>
            </w:r>
          </w:p>
        </w:tc>
        <w:tc>
          <w:tcPr>
            <w:tcW w:w="1660" w:type="dxa"/>
          </w:tcPr>
          <w:p>
            <w:pPr>
              <w:pStyle w:val="TableParagraph"/>
              <w:spacing w:line="230" w:lineRule="auto" w:before="110"/>
              <w:ind w:left="228" w:right="223"/>
              <w:rPr>
                <w:sz w:val="24"/>
              </w:rPr>
            </w:pPr>
            <w:r>
              <w:rPr>
                <w:spacing w:val="-2"/>
                <w:sz w:val="24"/>
              </w:rPr>
              <w:t>program_y </w:t>
            </w:r>
            <w:r>
              <w:rPr>
                <w:spacing w:val="-4"/>
                <w:sz w:val="24"/>
              </w:rPr>
              <w:t>ear </w:t>
            </w:r>
            <w:r>
              <w:rPr>
                <w:spacing w:val="-2"/>
                <w:sz w:val="24"/>
              </w:rPr>
              <w:t>make_data</w:t>
            </w:r>
          </w:p>
        </w:tc>
        <w:tc>
          <w:tcPr>
            <w:tcW w:w="2440" w:type="dxa"/>
          </w:tcPr>
          <w:p>
            <w:pPr>
              <w:pStyle w:val="TableParagraph"/>
              <w:spacing w:line="230" w:lineRule="auto" w:before="120"/>
              <w:ind w:left="233" w:right="624"/>
              <w:rPr>
                <w:sz w:val="24"/>
              </w:rPr>
            </w:pPr>
            <w:r>
              <w:rPr>
                <w:sz w:val="24"/>
              </w:rPr>
              <w:t>Programs,</w:t>
            </w:r>
            <w:r>
              <w:rPr>
                <w:spacing w:val="-15"/>
                <w:sz w:val="24"/>
              </w:rPr>
              <w:t> </w:t>
            </w:r>
            <w:r>
              <w:rPr>
                <w:sz w:val="24"/>
              </w:rPr>
              <w:t>Early Career PM &amp; Year-to Year </w:t>
            </w:r>
            <w:r>
              <w:rPr>
                <w:spacing w:val="-2"/>
                <w:sz w:val="24"/>
              </w:rPr>
              <w:t>Development</w:t>
            </w:r>
          </w:p>
        </w:tc>
        <w:tc>
          <w:tcPr>
            <w:tcW w:w="1940" w:type="dxa"/>
          </w:tcPr>
          <w:p>
            <w:pPr>
              <w:pStyle w:val="TableParagraph"/>
              <w:spacing w:before="111"/>
              <w:ind w:left="208" w:right="393" w:firstLine="15"/>
              <w:rPr>
                <w:sz w:val="24"/>
              </w:rPr>
            </w:pPr>
            <w:r>
              <w:rPr>
                <w:spacing w:val="-2"/>
                <w:sz w:val="24"/>
              </w:rPr>
              <w:t>Career </w:t>
            </w:r>
            <w:r>
              <w:rPr>
                <w:sz w:val="24"/>
              </w:rPr>
              <w:t>Navigation</w:t>
            </w:r>
            <w:r>
              <w:rPr>
                <w:spacing w:val="-15"/>
                <w:sz w:val="24"/>
              </w:rPr>
              <w:t> </w:t>
            </w:r>
            <w:r>
              <w:rPr>
                <w:sz w:val="24"/>
              </w:rPr>
              <w:t>&amp; PM Identity</w:t>
            </w:r>
          </w:p>
        </w:tc>
        <w:tc>
          <w:tcPr>
            <w:tcW w:w="2780" w:type="dxa"/>
          </w:tcPr>
          <w:p>
            <w:pPr>
              <w:pStyle w:val="TableParagraph"/>
              <w:spacing w:line="271" w:lineRule="auto" w:before="114"/>
              <w:ind w:left="218" w:right="465"/>
              <w:rPr>
                <w:sz w:val="24"/>
              </w:rPr>
            </w:pPr>
            <w:r>
              <w:rPr>
                <w:spacing w:val="-2"/>
                <w:sz w:val="24"/>
              </w:rPr>
              <w:t>“First-year experiences,”</w:t>
            </w:r>
            <w:r>
              <w:rPr>
                <w:spacing w:val="40"/>
                <w:sz w:val="24"/>
              </w:rPr>
              <w:t> </w:t>
            </w:r>
            <w:r>
              <w:rPr>
                <w:sz w:val="24"/>
              </w:rPr>
              <w:t>rotation</w:t>
            </w:r>
            <w:r>
              <w:rPr>
                <w:spacing w:val="56"/>
                <w:sz w:val="24"/>
              </w:rPr>
              <w:t> </w:t>
            </w:r>
            <w:r>
              <w:rPr>
                <w:sz w:val="24"/>
              </w:rPr>
              <w:t>programs</w:t>
            </w:r>
            <w:r>
              <w:rPr>
                <w:spacing w:val="57"/>
                <w:sz w:val="24"/>
              </w:rPr>
              <w:t> </w:t>
            </w:r>
            <w:r>
              <w:rPr>
                <w:spacing w:val="-24"/>
                <w:w w:val="85"/>
                <w:sz w:val="24"/>
              </w:rPr>
              <w:t>→</w:t>
            </w:r>
          </w:p>
          <w:p>
            <w:pPr>
              <w:pStyle w:val="TableParagraph"/>
              <w:spacing w:line="230" w:lineRule="auto" w:before="1"/>
              <w:ind w:left="218" w:right="464"/>
              <w:rPr>
                <w:sz w:val="24"/>
              </w:rPr>
            </w:pPr>
            <w:r>
              <w:rPr>
                <w:sz w:val="24"/>
              </w:rPr>
              <w:t>onboarding/early</w:t>
            </w:r>
            <w:r>
              <w:rPr>
                <w:spacing w:val="-15"/>
                <w:sz w:val="24"/>
              </w:rPr>
              <w:t> </w:t>
            </w:r>
            <w:r>
              <w:rPr>
                <w:sz w:val="24"/>
              </w:rPr>
              <w:t>role identity; sometimes entry level.</w:t>
            </w:r>
          </w:p>
        </w:tc>
      </w:tr>
    </w:tbl>
    <w:p>
      <w:pPr>
        <w:pStyle w:val="TableParagraph"/>
        <w:spacing w:after="0" w:line="230" w:lineRule="auto"/>
        <w:rPr>
          <w:sz w:val="24"/>
        </w:rPr>
        <w:sectPr>
          <w:type w:val="continuous"/>
          <w:pgSz w:w="12240" w:h="15840"/>
          <w:pgMar w:header="0" w:footer="707" w:top="680" w:bottom="960" w:left="720" w:right="0"/>
        </w:sectPr>
      </w:pPr>
    </w:p>
    <w:p>
      <w:pPr>
        <w:spacing w:before="60"/>
        <w:ind w:left="693" w:right="0" w:firstLine="0"/>
        <w:jc w:val="left"/>
        <w:rPr>
          <w:b/>
          <w:sz w:val="24"/>
        </w:rPr>
      </w:pPr>
      <w:r>
        <w:rPr>
          <w:b/>
          <w:sz w:val="24"/>
        </w:rPr>
        <w:t>Appendix B Theme </w:t>
      </w:r>
      <w:r>
        <w:rPr>
          <w:b/>
          <w:spacing w:val="-2"/>
          <w:sz w:val="24"/>
        </w:rPr>
        <w:t>Definitions</w:t>
      </w:r>
    </w:p>
    <w:tbl>
      <w:tblPr>
        <w:tblW w:w="0" w:type="auto"/>
        <w:jc w:val="left"/>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060"/>
        <w:gridCol w:w="2460"/>
        <w:gridCol w:w="5820"/>
      </w:tblGrid>
      <w:tr>
        <w:trPr>
          <w:trHeight w:val="760" w:hRule="atLeast"/>
        </w:trPr>
        <w:tc>
          <w:tcPr>
            <w:tcW w:w="1060" w:type="dxa"/>
          </w:tcPr>
          <w:p>
            <w:pPr>
              <w:pStyle w:val="TableParagraph"/>
              <w:spacing w:before="100"/>
              <w:ind w:left="99" w:right="79" w:firstLine="73"/>
              <w:rPr>
                <w:b/>
                <w:sz w:val="24"/>
              </w:rPr>
            </w:pPr>
            <w:r>
              <w:rPr>
                <w:b/>
                <w:spacing w:val="-2"/>
                <w:sz w:val="24"/>
              </w:rPr>
              <w:t>Theme Number</w:t>
            </w:r>
          </w:p>
        </w:tc>
        <w:tc>
          <w:tcPr>
            <w:tcW w:w="2460" w:type="dxa"/>
          </w:tcPr>
          <w:p>
            <w:pPr>
              <w:pStyle w:val="TableParagraph"/>
              <w:spacing w:before="100"/>
              <w:ind w:left="545"/>
              <w:rPr>
                <w:b/>
                <w:sz w:val="24"/>
              </w:rPr>
            </w:pPr>
            <w:r>
              <w:rPr>
                <w:b/>
                <w:sz w:val="24"/>
              </w:rPr>
              <w:t>Theme </w:t>
            </w:r>
            <w:r>
              <w:rPr>
                <w:b/>
                <w:spacing w:val="-4"/>
                <w:sz w:val="24"/>
              </w:rPr>
              <w:t>Name</w:t>
            </w:r>
          </w:p>
        </w:tc>
        <w:tc>
          <w:tcPr>
            <w:tcW w:w="5820" w:type="dxa"/>
          </w:tcPr>
          <w:p>
            <w:pPr>
              <w:pStyle w:val="TableParagraph"/>
              <w:spacing w:before="100"/>
              <w:ind w:left="17"/>
              <w:jc w:val="center"/>
              <w:rPr>
                <w:b/>
                <w:sz w:val="24"/>
              </w:rPr>
            </w:pPr>
            <w:r>
              <w:rPr>
                <w:b/>
                <w:spacing w:val="-2"/>
                <w:sz w:val="24"/>
              </w:rPr>
              <w:t>Definition</w:t>
            </w:r>
          </w:p>
        </w:tc>
      </w:tr>
      <w:tr>
        <w:trPr>
          <w:trHeight w:val="2579" w:hRule="atLeast"/>
        </w:trPr>
        <w:tc>
          <w:tcPr>
            <w:tcW w:w="1060" w:type="dxa"/>
          </w:tcPr>
          <w:p>
            <w:pPr>
              <w:pStyle w:val="TableParagraph"/>
              <w:spacing w:before="97"/>
              <w:ind w:left="20" w:right="80"/>
              <w:jc w:val="center"/>
              <w:rPr>
                <w:sz w:val="24"/>
              </w:rPr>
            </w:pPr>
            <w:r>
              <w:rPr>
                <w:spacing w:val="-10"/>
                <w:sz w:val="24"/>
              </w:rPr>
              <w:t>1</w:t>
            </w:r>
          </w:p>
        </w:tc>
        <w:tc>
          <w:tcPr>
            <w:tcW w:w="2460" w:type="dxa"/>
          </w:tcPr>
          <w:p>
            <w:pPr>
              <w:pStyle w:val="TableParagraph"/>
              <w:spacing w:line="230" w:lineRule="auto" w:before="97"/>
              <w:ind w:left="223" w:right="446"/>
              <w:rPr>
                <w:sz w:val="24"/>
              </w:rPr>
            </w:pPr>
            <w:r>
              <w:rPr>
                <w:sz w:val="24"/>
              </w:rPr>
              <w:t>Career</w:t>
            </w:r>
            <w:r>
              <w:rPr>
                <w:spacing w:val="-15"/>
                <w:sz w:val="24"/>
              </w:rPr>
              <w:t> </w:t>
            </w:r>
            <w:r>
              <w:rPr>
                <w:sz w:val="24"/>
              </w:rPr>
              <w:t>Navigation &amp;</w:t>
            </w:r>
            <w:r>
              <w:rPr>
                <w:spacing w:val="40"/>
                <w:sz w:val="24"/>
              </w:rPr>
              <w:t> </w:t>
            </w:r>
            <w:r>
              <w:rPr>
                <w:sz w:val="24"/>
              </w:rPr>
              <w:t>PM Identity</w:t>
            </w:r>
          </w:p>
        </w:tc>
        <w:tc>
          <w:tcPr>
            <w:tcW w:w="5820" w:type="dxa"/>
          </w:tcPr>
          <w:p>
            <w:pPr>
              <w:pStyle w:val="TableParagraph"/>
              <w:spacing w:line="230" w:lineRule="auto" w:before="97"/>
              <w:ind w:left="223" w:right="392"/>
              <w:rPr>
                <w:sz w:val="24"/>
              </w:rPr>
            </w:pPr>
            <w:r>
              <w:rPr>
                <w:sz w:val="24"/>
              </w:rPr>
              <w:t>Posts in which individuals are trying to understand, negotiate, or reshape their place within the project management</w:t>
            </w:r>
            <w:r>
              <w:rPr>
                <w:spacing w:val="-8"/>
                <w:sz w:val="24"/>
              </w:rPr>
              <w:t> </w:t>
            </w:r>
            <w:r>
              <w:rPr>
                <w:sz w:val="24"/>
              </w:rPr>
              <w:t>profession.</w:t>
            </w:r>
            <w:r>
              <w:rPr>
                <w:spacing w:val="-8"/>
                <w:sz w:val="24"/>
              </w:rPr>
              <w:t> </w:t>
            </w:r>
            <w:r>
              <w:rPr>
                <w:sz w:val="24"/>
              </w:rPr>
              <w:t>This</w:t>
            </w:r>
            <w:r>
              <w:rPr>
                <w:spacing w:val="-8"/>
                <w:sz w:val="24"/>
              </w:rPr>
              <w:t> </w:t>
            </w:r>
            <w:r>
              <w:rPr>
                <w:sz w:val="24"/>
              </w:rPr>
              <w:t>theme</w:t>
            </w:r>
            <w:r>
              <w:rPr>
                <w:spacing w:val="-8"/>
                <w:sz w:val="24"/>
              </w:rPr>
              <w:t> </w:t>
            </w:r>
            <w:r>
              <w:rPr>
                <w:sz w:val="24"/>
              </w:rPr>
              <w:t>captures</w:t>
            </w:r>
            <w:r>
              <w:rPr>
                <w:spacing w:val="-8"/>
                <w:sz w:val="24"/>
              </w:rPr>
              <w:t> </w:t>
            </w:r>
            <w:r>
              <w:rPr>
                <w:sz w:val="24"/>
              </w:rPr>
              <w:t>identity formation (“Am I a PM?”), role exploration,</w:t>
            </w:r>
          </w:p>
          <w:p>
            <w:pPr>
              <w:pStyle w:val="TableParagraph"/>
              <w:spacing w:line="230" w:lineRule="auto"/>
              <w:ind w:left="223" w:right="392"/>
              <w:rPr>
                <w:sz w:val="24"/>
              </w:rPr>
            </w:pPr>
            <w:r>
              <w:rPr>
                <w:sz w:val="24"/>
              </w:rPr>
              <w:t>early-career</w:t>
            </w:r>
            <w:r>
              <w:rPr>
                <w:spacing w:val="40"/>
                <w:sz w:val="24"/>
              </w:rPr>
              <w:t> </w:t>
            </w:r>
            <w:r>
              <w:rPr>
                <w:sz w:val="24"/>
              </w:rPr>
              <w:t>decisions, growth and specialization questions, industry</w:t>
            </w:r>
            <w:r>
              <w:rPr>
                <w:spacing w:val="40"/>
                <w:sz w:val="24"/>
              </w:rPr>
              <w:t> </w:t>
            </w:r>
            <w:r>
              <w:rPr>
                <w:sz w:val="24"/>
              </w:rPr>
              <w:t>transitions, and career-direction uncertainty. The central</w:t>
            </w:r>
            <w:r>
              <w:rPr>
                <w:spacing w:val="40"/>
                <w:sz w:val="24"/>
              </w:rPr>
              <w:t> </w:t>
            </w:r>
            <w:r>
              <w:rPr>
                <w:sz w:val="24"/>
              </w:rPr>
              <w:t>feature is a request for help making</w:t>
            </w:r>
            <w:r>
              <w:rPr>
                <w:spacing w:val="-8"/>
                <w:sz w:val="24"/>
              </w:rPr>
              <w:t> </w:t>
            </w:r>
            <w:r>
              <w:rPr>
                <w:sz w:val="24"/>
              </w:rPr>
              <w:t>sense</w:t>
            </w:r>
            <w:r>
              <w:rPr>
                <w:spacing w:val="-8"/>
                <w:sz w:val="24"/>
              </w:rPr>
              <w:t> </w:t>
            </w:r>
            <w:r>
              <w:rPr>
                <w:sz w:val="24"/>
              </w:rPr>
              <w:t>of</w:t>
            </w:r>
            <w:r>
              <w:rPr>
                <w:spacing w:val="-8"/>
                <w:sz w:val="24"/>
              </w:rPr>
              <w:t> </w:t>
            </w:r>
            <w:r>
              <w:rPr>
                <w:sz w:val="24"/>
              </w:rPr>
              <w:t>one’s</w:t>
            </w:r>
            <w:r>
              <w:rPr>
                <w:spacing w:val="40"/>
                <w:sz w:val="24"/>
              </w:rPr>
              <w:t> </w:t>
            </w:r>
            <w:r>
              <w:rPr>
                <w:sz w:val="24"/>
              </w:rPr>
              <w:t>professional</w:t>
            </w:r>
            <w:r>
              <w:rPr>
                <w:spacing w:val="-8"/>
                <w:sz w:val="24"/>
              </w:rPr>
              <w:t> </w:t>
            </w:r>
            <w:r>
              <w:rPr>
                <w:sz w:val="24"/>
              </w:rPr>
              <w:t>trajectory</w:t>
            </w:r>
            <w:r>
              <w:rPr>
                <w:spacing w:val="-8"/>
                <w:sz w:val="24"/>
              </w:rPr>
              <w:t> </w:t>
            </w:r>
            <w:r>
              <w:rPr>
                <w:sz w:val="24"/>
              </w:rPr>
              <w:t>relative to the PM role.</w:t>
            </w:r>
          </w:p>
        </w:tc>
      </w:tr>
      <w:tr>
        <w:trPr>
          <w:trHeight w:val="1900" w:hRule="atLeast"/>
        </w:trPr>
        <w:tc>
          <w:tcPr>
            <w:tcW w:w="1060" w:type="dxa"/>
          </w:tcPr>
          <w:p>
            <w:pPr>
              <w:pStyle w:val="TableParagraph"/>
              <w:spacing w:before="102"/>
              <w:ind w:left="72" w:right="60"/>
              <w:jc w:val="center"/>
              <w:rPr>
                <w:sz w:val="24"/>
              </w:rPr>
            </w:pPr>
            <w:r>
              <w:rPr>
                <w:spacing w:val="-10"/>
                <w:sz w:val="24"/>
              </w:rPr>
              <w:t>2</w:t>
            </w:r>
          </w:p>
        </w:tc>
        <w:tc>
          <w:tcPr>
            <w:tcW w:w="2460" w:type="dxa"/>
          </w:tcPr>
          <w:p>
            <w:pPr>
              <w:pStyle w:val="TableParagraph"/>
              <w:spacing w:line="230" w:lineRule="auto" w:before="101"/>
              <w:ind w:left="223" w:right="822"/>
              <w:rPr>
                <w:sz w:val="24"/>
              </w:rPr>
            </w:pPr>
            <w:r>
              <w:rPr>
                <w:sz w:val="24"/>
              </w:rPr>
              <w:t>Job Search &amp; Labor</w:t>
            </w:r>
            <w:r>
              <w:rPr>
                <w:spacing w:val="60"/>
                <w:sz w:val="24"/>
              </w:rPr>
              <w:t> </w:t>
            </w:r>
            <w:r>
              <w:rPr>
                <w:spacing w:val="-2"/>
                <w:sz w:val="24"/>
              </w:rPr>
              <w:t>Market</w:t>
            </w:r>
          </w:p>
        </w:tc>
        <w:tc>
          <w:tcPr>
            <w:tcW w:w="5820" w:type="dxa"/>
          </w:tcPr>
          <w:p>
            <w:pPr>
              <w:pStyle w:val="TableParagraph"/>
              <w:spacing w:line="230" w:lineRule="auto" w:before="101"/>
              <w:ind w:left="223" w:right="392"/>
              <w:rPr>
                <w:sz w:val="24"/>
              </w:rPr>
            </w:pPr>
            <w:r>
              <w:rPr>
                <w:sz w:val="24"/>
              </w:rPr>
              <w:t>Posts</w:t>
            </w:r>
            <w:r>
              <w:rPr>
                <w:spacing w:val="-4"/>
                <w:sz w:val="24"/>
              </w:rPr>
              <w:t> </w:t>
            </w:r>
            <w:r>
              <w:rPr>
                <w:sz w:val="24"/>
              </w:rPr>
              <w:t>focused</w:t>
            </w:r>
            <w:r>
              <w:rPr>
                <w:spacing w:val="-4"/>
                <w:sz w:val="24"/>
              </w:rPr>
              <w:t> </w:t>
            </w:r>
            <w:r>
              <w:rPr>
                <w:sz w:val="24"/>
              </w:rPr>
              <w:t>on</w:t>
            </w:r>
            <w:r>
              <w:rPr>
                <w:spacing w:val="-4"/>
                <w:sz w:val="24"/>
              </w:rPr>
              <w:t> </w:t>
            </w:r>
            <w:r>
              <w:rPr>
                <w:sz w:val="24"/>
              </w:rPr>
              <w:t>the</w:t>
            </w:r>
            <w:r>
              <w:rPr>
                <w:spacing w:val="-4"/>
                <w:sz w:val="24"/>
              </w:rPr>
              <w:t> </w:t>
            </w:r>
            <w:r>
              <w:rPr>
                <w:sz w:val="24"/>
              </w:rPr>
              <w:t>process</w:t>
            </w:r>
            <w:r>
              <w:rPr>
                <w:spacing w:val="-4"/>
                <w:sz w:val="24"/>
              </w:rPr>
              <w:t> </w:t>
            </w:r>
            <w:r>
              <w:rPr>
                <w:sz w:val="24"/>
              </w:rPr>
              <w:t>of</w:t>
            </w:r>
            <w:r>
              <w:rPr>
                <w:spacing w:val="-4"/>
                <w:sz w:val="24"/>
              </w:rPr>
              <w:t> </w:t>
            </w:r>
            <w:r>
              <w:rPr>
                <w:sz w:val="24"/>
              </w:rPr>
              <w:t>getting</w:t>
            </w:r>
            <w:r>
              <w:rPr>
                <w:spacing w:val="-4"/>
                <w:sz w:val="24"/>
              </w:rPr>
              <w:t> </w:t>
            </w:r>
            <w:r>
              <w:rPr>
                <w:sz w:val="24"/>
              </w:rPr>
              <w:t>hired</w:t>
            </w:r>
            <w:r>
              <w:rPr>
                <w:spacing w:val="-4"/>
                <w:sz w:val="24"/>
              </w:rPr>
              <w:t> </w:t>
            </w:r>
            <w:r>
              <w:rPr>
                <w:sz w:val="24"/>
              </w:rPr>
              <w:t>into</w:t>
            </w:r>
            <w:r>
              <w:rPr>
                <w:spacing w:val="-4"/>
                <w:sz w:val="24"/>
              </w:rPr>
              <w:t> </w:t>
            </w:r>
            <w:r>
              <w:rPr>
                <w:sz w:val="24"/>
              </w:rPr>
              <w:t>PM roles</w:t>
            </w:r>
            <w:r>
              <w:rPr>
                <w:spacing w:val="-2"/>
                <w:sz w:val="24"/>
              </w:rPr>
              <w:t> </w:t>
            </w:r>
            <w:r>
              <w:rPr>
                <w:sz w:val="24"/>
              </w:rPr>
              <w:t>or</w:t>
            </w:r>
            <w:r>
              <w:rPr>
                <w:spacing w:val="-2"/>
                <w:sz w:val="24"/>
              </w:rPr>
              <w:t> </w:t>
            </w:r>
            <w:r>
              <w:rPr>
                <w:sz w:val="24"/>
              </w:rPr>
              <w:t>navigating</w:t>
            </w:r>
            <w:r>
              <w:rPr>
                <w:spacing w:val="-2"/>
                <w:sz w:val="24"/>
              </w:rPr>
              <w:t> </w:t>
            </w:r>
            <w:r>
              <w:rPr>
                <w:sz w:val="24"/>
              </w:rPr>
              <w:t>the</w:t>
            </w:r>
            <w:r>
              <w:rPr>
                <w:spacing w:val="-2"/>
                <w:sz w:val="24"/>
              </w:rPr>
              <w:t> </w:t>
            </w:r>
            <w:r>
              <w:rPr>
                <w:sz w:val="24"/>
              </w:rPr>
              <w:t>current</w:t>
            </w:r>
            <w:r>
              <w:rPr>
                <w:spacing w:val="-2"/>
                <w:sz w:val="24"/>
              </w:rPr>
              <w:t> </w:t>
            </w:r>
            <w:r>
              <w:rPr>
                <w:sz w:val="24"/>
              </w:rPr>
              <w:t>labor</w:t>
            </w:r>
            <w:r>
              <w:rPr>
                <w:spacing w:val="-2"/>
                <w:sz w:val="24"/>
              </w:rPr>
              <w:t> </w:t>
            </w:r>
            <w:r>
              <w:rPr>
                <w:sz w:val="24"/>
              </w:rPr>
              <w:t>market.</w:t>
            </w:r>
            <w:r>
              <w:rPr>
                <w:spacing w:val="-2"/>
                <w:sz w:val="24"/>
              </w:rPr>
              <w:t> </w:t>
            </w:r>
            <w:r>
              <w:rPr>
                <w:sz w:val="24"/>
              </w:rPr>
              <w:t>Includes résumé review, interview strategy, hiring expectations,</w:t>
            </w:r>
            <w:r>
              <w:rPr>
                <w:spacing w:val="40"/>
                <w:sz w:val="24"/>
              </w:rPr>
              <w:t> </w:t>
            </w:r>
            <w:r>
              <w:rPr>
                <w:sz w:val="24"/>
              </w:rPr>
              <w:t>compensation</w:t>
            </w:r>
            <w:r>
              <w:rPr>
                <w:spacing w:val="-9"/>
                <w:sz w:val="24"/>
              </w:rPr>
              <w:t> </w:t>
            </w:r>
            <w:r>
              <w:rPr>
                <w:sz w:val="24"/>
              </w:rPr>
              <w:t>benchmarking,</w:t>
            </w:r>
            <w:r>
              <w:rPr>
                <w:spacing w:val="-9"/>
                <w:sz w:val="24"/>
              </w:rPr>
              <w:t> </w:t>
            </w:r>
            <w:r>
              <w:rPr>
                <w:sz w:val="24"/>
              </w:rPr>
              <w:t>and</w:t>
            </w:r>
            <w:r>
              <w:rPr>
                <w:spacing w:val="-9"/>
                <w:sz w:val="24"/>
              </w:rPr>
              <w:t> </w:t>
            </w:r>
            <w:r>
              <w:rPr>
                <w:sz w:val="24"/>
              </w:rPr>
              <w:t>offer evaluation. The</w:t>
            </w:r>
            <w:r>
              <w:rPr>
                <w:spacing w:val="40"/>
                <w:sz w:val="24"/>
              </w:rPr>
              <w:t> </w:t>
            </w:r>
            <w:r>
              <w:rPr>
                <w:sz w:val="24"/>
              </w:rPr>
              <w:t>defining feature is a request for practical help with</w:t>
            </w:r>
            <w:r>
              <w:rPr>
                <w:spacing w:val="40"/>
                <w:sz w:val="24"/>
              </w:rPr>
              <w:t> </w:t>
            </w:r>
            <w:r>
              <w:rPr>
                <w:sz w:val="24"/>
              </w:rPr>
              <w:t>obtaining or evaluating jobs.</w:t>
            </w:r>
          </w:p>
        </w:tc>
      </w:tr>
      <w:tr>
        <w:trPr>
          <w:trHeight w:val="1519" w:hRule="atLeast"/>
        </w:trPr>
        <w:tc>
          <w:tcPr>
            <w:tcW w:w="1060" w:type="dxa"/>
          </w:tcPr>
          <w:p>
            <w:pPr>
              <w:pStyle w:val="TableParagraph"/>
              <w:spacing w:before="87"/>
              <w:ind w:left="72" w:right="60"/>
              <w:jc w:val="center"/>
              <w:rPr>
                <w:sz w:val="24"/>
              </w:rPr>
            </w:pPr>
            <w:r>
              <w:rPr>
                <w:spacing w:val="-10"/>
                <w:sz w:val="24"/>
              </w:rPr>
              <w:t>3</w:t>
            </w:r>
          </w:p>
        </w:tc>
        <w:tc>
          <w:tcPr>
            <w:tcW w:w="2460" w:type="dxa"/>
          </w:tcPr>
          <w:p>
            <w:pPr>
              <w:pStyle w:val="TableParagraph"/>
              <w:spacing w:line="235" w:lineRule="auto" w:before="82"/>
              <w:ind w:left="223" w:right="446"/>
              <w:rPr>
                <w:sz w:val="24"/>
              </w:rPr>
            </w:pPr>
            <w:r>
              <w:rPr>
                <w:sz w:val="24"/>
              </w:rPr>
              <w:t>PM Practice Methods</w:t>
            </w:r>
            <w:r>
              <w:rPr>
                <w:spacing w:val="40"/>
                <w:sz w:val="24"/>
              </w:rPr>
              <w:t> </w:t>
            </w:r>
            <w:r>
              <w:rPr>
                <w:sz w:val="24"/>
              </w:rPr>
              <w:t>&amp; </w:t>
            </w:r>
            <w:r>
              <w:rPr>
                <w:spacing w:val="-2"/>
                <w:sz w:val="24"/>
              </w:rPr>
              <w:t>Organizational Capability</w:t>
            </w:r>
          </w:p>
        </w:tc>
        <w:tc>
          <w:tcPr>
            <w:tcW w:w="5820" w:type="dxa"/>
          </w:tcPr>
          <w:p>
            <w:pPr>
              <w:pStyle w:val="TableParagraph"/>
              <w:spacing w:line="230" w:lineRule="auto" w:before="86"/>
              <w:ind w:left="223" w:right="486"/>
              <w:rPr>
                <w:sz w:val="24"/>
              </w:rPr>
            </w:pPr>
            <w:r>
              <w:rPr>
                <w:sz w:val="24"/>
              </w:rPr>
              <w:t>Posts centered on the execution of project management</w:t>
            </w:r>
            <w:r>
              <w:rPr>
                <w:spacing w:val="40"/>
                <w:sz w:val="24"/>
              </w:rPr>
              <w:t> </w:t>
            </w:r>
            <w:r>
              <w:rPr>
                <w:sz w:val="24"/>
              </w:rPr>
              <w:t>practice,</w:t>
            </w:r>
            <w:r>
              <w:rPr>
                <w:spacing w:val="-7"/>
                <w:sz w:val="24"/>
              </w:rPr>
              <w:t> </w:t>
            </w:r>
            <w:r>
              <w:rPr>
                <w:sz w:val="24"/>
              </w:rPr>
              <w:t>including</w:t>
            </w:r>
            <w:r>
              <w:rPr>
                <w:spacing w:val="-7"/>
                <w:sz w:val="24"/>
              </w:rPr>
              <w:t> </w:t>
            </w:r>
            <w:r>
              <w:rPr>
                <w:sz w:val="24"/>
              </w:rPr>
              <w:t>learning</w:t>
            </w:r>
            <w:r>
              <w:rPr>
                <w:spacing w:val="-7"/>
                <w:sz w:val="24"/>
              </w:rPr>
              <w:t> </w:t>
            </w:r>
            <w:r>
              <w:rPr>
                <w:sz w:val="24"/>
              </w:rPr>
              <w:t>PM</w:t>
            </w:r>
            <w:r>
              <w:rPr>
                <w:spacing w:val="-7"/>
                <w:sz w:val="24"/>
              </w:rPr>
              <w:t> </w:t>
            </w:r>
            <w:r>
              <w:rPr>
                <w:sz w:val="24"/>
              </w:rPr>
              <w:t>skills, applying</w:t>
            </w:r>
            <w:r>
              <w:rPr>
                <w:spacing w:val="40"/>
                <w:sz w:val="24"/>
              </w:rPr>
              <w:t> </w:t>
            </w:r>
            <w:r>
              <w:rPr>
                <w:sz w:val="24"/>
              </w:rPr>
              <w:t>frameworks, optimizing processes, choosing tools, and</w:t>
            </w:r>
            <w:r>
              <w:rPr>
                <w:spacing w:val="40"/>
                <w:sz w:val="24"/>
              </w:rPr>
              <w:t> </w:t>
            </w:r>
            <w:r>
              <w:rPr>
                <w:sz w:val="24"/>
              </w:rPr>
              <w:t>navigating organizational maturity. The focus is on the</w:t>
            </w:r>
            <w:r>
              <w:rPr>
                <w:spacing w:val="40"/>
                <w:sz w:val="24"/>
              </w:rPr>
              <w:t> </w:t>
            </w:r>
            <w:r>
              <w:rPr>
                <w:sz w:val="24"/>
              </w:rPr>
              <w:t>work, not the career.</w:t>
            </w:r>
          </w:p>
        </w:tc>
      </w:tr>
      <w:tr>
        <w:trPr>
          <w:trHeight w:val="1800" w:hRule="atLeast"/>
        </w:trPr>
        <w:tc>
          <w:tcPr>
            <w:tcW w:w="1060" w:type="dxa"/>
          </w:tcPr>
          <w:p>
            <w:pPr>
              <w:pStyle w:val="TableParagraph"/>
              <w:spacing w:before="94"/>
              <w:ind w:left="72" w:right="60"/>
              <w:jc w:val="center"/>
              <w:rPr>
                <w:sz w:val="24"/>
              </w:rPr>
            </w:pPr>
            <w:r>
              <w:rPr>
                <w:spacing w:val="-10"/>
                <w:sz w:val="24"/>
              </w:rPr>
              <w:t>4</w:t>
            </w:r>
          </w:p>
        </w:tc>
        <w:tc>
          <w:tcPr>
            <w:tcW w:w="2460" w:type="dxa"/>
          </w:tcPr>
          <w:p>
            <w:pPr>
              <w:pStyle w:val="TableParagraph"/>
              <w:spacing w:before="94"/>
              <w:ind w:left="223"/>
              <w:rPr>
                <w:sz w:val="24"/>
              </w:rPr>
            </w:pPr>
            <w:r>
              <w:rPr>
                <w:spacing w:val="-2"/>
                <w:sz w:val="24"/>
              </w:rPr>
              <w:t>Interpersonal Organizational Dynamics</w:t>
            </w:r>
          </w:p>
        </w:tc>
        <w:tc>
          <w:tcPr>
            <w:tcW w:w="5820" w:type="dxa"/>
          </w:tcPr>
          <w:p>
            <w:pPr>
              <w:pStyle w:val="TableParagraph"/>
              <w:spacing w:line="230" w:lineRule="auto" w:before="93"/>
              <w:ind w:left="223" w:right="238"/>
              <w:rPr>
                <w:sz w:val="24"/>
              </w:rPr>
            </w:pPr>
            <w:r>
              <w:rPr>
                <w:sz w:val="24"/>
              </w:rPr>
              <w:t>Posts describing the human side of project management:</w:t>
            </w:r>
            <w:r>
              <w:rPr>
                <w:spacing w:val="40"/>
                <w:sz w:val="24"/>
              </w:rPr>
              <w:t> </w:t>
            </w:r>
            <w:r>
              <w:rPr>
                <w:sz w:val="24"/>
              </w:rPr>
              <w:t>burnout, conflict, power struggles, unclear expectations,</w:t>
            </w:r>
            <w:r>
              <w:rPr>
                <w:spacing w:val="40"/>
                <w:sz w:val="24"/>
              </w:rPr>
              <w:t> </w:t>
            </w:r>
            <w:r>
              <w:rPr>
                <w:sz w:val="24"/>
              </w:rPr>
              <w:t>stakeholder tensions, and organizational dysfunction.</w:t>
            </w:r>
            <w:r>
              <w:rPr>
                <w:spacing w:val="40"/>
                <w:sz w:val="24"/>
              </w:rPr>
              <w:t> </w:t>
            </w:r>
            <w:r>
              <w:rPr>
                <w:sz w:val="24"/>
              </w:rPr>
              <w:t>These posts often carry emotional</w:t>
            </w:r>
            <w:r>
              <w:rPr>
                <w:spacing w:val="-5"/>
                <w:sz w:val="24"/>
              </w:rPr>
              <w:t> </w:t>
            </w:r>
            <w:r>
              <w:rPr>
                <w:sz w:val="24"/>
              </w:rPr>
              <w:t>weight</w:t>
            </w:r>
            <w:r>
              <w:rPr>
                <w:spacing w:val="-5"/>
                <w:sz w:val="24"/>
              </w:rPr>
              <w:t> </w:t>
            </w:r>
            <w:r>
              <w:rPr>
                <w:sz w:val="24"/>
              </w:rPr>
              <w:t>and</w:t>
            </w:r>
            <w:r>
              <w:rPr>
                <w:spacing w:val="-5"/>
                <w:sz w:val="24"/>
              </w:rPr>
              <w:t> </w:t>
            </w:r>
            <w:r>
              <w:rPr>
                <w:sz w:val="24"/>
              </w:rPr>
              <w:t>reveal</w:t>
            </w:r>
            <w:r>
              <w:rPr>
                <w:spacing w:val="-5"/>
                <w:sz w:val="24"/>
              </w:rPr>
              <w:t> </w:t>
            </w:r>
            <w:r>
              <w:rPr>
                <w:sz w:val="24"/>
              </w:rPr>
              <w:t>PMs'</w:t>
            </w:r>
            <w:r>
              <w:rPr>
                <w:spacing w:val="40"/>
                <w:sz w:val="24"/>
              </w:rPr>
              <w:t> </w:t>
            </w:r>
            <w:r>
              <w:rPr>
                <w:sz w:val="24"/>
              </w:rPr>
              <w:t>lived</w:t>
            </w:r>
            <w:r>
              <w:rPr>
                <w:spacing w:val="-5"/>
                <w:sz w:val="24"/>
              </w:rPr>
              <w:t> </w:t>
            </w:r>
            <w:r>
              <w:rPr>
                <w:sz w:val="24"/>
              </w:rPr>
              <w:t>experience</w:t>
            </w:r>
            <w:r>
              <w:rPr>
                <w:spacing w:val="-5"/>
                <w:sz w:val="24"/>
              </w:rPr>
              <w:t> </w:t>
            </w:r>
            <w:r>
              <w:rPr>
                <w:sz w:val="24"/>
              </w:rPr>
              <w:t>in complex systems.</w:t>
            </w:r>
          </w:p>
        </w:tc>
      </w:tr>
      <w:tr>
        <w:trPr>
          <w:trHeight w:val="2579" w:hRule="atLeast"/>
        </w:trPr>
        <w:tc>
          <w:tcPr>
            <w:tcW w:w="1060" w:type="dxa"/>
          </w:tcPr>
          <w:p>
            <w:pPr>
              <w:pStyle w:val="TableParagraph"/>
              <w:rPr>
                <w:sz w:val="24"/>
              </w:rPr>
            </w:pPr>
          </w:p>
        </w:tc>
        <w:tc>
          <w:tcPr>
            <w:tcW w:w="2460" w:type="dxa"/>
          </w:tcPr>
          <w:p>
            <w:pPr>
              <w:pStyle w:val="TableParagraph"/>
              <w:spacing w:line="230" w:lineRule="auto" w:before="85"/>
              <w:ind w:left="223" w:right="342"/>
              <w:rPr>
                <w:sz w:val="24"/>
              </w:rPr>
            </w:pPr>
            <w:r>
              <w:rPr>
                <w:b/>
                <w:spacing w:val="-2"/>
                <w:sz w:val="24"/>
              </w:rPr>
              <w:t>Cross-Cutting </w:t>
            </w:r>
            <w:r>
              <w:rPr>
                <w:b/>
                <w:sz w:val="24"/>
              </w:rPr>
              <w:t>Tag</w:t>
            </w:r>
            <w:r>
              <w:rPr>
                <w:sz w:val="24"/>
              </w:rPr>
              <w:t>:</w:t>
            </w:r>
            <w:r>
              <w:rPr>
                <w:spacing w:val="18"/>
                <w:sz w:val="24"/>
              </w:rPr>
              <w:t> </w:t>
            </w:r>
            <w:r>
              <w:rPr>
                <w:sz w:val="24"/>
              </w:rPr>
              <w:t>Certification</w:t>
            </w:r>
          </w:p>
        </w:tc>
        <w:tc>
          <w:tcPr>
            <w:tcW w:w="5820" w:type="dxa"/>
          </w:tcPr>
          <w:p>
            <w:pPr>
              <w:pStyle w:val="TableParagraph"/>
              <w:spacing w:line="230" w:lineRule="auto" w:before="85"/>
              <w:ind w:left="223" w:right="486"/>
              <w:rPr>
                <w:sz w:val="24"/>
              </w:rPr>
            </w:pPr>
            <w:r>
              <w:rPr>
                <w:sz w:val="24"/>
              </w:rPr>
              <w:t>A</w:t>
            </w:r>
            <w:r>
              <w:rPr>
                <w:spacing w:val="-7"/>
                <w:sz w:val="24"/>
              </w:rPr>
              <w:t> </w:t>
            </w:r>
            <w:r>
              <w:rPr>
                <w:sz w:val="24"/>
              </w:rPr>
              <w:t>supplemental,</w:t>
            </w:r>
            <w:r>
              <w:rPr>
                <w:spacing w:val="-7"/>
                <w:sz w:val="24"/>
              </w:rPr>
              <w:t> </w:t>
            </w:r>
            <w:r>
              <w:rPr>
                <w:sz w:val="24"/>
              </w:rPr>
              <w:t>cross-cutting</w:t>
            </w:r>
            <w:r>
              <w:rPr>
                <w:spacing w:val="-7"/>
                <w:sz w:val="24"/>
              </w:rPr>
              <w:t> </w:t>
            </w:r>
            <w:r>
              <w:rPr>
                <w:sz w:val="24"/>
              </w:rPr>
              <w:t>tag</w:t>
            </w:r>
            <w:r>
              <w:rPr>
                <w:spacing w:val="-7"/>
                <w:sz w:val="24"/>
              </w:rPr>
              <w:t> </w:t>
            </w:r>
            <w:r>
              <w:rPr>
                <w:sz w:val="24"/>
              </w:rPr>
              <w:t>applied</w:t>
            </w:r>
            <w:r>
              <w:rPr>
                <w:spacing w:val="-7"/>
                <w:sz w:val="24"/>
              </w:rPr>
              <w:t> </w:t>
            </w:r>
            <w:r>
              <w:rPr>
                <w:sz w:val="24"/>
              </w:rPr>
              <w:t>to</w:t>
            </w:r>
            <w:r>
              <w:rPr>
                <w:spacing w:val="-7"/>
                <w:sz w:val="24"/>
              </w:rPr>
              <w:t> </w:t>
            </w:r>
            <w:r>
              <w:rPr>
                <w:sz w:val="24"/>
              </w:rPr>
              <w:t>posts that</w:t>
            </w:r>
            <w:r>
              <w:rPr>
                <w:spacing w:val="40"/>
                <w:sz w:val="24"/>
              </w:rPr>
              <w:t> </w:t>
            </w:r>
            <w:r>
              <w:rPr>
                <w:sz w:val="24"/>
              </w:rPr>
              <w:t>explicitly discuss professional certifications related to</w:t>
            </w:r>
            <w:r>
              <w:rPr>
                <w:spacing w:val="40"/>
                <w:sz w:val="24"/>
              </w:rPr>
              <w:t> </w:t>
            </w:r>
            <w:r>
              <w:rPr>
                <w:sz w:val="24"/>
              </w:rPr>
              <w:t>project management, such as PMP, CAPM, PMI-ACP,</w:t>
            </w:r>
          </w:p>
          <w:p>
            <w:pPr>
              <w:pStyle w:val="TableParagraph"/>
              <w:spacing w:line="230" w:lineRule="auto" w:before="3"/>
              <w:ind w:left="223" w:right="238"/>
              <w:rPr>
                <w:sz w:val="24"/>
              </w:rPr>
            </w:pPr>
            <w:r>
              <w:rPr>
                <w:sz w:val="24"/>
              </w:rPr>
              <w:t>CSM, PRINCE2, or similar credentials. The tag identifies</w:t>
            </w:r>
            <w:r>
              <w:rPr>
                <w:spacing w:val="40"/>
                <w:sz w:val="24"/>
              </w:rPr>
              <w:t> </w:t>
            </w:r>
            <w:r>
              <w:rPr>
                <w:sz w:val="24"/>
              </w:rPr>
              <w:t>posts in which certification is a central element</w:t>
            </w:r>
            <w:r>
              <w:rPr>
                <w:spacing w:val="-6"/>
                <w:sz w:val="24"/>
              </w:rPr>
              <w:t> </w:t>
            </w:r>
            <w:r>
              <w:rPr>
                <w:sz w:val="24"/>
              </w:rPr>
              <w:t>of</w:t>
            </w:r>
            <w:r>
              <w:rPr>
                <w:spacing w:val="-6"/>
                <w:sz w:val="24"/>
              </w:rPr>
              <w:t> </w:t>
            </w:r>
            <w:r>
              <w:rPr>
                <w:sz w:val="24"/>
              </w:rPr>
              <w:t>the</w:t>
            </w:r>
            <w:r>
              <w:rPr>
                <w:spacing w:val="40"/>
                <w:sz w:val="24"/>
              </w:rPr>
              <w:t> </w:t>
            </w:r>
            <w:r>
              <w:rPr>
                <w:sz w:val="24"/>
              </w:rPr>
              <w:t>poster’s</w:t>
            </w:r>
            <w:r>
              <w:rPr>
                <w:spacing w:val="-6"/>
                <w:sz w:val="24"/>
              </w:rPr>
              <w:t> </w:t>
            </w:r>
            <w:r>
              <w:rPr>
                <w:sz w:val="24"/>
              </w:rPr>
              <w:t>question,</w:t>
            </w:r>
            <w:r>
              <w:rPr>
                <w:spacing w:val="-6"/>
                <w:sz w:val="24"/>
              </w:rPr>
              <w:t> </w:t>
            </w:r>
            <w:r>
              <w:rPr>
                <w:sz w:val="24"/>
              </w:rPr>
              <w:t>concern,</w:t>
            </w:r>
            <w:r>
              <w:rPr>
                <w:spacing w:val="-6"/>
                <w:sz w:val="24"/>
              </w:rPr>
              <w:t> </w:t>
            </w:r>
            <w:r>
              <w:rPr>
                <w:sz w:val="24"/>
              </w:rPr>
              <w:t>motivation, or decision making process, regardless of the post’s primary theme or</w:t>
            </w:r>
            <w:r>
              <w:rPr>
                <w:spacing w:val="40"/>
                <w:sz w:val="24"/>
              </w:rPr>
              <w:t> </w:t>
            </w:r>
            <w:r>
              <w:rPr>
                <w:sz w:val="24"/>
              </w:rPr>
              <w:t>subtheme.</w:t>
            </w:r>
          </w:p>
        </w:tc>
      </w:tr>
    </w:tbl>
    <w:p>
      <w:pPr>
        <w:pStyle w:val="TableParagraph"/>
        <w:spacing w:after="0" w:line="230" w:lineRule="auto"/>
        <w:rPr>
          <w:sz w:val="24"/>
        </w:rPr>
        <w:sectPr>
          <w:pgSz w:w="12240" w:h="15840"/>
          <w:pgMar w:header="0" w:footer="707" w:top="640" w:bottom="960" w:left="720" w:right="0"/>
        </w:sectPr>
      </w:pPr>
    </w:p>
    <w:p>
      <w:pPr>
        <w:pStyle w:val="Heading3"/>
        <w:spacing w:line="249" w:lineRule="auto"/>
        <w:ind w:left="2602" w:hanging="1214"/>
        <w:jc w:val="left"/>
      </w:pPr>
      <w:bookmarkStart w:name="Scaling Supply Chain 4.0 Implementation:" w:id="70"/>
      <w:bookmarkEnd w:id="70"/>
      <w:r>
        <w:rPr>
          <w:b w:val="0"/>
        </w:rPr>
      </w:r>
      <w:r>
        <w:rPr/>
        <w:t>Scaling</w:t>
      </w:r>
      <w:r>
        <w:rPr>
          <w:spacing w:val="-6"/>
        </w:rPr>
        <w:t> </w:t>
      </w:r>
      <w:r>
        <w:rPr/>
        <w:t>Supply</w:t>
      </w:r>
      <w:r>
        <w:rPr>
          <w:spacing w:val="-6"/>
        </w:rPr>
        <w:t> </w:t>
      </w:r>
      <w:r>
        <w:rPr/>
        <w:t>Chain</w:t>
      </w:r>
      <w:r>
        <w:rPr>
          <w:spacing w:val="-6"/>
        </w:rPr>
        <w:t> </w:t>
      </w:r>
      <w:r>
        <w:rPr/>
        <w:t>4.0</w:t>
      </w:r>
      <w:r>
        <w:rPr>
          <w:spacing w:val="-6"/>
        </w:rPr>
        <w:t> </w:t>
      </w:r>
      <w:r>
        <w:rPr/>
        <w:t>Implementation:</w:t>
      </w:r>
      <w:r>
        <w:rPr>
          <w:spacing w:val="-6"/>
        </w:rPr>
        <w:t> </w:t>
      </w:r>
      <w:r>
        <w:rPr/>
        <w:t>A</w:t>
      </w:r>
      <w:r>
        <w:rPr>
          <w:spacing w:val="-6"/>
        </w:rPr>
        <w:t> </w:t>
      </w:r>
      <w:r>
        <w:rPr/>
        <w:t>Readiness</w:t>
      </w:r>
      <w:r>
        <w:rPr>
          <w:spacing w:val="-6"/>
        </w:rPr>
        <w:t> </w:t>
      </w:r>
      <w:r>
        <w:rPr/>
        <w:t>Capabilities </w:t>
      </w:r>
      <w:bookmarkStart w:name="h.evv854wifg6" w:id="71"/>
      <w:bookmarkEnd w:id="71"/>
      <w:r>
        <w:rPr/>
        <w:t>P</w:t>
      </w:r>
      <w:r>
        <w:rPr/>
        <w:t>erformance Model for SMEs and Large Firms</w:t>
      </w:r>
    </w:p>
    <w:p>
      <w:pPr>
        <w:pStyle w:val="BodyText"/>
        <w:spacing w:before="290"/>
        <w:ind w:right="339"/>
        <w:jc w:val="center"/>
      </w:pPr>
      <w:r>
        <w:rPr/>
        <w:t>Matthew Jenkins and Umit </w:t>
      </w:r>
      <w:r>
        <w:rPr>
          <w:spacing w:val="-2"/>
        </w:rPr>
        <w:t>Saglam</w:t>
      </w:r>
    </w:p>
    <w:p>
      <w:pPr>
        <w:pStyle w:val="BodyText"/>
        <w:spacing w:before="178"/>
        <w:ind w:left="723" w:right="1458" w:firstLine="15"/>
      </w:pPr>
      <w:r>
        <w:rPr/>
        <w:t>Supply chain 4.0 (SC 4.0) represents the future of digitally enabled supply chains, in which data intensive applications and technologies, such as big-data predictive analytics, artificial intelligence (AI), AI-enabled decision support, Internet of Things (IoT), and increasing automation of cyber-physical processes, are not only deployed but also integrated into a smart, holistic framework. The integration of these technologies across the supply chain enhances end to-end</w:t>
      </w:r>
      <w:r>
        <w:rPr>
          <w:spacing w:val="-5"/>
        </w:rPr>
        <w:t> </w:t>
      </w:r>
      <w:r>
        <w:rPr/>
        <w:t>visibility,</w:t>
      </w:r>
      <w:r>
        <w:rPr>
          <w:spacing w:val="-5"/>
        </w:rPr>
        <w:t> </w:t>
      </w:r>
      <w:r>
        <w:rPr/>
        <w:t>improves</w:t>
      </w:r>
      <w:r>
        <w:rPr>
          <w:spacing w:val="-5"/>
        </w:rPr>
        <w:t> </w:t>
      </w:r>
      <w:r>
        <w:rPr/>
        <w:t>decision</w:t>
      </w:r>
      <w:r>
        <w:rPr>
          <w:spacing w:val="-5"/>
        </w:rPr>
        <w:t> </w:t>
      </w:r>
      <w:r>
        <w:rPr/>
        <w:t>responsiveness,</w:t>
      </w:r>
      <w:r>
        <w:rPr>
          <w:spacing w:val="-5"/>
        </w:rPr>
        <w:t> </w:t>
      </w:r>
      <w:r>
        <w:rPr/>
        <w:t>allows</w:t>
      </w:r>
      <w:r>
        <w:rPr>
          <w:spacing w:val="-5"/>
        </w:rPr>
        <w:t> </w:t>
      </w:r>
      <w:r>
        <w:rPr/>
        <w:t>for</w:t>
      </w:r>
      <w:r>
        <w:rPr>
          <w:spacing w:val="-5"/>
        </w:rPr>
        <w:t> </w:t>
      </w:r>
      <w:r>
        <w:rPr/>
        <w:t>mining</w:t>
      </w:r>
      <w:r>
        <w:rPr>
          <w:spacing w:val="-5"/>
        </w:rPr>
        <w:t> </w:t>
      </w:r>
      <w:r>
        <w:rPr/>
        <w:t>and</w:t>
      </w:r>
      <w:r>
        <w:rPr>
          <w:spacing w:val="-5"/>
        </w:rPr>
        <w:t> </w:t>
      </w:r>
      <w:r>
        <w:rPr/>
        <w:t>leveraging</w:t>
      </w:r>
      <w:r>
        <w:rPr>
          <w:spacing w:val="-5"/>
        </w:rPr>
        <w:t> </w:t>
      </w:r>
      <w:r>
        <w:rPr/>
        <w:t>of</w:t>
      </w:r>
      <w:r>
        <w:rPr>
          <w:spacing w:val="-5"/>
        </w:rPr>
        <w:t> </w:t>
      </w:r>
      <w:r>
        <w:rPr/>
        <w:t>big</w:t>
      </w:r>
      <w:r>
        <w:rPr>
          <w:spacing w:val="-5"/>
        </w:rPr>
        <w:t> </w:t>
      </w:r>
      <w:r>
        <w:rPr/>
        <w:t>data, and supports semi-autonomous cyber-physical interactions. SC 4.0 is considered the next evolutionary stage in supply chain digital transformation. In these decision-making, planning, and execution processes, information processes, and even physical activities (e.g., last-mile deliveries) can eventually be automated without human intervention. Although recent literature recognizes that SC 4.0 is becoming a critical capability for competing in the global marketplace, little is known about how specific SC 4.0 building blocks affect supply chain performance. This presents a problem for academics and practitioners alike. Without understanding the value of specific building blocks for SC 4.0 success, how do companies know where to start? This study addresses an important gap by providing guidance on the staging of investments in SC 4.0 technologies based on organizational scale (size) and current organizational capabilities. Using a survey-based methodology, we collected data from 299 manufacturing firms in the U.S. to develop a process model for SC 4.0 readiness capabilities and supply chain performance.</w:t>
      </w:r>
    </w:p>
    <w:p>
      <w:pPr>
        <w:pStyle w:val="BodyText"/>
        <w:ind w:left="723" w:right="1542"/>
      </w:pPr>
      <w:r>
        <w:rPr/>
        <w:t>Structural</w:t>
      </w:r>
      <w:r>
        <w:rPr>
          <w:spacing w:val="-3"/>
        </w:rPr>
        <w:t> </w:t>
      </w:r>
      <w:r>
        <w:rPr/>
        <w:t>equation</w:t>
      </w:r>
      <w:r>
        <w:rPr>
          <w:spacing w:val="-3"/>
        </w:rPr>
        <w:t> </w:t>
      </w:r>
      <w:r>
        <w:rPr/>
        <w:t>modeling</w:t>
      </w:r>
      <w:r>
        <w:rPr>
          <w:spacing w:val="-3"/>
        </w:rPr>
        <w:t> </w:t>
      </w:r>
      <w:r>
        <w:rPr/>
        <w:t>(SEM)</w:t>
      </w:r>
      <w:r>
        <w:rPr>
          <w:spacing w:val="-3"/>
        </w:rPr>
        <w:t> </w:t>
      </w:r>
      <w:r>
        <w:rPr/>
        <w:t>was</w:t>
      </w:r>
      <w:r>
        <w:rPr>
          <w:spacing w:val="-3"/>
        </w:rPr>
        <w:t> </w:t>
      </w:r>
      <w:r>
        <w:rPr/>
        <w:t>used</w:t>
      </w:r>
      <w:r>
        <w:rPr>
          <w:spacing w:val="-3"/>
        </w:rPr>
        <w:t> </w:t>
      </w:r>
      <w:r>
        <w:rPr/>
        <w:t>to</w:t>
      </w:r>
      <w:r>
        <w:rPr>
          <w:spacing w:val="-3"/>
        </w:rPr>
        <w:t> </w:t>
      </w:r>
      <w:r>
        <w:rPr/>
        <w:t>test</w:t>
      </w:r>
      <w:r>
        <w:rPr>
          <w:spacing w:val="-3"/>
        </w:rPr>
        <w:t> </w:t>
      </w:r>
      <w:r>
        <w:rPr/>
        <w:t>the</w:t>
      </w:r>
      <w:r>
        <w:rPr>
          <w:spacing w:val="-3"/>
        </w:rPr>
        <w:t> </w:t>
      </w:r>
      <w:r>
        <w:rPr/>
        <w:t>relationships</w:t>
      </w:r>
      <w:r>
        <w:rPr>
          <w:spacing w:val="-3"/>
        </w:rPr>
        <w:t> </w:t>
      </w:r>
      <w:r>
        <w:rPr/>
        <w:t>between</w:t>
      </w:r>
      <w:r>
        <w:rPr>
          <w:spacing w:val="-3"/>
        </w:rPr>
        <w:t> </w:t>
      </w:r>
      <w:r>
        <w:rPr/>
        <w:t>SC</w:t>
      </w:r>
      <w:r>
        <w:rPr>
          <w:spacing w:val="-3"/>
        </w:rPr>
        <w:t> </w:t>
      </w:r>
      <w:r>
        <w:rPr/>
        <w:t>4.0</w:t>
      </w:r>
      <w:r>
        <w:rPr>
          <w:spacing w:val="-3"/>
        </w:rPr>
        <w:t> </w:t>
      </w:r>
      <w:r>
        <w:rPr/>
        <w:t>readiness capabilities and performance. Here, we operationalize SC 4.0 readiness capability as a multidimensional “capability bundle” construct. The final sample included both small- to medium-sized enterprises (SMEs) and large firms, enabling us to compare structural relationships across organizational size and to determine boundary conditions. Our findings</w:t>
      </w:r>
    </w:p>
    <w:p>
      <w:pPr>
        <w:pStyle w:val="BodyText"/>
        <w:ind w:left="723" w:right="1392"/>
      </w:pPr>
      <w:r>
        <w:rPr/>
        <w:t>revealed</w:t>
      </w:r>
      <w:r>
        <w:rPr>
          <w:spacing w:val="-4"/>
        </w:rPr>
        <w:t> </w:t>
      </w:r>
      <w:r>
        <w:rPr/>
        <w:t>that</w:t>
      </w:r>
      <w:r>
        <w:rPr>
          <w:spacing w:val="-4"/>
        </w:rPr>
        <w:t> </w:t>
      </w:r>
      <w:r>
        <w:rPr/>
        <w:t>the</w:t>
      </w:r>
      <w:r>
        <w:rPr>
          <w:spacing w:val="-4"/>
        </w:rPr>
        <w:t> </w:t>
      </w:r>
      <w:r>
        <w:rPr/>
        <w:t>SC</w:t>
      </w:r>
      <w:r>
        <w:rPr>
          <w:spacing w:val="-4"/>
        </w:rPr>
        <w:t> </w:t>
      </w:r>
      <w:r>
        <w:rPr/>
        <w:t>4.0</w:t>
      </w:r>
      <w:r>
        <w:rPr>
          <w:spacing w:val="-4"/>
        </w:rPr>
        <w:t> </w:t>
      </w:r>
      <w:r>
        <w:rPr/>
        <w:t>readiness</w:t>
      </w:r>
      <w:r>
        <w:rPr>
          <w:spacing w:val="-4"/>
        </w:rPr>
        <w:t> </w:t>
      </w:r>
      <w:r>
        <w:rPr/>
        <w:t>capability→performance</w:t>
      </w:r>
      <w:r>
        <w:rPr>
          <w:spacing w:val="-4"/>
        </w:rPr>
        <w:t> </w:t>
      </w:r>
      <w:r>
        <w:rPr/>
        <w:t>relationship</w:t>
      </w:r>
      <w:r>
        <w:rPr>
          <w:spacing w:val="-4"/>
        </w:rPr>
        <w:t> </w:t>
      </w:r>
      <w:r>
        <w:rPr/>
        <w:t>differs</w:t>
      </w:r>
      <w:r>
        <w:rPr>
          <w:spacing w:val="-4"/>
        </w:rPr>
        <w:t> </w:t>
      </w:r>
      <w:r>
        <w:rPr/>
        <w:t>across</w:t>
      </w:r>
      <w:r>
        <w:rPr>
          <w:spacing w:val="-4"/>
        </w:rPr>
        <w:t> </w:t>
      </w:r>
      <w:r>
        <w:rPr/>
        <w:t>large</w:t>
      </w:r>
      <w:r>
        <w:rPr>
          <w:spacing w:val="40"/>
        </w:rPr>
        <w:t> </w:t>
      </w:r>
      <w:r>
        <w:rPr/>
        <w:t>firms and SMEs. We found that firm size significantly moderates the relationships between SC</w:t>
      </w:r>
      <w:r>
        <w:rPr>
          <w:spacing w:val="40"/>
        </w:rPr>
        <w:t> </w:t>
      </w:r>
      <w:r>
        <w:rPr/>
        <w:t>4.0 readiness “capability bundle” dimensions and supply chain performance. For example, for</w:t>
      </w:r>
      <w:r>
        <w:rPr>
          <w:spacing w:val="40"/>
        </w:rPr>
        <w:t> </w:t>
      </w:r>
      <w:r>
        <w:rPr/>
        <w:t>larger firms, IT maturity and advanced inventory management capabilities (both building blocks</w:t>
      </w:r>
      <w:r>
        <w:rPr>
          <w:spacing w:val="40"/>
        </w:rPr>
        <w:t> </w:t>
      </w:r>
      <w:r>
        <w:rPr/>
        <w:t>of SC 4.0) exhibited strong positive relationships with logistics performance. SMEs benefited</w:t>
      </w:r>
      <w:r>
        <w:rPr>
          <w:spacing w:val="40"/>
        </w:rPr>
        <w:t> </w:t>
      </w:r>
      <w:r>
        <w:rPr/>
        <w:t>most from direct digitization of operational data and the deployment of “smart” AI-enabled</w:t>
      </w:r>
    </w:p>
    <w:p>
      <w:pPr>
        <w:pStyle w:val="BodyText"/>
        <w:ind w:left="723" w:right="1506"/>
      </w:pPr>
      <w:r>
        <w:rPr/>
        <w:t>equipment. Our research advances theory on SC 4.0 readiness by identifying which SC 4.0 capabilities</w:t>
      </w:r>
      <w:r>
        <w:rPr>
          <w:spacing w:val="-4"/>
        </w:rPr>
        <w:t> </w:t>
      </w:r>
      <w:r>
        <w:rPr/>
        <w:t>(e.g.,</w:t>
      </w:r>
      <w:r>
        <w:rPr>
          <w:spacing w:val="-4"/>
        </w:rPr>
        <w:t> </w:t>
      </w:r>
      <w:r>
        <w:rPr/>
        <w:t>building</w:t>
      </w:r>
      <w:r>
        <w:rPr>
          <w:spacing w:val="-4"/>
        </w:rPr>
        <w:t> </w:t>
      </w:r>
      <w:r>
        <w:rPr/>
        <w:t>blocks)</w:t>
      </w:r>
      <w:r>
        <w:rPr>
          <w:spacing w:val="-4"/>
        </w:rPr>
        <w:t> </w:t>
      </w:r>
      <w:r>
        <w:rPr/>
        <w:t>are</w:t>
      </w:r>
      <w:r>
        <w:rPr>
          <w:spacing w:val="-4"/>
        </w:rPr>
        <w:t> </w:t>
      </w:r>
      <w:r>
        <w:rPr/>
        <w:t>most</w:t>
      </w:r>
      <w:r>
        <w:rPr>
          <w:spacing w:val="-4"/>
        </w:rPr>
        <w:t> </w:t>
      </w:r>
      <w:r>
        <w:rPr/>
        <w:t>strongly</w:t>
      </w:r>
      <w:r>
        <w:rPr>
          <w:spacing w:val="-4"/>
        </w:rPr>
        <w:t> </w:t>
      </w:r>
      <w:r>
        <w:rPr/>
        <w:t>associated</w:t>
      </w:r>
      <w:r>
        <w:rPr>
          <w:spacing w:val="-4"/>
        </w:rPr>
        <w:t> </w:t>
      </w:r>
      <w:r>
        <w:rPr/>
        <w:t>with</w:t>
      </w:r>
      <w:r>
        <w:rPr>
          <w:spacing w:val="-4"/>
        </w:rPr>
        <w:t> </w:t>
      </w:r>
      <w:r>
        <w:rPr/>
        <w:t>performance,</w:t>
      </w:r>
      <w:r>
        <w:rPr>
          <w:spacing w:val="-4"/>
        </w:rPr>
        <w:t> </w:t>
      </w:r>
      <w:r>
        <w:rPr/>
        <w:t>and</w:t>
      </w:r>
      <w:r>
        <w:rPr>
          <w:spacing w:val="-4"/>
        </w:rPr>
        <w:t> </w:t>
      </w:r>
      <w:r>
        <w:rPr/>
        <w:t>how</w:t>
      </w:r>
      <w:r>
        <w:rPr>
          <w:spacing w:val="-4"/>
        </w:rPr>
        <w:t> </w:t>
      </w:r>
      <w:r>
        <w:rPr/>
        <w:t>these relationships change across firm characteristics. Furthermore, we provide practical guidance to managers to help prioritize investments in and implement technologies that enhance </w:t>
      </w:r>
      <w:r>
        <w:rPr>
          <w:spacing w:val="-2"/>
        </w:rPr>
        <w:t>performance.</w:t>
      </w:r>
    </w:p>
    <w:p>
      <w:pPr>
        <w:pStyle w:val="BodyText"/>
        <w:spacing w:after="0"/>
        <w:sectPr>
          <w:pgSz w:w="12240" w:h="15840"/>
          <w:pgMar w:header="0" w:footer="707" w:top="640" w:bottom="960" w:left="720" w:right="0"/>
        </w:sectPr>
      </w:pPr>
    </w:p>
    <w:p>
      <w:pPr>
        <w:pStyle w:val="Heading3"/>
        <w:spacing w:line="247" w:lineRule="auto"/>
        <w:ind w:left="4124" w:right="1619" w:hanging="1637"/>
        <w:jc w:val="left"/>
      </w:pPr>
      <w:bookmarkStart w:name="Tax Reserve Informativeness Across Tax S" w:id="72"/>
      <w:bookmarkEnd w:id="72"/>
      <w:r>
        <w:rPr>
          <w:b w:val="0"/>
        </w:rPr>
      </w:r>
      <w:r>
        <w:rPr/>
        <w:t>Tax</w:t>
      </w:r>
      <w:r>
        <w:rPr>
          <w:spacing w:val="-17"/>
        </w:rPr>
        <w:t> </w:t>
      </w:r>
      <w:r>
        <w:rPr/>
        <w:t>Reserve</w:t>
      </w:r>
      <w:r>
        <w:rPr>
          <w:spacing w:val="-17"/>
        </w:rPr>
        <w:t> </w:t>
      </w:r>
      <w:r>
        <w:rPr/>
        <w:t>Informativeness</w:t>
      </w:r>
      <w:r>
        <w:rPr>
          <w:spacing w:val="-17"/>
        </w:rPr>
        <w:t> </w:t>
      </w:r>
      <w:r>
        <w:rPr/>
        <w:t>Across</w:t>
      </w:r>
      <w:r>
        <w:rPr>
          <w:spacing w:val="-17"/>
        </w:rPr>
        <w:t> </w:t>
      </w:r>
      <w:r>
        <w:rPr/>
        <w:t>Tax</w:t>
      </w:r>
      <w:r>
        <w:rPr>
          <w:spacing w:val="-17"/>
        </w:rPr>
        <w:t> </w:t>
      </w:r>
      <w:r>
        <w:rPr/>
        <w:t>Strategies:</w:t>
      </w:r>
      <w:r>
        <w:rPr>
          <w:spacing w:val="-17"/>
        </w:rPr>
        <w:t> </w:t>
      </w:r>
      <w:r>
        <w:rPr/>
        <w:t>A </w:t>
      </w:r>
      <w:bookmarkStart w:name="h.ugt4k5myk182" w:id="73"/>
      <w:bookmarkEnd w:id="73"/>
      <w:r>
        <w:rPr/>
        <w:t>C</w:t>
      </w:r>
      <w:r>
        <w:rPr/>
        <w:t>oncave Association</w:t>
      </w:r>
    </w:p>
    <w:p>
      <w:pPr>
        <w:pStyle w:val="BodyText"/>
        <w:spacing w:before="294"/>
        <w:ind w:left="3993" w:right="4296" w:firstLine="600"/>
      </w:pPr>
      <w:r>
        <w:rPr/>
        <w:t>Tyler P. Johnson Department of Accounting Walker College of Business Appalachian</w:t>
      </w:r>
      <w:r>
        <w:rPr>
          <w:spacing w:val="-15"/>
        </w:rPr>
        <w:t> </w:t>
      </w:r>
      <w:r>
        <w:rPr/>
        <w:t>State</w:t>
      </w:r>
      <w:r>
        <w:rPr>
          <w:spacing w:val="-15"/>
        </w:rPr>
        <w:t> </w:t>
      </w:r>
      <w:r>
        <w:rPr/>
        <w:t>University</w:t>
      </w:r>
    </w:p>
    <w:p>
      <w:pPr>
        <w:pStyle w:val="BodyText"/>
        <w:ind w:left="4503"/>
      </w:pPr>
      <w:r>
        <w:rPr/>
        <w:t>416 Howard </w:t>
      </w:r>
      <w:r>
        <w:rPr>
          <w:spacing w:val="-2"/>
        </w:rPr>
        <w:t>Street</w:t>
      </w:r>
    </w:p>
    <w:p>
      <w:pPr>
        <w:pStyle w:val="BodyText"/>
        <w:ind w:left="4143" w:right="4296" w:firstLine="390"/>
      </w:pPr>
      <w:r>
        <w:rPr/>
        <w:t>Boone, NC 28608 </w:t>
      </w:r>
      <w:hyperlink r:id="rId140">
        <w:r>
          <w:rPr>
            <w:spacing w:val="-2"/>
          </w:rPr>
          <w:t>johnsontp2@appstate.edu</w:t>
        </w:r>
      </w:hyperlink>
    </w:p>
    <w:p>
      <w:pPr>
        <w:pStyle w:val="BodyText"/>
      </w:pPr>
    </w:p>
    <w:p>
      <w:pPr>
        <w:pStyle w:val="BodyText"/>
        <w:ind w:left="4113" w:right="4296" w:firstLine="465"/>
      </w:pPr>
      <w:r>
        <w:rPr/>
        <w:t>Joe López Vilaró Department</w:t>
      </w:r>
      <w:r>
        <w:rPr>
          <w:spacing w:val="-15"/>
        </w:rPr>
        <w:t> </w:t>
      </w:r>
      <w:r>
        <w:rPr/>
        <w:t>of</w:t>
      </w:r>
      <w:r>
        <w:rPr>
          <w:spacing w:val="-15"/>
        </w:rPr>
        <w:t> </w:t>
      </w:r>
      <w:r>
        <w:rPr/>
        <w:t>Accounting</w:t>
      </w:r>
    </w:p>
    <w:p>
      <w:pPr>
        <w:pStyle w:val="BodyText"/>
        <w:ind w:left="4233" w:right="4445" w:hanging="525"/>
      </w:pPr>
      <w:r>
        <w:rPr/>
        <w:t>Carl</w:t>
      </w:r>
      <w:r>
        <w:rPr>
          <w:spacing w:val="-8"/>
        </w:rPr>
        <w:t> </w:t>
      </w:r>
      <w:r>
        <w:rPr/>
        <w:t>H.</w:t>
      </w:r>
      <w:r>
        <w:rPr>
          <w:spacing w:val="-8"/>
        </w:rPr>
        <w:t> </w:t>
      </w:r>
      <w:r>
        <w:rPr/>
        <w:t>Linder</w:t>
      </w:r>
      <w:r>
        <w:rPr>
          <w:spacing w:val="-8"/>
        </w:rPr>
        <w:t> </w:t>
      </w:r>
      <w:r>
        <w:rPr/>
        <w:t>College</w:t>
      </w:r>
      <w:r>
        <w:rPr>
          <w:spacing w:val="-8"/>
        </w:rPr>
        <w:t> </w:t>
      </w:r>
      <w:r>
        <w:rPr/>
        <w:t>of</w:t>
      </w:r>
      <w:r>
        <w:rPr>
          <w:spacing w:val="-8"/>
        </w:rPr>
        <w:t> </w:t>
      </w:r>
      <w:r>
        <w:rPr/>
        <w:t>Business University of Cincinnati</w:t>
      </w:r>
      <w:r>
        <w:rPr>
          <w:spacing w:val="40"/>
        </w:rPr>
        <w:t> </w:t>
      </w:r>
      <w:r>
        <w:rPr/>
        <w:t>2906 Woodside Drive</w:t>
      </w:r>
    </w:p>
    <w:p>
      <w:pPr>
        <w:pStyle w:val="BodyText"/>
        <w:ind w:left="4203" w:right="4296" w:firstLine="135"/>
      </w:pPr>
      <w:r>
        <w:rPr/>
        <w:t>Cincinnati, OH 45221 </w:t>
      </w:r>
      <w:hyperlink r:id="rId141">
        <w:r>
          <w:rPr>
            <w:spacing w:val="-2"/>
          </w:rPr>
          <w:t>lopez2jp@ucmail.uc.edu</w:t>
        </w:r>
      </w:hyperlink>
    </w:p>
    <w:p>
      <w:pPr>
        <w:pStyle w:val="BodyText"/>
      </w:pPr>
    </w:p>
    <w:p>
      <w:pPr>
        <w:pStyle w:val="BodyText"/>
        <w:ind w:left="723"/>
      </w:pPr>
      <w:r>
        <w:rPr/>
        <w:t>Key words: tax reserve; informativeness; tax strategy; non-linear; </w:t>
      </w:r>
      <w:r>
        <w:rPr>
          <w:spacing w:val="-5"/>
        </w:rPr>
        <w:t>UTB</w:t>
      </w:r>
    </w:p>
    <w:p>
      <w:pPr>
        <w:pStyle w:val="BodyText"/>
      </w:pPr>
    </w:p>
    <w:p>
      <w:pPr>
        <w:pStyle w:val="Heading4"/>
      </w:pPr>
      <w:r>
        <w:rPr>
          <w:spacing w:val="-2"/>
        </w:rPr>
        <w:t>Introduction</w:t>
      </w:r>
    </w:p>
    <w:p>
      <w:pPr>
        <w:pStyle w:val="BodyText"/>
        <w:spacing w:line="230" w:lineRule="auto" w:before="235"/>
        <w:ind w:left="723" w:right="1381"/>
        <w:jc w:val="both"/>
      </w:pPr>
      <w:r>
        <w:rPr/>
        <w:t>Whether the tax reserve for unrecognized tax benefits (UTBs) is an informative accrual,</w:t>
      </w:r>
      <w:r>
        <w:rPr>
          <w:spacing w:val="40"/>
        </w:rPr>
        <w:t> </w:t>
      </w:r>
      <w:r>
        <w:rPr/>
        <w:t>i.e., predictive of future tax cash outflows, is a contested question in</w:t>
      </w:r>
      <w:r>
        <w:rPr>
          <w:spacing w:val="-2"/>
        </w:rPr>
        <w:t> </w:t>
      </w:r>
      <w:r>
        <w:rPr/>
        <w:t>accounting</w:t>
      </w:r>
      <w:r>
        <w:rPr>
          <w:spacing w:val="-2"/>
        </w:rPr>
        <w:t> </w:t>
      </w:r>
      <w:r>
        <w:rPr/>
        <w:t>research.</w:t>
      </w:r>
      <w:r>
        <w:rPr>
          <w:spacing w:val="40"/>
        </w:rPr>
        <w:t> </w:t>
      </w:r>
      <w:r>
        <w:rPr/>
        <w:t>Robinson, Stomberg, and Towery (2016) investigate the relevance of the tax reserve and find no</w:t>
      </w:r>
      <w:r>
        <w:rPr>
          <w:spacing w:val="40"/>
        </w:rPr>
        <w:t> </w:t>
      </w:r>
      <w:r>
        <w:rPr/>
        <w:t>evidence that tax reserves are predictive of future tax cash outflows. Rather, the authors observe</w:t>
      </w:r>
      <w:r>
        <w:rPr>
          <w:spacing w:val="40"/>
        </w:rPr>
        <w:t> </w:t>
      </w:r>
      <w:r>
        <w:rPr/>
        <w:t>that the ability of the reserve</w:t>
      </w:r>
      <w:r>
        <w:rPr>
          <w:spacing w:val="-2"/>
        </w:rPr>
        <w:t> </w:t>
      </w:r>
      <w:r>
        <w:rPr/>
        <w:t>to</w:t>
      </w:r>
      <w:r>
        <w:rPr>
          <w:spacing w:val="-2"/>
        </w:rPr>
        <w:t> </w:t>
      </w:r>
      <w:r>
        <w:rPr/>
        <w:t>predict</w:t>
      </w:r>
      <w:r>
        <w:rPr>
          <w:spacing w:val="-2"/>
        </w:rPr>
        <w:t> </w:t>
      </w:r>
      <w:r>
        <w:rPr/>
        <w:t>future</w:t>
      </w:r>
      <w:r>
        <w:rPr>
          <w:spacing w:val="-2"/>
        </w:rPr>
        <w:t> </w:t>
      </w:r>
      <w:r>
        <w:rPr/>
        <w:t>outflows</w:t>
      </w:r>
      <w:r>
        <w:rPr>
          <w:spacing w:val="-2"/>
        </w:rPr>
        <w:t> </w:t>
      </w:r>
      <w:r>
        <w:rPr/>
        <w:t>declines</w:t>
      </w:r>
      <w:r>
        <w:rPr>
          <w:spacing w:val="-2"/>
        </w:rPr>
        <w:t> </w:t>
      </w:r>
      <w:r>
        <w:rPr/>
        <w:t>among</w:t>
      </w:r>
      <w:r>
        <w:rPr>
          <w:spacing w:val="-2"/>
        </w:rPr>
        <w:t> </w:t>
      </w:r>
      <w:r>
        <w:rPr/>
        <w:t>those</w:t>
      </w:r>
      <w:r>
        <w:rPr>
          <w:spacing w:val="-2"/>
        </w:rPr>
        <w:t> </w:t>
      </w:r>
      <w:r>
        <w:rPr/>
        <w:t>firms</w:t>
      </w:r>
      <w:r>
        <w:rPr>
          <w:spacing w:val="-2"/>
        </w:rPr>
        <w:t> </w:t>
      </w:r>
      <w:r>
        <w:rPr/>
        <w:t>most</w:t>
      </w:r>
      <w:r>
        <w:rPr>
          <w:spacing w:val="-2"/>
        </w:rPr>
        <w:t> </w:t>
      </w:r>
      <w:r>
        <w:rPr/>
        <w:t>impacted</w:t>
      </w:r>
      <w:r>
        <w:rPr>
          <w:spacing w:val="40"/>
        </w:rPr>
        <w:t> </w:t>
      </w:r>
      <w:r>
        <w:rPr/>
        <w:t>by</w:t>
      </w:r>
      <w:r>
        <w:rPr>
          <w:spacing w:val="-2"/>
        </w:rPr>
        <w:t> </w:t>
      </w:r>
      <w:r>
        <w:rPr/>
        <w:t>the tax reserve’s governing provision, FASB Interpretation No. 48 (FIN 48). Conversely,</w:t>
      </w:r>
      <w:r>
        <w:rPr>
          <w:spacing w:val="40"/>
        </w:rPr>
        <w:t> </w:t>
      </w:r>
      <w:r>
        <w:rPr/>
        <w:t>Ciconte, Donohoe, Lisowsky,</w:t>
      </w:r>
      <w:r>
        <w:rPr>
          <w:spacing w:val="-4"/>
        </w:rPr>
        <w:t> </w:t>
      </w:r>
      <w:r>
        <w:rPr/>
        <w:t>and</w:t>
      </w:r>
      <w:r>
        <w:rPr>
          <w:spacing w:val="-4"/>
        </w:rPr>
        <w:t> </w:t>
      </w:r>
      <w:r>
        <w:rPr/>
        <w:t>Mayberry</w:t>
      </w:r>
      <w:r>
        <w:rPr>
          <w:spacing w:val="-4"/>
        </w:rPr>
        <w:t> </w:t>
      </w:r>
      <w:r>
        <w:rPr/>
        <w:t>(2024)</w:t>
      </w:r>
      <w:r>
        <w:rPr>
          <w:spacing w:val="-4"/>
        </w:rPr>
        <w:t> </w:t>
      </w:r>
      <w:r>
        <w:rPr/>
        <w:t>find</w:t>
      </w:r>
      <w:r>
        <w:rPr>
          <w:spacing w:val="-4"/>
        </w:rPr>
        <w:t> </w:t>
      </w:r>
      <w:r>
        <w:rPr/>
        <w:t>that</w:t>
      </w:r>
      <w:r>
        <w:rPr>
          <w:spacing w:val="-4"/>
        </w:rPr>
        <w:t> </w:t>
      </w:r>
      <w:r>
        <w:rPr/>
        <w:t>the</w:t>
      </w:r>
      <w:r>
        <w:rPr>
          <w:spacing w:val="-4"/>
        </w:rPr>
        <w:t> </w:t>
      </w:r>
      <w:r>
        <w:rPr/>
        <w:t>tax</w:t>
      </w:r>
      <w:r>
        <w:rPr>
          <w:spacing w:val="-4"/>
        </w:rPr>
        <w:t> </w:t>
      </w:r>
      <w:r>
        <w:rPr/>
        <w:t>reserve</w:t>
      </w:r>
      <w:r>
        <w:rPr>
          <w:spacing w:val="-4"/>
        </w:rPr>
        <w:t> </w:t>
      </w:r>
      <w:r>
        <w:rPr/>
        <w:t>provides</w:t>
      </w:r>
      <w:r>
        <w:rPr>
          <w:spacing w:val="-4"/>
        </w:rPr>
        <w:t> </w:t>
      </w:r>
      <w:r>
        <w:rPr/>
        <w:t>relevant</w:t>
      </w:r>
      <w:r>
        <w:rPr>
          <w:spacing w:val="40"/>
        </w:rPr>
        <w:t> </w:t>
      </w:r>
      <w:r>
        <w:rPr/>
        <w:t>information pertaining to the realizability of future outflows. Specifically, the authors find</w:t>
      </w:r>
      <w:r>
        <w:rPr>
          <w:spacing w:val="40"/>
        </w:rPr>
        <w:t> </w:t>
      </w:r>
      <w:r>
        <w:rPr/>
        <w:t>evidence to</w:t>
      </w:r>
      <w:r>
        <w:rPr>
          <w:spacing w:val="40"/>
        </w:rPr>
        <w:t> </w:t>
      </w:r>
      <w:r>
        <w:rPr/>
        <w:t>suggest that UTBs booked to the tax reserve are</w:t>
      </w:r>
      <w:r>
        <w:rPr>
          <w:spacing w:val="-2"/>
        </w:rPr>
        <w:t> </w:t>
      </w:r>
      <w:r>
        <w:rPr/>
        <w:t>predictive</w:t>
      </w:r>
      <w:r>
        <w:rPr>
          <w:spacing w:val="-2"/>
        </w:rPr>
        <w:t> </w:t>
      </w:r>
      <w:r>
        <w:rPr/>
        <w:t>of</w:t>
      </w:r>
      <w:r>
        <w:rPr>
          <w:spacing w:val="-2"/>
        </w:rPr>
        <w:t> </w:t>
      </w:r>
      <w:r>
        <w:rPr/>
        <w:t>tax</w:t>
      </w:r>
      <w:r>
        <w:rPr>
          <w:spacing w:val="-2"/>
        </w:rPr>
        <w:t> </w:t>
      </w:r>
      <w:r>
        <w:rPr/>
        <w:t>cash</w:t>
      </w:r>
      <w:r>
        <w:rPr>
          <w:spacing w:val="-2"/>
        </w:rPr>
        <w:t> </w:t>
      </w:r>
      <w:r>
        <w:rPr/>
        <w:t>outflows</w:t>
      </w:r>
      <w:r>
        <w:rPr>
          <w:spacing w:val="-2"/>
        </w:rPr>
        <w:t> </w:t>
      </w:r>
      <w:r>
        <w:rPr/>
        <w:t>up</w:t>
      </w:r>
      <w:r>
        <w:rPr>
          <w:spacing w:val="-2"/>
        </w:rPr>
        <w:t> </w:t>
      </w:r>
      <w:r>
        <w:rPr/>
        <w:t>to</w:t>
      </w:r>
      <w:r>
        <w:rPr>
          <w:spacing w:val="40"/>
        </w:rPr>
        <w:t> </w:t>
      </w:r>
      <w:r>
        <w:rPr/>
        <w:t>five</w:t>
      </w:r>
      <w:r>
        <w:rPr>
          <w:spacing w:val="-2"/>
        </w:rPr>
        <w:t> </w:t>
      </w:r>
      <w:r>
        <w:rPr/>
        <w:t>years. The conflicting results of Robinson et al. (2016) and Ciconte et al. (2024) suggest that</w:t>
      </w:r>
      <w:r>
        <w:rPr>
          <w:spacing w:val="40"/>
        </w:rPr>
        <w:t> </w:t>
      </w:r>
      <w:r>
        <w:rPr/>
        <w:t>the informativeness of firms’ tax reserve is more nuanced than previously thought and warrants further examination.</w:t>
      </w:r>
    </w:p>
    <w:p>
      <w:pPr>
        <w:pStyle w:val="BodyText"/>
        <w:spacing w:line="230" w:lineRule="auto" w:before="240"/>
        <w:ind w:left="723" w:right="1379"/>
        <w:jc w:val="both"/>
      </w:pPr>
      <w:r>
        <w:rPr/>
        <w:t>Our study examines the relationship</w:t>
      </w:r>
      <w:r>
        <w:rPr>
          <w:spacing w:val="-4"/>
        </w:rPr>
        <w:t> </w:t>
      </w:r>
      <w:r>
        <w:rPr/>
        <w:t>between</w:t>
      </w:r>
      <w:r>
        <w:rPr>
          <w:spacing w:val="-4"/>
        </w:rPr>
        <w:t> </w:t>
      </w:r>
      <w:r>
        <w:rPr/>
        <w:t>firms’</w:t>
      </w:r>
      <w:r>
        <w:rPr>
          <w:spacing w:val="-4"/>
        </w:rPr>
        <w:t> </w:t>
      </w:r>
      <w:r>
        <w:rPr/>
        <w:t>tax</w:t>
      </w:r>
      <w:r>
        <w:rPr>
          <w:spacing w:val="-4"/>
        </w:rPr>
        <w:t> </w:t>
      </w:r>
      <w:r>
        <w:rPr/>
        <w:t>reserve</w:t>
      </w:r>
      <w:r>
        <w:rPr>
          <w:spacing w:val="-4"/>
        </w:rPr>
        <w:t> </w:t>
      </w:r>
      <w:r>
        <w:rPr/>
        <w:t>informativeness</w:t>
      </w:r>
      <w:r>
        <w:rPr>
          <w:spacing w:val="-4"/>
        </w:rPr>
        <w:t> </w:t>
      </w:r>
      <w:r>
        <w:rPr/>
        <w:t>and</w:t>
      </w:r>
      <w:r>
        <w:rPr>
          <w:spacing w:val="-4"/>
        </w:rPr>
        <w:t> </w:t>
      </w:r>
      <w:r>
        <w:rPr/>
        <w:t>tax</w:t>
      </w:r>
      <w:r>
        <w:rPr>
          <w:spacing w:val="40"/>
        </w:rPr>
        <w:t> </w:t>
      </w:r>
      <w:r>
        <w:rPr/>
        <w:t>strategy. Following Robinson et al. (2016), we define tax reserve informativeness as the percentage</w:t>
      </w:r>
      <w:r>
        <w:rPr>
          <w:spacing w:val="40"/>
        </w:rPr>
        <w:t> </w:t>
      </w:r>
      <w:r>
        <w:rPr/>
        <w:t>that firms’</w:t>
      </w:r>
      <w:r>
        <w:rPr>
          <w:spacing w:val="40"/>
        </w:rPr>
        <w:t> </w:t>
      </w:r>
      <w:r>
        <w:rPr/>
        <w:t>tax</w:t>
      </w:r>
      <w:r>
        <w:rPr>
          <w:spacing w:val="40"/>
        </w:rPr>
        <w:t> </w:t>
      </w:r>
      <w:r>
        <w:rPr/>
        <w:t>reserve</w:t>
      </w:r>
      <w:r>
        <w:rPr>
          <w:spacing w:val="40"/>
        </w:rPr>
        <w:t> </w:t>
      </w:r>
      <w:r>
        <w:rPr/>
        <w:t>unwinds</w:t>
      </w:r>
      <w:r>
        <w:rPr>
          <w:spacing w:val="40"/>
        </w:rPr>
        <w:t> </w:t>
      </w:r>
      <w:r>
        <w:rPr/>
        <w:t>as</w:t>
      </w:r>
      <w:r>
        <w:rPr>
          <w:spacing w:val="40"/>
        </w:rPr>
        <w:t> </w:t>
      </w:r>
      <w:r>
        <w:rPr/>
        <w:t>a</w:t>
      </w:r>
      <w:r>
        <w:rPr>
          <w:spacing w:val="40"/>
        </w:rPr>
        <w:t> </w:t>
      </w:r>
      <w:r>
        <w:rPr/>
        <w:t>settlement with a tax authority, where a higher (lower) percentage is considered more (less) informative. We define firms’ tax strategy as their cash effective tax rates (ETRs) over a multi-year period. Low ETR firms are considered to have an aggressive tax strategy; moderate ETR</w:t>
      </w:r>
      <w:r>
        <w:rPr>
          <w:spacing w:val="-2"/>
        </w:rPr>
        <w:t> </w:t>
      </w:r>
      <w:r>
        <w:rPr/>
        <w:t>firms</w:t>
      </w:r>
      <w:r>
        <w:rPr>
          <w:spacing w:val="-2"/>
        </w:rPr>
        <w:t> </w:t>
      </w:r>
      <w:r>
        <w:rPr/>
        <w:t>are</w:t>
      </w:r>
      <w:r>
        <w:rPr>
          <w:spacing w:val="-2"/>
        </w:rPr>
        <w:t> </w:t>
      </w:r>
      <w:r>
        <w:rPr/>
        <w:t>considered</w:t>
      </w:r>
      <w:r>
        <w:rPr>
          <w:spacing w:val="-2"/>
        </w:rPr>
        <w:t> </w:t>
      </w:r>
      <w:r>
        <w:rPr/>
        <w:t>to</w:t>
      </w:r>
      <w:r>
        <w:rPr>
          <w:spacing w:val="-2"/>
        </w:rPr>
        <w:t> </w:t>
      </w:r>
      <w:r>
        <w:rPr/>
        <w:t>have</w:t>
      </w:r>
      <w:r>
        <w:rPr>
          <w:spacing w:val="-2"/>
        </w:rPr>
        <w:t> </w:t>
      </w:r>
      <w:r>
        <w:rPr/>
        <w:t>a</w:t>
      </w:r>
      <w:r>
        <w:rPr>
          <w:spacing w:val="-2"/>
        </w:rPr>
        <w:t> </w:t>
      </w:r>
      <w:r>
        <w:rPr/>
        <w:t>moderate</w:t>
      </w:r>
      <w:r>
        <w:rPr>
          <w:spacing w:val="-2"/>
        </w:rPr>
        <w:t> </w:t>
      </w:r>
      <w:r>
        <w:rPr/>
        <w:t>tax</w:t>
      </w:r>
      <w:r>
        <w:rPr>
          <w:spacing w:val="-2"/>
        </w:rPr>
        <w:t> </w:t>
      </w:r>
      <w:r>
        <w:rPr/>
        <w:t>strategy;</w:t>
      </w:r>
      <w:r>
        <w:rPr>
          <w:spacing w:val="-2"/>
        </w:rPr>
        <w:t> </w:t>
      </w:r>
      <w:r>
        <w:rPr/>
        <w:t>high ETR firms are considered to have a conservative tax strategy.</w:t>
      </w:r>
    </w:p>
    <w:p>
      <w:pPr>
        <w:pStyle w:val="BodyText"/>
        <w:spacing w:line="230" w:lineRule="auto" w:before="239"/>
        <w:ind w:left="723" w:right="1378"/>
        <w:jc w:val="both"/>
      </w:pPr>
      <w:r>
        <w:rPr/>
        <w:t>Underlying the mixed results of Robinson et al. (2016) and Ciconte et al. (2024) is the</w:t>
      </w:r>
      <w:r>
        <w:rPr>
          <w:spacing w:val="40"/>
        </w:rPr>
        <w:t> </w:t>
      </w:r>
      <w:r>
        <w:rPr/>
        <w:t>mutual assumption that the tax reserve exhibits a linear relationship with varying tax strategies.</w:t>
      </w:r>
      <w:r>
        <w:rPr>
          <w:spacing w:val="80"/>
        </w:rPr>
        <w:t> </w:t>
      </w:r>
      <w:r>
        <w:rPr/>
        <w:t>However, a comprehensive review of the tax reserve literature</w:t>
      </w:r>
      <w:r>
        <w:rPr>
          <w:spacing w:val="-4"/>
        </w:rPr>
        <w:t> </w:t>
      </w:r>
      <w:r>
        <w:rPr/>
        <w:t>offers</w:t>
      </w:r>
      <w:r>
        <w:rPr>
          <w:spacing w:val="-4"/>
        </w:rPr>
        <w:t> </w:t>
      </w:r>
      <w:r>
        <w:rPr/>
        <w:t>evidence</w:t>
      </w:r>
      <w:r>
        <w:rPr>
          <w:spacing w:val="-4"/>
        </w:rPr>
        <w:t> </w:t>
      </w:r>
      <w:r>
        <w:rPr/>
        <w:t>to</w:t>
      </w:r>
      <w:r>
        <w:rPr>
          <w:spacing w:val="-4"/>
        </w:rPr>
        <w:t> </w:t>
      </w:r>
      <w:r>
        <w:rPr/>
        <w:t>suggest</w:t>
      </w:r>
      <w:r>
        <w:rPr>
          <w:spacing w:val="-4"/>
        </w:rPr>
        <w:t> </w:t>
      </w:r>
      <w:r>
        <w:rPr/>
        <w:t>that</w:t>
      </w:r>
      <w:r>
        <w:rPr>
          <w:spacing w:val="-4"/>
        </w:rPr>
        <w:t> </w:t>
      </w:r>
      <w:r>
        <w:rPr/>
        <w:t>the relationship may be non-linear. Firms on the extremes of the tax strategy distribution have been linked to less informative tax reserves. Specifically, firms with aggressive tax strategies are associated with complex tax planning (Lisowsky, Robinson, and Schmidt 2013), increased discretionary accruals (Nesbitt 2014), lower reserve disclosure quality (Robinson and Schmidt 2013),</w:t>
      </w:r>
      <w:r>
        <w:rPr>
          <w:spacing w:val="70"/>
        </w:rPr>
        <w:t> </w:t>
      </w:r>
      <w:r>
        <w:rPr/>
        <w:t>overstated</w:t>
      </w:r>
      <w:r>
        <w:rPr>
          <w:spacing w:val="72"/>
        </w:rPr>
        <w:t> </w:t>
      </w:r>
      <w:r>
        <w:rPr/>
        <w:t>reserves</w:t>
      </w:r>
      <w:r>
        <w:rPr>
          <w:spacing w:val="72"/>
        </w:rPr>
        <w:t> </w:t>
      </w:r>
      <w:r>
        <w:rPr/>
        <w:t>that</w:t>
      </w:r>
      <w:r>
        <w:rPr>
          <w:spacing w:val="58"/>
        </w:rPr>
        <w:t> </w:t>
      </w:r>
      <w:r>
        <w:rPr/>
        <w:t>obscure</w:t>
      </w:r>
      <w:r>
        <w:rPr>
          <w:spacing w:val="57"/>
        </w:rPr>
        <w:t> </w:t>
      </w:r>
      <w:r>
        <w:rPr/>
        <w:t>tax</w:t>
      </w:r>
      <w:r>
        <w:rPr>
          <w:spacing w:val="58"/>
        </w:rPr>
        <w:t> </w:t>
      </w:r>
      <w:r>
        <w:rPr/>
        <w:t>risk</w:t>
      </w:r>
      <w:r>
        <w:rPr>
          <w:spacing w:val="58"/>
        </w:rPr>
        <w:t> </w:t>
      </w:r>
      <w:r>
        <w:rPr/>
        <w:t>(Guenther,</w:t>
      </w:r>
      <w:r>
        <w:rPr>
          <w:spacing w:val="57"/>
        </w:rPr>
        <w:t> </w:t>
      </w:r>
      <w:r>
        <w:rPr/>
        <w:t>Wilson,</w:t>
      </w:r>
      <w:r>
        <w:rPr>
          <w:spacing w:val="58"/>
        </w:rPr>
        <w:t> </w:t>
      </w:r>
      <w:r>
        <w:rPr/>
        <w:t>and</w:t>
      </w:r>
      <w:r>
        <w:rPr>
          <w:spacing w:val="57"/>
        </w:rPr>
        <w:t> </w:t>
      </w:r>
      <w:r>
        <w:rPr/>
        <w:t>Wu</w:t>
      </w:r>
      <w:r>
        <w:rPr>
          <w:spacing w:val="58"/>
        </w:rPr>
        <w:t> </w:t>
      </w:r>
      <w:r>
        <w:rPr/>
        <w:t>2019;</w:t>
      </w:r>
      <w:r>
        <w:rPr>
          <w:spacing w:val="58"/>
        </w:rPr>
        <w:t> </w:t>
      </w:r>
      <w:r>
        <w:rPr>
          <w:spacing w:val="-2"/>
        </w:rPr>
        <w:t>Dyreng,</w:t>
      </w:r>
    </w:p>
    <w:p>
      <w:pPr>
        <w:pStyle w:val="BodyText"/>
        <w:spacing w:after="0" w:line="230" w:lineRule="auto"/>
        <w:jc w:val="both"/>
        <w:sectPr>
          <w:pgSz w:w="12240" w:h="15840"/>
          <w:pgMar w:header="0" w:footer="707" w:top="640" w:bottom="960" w:left="720" w:right="0"/>
        </w:sectPr>
      </w:pPr>
    </w:p>
    <w:p>
      <w:pPr>
        <w:pStyle w:val="BodyText"/>
        <w:spacing w:line="230" w:lineRule="auto" w:before="80"/>
        <w:ind w:left="723" w:right="1378"/>
        <w:jc w:val="both"/>
      </w:pPr>
      <w:r>
        <w:rPr/>
        <w:t>Hanlon, and Maydew 2019), and have a</w:t>
      </w:r>
      <w:r>
        <w:rPr>
          <w:spacing w:val="-3"/>
        </w:rPr>
        <w:t> </w:t>
      </w:r>
      <w:r>
        <w:rPr/>
        <w:t>less</w:t>
      </w:r>
      <w:r>
        <w:rPr>
          <w:spacing w:val="-3"/>
        </w:rPr>
        <w:t> </w:t>
      </w:r>
      <w:r>
        <w:rPr/>
        <w:t>transparent</w:t>
      </w:r>
      <w:r>
        <w:rPr>
          <w:spacing w:val="-3"/>
        </w:rPr>
        <w:t> </w:t>
      </w:r>
      <w:r>
        <w:rPr/>
        <w:t>information</w:t>
      </w:r>
      <w:r>
        <w:rPr>
          <w:spacing w:val="-3"/>
        </w:rPr>
        <w:t> </w:t>
      </w:r>
      <w:r>
        <w:rPr/>
        <w:t>environment</w:t>
      </w:r>
      <w:r>
        <w:rPr>
          <w:spacing w:val="-3"/>
        </w:rPr>
        <w:t> </w:t>
      </w:r>
      <w:r>
        <w:rPr/>
        <w:t>(Balakrishnan, Blouin,</w:t>
      </w:r>
      <w:r>
        <w:rPr>
          <w:spacing w:val="40"/>
        </w:rPr>
        <w:t> </w:t>
      </w:r>
      <w:r>
        <w:rPr/>
        <w:t>and Guay 2019). Similarly, firms adopting a more conservative tax strategy have </w:t>
      </w:r>
      <w:r>
        <w:rPr/>
        <w:t>been found to</w:t>
      </w:r>
      <w:r>
        <w:rPr>
          <w:spacing w:val="80"/>
        </w:rPr>
        <w:t> </w:t>
      </w:r>
      <w:r>
        <w:rPr/>
        <w:t>book reserves with a low probability of being challenged by a tax authority, serving more as signals</w:t>
      </w:r>
      <w:r>
        <w:rPr>
          <w:spacing w:val="40"/>
        </w:rPr>
        <w:t> </w:t>
      </w:r>
      <w:r>
        <w:rPr/>
        <w:t>than</w:t>
      </w:r>
      <w:r>
        <w:rPr>
          <w:spacing w:val="-3"/>
        </w:rPr>
        <w:t> </w:t>
      </w:r>
      <w:r>
        <w:rPr/>
        <w:t>as</w:t>
      </w:r>
      <w:r>
        <w:rPr>
          <w:spacing w:val="-3"/>
        </w:rPr>
        <w:t> </w:t>
      </w:r>
      <w:r>
        <w:rPr/>
        <w:t>liability</w:t>
      </w:r>
      <w:r>
        <w:rPr>
          <w:spacing w:val="-3"/>
        </w:rPr>
        <w:t> </w:t>
      </w:r>
      <w:r>
        <w:rPr/>
        <w:t>estimates</w:t>
      </w:r>
      <w:r>
        <w:rPr>
          <w:spacing w:val="-3"/>
        </w:rPr>
        <w:t> </w:t>
      </w:r>
      <w:r>
        <w:rPr/>
        <w:t>(Jiménez-Angueira,</w:t>
      </w:r>
      <w:r>
        <w:rPr>
          <w:spacing w:val="-3"/>
        </w:rPr>
        <w:t> </w:t>
      </w:r>
      <w:r>
        <w:rPr/>
        <w:t>Nwaeze,</w:t>
      </w:r>
      <w:r>
        <w:rPr>
          <w:spacing w:val="-3"/>
        </w:rPr>
        <w:t> </w:t>
      </w:r>
      <w:r>
        <w:rPr/>
        <w:t>and</w:t>
      </w:r>
      <w:r>
        <w:rPr>
          <w:spacing w:val="-3"/>
        </w:rPr>
        <w:t> </w:t>
      </w:r>
      <w:r>
        <w:rPr/>
        <w:t>Park</w:t>
      </w:r>
      <w:r>
        <w:rPr>
          <w:spacing w:val="-3"/>
        </w:rPr>
        <w:t> </w:t>
      </w:r>
      <w:r>
        <w:rPr/>
        <w:t>2021;</w:t>
      </w:r>
      <w:r>
        <w:rPr>
          <w:spacing w:val="-3"/>
        </w:rPr>
        <w:t> </w:t>
      </w:r>
      <w:r>
        <w:rPr/>
        <w:t>Robinson and Schmidt</w:t>
      </w:r>
      <w:r>
        <w:rPr>
          <w:spacing w:val="40"/>
        </w:rPr>
        <w:t> </w:t>
      </w:r>
      <w:r>
        <w:rPr/>
        <w:t>2013). Conversely, firms with a more moderate tax strategy have been linked to more informative</w:t>
      </w:r>
      <w:r>
        <w:rPr>
          <w:spacing w:val="40"/>
        </w:rPr>
        <w:t> </w:t>
      </w:r>
      <w:r>
        <w:rPr/>
        <w:t>reserves. In particular, prior literature has associated moderate tax strategy firms with improved</w:t>
      </w:r>
      <w:r>
        <w:rPr>
          <w:spacing w:val="40"/>
        </w:rPr>
        <w:t> </w:t>
      </w:r>
      <w:r>
        <w:rPr/>
        <w:t>reserve estimates and auditor-provided tax services (Gleason and Mills 2011; Kunz, Antinozzi,</w:t>
      </w:r>
      <w:r>
        <w:rPr>
          <w:spacing w:val="40"/>
        </w:rPr>
        <w:t> </w:t>
      </w:r>
      <w:r>
        <w:rPr/>
        <w:t>and Neuman 2024), and clearer</w:t>
      </w:r>
      <w:r>
        <w:rPr>
          <w:spacing w:val="-3"/>
        </w:rPr>
        <w:t> </w:t>
      </w:r>
      <w:r>
        <w:rPr/>
        <w:t>reserve</w:t>
      </w:r>
      <w:r>
        <w:rPr>
          <w:spacing w:val="-3"/>
        </w:rPr>
        <w:t> </w:t>
      </w:r>
      <w:r>
        <w:rPr/>
        <w:t>reporting</w:t>
      </w:r>
      <w:r>
        <w:rPr>
          <w:spacing w:val="-3"/>
        </w:rPr>
        <w:t> </w:t>
      </w:r>
      <w:r>
        <w:rPr/>
        <w:t>following</w:t>
      </w:r>
      <w:r>
        <w:rPr>
          <w:spacing w:val="-3"/>
        </w:rPr>
        <w:t> </w:t>
      </w:r>
      <w:r>
        <w:rPr/>
        <w:t>a</w:t>
      </w:r>
      <w:r>
        <w:rPr>
          <w:spacing w:val="-3"/>
        </w:rPr>
        <w:t> </w:t>
      </w:r>
      <w:r>
        <w:rPr/>
        <w:t>settlement with</w:t>
      </w:r>
      <w:r>
        <w:rPr>
          <w:spacing w:val="-4"/>
        </w:rPr>
        <w:t> </w:t>
      </w:r>
      <w:r>
        <w:rPr/>
        <w:t>a</w:t>
      </w:r>
      <w:r>
        <w:rPr>
          <w:spacing w:val="-4"/>
        </w:rPr>
        <w:t> </w:t>
      </w:r>
      <w:r>
        <w:rPr/>
        <w:t>tax</w:t>
      </w:r>
      <w:r>
        <w:rPr>
          <w:spacing w:val="-4"/>
        </w:rPr>
        <w:t> </w:t>
      </w:r>
      <w:r>
        <w:rPr/>
        <w:t>authority</w:t>
      </w:r>
      <w:r>
        <w:rPr>
          <w:spacing w:val="40"/>
        </w:rPr>
        <w:t> </w:t>
      </w:r>
      <w:r>
        <w:rPr/>
        <w:t>(Finley</w:t>
      </w:r>
      <w:r>
        <w:rPr>
          <w:spacing w:val="-4"/>
        </w:rPr>
        <w:t> </w:t>
      </w:r>
      <w:r>
        <w:rPr/>
        <w:t>2019;</w:t>
      </w:r>
      <w:r>
        <w:rPr>
          <w:spacing w:val="-4"/>
        </w:rPr>
        <w:t> </w:t>
      </w:r>
      <w:r>
        <w:rPr/>
        <w:t>Finley</w:t>
      </w:r>
      <w:r>
        <w:rPr>
          <w:spacing w:val="-4"/>
        </w:rPr>
        <w:t> </w:t>
      </w:r>
      <w:r>
        <w:rPr/>
        <w:t>and</w:t>
      </w:r>
      <w:r>
        <w:rPr>
          <w:spacing w:val="-4"/>
        </w:rPr>
        <w:t> </w:t>
      </w:r>
      <w:r>
        <w:rPr/>
        <w:t>Stekelberg</w:t>
      </w:r>
      <w:r>
        <w:rPr>
          <w:spacing w:val="-4"/>
        </w:rPr>
        <w:t> </w:t>
      </w:r>
      <w:r>
        <w:rPr/>
        <w:t>2022).</w:t>
      </w:r>
      <w:r>
        <w:rPr>
          <w:spacing w:val="-4"/>
        </w:rPr>
        <w:t> </w:t>
      </w:r>
      <w:r>
        <w:rPr/>
        <w:t>Accordingly,</w:t>
      </w:r>
      <w:r>
        <w:rPr>
          <w:spacing w:val="-4"/>
        </w:rPr>
        <w:t> </w:t>
      </w:r>
      <w:r>
        <w:rPr/>
        <w:t>we</w:t>
      </w:r>
      <w:r>
        <w:rPr>
          <w:spacing w:val="-4"/>
        </w:rPr>
        <w:t> </w:t>
      </w:r>
      <w:r>
        <w:rPr/>
        <w:t>hypothesize</w:t>
      </w:r>
      <w:r>
        <w:rPr>
          <w:spacing w:val="-4"/>
        </w:rPr>
        <w:t> </w:t>
      </w:r>
      <w:r>
        <w:rPr/>
        <w:t>that the relationship</w:t>
      </w:r>
      <w:r>
        <w:rPr>
          <w:spacing w:val="40"/>
        </w:rPr>
        <w:t> </w:t>
      </w:r>
      <w:r>
        <w:rPr/>
        <w:t>between tax reserve informativeness and tax strategy is concave, with tax reserves being more informative among firms with a moderate tax strategy and less informative among firms with an</w:t>
      </w:r>
      <w:r>
        <w:rPr>
          <w:spacing w:val="40"/>
        </w:rPr>
        <w:t> </w:t>
      </w:r>
      <w:r>
        <w:rPr/>
        <w:t>aggressive or conservative tax strategy.</w:t>
      </w:r>
    </w:p>
    <w:p>
      <w:pPr>
        <w:pStyle w:val="Heading4"/>
        <w:spacing w:before="241"/>
        <w:jc w:val="both"/>
      </w:pPr>
      <w:r>
        <w:rPr/>
        <w:t>Literature</w:t>
      </w:r>
      <w:r>
        <w:rPr>
          <w:spacing w:val="-5"/>
        </w:rPr>
        <w:t> </w:t>
      </w:r>
      <w:r>
        <w:rPr>
          <w:spacing w:val="-2"/>
        </w:rPr>
        <w:t>Overview</w:t>
      </w:r>
    </w:p>
    <w:p>
      <w:pPr>
        <w:pStyle w:val="BodyText"/>
        <w:spacing w:line="230" w:lineRule="auto" w:before="236"/>
        <w:ind w:left="723" w:right="1380"/>
        <w:jc w:val="both"/>
      </w:pPr>
      <w:r>
        <w:rPr/>
        <w:t>Viewed collectively, a body of research provides evidence to suggest that the </w:t>
      </w:r>
      <w:r>
        <w:rPr/>
        <w:t>relationship between reserve</w:t>
      </w:r>
      <w:r>
        <w:rPr>
          <w:spacing w:val="-3"/>
        </w:rPr>
        <w:t> </w:t>
      </w:r>
      <w:r>
        <w:rPr/>
        <w:t>informativeness</w:t>
      </w:r>
      <w:r>
        <w:rPr>
          <w:spacing w:val="-3"/>
        </w:rPr>
        <w:t> </w:t>
      </w:r>
      <w:r>
        <w:rPr/>
        <w:t>and</w:t>
      </w:r>
      <w:r>
        <w:rPr>
          <w:spacing w:val="-3"/>
        </w:rPr>
        <w:t> </w:t>
      </w:r>
      <w:r>
        <w:rPr/>
        <w:t>tax</w:t>
      </w:r>
      <w:r>
        <w:rPr>
          <w:spacing w:val="-3"/>
        </w:rPr>
        <w:t> </w:t>
      </w:r>
      <w:r>
        <w:rPr/>
        <w:t>strategy</w:t>
      </w:r>
      <w:r>
        <w:rPr>
          <w:spacing w:val="-3"/>
        </w:rPr>
        <w:t> </w:t>
      </w:r>
      <w:r>
        <w:rPr/>
        <w:t>may</w:t>
      </w:r>
      <w:r>
        <w:rPr>
          <w:spacing w:val="-3"/>
        </w:rPr>
        <w:t> </w:t>
      </w:r>
      <w:r>
        <w:rPr/>
        <w:t>be</w:t>
      </w:r>
      <w:r>
        <w:rPr>
          <w:spacing w:val="-3"/>
        </w:rPr>
        <w:t> </w:t>
      </w:r>
      <w:r>
        <w:rPr/>
        <w:t>concave,</w:t>
      </w:r>
      <w:r>
        <w:rPr>
          <w:spacing w:val="-3"/>
        </w:rPr>
        <w:t> </w:t>
      </w:r>
      <w:r>
        <w:rPr/>
        <w:t>where</w:t>
      </w:r>
      <w:r>
        <w:rPr>
          <w:spacing w:val="-3"/>
        </w:rPr>
        <w:t> </w:t>
      </w:r>
      <w:r>
        <w:rPr/>
        <w:t>firms</w:t>
      </w:r>
      <w:r>
        <w:rPr>
          <w:spacing w:val="-3"/>
        </w:rPr>
        <w:t> </w:t>
      </w:r>
      <w:r>
        <w:rPr/>
        <w:t>with</w:t>
      </w:r>
      <w:r>
        <w:rPr>
          <w:spacing w:val="-3"/>
        </w:rPr>
        <w:t> </w:t>
      </w:r>
      <w:r>
        <w:rPr/>
        <w:t>moderate</w:t>
      </w:r>
      <w:r>
        <w:rPr>
          <w:spacing w:val="-3"/>
        </w:rPr>
        <w:t> </w:t>
      </w:r>
      <w:r>
        <w:rPr/>
        <w:t>tax strategies exhibit the highest reserve informativeness, while those at the aggressive and conservative extremes show diminished predictive value. Moore (2021) provides compelling evidence of a concave association between tax reserves and</w:t>
      </w:r>
      <w:r>
        <w:rPr>
          <w:spacing w:val="-3"/>
        </w:rPr>
        <w:t> </w:t>
      </w:r>
      <w:r>
        <w:rPr/>
        <w:t>equity</w:t>
      </w:r>
      <w:r>
        <w:rPr>
          <w:spacing w:val="-3"/>
        </w:rPr>
        <w:t> </w:t>
      </w:r>
      <w:r>
        <w:rPr/>
        <w:t>value,</w:t>
      </w:r>
      <w:r>
        <w:rPr>
          <w:spacing w:val="-3"/>
        </w:rPr>
        <w:t> </w:t>
      </w:r>
      <w:r>
        <w:rPr/>
        <w:t>implying</w:t>
      </w:r>
      <w:r>
        <w:rPr>
          <w:spacing w:val="-3"/>
        </w:rPr>
        <w:t> </w:t>
      </w:r>
      <w:r>
        <w:rPr/>
        <w:t>that</w:t>
      </w:r>
      <w:r>
        <w:rPr>
          <w:spacing w:val="-3"/>
        </w:rPr>
        <w:t> </w:t>
      </w:r>
      <w:r>
        <w:rPr/>
        <w:t>investors perceive reserves as most informative when firms</w:t>
      </w:r>
      <w:r>
        <w:rPr>
          <w:spacing w:val="-3"/>
        </w:rPr>
        <w:t> </w:t>
      </w:r>
      <w:r>
        <w:rPr/>
        <w:t>strike</w:t>
      </w:r>
      <w:r>
        <w:rPr>
          <w:spacing w:val="-3"/>
        </w:rPr>
        <w:t> </w:t>
      </w:r>
      <w:r>
        <w:rPr/>
        <w:t>a</w:t>
      </w:r>
      <w:r>
        <w:rPr>
          <w:spacing w:val="-3"/>
        </w:rPr>
        <w:t> </w:t>
      </w:r>
      <w:r>
        <w:rPr/>
        <w:t>balance</w:t>
      </w:r>
      <w:r>
        <w:rPr>
          <w:spacing w:val="-3"/>
        </w:rPr>
        <w:t> </w:t>
      </w:r>
      <w:r>
        <w:rPr/>
        <w:t>between</w:t>
      </w:r>
      <w:r>
        <w:rPr>
          <w:spacing w:val="-3"/>
        </w:rPr>
        <w:t> </w:t>
      </w:r>
      <w:r>
        <w:rPr/>
        <w:t>risk</w:t>
      </w:r>
      <w:r>
        <w:rPr>
          <w:spacing w:val="-3"/>
        </w:rPr>
        <w:t> </w:t>
      </w:r>
      <w:r>
        <w:rPr/>
        <w:t>and</w:t>
      </w:r>
      <w:r>
        <w:rPr>
          <w:spacing w:val="-3"/>
        </w:rPr>
        <w:t> </w:t>
      </w:r>
      <w:r>
        <w:rPr/>
        <w:t>realism.</w:t>
      </w:r>
      <w:r>
        <w:rPr>
          <w:spacing w:val="-3"/>
        </w:rPr>
        <w:t> </w:t>
      </w:r>
      <w:r>
        <w:rPr/>
        <w:t>This aligns with the findings of Schwab, Stomberg, and Xia (2022), who show that ETRs are shaped not only by tax strategy but also by broader economic and reporting incentives.</w:t>
      </w:r>
    </w:p>
    <w:p>
      <w:pPr>
        <w:pStyle w:val="BodyText"/>
        <w:spacing w:line="230" w:lineRule="auto" w:before="241"/>
        <w:ind w:left="723" w:right="1378"/>
        <w:jc w:val="both"/>
      </w:pPr>
      <w:r>
        <w:rPr/>
        <w:t>At</w:t>
      </w:r>
      <w:r>
        <w:rPr>
          <w:spacing w:val="28"/>
        </w:rPr>
        <w:t> </w:t>
      </w:r>
      <w:r>
        <w:rPr/>
        <w:t>the</w:t>
      </w:r>
      <w:r>
        <w:rPr>
          <w:spacing w:val="28"/>
        </w:rPr>
        <w:t> </w:t>
      </w:r>
      <w:r>
        <w:rPr/>
        <w:t>aggressive</w:t>
      </w:r>
      <w:r>
        <w:rPr>
          <w:spacing w:val="28"/>
        </w:rPr>
        <w:t> </w:t>
      </w:r>
      <w:r>
        <w:rPr/>
        <w:t>end</w:t>
      </w:r>
      <w:r>
        <w:rPr>
          <w:spacing w:val="28"/>
        </w:rPr>
        <w:t> </w:t>
      </w:r>
      <w:r>
        <w:rPr/>
        <w:t>of</w:t>
      </w:r>
      <w:r>
        <w:rPr>
          <w:spacing w:val="28"/>
        </w:rPr>
        <w:t> </w:t>
      </w:r>
      <w:r>
        <w:rPr/>
        <w:t>the</w:t>
      </w:r>
      <w:r>
        <w:rPr>
          <w:spacing w:val="28"/>
        </w:rPr>
        <w:t> </w:t>
      </w:r>
      <w:r>
        <w:rPr/>
        <w:t>spectrum, firms often maintain low ETRs and engage in</w:t>
      </w:r>
      <w:r>
        <w:rPr>
          <w:spacing w:val="80"/>
        </w:rPr>
        <w:t> </w:t>
      </w:r>
      <w:r>
        <w:rPr/>
        <w:t>complex tax planning. Lisowsky et al. (2013) link UTBs to tax shelter participation, suggesting</w:t>
      </w:r>
      <w:r>
        <w:rPr>
          <w:spacing w:val="40"/>
        </w:rPr>
        <w:t> </w:t>
      </w:r>
      <w:r>
        <w:rPr/>
        <w:t>that reserves may reflect strategic risk management rather than expected settlements. Nesbitt</w:t>
      </w:r>
      <w:r>
        <w:rPr>
          <w:spacing w:val="40"/>
        </w:rPr>
        <w:t> </w:t>
      </w:r>
      <w:r>
        <w:rPr/>
        <w:t>(2014) decomposes UTBs into discretionary and non-discretionary components, showing that discretionary reserves, more common among aggressive firms, are less predictive of future cash tax outflows. Guenther et al. (2019) and Dyreng et al. (2019) further demonstrate that tax avoidance does not uniformly translate into tax uncertainty, implying that aggressive firms may over-reserve or obscure the true nature of their tax positions. These behaviors reduce the proportion</w:t>
      </w:r>
      <w:r>
        <w:rPr>
          <w:spacing w:val="40"/>
        </w:rPr>
        <w:t> </w:t>
      </w:r>
      <w:r>
        <w:rPr/>
        <w:t>of reserves that ultimately unwind, weakening informativeness.</w:t>
      </w:r>
    </w:p>
    <w:p>
      <w:pPr>
        <w:pStyle w:val="BodyText"/>
        <w:spacing w:line="230" w:lineRule="auto" w:before="239"/>
        <w:ind w:left="723" w:right="1380"/>
        <w:jc w:val="both"/>
      </w:pPr>
      <w:r>
        <w:rPr/>
        <w:t>On</w:t>
      </w:r>
      <w:r>
        <w:rPr>
          <w:spacing w:val="40"/>
        </w:rPr>
        <w:t> </w:t>
      </w:r>
      <w:r>
        <w:rPr/>
        <w:t>the</w:t>
      </w:r>
      <w:r>
        <w:rPr>
          <w:spacing w:val="40"/>
        </w:rPr>
        <w:t> </w:t>
      </w:r>
      <w:r>
        <w:rPr/>
        <w:t>conservative</w:t>
      </w:r>
      <w:r>
        <w:rPr>
          <w:spacing w:val="40"/>
        </w:rPr>
        <w:t> </w:t>
      </w:r>
      <w:r>
        <w:rPr/>
        <w:t>end, firms with high ETRs may book reserves for low-</w:t>
      </w:r>
      <w:r>
        <w:rPr/>
        <w:t>probability exposures, driven by precautionary motives or reputational concerns. Jiménez-Angueira et al. (2021) find that conservative financial reporting increases the market valuation of UTBs, even when the underlying tax positions are unlikely to result in cash outflows. Robinson</w:t>
      </w:r>
      <w:r>
        <w:rPr>
          <w:spacing w:val="-3"/>
        </w:rPr>
        <w:t> </w:t>
      </w:r>
      <w:r>
        <w:rPr/>
        <w:t>and</w:t>
      </w:r>
      <w:r>
        <w:rPr>
          <w:spacing w:val="-3"/>
        </w:rPr>
        <w:t> </w:t>
      </w:r>
      <w:r>
        <w:rPr/>
        <w:t>Schmidt (2013) show that investor responses to UTB disclosures vary with perceived credibility, suggesting</w:t>
      </w:r>
      <w:r>
        <w:rPr>
          <w:spacing w:val="40"/>
        </w:rPr>
        <w:t> </w:t>
      </w:r>
      <w:r>
        <w:rPr/>
        <w:t>that conservative firms may</w:t>
      </w:r>
      <w:r>
        <w:rPr>
          <w:spacing w:val="-2"/>
        </w:rPr>
        <w:t> </w:t>
      </w:r>
      <w:r>
        <w:rPr/>
        <w:t>use</w:t>
      </w:r>
      <w:r>
        <w:rPr>
          <w:spacing w:val="-2"/>
        </w:rPr>
        <w:t> </w:t>
      </w:r>
      <w:r>
        <w:rPr/>
        <w:t>reserves</w:t>
      </w:r>
      <w:r>
        <w:rPr>
          <w:spacing w:val="-2"/>
        </w:rPr>
        <w:t> </w:t>
      </w:r>
      <w:r>
        <w:rPr/>
        <w:t>as</w:t>
      </w:r>
      <w:r>
        <w:rPr>
          <w:spacing w:val="-2"/>
        </w:rPr>
        <w:t> </w:t>
      </w:r>
      <w:r>
        <w:rPr/>
        <w:t>signaling</w:t>
      </w:r>
      <w:r>
        <w:rPr>
          <w:spacing w:val="-2"/>
        </w:rPr>
        <w:t> </w:t>
      </w:r>
      <w:r>
        <w:rPr/>
        <w:t>devices</w:t>
      </w:r>
      <w:r>
        <w:rPr>
          <w:spacing w:val="-2"/>
        </w:rPr>
        <w:t> </w:t>
      </w:r>
      <w:r>
        <w:rPr/>
        <w:t>rather</w:t>
      </w:r>
      <w:r>
        <w:rPr>
          <w:spacing w:val="-2"/>
        </w:rPr>
        <w:t> </w:t>
      </w:r>
      <w:r>
        <w:rPr/>
        <w:t>than</w:t>
      </w:r>
      <w:r>
        <w:rPr>
          <w:spacing w:val="-2"/>
        </w:rPr>
        <w:t> </w:t>
      </w:r>
      <w:r>
        <w:rPr/>
        <w:t>as</w:t>
      </w:r>
      <w:r>
        <w:rPr>
          <w:spacing w:val="-2"/>
        </w:rPr>
        <w:t> </w:t>
      </w:r>
      <w:r>
        <w:rPr/>
        <w:t>estimates of expected</w:t>
      </w:r>
      <w:r>
        <w:rPr>
          <w:spacing w:val="40"/>
        </w:rPr>
        <w:t> </w:t>
      </w:r>
      <w:r>
        <w:rPr/>
        <w:t>liabilities. Finley (2019) and Finley and Stekelberg (2022) highlight how tax settlement outcomes</w:t>
      </w:r>
      <w:r>
        <w:rPr>
          <w:spacing w:val="80"/>
        </w:rPr>
        <w:t> </w:t>
      </w:r>
      <w:r>
        <w:rPr/>
        <w:t>and monitoring intensity shape subsequent tax behavior, reinforcing the</w:t>
      </w:r>
      <w:r>
        <w:rPr>
          <w:spacing w:val="40"/>
        </w:rPr>
        <w:t> </w:t>
      </w:r>
      <w:r>
        <w:rPr/>
        <w:t>idea that conservative</w:t>
      </w:r>
      <w:r>
        <w:rPr>
          <w:spacing w:val="40"/>
        </w:rPr>
        <w:t> </w:t>
      </w:r>
      <w:r>
        <w:rPr/>
        <w:t>firms may maintain reserves for strategic or regulatory reasons, not necessarily tied to future</w:t>
      </w:r>
      <w:r>
        <w:rPr>
          <w:spacing w:val="40"/>
        </w:rPr>
        <w:t> </w:t>
      </w:r>
      <w:r>
        <w:rPr/>
        <w:t>payouts.</w:t>
      </w:r>
    </w:p>
    <w:p>
      <w:pPr>
        <w:pStyle w:val="BodyText"/>
        <w:spacing w:line="230" w:lineRule="auto" w:before="240"/>
        <w:ind w:left="723" w:right="1378"/>
        <w:jc w:val="both"/>
      </w:pPr>
      <w:r>
        <w:rPr/>
        <w:t>Firms with moderate tax strategies, however, appear to align</w:t>
      </w:r>
      <w:r>
        <w:rPr>
          <w:spacing w:val="-3"/>
        </w:rPr>
        <w:t> </w:t>
      </w:r>
      <w:r>
        <w:rPr/>
        <w:t>reserve</w:t>
      </w:r>
      <w:r>
        <w:rPr>
          <w:spacing w:val="-3"/>
        </w:rPr>
        <w:t> </w:t>
      </w:r>
      <w:r>
        <w:rPr/>
        <w:t>behavior</w:t>
      </w:r>
      <w:r>
        <w:rPr>
          <w:spacing w:val="-3"/>
        </w:rPr>
        <w:t> </w:t>
      </w:r>
      <w:r>
        <w:rPr/>
        <w:t>more</w:t>
      </w:r>
      <w:r>
        <w:rPr>
          <w:spacing w:val="-3"/>
        </w:rPr>
        <w:t> </w:t>
      </w:r>
      <w:r>
        <w:rPr/>
        <w:t>closely</w:t>
      </w:r>
      <w:r>
        <w:rPr>
          <w:spacing w:val="40"/>
        </w:rPr>
        <w:t> </w:t>
      </w:r>
      <w:r>
        <w:rPr/>
        <w:t>with expected outcomes. Ciconte et al. (2024) find that tax reserves are most predictive</w:t>
      </w:r>
      <w:r>
        <w:rPr>
          <w:spacing w:val="-2"/>
        </w:rPr>
        <w:t> </w:t>
      </w:r>
      <w:r>
        <w:rPr/>
        <w:t>among</w:t>
      </w:r>
      <w:r>
        <w:rPr>
          <w:spacing w:val="40"/>
        </w:rPr>
        <w:t> </w:t>
      </w:r>
      <w:r>
        <w:rPr/>
        <w:t>firms that cannot impound</w:t>
      </w:r>
      <w:r>
        <w:rPr>
          <w:spacing w:val="-2"/>
        </w:rPr>
        <w:t> </w:t>
      </w:r>
      <w:r>
        <w:rPr/>
        <w:t>detection</w:t>
      </w:r>
      <w:r>
        <w:rPr>
          <w:spacing w:val="-2"/>
        </w:rPr>
        <w:t> </w:t>
      </w:r>
      <w:r>
        <w:rPr/>
        <w:t>risk</w:t>
      </w:r>
      <w:r>
        <w:rPr>
          <w:spacing w:val="-2"/>
        </w:rPr>
        <w:t> </w:t>
      </w:r>
      <w:r>
        <w:rPr/>
        <w:t>into</w:t>
      </w:r>
      <w:r>
        <w:rPr>
          <w:spacing w:val="-2"/>
        </w:rPr>
        <w:t> </w:t>
      </w:r>
      <w:r>
        <w:rPr/>
        <w:t>reserves,</w:t>
      </w:r>
      <w:r>
        <w:rPr>
          <w:spacing w:val="-2"/>
        </w:rPr>
        <w:t> </w:t>
      </w:r>
      <w:r>
        <w:rPr/>
        <w:t>often</w:t>
      </w:r>
      <w:r>
        <w:rPr>
          <w:spacing w:val="-2"/>
        </w:rPr>
        <w:t> </w:t>
      </w:r>
      <w:r>
        <w:rPr/>
        <w:t>those</w:t>
      </w:r>
      <w:r>
        <w:rPr>
          <w:spacing w:val="-2"/>
        </w:rPr>
        <w:t> </w:t>
      </w:r>
      <w:r>
        <w:rPr/>
        <w:t>with</w:t>
      </w:r>
      <w:r>
        <w:rPr>
          <w:spacing w:val="-2"/>
        </w:rPr>
        <w:t> </w:t>
      </w:r>
      <w:r>
        <w:rPr/>
        <w:t>balanced</w:t>
      </w:r>
      <w:r>
        <w:rPr>
          <w:spacing w:val="-2"/>
        </w:rPr>
        <w:t> </w:t>
      </w:r>
      <w:r>
        <w:rPr/>
        <w:t>tax</w:t>
      </w:r>
      <w:r>
        <w:rPr>
          <w:spacing w:val="-2"/>
        </w:rPr>
        <w:t> </w:t>
      </w:r>
      <w:r>
        <w:rPr/>
        <w:t>postures.</w:t>
      </w:r>
      <w:r>
        <w:rPr>
          <w:spacing w:val="40"/>
        </w:rPr>
        <w:t> </w:t>
      </w:r>
      <w:r>
        <w:rPr/>
        <w:t>Gleason and Mills (2011) show that auditor-provided tax services</w:t>
      </w:r>
      <w:r>
        <w:rPr>
          <w:spacing w:val="-3"/>
        </w:rPr>
        <w:t> </w:t>
      </w:r>
      <w:r>
        <w:rPr/>
        <w:t>improve</w:t>
      </w:r>
      <w:r>
        <w:rPr>
          <w:spacing w:val="-3"/>
        </w:rPr>
        <w:t> </w:t>
      </w:r>
      <w:r>
        <w:rPr/>
        <w:t>reserve</w:t>
      </w:r>
      <w:r>
        <w:rPr>
          <w:spacing w:val="-3"/>
        </w:rPr>
        <w:t> </w:t>
      </w:r>
      <w:r>
        <w:rPr/>
        <w:t>estimates,</w:t>
      </w:r>
      <w:r>
        <w:rPr>
          <w:spacing w:val="40"/>
        </w:rPr>
        <w:t> </w:t>
      </w:r>
      <w:r>
        <w:rPr/>
        <w:t>particularly when firms are neither overly aggressive nor excessively conservative. Kunz et al.</w:t>
      </w:r>
      <w:r>
        <w:rPr>
          <w:spacing w:val="40"/>
        </w:rPr>
        <w:t> </w:t>
      </w:r>
      <w:r>
        <w:rPr/>
        <w:t>(2024) demonstrate that tax-related</w:t>
      </w:r>
      <w:r>
        <w:rPr>
          <w:spacing w:val="-4"/>
        </w:rPr>
        <w:t> </w:t>
      </w:r>
      <w:r>
        <w:rPr/>
        <w:t>Critical</w:t>
      </w:r>
      <w:r>
        <w:rPr>
          <w:spacing w:val="-4"/>
        </w:rPr>
        <w:t> </w:t>
      </w:r>
      <w:r>
        <w:rPr/>
        <w:t>Audit</w:t>
      </w:r>
      <w:r>
        <w:rPr>
          <w:spacing w:val="-4"/>
        </w:rPr>
        <w:t> </w:t>
      </w:r>
      <w:r>
        <w:rPr/>
        <w:t>Matters</w:t>
      </w:r>
      <w:r>
        <w:rPr>
          <w:spacing w:val="-4"/>
        </w:rPr>
        <w:t> </w:t>
      </w:r>
      <w:r>
        <w:rPr/>
        <w:t>(CAMs)</w:t>
      </w:r>
      <w:r>
        <w:rPr>
          <w:spacing w:val="-4"/>
        </w:rPr>
        <w:t> </w:t>
      </w:r>
      <w:r>
        <w:rPr/>
        <w:t>enhance</w:t>
      </w:r>
      <w:r>
        <w:rPr>
          <w:spacing w:val="-4"/>
        </w:rPr>
        <w:t> </w:t>
      </w:r>
      <w:r>
        <w:rPr/>
        <w:t>tax</w:t>
      </w:r>
      <w:r>
        <w:rPr>
          <w:spacing w:val="-4"/>
        </w:rPr>
        <w:t> </w:t>
      </w:r>
      <w:r>
        <w:rPr/>
        <w:t>reserve</w:t>
      </w:r>
      <w:r>
        <w:rPr>
          <w:spacing w:val="40"/>
        </w:rPr>
        <w:t> </w:t>
      </w:r>
      <w:r>
        <w:rPr/>
        <w:t>informativeness, especially when auditors possess tax expertise, conditions more likely to be met</w:t>
      </w:r>
      <w:r>
        <w:rPr>
          <w:spacing w:val="40"/>
        </w:rPr>
        <w:t> </w:t>
      </w:r>
      <w:r>
        <w:rPr/>
        <w:t>by</w:t>
      </w:r>
      <w:r>
        <w:rPr>
          <w:spacing w:val="-2"/>
        </w:rPr>
        <w:t> </w:t>
      </w:r>
      <w:r>
        <w:rPr/>
        <w:t>firms</w:t>
      </w:r>
      <w:r>
        <w:rPr>
          <w:spacing w:val="-2"/>
        </w:rPr>
        <w:t> </w:t>
      </w:r>
      <w:r>
        <w:rPr/>
        <w:t>with</w:t>
      </w:r>
      <w:r>
        <w:rPr>
          <w:spacing w:val="-2"/>
        </w:rPr>
        <w:t> </w:t>
      </w:r>
      <w:r>
        <w:rPr/>
        <w:t>a moderate</w:t>
      </w:r>
      <w:r>
        <w:rPr>
          <w:spacing w:val="72"/>
        </w:rPr>
        <w:t> </w:t>
      </w:r>
      <w:r>
        <w:rPr/>
        <w:t>tax</w:t>
      </w:r>
      <w:r>
        <w:rPr>
          <w:spacing w:val="73"/>
        </w:rPr>
        <w:t> </w:t>
      </w:r>
      <w:r>
        <w:rPr/>
        <w:t>strategy</w:t>
      </w:r>
      <w:r>
        <w:rPr>
          <w:spacing w:val="73"/>
        </w:rPr>
        <w:t> </w:t>
      </w:r>
      <w:r>
        <w:rPr/>
        <w:t>approach.</w:t>
      </w:r>
      <w:r>
        <w:rPr>
          <w:spacing w:val="73"/>
        </w:rPr>
        <w:t> </w:t>
      </w:r>
      <w:r>
        <w:rPr/>
        <w:t>Further,</w:t>
      </w:r>
      <w:r>
        <w:rPr>
          <w:spacing w:val="72"/>
        </w:rPr>
        <w:t> </w:t>
      </w:r>
      <w:r>
        <w:rPr/>
        <w:t>Hanlon,</w:t>
      </w:r>
      <w:r>
        <w:rPr>
          <w:spacing w:val="73"/>
        </w:rPr>
        <w:t> </w:t>
      </w:r>
      <w:r>
        <w:rPr/>
        <w:t>Maydew,</w:t>
      </w:r>
      <w:r>
        <w:rPr>
          <w:spacing w:val="73"/>
        </w:rPr>
        <w:t> </w:t>
      </w:r>
      <w:r>
        <w:rPr/>
        <w:t>and</w:t>
      </w:r>
      <w:r>
        <w:rPr>
          <w:spacing w:val="73"/>
        </w:rPr>
        <w:t> </w:t>
      </w:r>
      <w:r>
        <w:rPr/>
        <w:t>Saavedra</w:t>
      </w:r>
      <w:r>
        <w:rPr>
          <w:spacing w:val="73"/>
        </w:rPr>
        <w:t> </w:t>
      </w:r>
      <w:r>
        <w:rPr/>
        <w:t>(2017)</w:t>
      </w:r>
      <w:r>
        <w:rPr>
          <w:spacing w:val="65"/>
        </w:rPr>
        <w:t>  </w:t>
      </w:r>
      <w:r>
        <w:rPr/>
        <w:t>link</w:t>
      </w:r>
      <w:r>
        <w:rPr>
          <w:spacing w:val="59"/>
        </w:rPr>
        <w:t> </w:t>
      </w:r>
      <w:r>
        <w:rPr>
          <w:spacing w:val="-5"/>
        </w:rPr>
        <w:t>tax</w:t>
      </w:r>
    </w:p>
    <w:p>
      <w:pPr>
        <w:pStyle w:val="BodyText"/>
        <w:spacing w:after="0" w:line="230" w:lineRule="auto"/>
        <w:jc w:val="both"/>
        <w:sectPr>
          <w:pgSz w:w="12240" w:h="15840"/>
          <w:pgMar w:header="0" w:footer="707" w:top="620" w:bottom="960" w:left="720" w:right="0"/>
        </w:sectPr>
      </w:pPr>
    </w:p>
    <w:p>
      <w:pPr>
        <w:pStyle w:val="BodyText"/>
        <w:spacing w:line="230" w:lineRule="auto" w:before="80"/>
        <w:ind w:left="723" w:right="1380"/>
        <w:jc w:val="both"/>
      </w:pPr>
      <w:r>
        <w:rPr/>
        <w:t>uncertainty to corporate cash holdings, while Bozanic, Hoopes, Thornock, and Williams</w:t>
      </w:r>
      <w:r>
        <w:rPr>
          <w:spacing w:val="40"/>
        </w:rPr>
        <w:t> </w:t>
      </w:r>
      <w:r>
        <w:rPr/>
        <w:t>(2017) show that IRS attention alters tax behavior. Both studies suggest that firms in the middle</w:t>
      </w:r>
      <w:r>
        <w:rPr>
          <w:spacing w:val="40"/>
        </w:rPr>
        <w:t> </w:t>
      </w:r>
      <w:r>
        <w:rPr/>
        <w:t>of the risk spectrum respond most predictably to external pressures. Similarly, Brushwood, Johnston, and Lusch (2018) find that tax audit outcomes affect UTB reporting and valuation, with</w:t>
      </w:r>
      <w:r>
        <w:rPr>
          <w:spacing w:val="40"/>
        </w:rPr>
        <w:t> </w:t>
      </w:r>
      <w:r>
        <w:rPr/>
        <w:t>the clearest effects observed in firms with moderate exposure.</w:t>
      </w:r>
    </w:p>
    <w:p>
      <w:pPr>
        <w:pStyle w:val="BodyText"/>
        <w:spacing w:line="230" w:lineRule="auto" w:before="244"/>
        <w:ind w:left="723" w:right="1379"/>
        <w:jc w:val="both"/>
      </w:pPr>
      <w:r>
        <w:rPr/>
        <w:t>Taken together, these studies suggest that the informativeness of tax reserves is not </w:t>
      </w:r>
      <w:r>
        <w:rPr/>
        <w:t>uniform across firms and</w:t>
      </w:r>
      <w:r>
        <w:rPr>
          <w:spacing w:val="-5"/>
        </w:rPr>
        <w:t> </w:t>
      </w:r>
      <w:r>
        <w:rPr/>
        <w:t>likely</w:t>
      </w:r>
      <w:r>
        <w:rPr>
          <w:spacing w:val="-5"/>
        </w:rPr>
        <w:t> </w:t>
      </w:r>
      <w:r>
        <w:rPr/>
        <w:t>varies</w:t>
      </w:r>
      <w:r>
        <w:rPr>
          <w:spacing w:val="-5"/>
        </w:rPr>
        <w:t> </w:t>
      </w:r>
      <w:r>
        <w:rPr/>
        <w:t>systematically</w:t>
      </w:r>
      <w:r>
        <w:rPr>
          <w:spacing w:val="-5"/>
        </w:rPr>
        <w:t> </w:t>
      </w:r>
      <w:r>
        <w:rPr/>
        <w:t>with</w:t>
      </w:r>
      <w:r>
        <w:rPr>
          <w:spacing w:val="-5"/>
        </w:rPr>
        <w:t> </w:t>
      </w:r>
      <w:r>
        <w:rPr/>
        <w:t>tax</w:t>
      </w:r>
      <w:r>
        <w:rPr>
          <w:spacing w:val="-5"/>
        </w:rPr>
        <w:t> </w:t>
      </w:r>
      <w:r>
        <w:rPr/>
        <w:t>strategy.</w:t>
      </w:r>
      <w:r>
        <w:rPr>
          <w:spacing w:val="-5"/>
        </w:rPr>
        <w:t> </w:t>
      </w:r>
      <w:r>
        <w:rPr/>
        <w:t>Aggressive</w:t>
      </w:r>
      <w:r>
        <w:rPr>
          <w:spacing w:val="-5"/>
        </w:rPr>
        <w:t> </w:t>
      </w:r>
      <w:r>
        <w:rPr/>
        <w:t>firms</w:t>
      </w:r>
      <w:r>
        <w:rPr>
          <w:spacing w:val="-5"/>
        </w:rPr>
        <w:t> </w:t>
      </w:r>
      <w:r>
        <w:rPr/>
        <w:t>may</w:t>
      </w:r>
      <w:r>
        <w:rPr>
          <w:spacing w:val="-5"/>
        </w:rPr>
        <w:t> </w:t>
      </w:r>
      <w:r>
        <w:rPr/>
        <w:t>over-reserve or obfuscate risk, conservative firms may book precautionary buffers, and moderate firms may record</w:t>
      </w:r>
      <w:r>
        <w:rPr>
          <w:spacing w:val="-4"/>
        </w:rPr>
        <w:t> </w:t>
      </w:r>
      <w:r>
        <w:rPr/>
        <w:t>additions</w:t>
      </w:r>
      <w:r>
        <w:rPr>
          <w:spacing w:val="-4"/>
        </w:rPr>
        <w:t> </w:t>
      </w:r>
      <w:r>
        <w:rPr/>
        <w:t>to</w:t>
      </w:r>
      <w:r>
        <w:rPr>
          <w:spacing w:val="-4"/>
        </w:rPr>
        <w:t> </w:t>
      </w:r>
      <w:r>
        <w:rPr/>
        <w:t>the</w:t>
      </w:r>
      <w:r>
        <w:rPr>
          <w:spacing w:val="-4"/>
        </w:rPr>
        <w:t> </w:t>
      </w:r>
      <w:r>
        <w:rPr/>
        <w:t>tax</w:t>
      </w:r>
      <w:r>
        <w:rPr>
          <w:spacing w:val="-4"/>
        </w:rPr>
        <w:t> </w:t>
      </w:r>
      <w:r>
        <w:rPr/>
        <w:t>reserve</w:t>
      </w:r>
      <w:r>
        <w:rPr>
          <w:spacing w:val="-4"/>
        </w:rPr>
        <w:t> </w:t>
      </w:r>
      <w:r>
        <w:rPr/>
        <w:t>with</w:t>
      </w:r>
      <w:r>
        <w:rPr>
          <w:spacing w:val="-4"/>
        </w:rPr>
        <w:t> </w:t>
      </w:r>
      <w:r>
        <w:rPr/>
        <w:t>greater</w:t>
      </w:r>
      <w:r>
        <w:rPr>
          <w:spacing w:val="-4"/>
        </w:rPr>
        <w:t> </w:t>
      </w:r>
      <w:r>
        <w:rPr/>
        <w:t>accuracy</w:t>
      </w:r>
      <w:r>
        <w:rPr>
          <w:spacing w:val="-4"/>
        </w:rPr>
        <w:t> </w:t>
      </w:r>
      <w:r>
        <w:rPr/>
        <w:t>and</w:t>
      </w:r>
      <w:r>
        <w:rPr>
          <w:spacing w:val="-4"/>
        </w:rPr>
        <w:t> </w:t>
      </w:r>
      <w:r>
        <w:rPr/>
        <w:t>transparency.</w:t>
      </w:r>
      <w:r>
        <w:rPr>
          <w:spacing w:val="-4"/>
        </w:rPr>
        <w:t> </w:t>
      </w:r>
      <w:r>
        <w:rPr/>
        <w:t>As</w:t>
      </w:r>
      <w:r>
        <w:rPr>
          <w:spacing w:val="-4"/>
        </w:rPr>
        <w:t> </w:t>
      </w:r>
      <w:r>
        <w:rPr/>
        <w:t>such,</w:t>
      </w:r>
      <w:r>
        <w:rPr>
          <w:spacing w:val="-4"/>
        </w:rPr>
        <w:t> </w:t>
      </w:r>
      <w:r>
        <w:rPr/>
        <w:t>we</w:t>
      </w:r>
      <w:r>
        <w:rPr>
          <w:spacing w:val="-4"/>
        </w:rPr>
        <w:t> </w:t>
      </w:r>
      <w:r>
        <w:rPr/>
        <w:t>conjecture that this dynamic produces a concave relationship between tax reserve informativeness and tax strategy, with the highest payout percentages, and therefore the greatest informativeness, occurring</w:t>
      </w:r>
      <w:r>
        <w:rPr>
          <w:spacing w:val="40"/>
        </w:rPr>
        <w:t> </w:t>
      </w:r>
      <w:r>
        <w:rPr/>
        <w:t>among firms with a moderate tax strategy.</w:t>
      </w:r>
    </w:p>
    <w:p>
      <w:pPr>
        <w:pStyle w:val="Heading4"/>
        <w:spacing w:before="243"/>
      </w:pPr>
      <w:r>
        <w:rPr>
          <w:spacing w:val="-2"/>
        </w:rPr>
        <w:t>Methodology</w:t>
      </w:r>
    </w:p>
    <w:p>
      <w:pPr>
        <w:pStyle w:val="BodyText"/>
        <w:spacing w:line="230" w:lineRule="auto" w:before="156"/>
        <w:ind w:left="723" w:right="1383"/>
        <w:jc w:val="both"/>
      </w:pPr>
      <w:r>
        <w:rPr/>
        <w:t>We begin our study by</w:t>
      </w:r>
      <w:r>
        <w:rPr>
          <w:spacing w:val="-4"/>
        </w:rPr>
        <w:t> </w:t>
      </w:r>
      <w:r>
        <w:rPr/>
        <w:t>examining</w:t>
      </w:r>
      <w:r>
        <w:rPr>
          <w:spacing w:val="-4"/>
        </w:rPr>
        <w:t> </w:t>
      </w:r>
      <w:r>
        <w:rPr/>
        <w:t>the</w:t>
      </w:r>
      <w:r>
        <w:rPr>
          <w:spacing w:val="-4"/>
        </w:rPr>
        <w:t> </w:t>
      </w:r>
      <w:r>
        <w:rPr/>
        <w:t>linear</w:t>
      </w:r>
      <w:r>
        <w:rPr>
          <w:spacing w:val="-4"/>
        </w:rPr>
        <w:t> </w:t>
      </w:r>
      <w:r>
        <w:rPr/>
        <w:t>association</w:t>
      </w:r>
      <w:r>
        <w:rPr>
          <w:spacing w:val="-4"/>
        </w:rPr>
        <w:t> </w:t>
      </w:r>
      <w:r>
        <w:rPr/>
        <w:t>between</w:t>
      </w:r>
      <w:r>
        <w:rPr>
          <w:spacing w:val="-4"/>
        </w:rPr>
        <w:t> </w:t>
      </w:r>
      <w:r>
        <w:rPr/>
        <w:t>tax</w:t>
      </w:r>
      <w:r>
        <w:rPr>
          <w:spacing w:val="-4"/>
        </w:rPr>
        <w:t> </w:t>
      </w:r>
      <w:r>
        <w:rPr/>
        <w:t>reserve</w:t>
      </w:r>
      <w:r>
        <w:rPr>
          <w:spacing w:val="40"/>
        </w:rPr>
        <w:t> </w:t>
      </w:r>
      <w:r>
        <w:rPr/>
        <w:t>informativeness</w:t>
      </w:r>
      <w:r>
        <w:rPr>
          <w:spacing w:val="-4"/>
        </w:rPr>
        <w:t> </w:t>
      </w:r>
      <w:r>
        <w:rPr/>
        <w:t>and tax strategy. As previously documented, prior</w:t>
      </w:r>
      <w:r>
        <w:rPr>
          <w:spacing w:val="-4"/>
        </w:rPr>
        <w:t> </w:t>
      </w:r>
      <w:r>
        <w:rPr/>
        <w:t>literature</w:t>
      </w:r>
      <w:r>
        <w:rPr>
          <w:spacing w:val="-4"/>
        </w:rPr>
        <w:t> </w:t>
      </w:r>
      <w:r>
        <w:rPr/>
        <w:t>disagrees</w:t>
      </w:r>
      <w:r>
        <w:rPr>
          <w:spacing w:val="-4"/>
        </w:rPr>
        <w:t> </w:t>
      </w:r>
      <w:r>
        <w:rPr/>
        <w:t>as</w:t>
      </w:r>
      <w:r>
        <w:rPr>
          <w:spacing w:val="-4"/>
        </w:rPr>
        <w:t> </w:t>
      </w:r>
      <w:r>
        <w:rPr/>
        <w:t>to</w:t>
      </w:r>
      <w:r>
        <w:rPr>
          <w:spacing w:val="40"/>
        </w:rPr>
        <w:t> </w:t>
      </w:r>
      <w:r>
        <w:rPr/>
        <w:t>whether</w:t>
      </w:r>
      <w:r>
        <w:rPr>
          <w:spacing w:val="-4"/>
        </w:rPr>
        <w:t> </w:t>
      </w:r>
      <w:r>
        <w:rPr/>
        <w:t>the</w:t>
      </w:r>
      <w:r>
        <w:rPr>
          <w:spacing w:val="-4"/>
        </w:rPr>
        <w:t> </w:t>
      </w:r>
      <w:r>
        <w:rPr/>
        <w:t>tax</w:t>
      </w:r>
      <w:r>
        <w:rPr>
          <w:spacing w:val="-4"/>
        </w:rPr>
        <w:t> </w:t>
      </w:r>
      <w:r>
        <w:rPr/>
        <w:t>reserve</w:t>
      </w:r>
      <w:r>
        <w:rPr>
          <w:spacing w:val="-4"/>
        </w:rPr>
        <w:t> </w:t>
      </w:r>
      <w:r>
        <w:rPr/>
        <w:t>is a good accrual. A common characteristic of these studies is that they</w:t>
      </w:r>
      <w:r>
        <w:rPr>
          <w:spacing w:val="40"/>
        </w:rPr>
        <w:t> </w:t>
      </w:r>
      <w:r>
        <w:rPr/>
        <w:t>focus on the conditional mean of the response distribution and present an incomplete picture of</w:t>
      </w:r>
      <w:r>
        <w:rPr>
          <w:spacing w:val="40"/>
        </w:rPr>
        <w:t> </w:t>
      </w:r>
      <w:r>
        <w:rPr/>
        <w:t>tax reserve behavior. To illustrate, we estimate an OLS regression model with only linear terms</w:t>
      </w:r>
      <w:r>
        <w:rPr>
          <w:spacing w:val="40"/>
        </w:rPr>
        <w:t> </w:t>
      </w:r>
      <w:r>
        <w:rPr/>
        <w:t>and then compare its results to a univariate depiction of tax reserve informativeness across the tax</w:t>
      </w:r>
      <w:r>
        <w:rPr>
          <w:spacing w:val="80"/>
        </w:rPr>
        <w:t> </w:t>
      </w:r>
      <w:r>
        <w:rPr/>
        <w:t>strategy distribution. Our initial equation is as follows:</w:t>
      </w:r>
    </w:p>
    <w:p>
      <w:pPr>
        <w:spacing w:line="271" w:lineRule="exact" w:before="268"/>
        <w:ind w:left="0" w:right="74" w:firstLine="0"/>
        <w:jc w:val="center"/>
        <w:rPr>
          <w:i/>
          <w:sz w:val="16"/>
        </w:rPr>
      </w:pPr>
      <w:r>
        <w:rPr>
          <w:i/>
          <w:sz w:val="24"/>
        </w:rPr>
        <w:t>SETTLE</w:t>
      </w:r>
      <w:r>
        <w:rPr>
          <w:i/>
          <w:sz w:val="16"/>
        </w:rPr>
        <w:t>i,t</w:t>
      </w:r>
      <w:r>
        <w:rPr>
          <w:i/>
          <w:spacing w:val="-2"/>
          <w:sz w:val="16"/>
        </w:rPr>
        <w:t> </w:t>
      </w:r>
      <w:r>
        <w:rPr>
          <w:i/>
          <w:sz w:val="24"/>
        </w:rPr>
        <w:t>= β</w:t>
      </w:r>
      <w:r>
        <w:rPr>
          <w:i/>
          <w:sz w:val="16"/>
        </w:rPr>
        <w:t>0 </w:t>
      </w:r>
      <w:r>
        <w:rPr>
          <w:i/>
          <w:sz w:val="24"/>
        </w:rPr>
        <w:t>+ β</w:t>
      </w:r>
      <w:r>
        <w:rPr>
          <w:i/>
          <w:sz w:val="16"/>
        </w:rPr>
        <w:t>1</w:t>
      </w:r>
      <w:r>
        <w:rPr>
          <w:i/>
          <w:sz w:val="24"/>
        </w:rPr>
        <w:t>CETR</w:t>
      </w:r>
      <w:r>
        <w:rPr>
          <w:i/>
          <w:sz w:val="16"/>
        </w:rPr>
        <w:t>i,t </w:t>
      </w:r>
      <w:r>
        <w:rPr>
          <w:i/>
          <w:sz w:val="24"/>
        </w:rPr>
        <w:t>+ β</w:t>
      </w:r>
      <w:r>
        <w:rPr>
          <w:i/>
          <w:sz w:val="16"/>
        </w:rPr>
        <w:t>2</w:t>
      </w:r>
      <w:r>
        <w:rPr>
          <w:i/>
          <w:sz w:val="24"/>
        </w:rPr>
        <w:t>LAPSE</w:t>
      </w:r>
      <w:r>
        <w:rPr>
          <w:i/>
          <w:sz w:val="16"/>
        </w:rPr>
        <w:t>i,t </w:t>
      </w:r>
      <w:r>
        <w:rPr>
          <w:i/>
          <w:sz w:val="24"/>
        </w:rPr>
        <w:t>+ β</w:t>
      </w:r>
      <w:r>
        <w:rPr>
          <w:i/>
          <w:sz w:val="16"/>
        </w:rPr>
        <w:t>3</w:t>
      </w:r>
      <w:r>
        <w:rPr>
          <w:i/>
          <w:sz w:val="24"/>
        </w:rPr>
        <w:t>PYDEC</w:t>
      </w:r>
      <w:r>
        <w:rPr>
          <w:i/>
          <w:sz w:val="16"/>
        </w:rPr>
        <w:t>i,t </w:t>
      </w:r>
      <w:r>
        <w:rPr>
          <w:i/>
          <w:sz w:val="24"/>
        </w:rPr>
        <w:t>+ β</w:t>
      </w:r>
      <w:r>
        <w:rPr>
          <w:i/>
          <w:sz w:val="16"/>
        </w:rPr>
        <w:t>4</w:t>
      </w:r>
      <w:r>
        <w:rPr>
          <w:i/>
          <w:sz w:val="24"/>
        </w:rPr>
        <w:t>NOL</w:t>
      </w:r>
      <w:r>
        <w:rPr>
          <w:i/>
          <w:sz w:val="16"/>
        </w:rPr>
        <w:t>i,t </w:t>
      </w:r>
      <w:r>
        <w:rPr>
          <w:i/>
          <w:sz w:val="24"/>
        </w:rPr>
        <w:t>+ β</w:t>
      </w:r>
      <w:r>
        <w:rPr>
          <w:i/>
          <w:sz w:val="16"/>
        </w:rPr>
        <w:t>5</w:t>
      </w:r>
      <w:r>
        <w:rPr>
          <w:i/>
          <w:sz w:val="24"/>
        </w:rPr>
        <w:t>ΔNOL</w:t>
      </w:r>
      <w:r>
        <w:rPr>
          <w:i/>
          <w:sz w:val="16"/>
        </w:rPr>
        <w:t>i,t </w:t>
      </w:r>
      <w:r>
        <w:rPr>
          <w:i/>
          <w:sz w:val="24"/>
        </w:rPr>
        <w:t>+</w:t>
      </w:r>
      <w:r>
        <w:rPr>
          <w:i/>
          <w:spacing w:val="60"/>
          <w:sz w:val="24"/>
        </w:rPr>
        <w:t> </w:t>
      </w:r>
      <w:r>
        <w:rPr>
          <w:i/>
          <w:spacing w:val="-2"/>
          <w:sz w:val="24"/>
        </w:rPr>
        <w:t>β</w:t>
      </w:r>
      <w:r>
        <w:rPr>
          <w:i/>
          <w:spacing w:val="-2"/>
          <w:sz w:val="16"/>
        </w:rPr>
        <w:t>6</w:t>
      </w:r>
      <w:r>
        <w:rPr>
          <w:i/>
          <w:spacing w:val="-2"/>
          <w:sz w:val="24"/>
        </w:rPr>
        <w:t>LEV</w:t>
      </w:r>
      <w:r>
        <w:rPr>
          <w:i/>
          <w:spacing w:val="-2"/>
          <w:sz w:val="16"/>
        </w:rPr>
        <w:t>i,t</w:t>
      </w:r>
    </w:p>
    <w:p>
      <w:pPr>
        <w:tabs>
          <w:tab w:pos="7427" w:val="left" w:leader="none"/>
        </w:tabs>
        <w:spacing w:line="271" w:lineRule="exact" w:before="0"/>
        <w:ind w:left="722" w:right="0" w:firstLine="0"/>
        <w:jc w:val="center"/>
        <w:rPr>
          <w:sz w:val="24"/>
        </w:rPr>
      </w:pPr>
      <w:r>
        <w:rPr>
          <w:i/>
          <w:sz w:val="24"/>
        </w:rPr>
        <w:t>+</w:t>
      </w:r>
      <w:r>
        <w:rPr>
          <w:i/>
          <w:spacing w:val="-2"/>
          <w:sz w:val="24"/>
        </w:rPr>
        <w:t> </w:t>
      </w:r>
      <w:r>
        <w:rPr>
          <w:i/>
          <w:sz w:val="24"/>
        </w:rPr>
        <w:t>β</w:t>
      </w:r>
      <w:r>
        <w:rPr>
          <w:i/>
          <w:sz w:val="16"/>
        </w:rPr>
        <w:t>7</w:t>
      </w:r>
      <w:r>
        <w:rPr>
          <w:i/>
          <w:sz w:val="24"/>
        </w:rPr>
        <w:t>PPE</w:t>
      </w:r>
      <w:r>
        <w:rPr>
          <w:i/>
          <w:sz w:val="16"/>
        </w:rPr>
        <w:t>i,t</w:t>
      </w:r>
      <w:r>
        <w:rPr>
          <w:i/>
          <w:spacing w:val="-1"/>
          <w:sz w:val="16"/>
        </w:rPr>
        <w:t> </w:t>
      </w:r>
      <w:r>
        <w:rPr>
          <w:i/>
          <w:sz w:val="24"/>
        </w:rPr>
        <w:t>+</w:t>
      </w:r>
      <w:r>
        <w:rPr>
          <w:i/>
          <w:spacing w:val="-2"/>
          <w:sz w:val="24"/>
        </w:rPr>
        <w:t> </w:t>
      </w:r>
      <w:r>
        <w:rPr>
          <w:i/>
          <w:sz w:val="24"/>
        </w:rPr>
        <w:t>β</w:t>
      </w:r>
      <w:r>
        <w:rPr>
          <w:i/>
          <w:sz w:val="16"/>
        </w:rPr>
        <w:t>8</w:t>
      </w:r>
      <w:r>
        <w:rPr>
          <w:i/>
          <w:sz w:val="24"/>
        </w:rPr>
        <w:t>INTAN</w:t>
      </w:r>
      <w:r>
        <w:rPr>
          <w:i/>
          <w:sz w:val="16"/>
        </w:rPr>
        <w:t>i,t</w:t>
      </w:r>
      <w:r>
        <w:rPr>
          <w:i/>
          <w:spacing w:val="-1"/>
          <w:sz w:val="16"/>
        </w:rPr>
        <w:t> </w:t>
      </w:r>
      <w:r>
        <w:rPr>
          <w:i/>
          <w:sz w:val="24"/>
        </w:rPr>
        <w:t>+</w:t>
      </w:r>
      <w:r>
        <w:rPr>
          <w:i/>
          <w:spacing w:val="-2"/>
          <w:sz w:val="24"/>
        </w:rPr>
        <w:t> </w:t>
      </w:r>
      <w:r>
        <w:rPr>
          <w:i/>
          <w:sz w:val="24"/>
        </w:rPr>
        <w:t>β</w:t>
      </w:r>
      <w:r>
        <w:rPr>
          <w:i/>
          <w:sz w:val="16"/>
        </w:rPr>
        <w:t>9</w:t>
      </w:r>
      <w:r>
        <w:rPr>
          <w:i/>
          <w:sz w:val="24"/>
        </w:rPr>
        <w:t>ROA</w:t>
      </w:r>
      <w:r>
        <w:rPr>
          <w:i/>
          <w:sz w:val="16"/>
        </w:rPr>
        <w:t>i,t</w:t>
      </w:r>
      <w:r>
        <w:rPr>
          <w:i/>
          <w:spacing w:val="-1"/>
          <w:sz w:val="16"/>
        </w:rPr>
        <w:t> </w:t>
      </w:r>
      <w:r>
        <w:rPr>
          <w:i/>
          <w:sz w:val="24"/>
        </w:rPr>
        <w:t>+</w:t>
      </w:r>
      <w:r>
        <w:rPr>
          <w:i/>
          <w:spacing w:val="-1"/>
          <w:sz w:val="24"/>
        </w:rPr>
        <w:t> </w:t>
      </w:r>
      <w:r>
        <w:rPr>
          <w:i/>
          <w:sz w:val="24"/>
        </w:rPr>
        <w:t>β</w:t>
      </w:r>
      <w:r>
        <w:rPr>
          <w:i/>
          <w:sz w:val="16"/>
        </w:rPr>
        <w:t>10</w:t>
      </w:r>
      <w:r>
        <w:rPr>
          <w:i/>
          <w:sz w:val="24"/>
        </w:rPr>
        <w:t>SIZE</w:t>
      </w:r>
      <w:r>
        <w:rPr>
          <w:i/>
          <w:sz w:val="16"/>
        </w:rPr>
        <w:t>i,t</w:t>
      </w:r>
      <w:r>
        <w:rPr>
          <w:i/>
          <w:spacing w:val="-1"/>
          <w:sz w:val="16"/>
        </w:rPr>
        <w:t> </w:t>
      </w:r>
      <w:r>
        <w:rPr>
          <w:i/>
          <w:sz w:val="24"/>
        </w:rPr>
        <w:t>+</w:t>
      </w:r>
      <w:r>
        <w:rPr>
          <w:i/>
          <w:spacing w:val="-2"/>
          <w:sz w:val="24"/>
        </w:rPr>
        <w:t> </w:t>
      </w:r>
      <w:r>
        <w:rPr>
          <w:i/>
          <w:sz w:val="24"/>
        </w:rPr>
        <w:t>YR</w:t>
      </w:r>
      <w:r>
        <w:rPr>
          <w:i/>
          <w:sz w:val="16"/>
        </w:rPr>
        <w:t>t</w:t>
      </w:r>
      <w:r>
        <w:rPr>
          <w:i/>
          <w:spacing w:val="-1"/>
          <w:sz w:val="16"/>
        </w:rPr>
        <w:t> </w:t>
      </w:r>
      <w:r>
        <w:rPr>
          <w:i/>
          <w:sz w:val="24"/>
        </w:rPr>
        <w:t>+</w:t>
      </w:r>
      <w:r>
        <w:rPr>
          <w:i/>
          <w:spacing w:val="-2"/>
          <w:sz w:val="24"/>
        </w:rPr>
        <w:t> </w:t>
      </w:r>
      <w:r>
        <w:rPr>
          <w:i/>
          <w:sz w:val="24"/>
        </w:rPr>
        <w:t>IND</w:t>
      </w:r>
      <w:r>
        <w:rPr>
          <w:i/>
          <w:sz w:val="16"/>
        </w:rPr>
        <w:t>i</w:t>
      </w:r>
      <w:r>
        <w:rPr>
          <w:i/>
          <w:spacing w:val="-1"/>
          <w:sz w:val="16"/>
        </w:rPr>
        <w:t> </w:t>
      </w:r>
      <w:r>
        <w:rPr>
          <w:i/>
          <w:sz w:val="24"/>
        </w:rPr>
        <w:t>+</w:t>
      </w:r>
      <w:r>
        <w:rPr>
          <w:i/>
          <w:spacing w:val="-1"/>
          <w:sz w:val="24"/>
        </w:rPr>
        <w:t> </w:t>
      </w:r>
      <w:r>
        <w:rPr>
          <w:i/>
          <w:spacing w:val="-4"/>
          <w:sz w:val="24"/>
        </w:rPr>
        <w:t>ε</w:t>
      </w:r>
      <w:r>
        <w:rPr>
          <w:i/>
          <w:spacing w:val="-4"/>
          <w:sz w:val="16"/>
        </w:rPr>
        <w:t>i,t</w:t>
      </w:r>
      <w:r>
        <w:rPr>
          <w:i/>
          <w:sz w:val="16"/>
        </w:rPr>
        <w:tab/>
      </w:r>
      <w:r>
        <w:rPr>
          <w:spacing w:val="-5"/>
          <w:sz w:val="24"/>
        </w:rPr>
        <w:t>(1)</w:t>
      </w:r>
    </w:p>
    <w:p>
      <w:pPr>
        <w:pStyle w:val="BodyText"/>
        <w:spacing w:before="24"/>
      </w:pPr>
    </w:p>
    <w:p>
      <w:pPr>
        <w:pStyle w:val="BodyText"/>
        <w:spacing w:line="230" w:lineRule="auto"/>
        <w:ind w:left="723" w:right="1387"/>
        <w:jc w:val="both"/>
      </w:pPr>
      <w:r>
        <w:rPr/>
        <w:t>However, when we plot the mean values</w:t>
      </w:r>
      <w:r>
        <w:rPr>
          <w:spacing w:val="-3"/>
        </w:rPr>
        <w:t> </w:t>
      </w:r>
      <w:r>
        <w:rPr/>
        <w:t>of</w:t>
      </w:r>
      <w:r>
        <w:rPr>
          <w:spacing w:val="-3"/>
        </w:rPr>
        <w:t> </w:t>
      </w:r>
      <w:r>
        <w:rPr/>
        <w:t>reserve</w:t>
      </w:r>
      <w:r>
        <w:rPr>
          <w:spacing w:val="-3"/>
        </w:rPr>
        <w:t> </w:t>
      </w:r>
      <w:r>
        <w:rPr/>
        <w:t>informativeness</w:t>
      </w:r>
      <w:r>
        <w:rPr>
          <w:spacing w:val="-3"/>
        </w:rPr>
        <w:t> </w:t>
      </w:r>
      <w:r>
        <w:rPr/>
        <w:t>(</w:t>
      </w:r>
      <w:r>
        <w:rPr>
          <w:i/>
        </w:rPr>
        <w:t>SETTLE</w:t>
      </w:r>
      <w:r>
        <w:rPr/>
        <w:t>)</w:t>
      </w:r>
      <w:r>
        <w:rPr>
          <w:spacing w:val="-3"/>
        </w:rPr>
        <w:t> </w:t>
      </w:r>
      <w:r>
        <w:rPr/>
        <w:t>against</w:t>
      </w:r>
      <w:r>
        <w:rPr>
          <w:spacing w:val="-3"/>
        </w:rPr>
        <w:t> </w:t>
      </w:r>
      <w:r>
        <w:rPr/>
        <w:t>the</w:t>
      </w:r>
      <w:r>
        <w:rPr>
          <w:spacing w:val="40"/>
        </w:rPr>
        <w:t> </w:t>
      </w:r>
      <w:r>
        <w:rPr/>
        <w:t>decile ranks of </w:t>
      </w:r>
      <w:r>
        <w:rPr>
          <w:i/>
        </w:rPr>
        <w:t>CETR</w:t>
      </w:r>
      <w:r>
        <w:rPr/>
        <w:t>, a different pattern emerges. The univariate relationship shown in Figure 1 exhibits a distinctly concave distribution, with firms located in the center (tails) of the CETR distribution having a higher (lower) level of reserve informativeness.</w:t>
      </w:r>
    </w:p>
    <w:p>
      <w:pPr>
        <w:pStyle w:val="BodyText"/>
        <w:rPr>
          <w:sz w:val="20"/>
        </w:rPr>
      </w:pPr>
    </w:p>
    <w:p>
      <w:pPr>
        <w:pStyle w:val="BodyText"/>
        <w:spacing w:before="101"/>
        <w:rPr>
          <w:sz w:val="20"/>
        </w:rPr>
      </w:pPr>
      <w:r>
        <w:rPr>
          <w:sz w:val="20"/>
        </w:rPr>
        <w:drawing>
          <wp:anchor distT="0" distB="0" distL="0" distR="0" allowOverlap="1" layoutInCell="1" locked="0" behindDoc="1" simplePos="0" relativeHeight="487593472">
            <wp:simplePos x="0" y="0"/>
            <wp:positionH relativeFrom="page">
              <wp:posOffset>1887279</wp:posOffset>
            </wp:positionH>
            <wp:positionV relativeFrom="paragraph">
              <wp:posOffset>225633</wp:posOffset>
            </wp:positionV>
            <wp:extent cx="4540840" cy="2664523"/>
            <wp:effectExtent l="0" t="0" r="0" b="0"/>
            <wp:wrapTopAndBottom/>
            <wp:docPr id="27" name="Image 27"/>
            <wp:cNvGraphicFramePr>
              <a:graphicFrameLocks/>
            </wp:cNvGraphicFramePr>
            <a:graphic>
              <a:graphicData uri="http://schemas.openxmlformats.org/drawingml/2006/picture">
                <pic:pic>
                  <pic:nvPicPr>
                    <pic:cNvPr id="27" name="Image 27"/>
                    <pic:cNvPicPr/>
                  </pic:nvPicPr>
                  <pic:blipFill>
                    <a:blip r:embed="rId142" cstate="print"/>
                    <a:stretch>
                      <a:fillRect/>
                    </a:stretch>
                  </pic:blipFill>
                  <pic:spPr>
                    <a:xfrm>
                      <a:off x="0" y="0"/>
                      <a:ext cx="4540840" cy="2664523"/>
                    </a:xfrm>
                    <a:prstGeom prst="rect">
                      <a:avLst/>
                    </a:prstGeom>
                  </pic:spPr>
                </pic:pic>
              </a:graphicData>
            </a:graphic>
          </wp:anchor>
        </w:drawing>
      </w:r>
    </w:p>
    <w:p>
      <w:pPr>
        <w:pStyle w:val="Heading4"/>
        <w:spacing w:before="10"/>
        <w:ind w:left="1737"/>
      </w:pPr>
      <w:r>
        <w:rPr/>
        <w:t>Figure</w:t>
      </w:r>
      <w:r>
        <w:rPr>
          <w:spacing w:val="-5"/>
        </w:rPr>
        <w:t> </w:t>
      </w:r>
      <w:r>
        <w:rPr/>
        <w:t>1:</w:t>
      </w:r>
      <w:r>
        <w:rPr>
          <w:spacing w:val="-4"/>
        </w:rPr>
        <w:t> </w:t>
      </w:r>
      <w:r>
        <w:rPr/>
        <w:t>Reserve</w:t>
      </w:r>
      <w:r>
        <w:rPr>
          <w:spacing w:val="-4"/>
        </w:rPr>
        <w:t> </w:t>
      </w:r>
      <w:r>
        <w:rPr/>
        <w:t>Informativeness</w:t>
      </w:r>
      <w:r>
        <w:rPr>
          <w:spacing w:val="-4"/>
        </w:rPr>
        <w:t> </w:t>
      </w:r>
      <w:r>
        <w:rPr/>
        <w:t>Across</w:t>
      </w:r>
      <w:r>
        <w:rPr>
          <w:spacing w:val="-4"/>
        </w:rPr>
        <w:t> </w:t>
      </w:r>
      <w:r>
        <w:rPr/>
        <w:t>the</w:t>
      </w:r>
      <w:r>
        <w:rPr>
          <w:spacing w:val="-4"/>
        </w:rPr>
        <w:t> </w:t>
      </w:r>
      <w:r>
        <w:rPr/>
        <w:t>Tax</w:t>
      </w:r>
      <w:r>
        <w:rPr>
          <w:spacing w:val="-4"/>
        </w:rPr>
        <w:t> </w:t>
      </w:r>
      <w:r>
        <w:rPr/>
        <w:t>Strategy</w:t>
      </w:r>
      <w:r>
        <w:rPr>
          <w:spacing w:val="-4"/>
        </w:rPr>
        <w:t> </w:t>
      </w:r>
      <w:r>
        <w:rPr>
          <w:spacing w:val="-2"/>
        </w:rPr>
        <w:t>Distribution</w:t>
      </w:r>
    </w:p>
    <w:p>
      <w:pPr>
        <w:pStyle w:val="BodyText"/>
        <w:spacing w:line="230" w:lineRule="auto" w:before="249"/>
        <w:ind w:left="693" w:right="1381"/>
        <w:jc w:val="both"/>
      </w:pPr>
      <w:r>
        <w:rPr/>
        <w:t>Following the nature of the distribution observed in Figure 1, we update Equation</w:t>
      </w:r>
      <w:r>
        <w:rPr>
          <w:spacing w:val="-2"/>
        </w:rPr>
        <w:t> </w:t>
      </w:r>
      <w:r>
        <w:rPr/>
        <w:t>(1)</w:t>
      </w:r>
      <w:r>
        <w:rPr>
          <w:spacing w:val="-2"/>
        </w:rPr>
        <w:t> </w:t>
      </w:r>
      <w:r>
        <w:rPr/>
        <w:t>to</w:t>
      </w:r>
      <w:r>
        <w:rPr>
          <w:spacing w:val="40"/>
        </w:rPr>
        <w:t> </w:t>
      </w:r>
      <w:r>
        <w:rPr/>
        <w:t>include both</w:t>
      </w:r>
      <w:r>
        <w:rPr>
          <w:spacing w:val="30"/>
        </w:rPr>
        <w:t> </w:t>
      </w:r>
      <w:r>
        <w:rPr/>
        <w:t>linear</w:t>
      </w:r>
      <w:r>
        <w:rPr>
          <w:spacing w:val="15"/>
        </w:rPr>
        <w:t> </w:t>
      </w:r>
      <w:r>
        <w:rPr/>
        <w:t>and</w:t>
      </w:r>
      <w:r>
        <w:rPr>
          <w:spacing w:val="15"/>
        </w:rPr>
        <w:t> </w:t>
      </w:r>
      <w:r>
        <w:rPr/>
        <w:t>second-order</w:t>
      </w:r>
      <w:r>
        <w:rPr>
          <w:spacing w:val="15"/>
        </w:rPr>
        <w:t> </w:t>
      </w:r>
      <w:r>
        <w:rPr/>
        <w:t>polynomial</w:t>
      </w:r>
      <w:r>
        <w:rPr>
          <w:spacing w:val="15"/>
        </w:rPr>
        <w:t> </w:t>
      </w:r>
      <w:r>
        <w:rPr/>
        <w:t>terms</w:t>
      </w:r>
      <w:r>
        <w:rPr>
          <w:spacing w:val="15"/>
        </w:rPr>
        <w:t> </w:t>
      </w:r>
      <w:r>
        <w:rPr/>
        <w:t>for</w:t>
      </w:r>
      <w:r>
        <w:rPr>
          <w:spacing w:val="15"/>
        </w:rPr>
        <w:t> </w:t>
      </w:r>
      <w:r>
        <w:rPr/>
        <w:t>tax</w:t>
      </w:r>
      <w:r>
        <w:rPr>
          <w:spacing w:val="15"/>
        </w:rPr>
        <w:t> </w:t>
      </w:r>
      <w:r>
        <w:rPr/>
        <w:t>strategy</w:t>
      </w:r>
      <w:r>
        <w:rPr>
          <w:spacing w:val="15"/>
        </w:rPr>
        <w:t> </w:t>
      </w:r>
      <w:r>
        <w:rPr/>
        <w:t>(e.g.,</w:t>
      </w:r>
      <w:r>
        <w:rPr>
          <w:spacing w:val="15"/>
        </w:rPr>
        <w:t> </w:t>
      </w:r>
      <w:r>
        <w:rPr>
          <w:i/>
        </w:rPr>
        <w:t>CETR</w:t>
      </w:r>
      <w:r>
        <w:rPr>
          <w:i/>
          <w:spacing w:val="15"/>
        </w:rPr>
        <w:t> </w:t>
      </w:r>
      <w:r>
        <w:rPr/>
        <w:t>and</w:t>
      </w:r>
      <w:r>
        <w:rPr>
          <w:spacing w:val="60"/>
          <w:w w:val="150"/>
        </w:rPr>
        <w:t> </w:t>
      </w:r>
      <w:r>
        <w:rPr>
          <w:i/>
        </w:rPr>
        <w:t>CETR_SQ</w:t>
      </w:r>
      <w:r>
        <w:rPr/>
        <w:t>)</w:t>
      </w:r>
      <w:r>
        <w:rPr>
          <w:spacing w:val="15"/>
        </w:rPr>
        <w:t> </w:t>
      </w:r>
      <w:r>
        <w:rPr>
          <w:spacing w:val="-5"/>
        </w:rPr>
        <w:t>and</w:t>
      </w:r>
    </w:p>
    <w:p>
      <w:pPr>
        <w:pStyle w:val="BodyText"/>
        <w:spacing w:after="0" w:line="230" w:lineRule="auto"/>
        <w:jc w:val="both"/>
        <w:sectPr>
          <w:pgSz w:w="12240" w:h="15840"/>
          <w:pgMar w:header="0" w:footer="707" w:top="620" w:bottom="960" w:left="720" w:right="0"/>
        </w:sectPr>
      </w:pPr>
    </w:p>
    <w:p>
      <w:pPr>
        <w:pStyle w:val="BodyText"/>
        <w:spacing w:before="71"/>
        <w:ind w:left="693"/>
      </w:pPr>
      <w:r>
        <w:rPr/>
        <w:t>estimate the following polynomial </w:t>
      </w:r>
      <w:r>
        <w:rPr>
          <w:spacing w:val="-2"/>
        </w:rPr>
        <w:t>regression:</w:t>
      </w:r>
    </w:p>
    <w:p>
      <w:pPr>
        <w:spacing w:line="270" w:lineRule="exact" w:before="270"/>
        <w:ind w:left="0" w:right="2143" w:firstLine="0"/>
        <w:jc w:val="right"/>
        <w:rPr>
          <w:i/>
          <w:sz w:val="16"/>
        </w:rPr>
      </w:pPr>
      <w:r>
        <w:rPr>
          <w:i/>
          <w:sz w:val="24"/>
        </w:rPr>
        <w:t>SETTLE</w:t>
      </w:r>
      <w:r>
        <w:rPr>
          <w:i/>
          <w:sz w:val="16"/>
        </w:rPr>
        <w:t>i,t</w:t>
      </w:r>
      <w:r>
        <w:rPr>
          <w:i/>
          <w:spacing w:val="-2"/>
          <w:sz w:val="16"/>
        </w:rPr>
        <w:t> </w:t>
      </w:r>
      <w:r>
        <w:rPr>
          <w:i/>
          <w:sz w:val="24"/>
        </w:rPr>
        <w:t>= β</w:t>
      </w:r>
      <w:r>
        <w:rPr>
          <w:i/>
          <w:sz w:val="16"/>
        </w:rPr>
        <w:t>0 </w:t>
      </w:r>
      <w:r>
        <w:rPr>
          <w:i/>
          <w:sz w:val="24"/>
        </w:rPr>
        <w:t>+ β</w:t>
      </w:r>
      <w:r>
        <w:rPr>
          <w:i/>
          <w:sz w:val="16"/>
        </w:rPr>
        <w:t>1</w:t>
      </w:r>
      <w:r>
        <w:rPr>
          <w:i/>
          <w:sz w:val="24"/>
        </w:rPr>
        <w:t>CETR</w:t>
      </w:r>
      <w:r>
        <w:rPr>
          <w:i/>
          <w:sz w:val="16"/>
        </w:rPr>
        <w:t>i,t </w:t>
      </w:r>
      <w:r>
        <w:rPr>
          <w:i/>
          <w:sz w:val="24"/>
        </w:rPr>
        <w:t>+ β</w:t>
      </w:r>
      <w:r>
        <w:rPr>
          <w:i/>
          <w:sz w:val="16"/>
        </w:rPr>
        <w:t>2</w:t>
      </w:r>
      <w:r>
        <w:rPr>
          <w:i/>
          <w:sz w:val="24"/>
        </w:rPr>
        <w:t>CETR_SQ</w:t>
      </w:r>
      <w:r>
        <w:rPr>
          <w:i/>
          <w:sz w:val="16"/>
        </w:rPr>
        <w:t>i,t </w:t>
      </w:r>
      <w:r>
        <w:rPr>
          <w:i/>
          <w:sz w:val="24"/>
        </w:rPr>
        <w:t>+ β</w:t>
      </w:r>
      <w:r>
        <w:rPr>
          <w:i/>
          <w:sz w:val="16"/>
        </w:rPr>
        <w:t>3</w:t>
      </w:r>
      <w:r>
        <w:rPr>
          <w:i/>
          <w:sz w:val="24"/>
        </w:rPr>
        <w:t>LAPSE</w:t>
      </w:r>
      <w:r>
        <w:rPr>
          <w:i/>
          <w:sz w:val="16"/>
        </w:rPr>
        <w:t>i,t </w:t>
      </w:r>
      <w:r>
        <w:rPr>
          <w:i/>
          <w:sz w:val="24"/>
        </w:rPr>
        <w:t>+ β</w:t>
      </w:r>
      <w:r>
        <w:rPr>
          <w:i/>
          <w:sz w:val="16"/>
        </w:rPr>
        <w:t>4</w:t>
      </w:r>
      <w:r>
        <w:rPr>
          <w:i/>
          <w:sz w:val="24"/>
        </w:rPr>
        <w:t>PYDEC</w:t>
      </w:r>
      <w:r>
        <w:rPr>
          <w:i/>
          <w:sz w:val="16"/>
        </w:rPr>
        <w:t>i,t </w:t>
      </w:r>
      <w:r>
        <w:rPr>
          <w:i/>
          <w:sz w:val="24"/>
        </w:rPr>
        <w:t>+</w:t>
      </w:r>
      <w:r>
        <w:rPr>
          <w:i/>
          <w:spacing w:val="60"/>
          <w:sz w:val="24"/>
        </w:rPr>
        <w:t> </w:t>
      </w:r>
      <w:r>
        <w:rPr>
          <w:i/>
          <w:spacing w:val="-2"/>
          <w:sz w:val="24"/>
        </w:rPr>
        <w:t>β</w:t>
      </w:r>
      <w:r>
        <w:rPr>
          <w:i/>
          <w:spacing w:val="-2"/>
          <w:sz w:val="16"/>
        </w:rPr>
        <w:t>5</w:t>
      </w:r>
      <w:r>
        <w:rPr>
          <w:i/>
          <w:spacing w:val="-2"/>
          <w:sz w:val="24"/>
        </w:rPr>
        <w:t>NOL</w:t>
      </w:r>
      <w:r>
        <w:rPr>
          <w:i/>
          <w:spacing w:val="-2"/>
          <w:sz w:val="16"/>
        </w:rPr>
        <w:t>i,t</w:t>
      </w:r>
    </w:p>
    <w:p>
      <w:pPr>
        <w:spacing w:line="264" w:lineRule="exact" w:before="0"/>
        <w:ind w:left="0" w:right="2147" w:firstLine="0"/>
        <w:jc w:val="right"/>
        <w:rPr>
          <w:i/>
          <w:sz w:val="16"/>
        </w:rPr>
      </w:pPr>
      <w:r>
        <w:rPr>
          <w:i/>
          <w:sz w:val="24"/>
        </w:rPr>
        <w:t>+</w:t>
      </w:r>
      <w:r>
        <w:rPr>
          <w:i/>
          <w:spacing w:val="-2"/>
          <w:sz w:val="24"/>
        </w:rPr>
        <w:t> </w:t>
      </w:r>
      <w:r>
        <w:rPr>
          <w:i/>
          <w:sz w:val="24"/>
        </w:rPr>
        <w:t>β</w:t>
      </w:r>
      <w:r>
        <w:rPr>
          <w:i/>
          <w:sz w:val="16"/>
        </w:rPr>
        <w:t>6</w:t>
      </w:r>
      <w:r>
        <w:rPr>
          <w:i/>
          <w:sz w:val="24"/>
        </w:rPr>
        <w:t>ΔNOL</w:t>
      </w:r>
      <w:r>
        <w:rPr>
          <w:i/>
          <w:sz w:val="16"/>
        </w:rPr>
        <w:t>i,t</w:t>
      </w:r>
      <w:r>
        <w:rPr>
          <w:i/>
          <w:spacing w:val="-2"/>
          <w:sz w:val="16"/>
        </w:rPr>
        <w:t> </w:t>
      </w:r>
      <w:r>
        <w:rPr>
          <w:i/>
          <w:sz w:val="24"/>
        </w:rPr>
        <w:t>+</w:t>
      </w:r>
      <w:r>
        <w:rPr>
          <w:i/>
          <w:spacing w:val="-2"/>
          <w:sz w:val="24"/>
        </w:rPr>
        <w:t> </w:t>
      </w:r>
      <w:r>
        <w:rPr>
          <w:i/>
          <w:sz w:val="24"/>
        </w:rPr>
        <w:t>β</w:t>
      </w:r>
      <w:r>
        <w:rPr>
          <w:i/>
          <w:sz w:val="16"/>
        </w:rPr>
        <w:t>7</w:t>
      </w:r>
      <w:r>
        <w:rPr>
          <w:i/>
          <w:sz w:val="24"/>
        </w:rPr>
        <w:t>LEV</w:t>
      </w:r>
      <w:r>
        <w:rPr>
          <w:i/>
          <w:sz w:val="16"/>
        </w:rPr>
        <w:t>i,t</w:t>
      </w:r>
      <w:r>
        <w:rPr>
          <w:i/>
          <w:spacing w:val="-1"/>
          <w:sz w:val="16"/>
        </w:rPr>
        <w:t> </w:t>
      </w:r>
      <w:r>
        <w:rPr>
          <w:i/>
          <w:sz w:val="24"/>
        </w:rPr>
        <w:t>+</w:t>
      </w:r>
      <w:r>
        <w:rPr>
          <w:i/>
          <w:spacing w:val="-2"/>
          <w:sz w:val="24"/>
        </w:rPr>
        <w:t> </w:t>
      </w:r>
      <w:r>
        <w:rPr>
          <w:i/>
          <w:sz w:val="24"/>
        </w:rPr>
        <w:t>β</w:t>
      </w:r>
      <w:r>
        <w:rPr>
          <w:i/>
          <w:sz w:val="16"/>
        </w:rPr>
        <w:t>8</w:t>
      </w:r>
      <w:r>
        <w:rPr>
          <w:i/>
          <w:sz w:val="24"/>
        </w:rPr>
        <w:t>PPE</w:t>
      </w:r>
      <w:r>
        <w:rPr>
          <w:i/>
          <w:sz w:val="16"/>
        </w:rPr>
        <w:t>i,t</w:t>
      </w:r>
      <w:r>
        <w:rPr>
          <w:i/>
          <w:spacing w:val="-1"/>
          <w:sz w:val="16"/>
        </w:rPr>
        <w:t> </w:t>
      </w:r>
      <w:r>
        <w:rPr>
          <w:i/>
          <w:sz w:val="24"/>
        </w:rPr>
        <w:t>+</w:t>
      </w:r>
      <w:r>
        <w:rPr>
          <w:i/>
          <w:spacing w:val="-2"/>
          <w:sz w:val="24"/>
        </w:rPr>
        <w:t> </w:t>
      </w:r>
      <w:r>
        <w:rPr>
          <w:i/>
          <w:sz w:val="24"/>
        </w:rPr>
        <w:t>β</w:t>
      </w:r>
      <w:r>
        <w:rPr>
          <w:i/>
          <w:sz w:val="16"/>
        </w:rPr>
        <w:t>9</w:t>
      </w:r>
      <w:r>
        <w:rPr>
          <w:i/>
          <w:sz w:val="24"/>
        </w:rPr>
        <w:t>INTAN</w:t>
      </w:r>
      <w:r>
        <w:rPr>
          <w:i/>
          <w:sz w:val="16"/>
        </w:rPr>
        <w:t>i,t</w:t>
      </w:r>
      <w:r>
        <w:rPr>
          <w:i/>
          <w:spacing w:val="-1"/>
          <w:sz w:val="16"/>
        </w:rPr>
        <w:t> </w:t>
      </w:r>
      <w:r>
        <w:rPr>
          <w:i/>
          <w:sz w:val="24"/>
        </w:rPr>
        <w:t>+</w:t>
      </w:r>
      <w:r>
        <w:rPr>
          <w:i/>
          <w:spacing w:val="-2"/>
          <w:sz w:val="24"/>
        </w:rPr>
        <w:t> </w:t>
      </w:r>
      <w:r>
        <w:rPr>
          <w:i/>
          <w:sz w:val="24"/>
        </w:rPr>
        <w:t>β</w:t>
      </w:r>
      <w:r>
        <w:rPr>
          <w:i/>
          <w:sz w:val="16"/>
        </w:rPr>
        <w:t>10</w:t>
      </w:r>
      <w:r>
        <w:rPr>
          <w:i/>
          <w:sz w:val="24"/>
        </w:rPr>
        <w:t>ROA</w:t>
      </w:r>
      <w:r>
        <w:rPr>
          <w:i/>
          <w:sz w:val="16"/>
        </w:rPr>
        <w:t>i,t</w:t>
      </w:r>
      <w:r>
        <w:rPr>
          <w:i/>
          <w:spacing w:val="-2"/>
          <w:sz w:val="16"/>
        </w:rPr>
        <w:t> </w:t>
      </w:r>
      <w:r>
        <w:rPr>
          <w:i/>
          <w:sz w:val="24"/>
        </w:rPr>
        <w:t>+</w:t>
      </w:r>
      <w:r>
        <w:rPr>
          <w:i/>
          <w:spacing w:val="-1"/>
          <w:sz w:val="24"/>
        </w:rPr>
        <w:t> </w:t>
      </w:r>
      <w:r>
        <w:rPr>
          <w:i/>
          <w:spacing w:val="-2"/>
          <w:sz w:val="24"/>
        </w:rPr>
        <w:t>β</w:t>
      </w:r>
      <w:r>
        <w:rPr>
          <w:i/>
          <w:spacing w:val="-2"/>
          <w:sz w:val="16"/>
        </w:rPr>
        <w:t>11</w:t>
      </w:r>
      <w:r>
        <w:rPr>
          <w:i/>
          <w:spacing w:val="-2"/>
          <w:sz w:val="24"/>
        </w:rPr>
        <w:t>SIZE</w:t>
      </w:r>
      <w:r>
        <w:rPr>
          <w:i/>
          <w:spacing w:val="-2"/>
          <w:sz w:val="16"/>
        </w:rPr>
        <w:t>i,t</w:t>
      </w:r>
    </w:p>
    <w:p>
      <w:pPr>
        <w:tabs>
          <w:tab w:pos="5987" w:val="left" w:leader="none"/>
        </w:tabs>
        <w:spacing w:line="270" w:lineRule="exact" w:before="0"/>
        <w:ind w:left="2" w:right="0" w:firstLine="0"/>
        <w:jc w:val="center"/>
        <w:rPr>
          <w:sz w:val="24"/>
        </w:rPr>
      </w:pPr>
      <w:r>
        <w:rPr>
          <w:i/>
          <w:sz w:val="24"/>
        </w:rPr>
        <w:t>+ YR</w:t>
      </w:r>
      <w:r>
        <w:rPr>
          <w:i/>
          <w:sz w:val="16"/>
        </w:rPr>
        <w:t>t </w:t>
      </w:r>
      <w:r>
        <w:rPr>
          <w:i/>
          <w:sz w:val="24"/>
        </w:rPr>
        <w:t>+ IND</w:t>
      </w:r>
      <w:r>
        <w:rPr>
          <w:i/>
          <w:sz w:val="16"/>
        </w:rPr>
        <w:t>i </w:t>
      </w:r>
      <w:r>
        <w:rPr>
          <w:i/>
          <w:sz w:val="24"/>
        </w:rPr>
        <w:t>+ </w:t>
      </w:r>
      <w:r>
        <w:rPr>
          <w:i/>
          <w:spacing w:val="-4"/>
          <w:sz w:val="24"/>
        </w:rPr>
        <w:t>ε</w:t>
      </w:r>
      <w:r>
        <w:rPr>
          <w:i/>
          <w:spacing w:val="-4"/>
          <w:sz w:val="16"/>
        </w:rPr>
        <w:t>i,t</w:t>
      </w:r>
      <w:r>
        <w:rPr>
          <w:i/>
          <w:sz w:val="16"/>
        </w:rPr>
        <w:tab/>
      </w:r>
      <w:r>
        <w:rPr>
          <w:spacing w:val="-5"/>
          <w:sz w:val="24"/>
        </w:rPr>
        <w:t>(2)</w:t>
      </w:r>
    </w:p>
    <w:p>
      <w:pPr>
        <w:pStyle w:val="BodyText"/>
        <w:spacing w:before="51"/>
      </w:pPr>
    </w:p>
    <w:p>
      <w:pPr>
        <w:pStyle w:val="Heading4"/>
      </w:pPr>
      <w:r>
        <w:rPr/>
        <w:t>Results and </w:t>
      </w:r>
      <w:r>
        <w:rPr>
          <w:spacing w:val="-2"/>
        </w:rPr>
        <w:t>Implications</w:t>
      </w:r>
    </w:p>
    <w:p>
      <w:pPr>
        <w:pStyle w:val="BodyText"/>
        <w:spacing w:line="230" w:lineRule="auto" w:before="235"/>
        <w:ind w:left="723" w:right="1388"/>
        <w:jc w:val="both"/>
      </w:pPr>
      <w:r>
        <w:rPr/>
        <w:t>The results of</w:t>
      </w:r>
      <w:r>
        <w:rPr>
          <w:spacing w:val="-4"/>
        </w:rPr>
        <w:t> </w:t>
      </w:r>
      <w:r>
        <w:rPr/>
        <w:t>estimating</w:t>
      </w:r>
      <w:r>
        <w:rPr>
          <w:spacing w:val="-4"/>
        </w:rPr>
        <w:t> </w:t>
      </w:r>
      <w:r>
        <w:rPr/>
        <w:t>Equation</w:t>
      </w:r>
      <w:r>
        <w:rPr>
          <w:spacing w:val="-4"/>
        </w:rPr>
        <w:t> </w:t>
      </w:r>
      <w:r>
        <w:rPr/>
        <w:t>(1)</w:t>
      </w:r>
      <w:r>
        <w:rPr>
          <w:spacing w:val="-4"/>
        </w:rPr>
        <w:t> </w:t>
      </w:r>
      <w:r>
        <w:rPr/>
        <w:t>are</w:t>
      </w:r>
      <w:r>
        <w:rPr>
          <w:spacing w:val="-4"/>
        </w:rPr>
        <w:t> </w:t>
      </w:r>
      <w:r>
        <w:rPr/>
        <w:t>presented</w:t>
      </w:r>
      <w:r>
        <w:rPr>
          <w:spacing w:val="-4"/>
        </w:rPr>
        <w:t> </w:t>
      </w:r>
      <w:r>
        <w:rPr/>
        <w:t>in</w:t>
      </w:r>
      <w:r>
        <w:rPr>
          <w:spacing w:val="-4"/>
        </w:rPr>
        <w:t> </w:t>
      </w:r>
      <w:r>
        <w:rPr/>
        <w:t>Table</w:t>
      </w:r>
      <w:r>
        <w:rPr>
          <w:spacing w:val="-4"/>
        </w:rPr>
        <w:t> </w:t>
      </w:r>
      <w:r>
        <w:rPr/>
        <w:t>1.</w:t>
      </w:r>
      <w:r>
        <w:rPr>
          <w:spacing w:val="-4"/>
        </w:rPr>
        <w:t> </w:t>
      </w:r>
      <w:r>
        <w:rPr/>
        <w:t>The</w:t>
      </w:r>
      <w:r>
        <w:rPr>
          <w:spacing w:val="-4"/>
        </w:rPr>
        <w:t> </w:t>
      </w:r>
      <w:r>
        <w:rPr/>
        <w:t>coefficient</w:t>
      </w:r>
      <w:r>
        <w:rPr>
          <w:spacing w:val="-4"/>
        </w:rPr>
        <w:t> </w:t>
      </w:r>
      <w:r>
        <w:rPr/>
        <w:t>on</w:t>
      </w:r>
      <w:r>
        <w:rPr>
          <w:spacing w:val="-4"/>
        </w:rPr>
        <w:t> </w:t>
      </w:r>
      <w:r>
        <w:rPr/>
        <w:t>the</w:t>
      </w:r>
      <w:r>
        <w:rPr>
          <w:spacing w:val="40"/>
        </w:rPr>
        <w:t> </w:t>
      </w:r>
      <w:r>
        <w:rPr/>
        <w:t>variable</w:t>
      </w:r>
      <w:r>
        <w:rPr>
          <w:spacing w:val="-4"/>
        </w:rPr>
        <w:t> </w:t>
      </w:r>
      <w:r>
        <w:rPr/>
        <w:t>of interest, CETR is positive and significant (p-value &lt; 0.01) indicating a strong</w:t>
      </w:r>
      <w:r>
        <w:rPr>
          <w:spacing w:val="80"/>
        </w:rPr>
        <w:t> </w:t>
      </w:r>
      <w:r>
        <w:rPr/>
        <w:t>association between reserve informativeness and tax strategy. The inference being that reserves</w:t>
      </w:r>
      <w:r>
        <w:rPr>
          <w:spacing w:val="40"/>
        </w:rPr>
        <w:t> </w:t>
      </w:r>
      <w:r>
        <w:rPr/>
        <w:t>become</w:t>
      </w:r>
      <w:r>
        <w:rPr>
          <w:spacing w:val="40"/>
        </w:rPr>
        <w:t> </w:t>
      </w:r>
      <w:r>
        <w:rPr/>
        <w:t>more informative as tax strategies become less aggressive – a clear linear relationship.</w:t>
      </w:r>
    </w:p>
    <w:p>
      <w:pPr>
        <w:pStyle w:val="BodyText"/>
        <w:spacing w:before="72"/>
        <w:rPr>
          <w:sz w:val="20"/>
        </w:rPr>
      </w:pPr>
      <w:r>
        <w:rPr>
          <w:sz w:val="20"/>
        </w:rPr>
        <w:drawing>
          <wp:anchor distT="0" distB="0" distL="0" distR="0" allowOverlap="1" layoutInCell="1" locked="0" behindDoc="1" simplePos="0" relativeHeight="487593984">
            <wp:simplePos x="0" y="0"/>
            <wp:positionH relativeFrom="page">
              <wp:posOffset>1012088</wp:posOffset>
            </wp:positionH>
            <wp:positionV relativeFrom="paragraph">
              <wp:posOffset>207117</wp:posOffset>
            </wp:positionV>
            <wp:extent cx="5566174" cy="5099208"/>
            <wp:effectExtent l="0" t="0" r="0" b="0"/>
            <wp:wrapTopAndBottom/>
            <wp:docPr id="28" name="Image 28"/>
            <wp:cNvGraphicFramePr>
              <a:graphicFrameLocks/>
            </wp:cNvGraphicFramePr>
            <a:graphic>
              <a:graphicData uri="http://schemas.openxmlformats.org/drawingml/2006/picture">
                <pic:pic>
                  <pic:nvPicPr>
                    <pic:cNvPr id="28" name="Image 28"/>
                    <pic:cNvPicPr/>
                  </pic:nvPicPr>
                  <pic:blipFill>
                    <a:blip r:embed="rId143" cstate="print"/>
                    <a:stretch>
                      <a:fillRect/>
                    </a:stretch>
                  </pic:blipFill>
                  <pic:spPr>
                    <a:xfrm>
                      <a:off x="0" y="0"/>
                      <a:ext cx="5566174" cy="5099208"/>
                    </a:xfrm>
                    <a:prstGeom prst="rect">
                      <a:avLst/>
                    </a:prstGeom>
                  </pic:spPr>
                </pic:pic>
              </a:graphicData>
            </a:graphic>
          </wp:anchor>
        </w:drawing>
      </w:r>
    </w:p>
    <w:p>
      <w:pPr>
        <w:pStyle w:val="Heading4"/>
        <w:spacing w:before="109"/>
        <w:ind w:left="1083"/>
      </w:pPr>
      <w:r>
        <w:rPr/>
        <w:t>Table</w:t>
      </w:r>
      <w:r>
        <w:rPr>
          <w:spacing w:val="-7"/>
        </w:rPr>
        <w:t> </w:t>
      </w:r>
      <w:r>
        <w:rPr/>
        <w:t>1:</w:t>
      </w:r>
      <w:r>
        <w:rPr>
          <w:spacing w:val="-7"/>
        </w:rPr>
        <w:t> </w:t>
      </w:r>
      <w:r>
        <w:rPr/>
        <w:t>Tax</w:t>
      </w:r>
      <w:r>
        <w:rPr>
          <w:spacing w:val="-7"/>
        </w:rPr>
        <w:t> </w:t>
      </w:r>
      <w:r>
        <w:rPr/>
        <w:t>Reserve</w:t>
      </w:r>
      <w:r>
        <w:rPr>
          <w:spacing w:val="-6"/>
        </w:rPr>
        <w:t> </w:t>
      </w:r>
      <w:r>
        <w:rPr/>
        <w:t>Informativeness</w:t>
      </w:r>
      <w:r>
        <w:rPr>
          <w:spacing w:val="-7"/>
        </w:rPr>
        <w:t> </w:t>
      </w:r>
      <w:r>
        <w:rPr/>
        <w:t>Across</w:t>
      </w:r>
      <w:r>
        <w:rPr>
          <w:spacing w:val="-7"/>
        </w:rPr>
        <w:t> </w:t>
      </w:r>
      <w:r>
        <w:rPr/>
        <w:t>the</w:t>
      </w:r>
      <w:r>
        <w:rPr>
          <w:spacing w:val="-7"/>
        </w:rPr>
        <w:t> </w:t>
      </w:r>
      <w:r>
        <w:rPr/>
        <w:t>Tax</w:t>
      </w:r>
      <w:r>
        <w:rPr>
          <w:spacing w:val="-6"/>
        </w:rPr>
        <w:t> </w:t>
      </w:r>
      <w:r>
        <w:rPr/>
        <w:t>Strategy</w:t>
      </w:r>
      <w:r>
        <w:rPr>
          <w:spacing w:val="-7"/>
        </w:rPr>
        <w:t> </w:t>
      </w:r>
      <w:r>
        <w:rPr/>
        <w:t>Distribution</w:t>
      </w:r>
      <w:r>
        <w:rPr>
          <w:spacing w:val="-7"/>
        </w:rPr>
        <w:t> </w:t>
      </w:r>
      <w:r>
        <w:rPr/>
        <w:t>–</w:t>
      </w:r>
      <w:r>
        <w:rPr>
          <w:spacing w:val="-6"/>
        </w:rPr>
        <w:t> </w:t>
      </w:r>
      <w:r>
        <w:rPr>
          <w:spacing w:val="-2"/>
        </w:rPr>
        <w:t>Linear</w:t>
      </w:r>
    </w:p>
    <w:p>
      <w:pPr>
        <w:pStyle w:val="BodyText"/>
        <w:spacing w:before="121"/>
        <w:rPr>
          <w:b/>
        </w:rPr>
      </w:pPr>
    </w:p>
    <w:p>
      <w:pPr>
        <w:pStyle w:val="BodyText"/>
        <w:spacing w:line="225" w:lineRule="auto" w:before="1"/>
        <w:ind w:left="723" w:right="1383"/>
        <w:jc w:val="both"/>
      </w:pPr>
      <w:r>
        <w:rPr/>
        <w:t>Table 2 presents the results of estimating Equation (2). Consistent with the concave</w:t>
      </w:r>
      <w:r>
        <w:rPr>
          <w:spacing w:val="40"/>
        </w:rPr>
        <w:t> </w:t>
      </w:r>
      <w:r>
        <w:rPr/>
        <w:t>distribution shown in Figure 1, the coefficient on </w:t>
      </w:r>
      <w:r>
        <w:rPr>
          <w:i/>
        </w:rPr>
        <w:t>β</w:t>
      </w:r>
      <w:r>
        <w:rPr>
          <w:sz w:val="16"/>
        </w:rPr>
        <w:t>1 </w:t>
      </w:r>
      <w:r>
        <w:rPr/>
        <w:t>is positive and significant (p-value &lt; 0.01)</w:t>
      </w:r>
      <w:r>
        <w:rPr>
          <w:spacing w:val="40"/>
        </w:rPr>
        <w:t> </w:t>
      </w:r>
      <w:r>
        <w:rPr/>
        <w:t>and the coefficient</w:t>
      </w:r>
      <w:r>
        <w:rPr>
          <w:spacing w:val="-3"/>
        </w:rPr>
        <w:t> </w:t>
      </w:r>
      <w:r>
        <w:rPr/>
        <w:t>on</w:t>
      </w:r>
      <w:r>
        <w:rPr>
          <w:spacing w:val="-3"/>
        </w:rPr>
        <w:t> </w:t>
      </w:r>
      <w:r>
        <w:rPr>
          <w:i/>
        </w:rPr>
        <w:t>β</w:t>
      </w:r>
      <w:r>
        <w:rPr>
          <w:sz w:val="16"/>
        </w:rPr>
        <w:t>2</w:t>
      </w:r>
      <w:r>
        <w:rPr>
          <w:spacing w:val="-2"/>
          <w:sz w:val="16"/>
        </w:rPr>
        <w:t> </w:t>
      </w:r>
      <w:r>
        <w:rPr/>
        <w:t>is</w:t>
      </w:r>
      <w:r>
        <w:rPr>
          <w:spacing w:val="-3"/>
        </w:rPr>
        <w:t> </w:t>
      </w:r>
      <w:r>
        <w:rPr/>
        <w:t>negative</w:t>
      </w:r>
      <w:r>
        <w:rPr>
          <w:spacing w:val="-3"/>
        </w:rPr>
        <w:t> </w:t>
      </w:r>
      <w:r>
        <w:rPr/>
        <w:t>and</w:t>
      </w:r>
      <w:r>
        <w:rPr>
          <w:spacing w:val="-3"/>
        </w:rPr>
        <w:t> </w:t>
      </w:r>
      <w:r>
        <w:rPr/>
        <w:t>significant</w:t>
      </w:r>
      <w:r>
        <w:rPr>
          <w:spacing w:val="-3"/>
        </w:rPr>
        <w:t> </w:t>
      </w:r>
      <w:r>
        <w:rPr/>
        <w:t>(p-value</w:t>
      </w:r>
      <w:r>
        <w:rPr>
          <w:spacing w:val="-3"/>
        </w:rPr>
        <w:t> </w:t>
      </w:r>
      <w:r>
        <w:rPr/>
        <w:t>&lt;</w:t>
      </w:r>
      <w:r>
        <w:rPr>
          <w:spacing w:val="-3"/>
        </w:rPr>
        <w:t> </w:t>
      </w:r>
      <w:r>
        <w:rPr/>
        <w:t>0.01).</w:t>
      </w:r>
      <w:r>
        <w:rPr>
          <w:spacing w:val="-3"/>
        </w:rPr>
        <w:t> </w:t>
      </w:r>
      <w:r>
        <w:rPr/>
        <w:t>Following</w:t>
      </w:r>
      <w:r>
        <w:rPr>
          <w:spacing w:val="-3"/>
        </w:rPr>
        <w:t> </w:t>
      </w:r>
      <w:r>
        <w:rPr/>
        <w:t>Lind</w:t>
      </w:r>
      <w:r>
        <w:rPr>
          <w:spacing w:val="-3"/>
        </w:rPr>
        <w:t> </w:t>
      </w:r>
      <w:r>
        <w:rPr/>
        <w:t>and</w:t>
      </w:r>
      <w:r>
        <w:rPr>
          <w:spacing w:val="-3"/>
        </w:rPr>
        <w:t> </w:t>
      </w:r>
      <w:r>
        <w:rPr/>
        <w:t>Mehlum</w:t>
      </w:r>
      <w:r>
        <w:rPr>
          <w:spacing w:val="40"/>
        </w:rPr>
        <w:t> </w:t>
      </w:r>
      <w:r>
        <w:rPr/>
        <w:t>(2010) and Moore (2021), we next utilize Stata’s post estimation </w:t>
      </w:r>
      <w:r>
        <w:rPr>
          <w:i/>
        </w:rPr>
        <w:t>utest </w:t>
      </w:r>
      <w:r>
        <w:rPr/>
        <w:t>command to further confirm</w:t>
      </w:r>
      <w:r>
        <w:rPr>
          <w:spacing w:val="40"/>
        </w:rPr>
        <w:t> </w:t>
      </w:r>
      <w:r>
        <w:rPr/>
        <w:t>the concavity of the documented association. The results of the test indicate that the association between</w:t>
      </w:r>
      <w:r>
        <w:rPr>
          <w:spacing w:val="30"/>
        </w:rPr>
        <w:t> </w:t>
      </w:r>
      <w:r>
        <w:rPr>
          <w:i/>
        </w:rPr>
        <w:t>SETTLE</w:t>
      </w:r>
      <w:r>
        <w:rPr>
          <w:i/>
          <w:spacing w:val="30"/>
        </w:rPr>
        <w:t> </w:t>
      </w:r>
      <w:r>
        <w:rPr/>
        <w:t>and</w:t>
      </w:r>
      <w:r>
        <w:rPr>
          <w:spacing w:val="30"/>
        </w:rPr>
        <w:t> </w:t>
      </w:r>
      <w:r>
        <w:rPr>
          <w:i/>
        </w:rPr>
        <w:t>CETR</w:t>
      </w:r>
      <w:r>
        <w:rPr>
          <w:i/>
          <w:spacing w:val="15"/>
        </w:rPr>
        <w:t> </w:t>
      </w:r>
      <w:r>
        <w:rPr/>
        <w:t>is</w:t>
      </w:r>
      <w:r>
        <w:rPr>
          <w:spacing w:val="15"/>
        </w:rPr>
        <w:t> </w:t>
      </w:r>
      <w:r>
        <w:rPr/>
        <w:t>concave</w:t>
      </w:r>
      <w:r>
        <w:rPr>
          <w:spacing w:val="15"/>
        </w:rPr>
        <w:t> </w:t>
      </w:r>
      <w:r>
        <w:rPr/>
        <w:t>(t-value</w:t>
      </w:r>
      <w:r>
        <w:rPr>
          <w:spacing w:val="15"/>
        </w:rPr>
        <w:t> </w:t>
      </w:r>
      <w:r>
        <w:rPr/>
        <w:t>=</w:t>
      </w:r>
      <w:r>
        <w:rPr>
          <w:spacing w:val="15"/>
        </w:rPr>
        <w:t> </w:t>
      </w:r>
      <w:r>
        <w:rPr/>
        <w:t>3.15;</w:t>
      </w:r>
      <w:r>
        <w:rPr>
          <w:spacing w:val="15"/>
        </w:rPr>
        <w:t> </w:t>
      </w:r>
      <w:r>
        <w:rPr/>
        <w:t>p</w:t>
      </w:r>
      <w:r>
        <w:rPr>
          <w:spacing w:val="15"/>
        </w:rPr>
        <w:t> </w:t>
      </w:r>
      <w:r>
        <w:rPr/>
        <w:t>=</w:t>
      </w:r>
      <w:r>
        <w:rPr>
          <w:spacing w:val="15"/>
        </w:rPr>
        <w:t> </w:t>
      </w:r>
      <w:r>
        <w:rPr/>
        <w:t>0.001).</w:t>
      </w:r>
      <w:r>
        <w:rPr>
          <w:spacing w:val="15"/>
        </w:rPr>
        <w:t> </w:t>
      </w:r>
      <w:r>
        <w:rPr/>
        <w:t>These</w:t>
      </w:r>
      <w:r>
        <w:rPr>
          <w:spacing w:val="15"/>
        </w:rPr>
        <w:t> </w:t>
      </w:r>
      <w:r>
        <w:rPr/>
        <w:t>findings</w:t>
      </w:r>
      <w:r>
        <w:rPr>
          <w:spacing w:val="15"/>
        </w:rPr>
        <w:t> </w:t>
      </w:r>
      <w:r>
        <w:rPr/>
        <w:t>suggest</w:t>
      </w:r>
      <w:r>
        <w:rPr>
          <w:spacing w:val="15"/>
        </w:rPr>
        <w:t> </w:t>
      </w:r>
      <w:r>
        <w:rPr>
          <w:spacing w:val="-4"/>
        </w:rPr>
        <w:t>that</w:t>
      </w:r>
    </w:p>
    <w:p>
      <w:pPr>
        <w:pStyle w:val="BodyText"/>
        <w:spacing w:after="0" w:line="225" w:lineRule="auto"/>
        <w:jc w:val="both"/>
        <w:sectPr>
          <w:pgSz w:w="12240" w:h="15840"/>
          <w:pgMar w:header="0" w:footer="707" w:top="620" w:bottom="960" w:left="720" w:right="0"/>
        </w:sectPr>
      </w:pPr>
    </w:p>
    <w:p>
      <w:pPr>
        <w:pStyle w:val="BodyText"/>
        <w:spacing w:line="225" w:lineRule="auto" w:before="81"/>
        <w:ind w:left="723" w:right="1385"/>
        <w:jc w:val="both"/>
      </w:pPr>
      <w:r>
        <w:rPr/>
        <w:drawing>
          <wp:anchor distT="0" distB="0" distL="0" distR="0" allowOverlap="1" layoutInCell="1" locked="0" behindDoc="0" simplePos="0" relativeHeight="15735296">
            <wp:simplePos x="0" y="0"/>
            <wp:positionH relativeFrom="page">
              <wp:posOffset>1090061</wp:posOffset>
            </wp:positionH>
            <wp:positionV relativeFrom="paragraph">
              <wp:posOffset>1094629</wp:posOffset>
            </wp:positionV>
            <wp:extent cx="5599034" cy="5456157"/>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144" cstate="print"/>
                    <a:stretch>
                      <a:fillRect/>
                    </a:stretch>
                  </pic:blipFill>
                  <pic:spPr>
                    <a:xfrm>
                      <a:off x="0" y="0"/>
                      <a:ext cx="5599034" cy="5456157"/>
                    </a:xfrm>
                    <a:prstGeom prst="rect">
                      <a:avLst/>
                    </a:prstGeom>
                  </pic:spPr>
                </pic:pic>
              </a:graphicData>
            </a:graphic>
          </wp:anchor>
        </w:drawing>
      </w:r>
      <w:r>
        <w:rPr/>
        <w:t>firms employing moderate tax strategies tend to produce the most informative </w:t>
      </w:r>
      <w:r>
        <w:rPr/>
        <w:t>reserves. Specifically, these firms appear to generate reserves that more accurately reflect the underlying tax</w:t>
      </w:r>
      <w:r>
        <w:rPr>
          <w:spacing w:val="-5"/>
        </w:rPr>
        <w:t> </w:t>
      </w:r>
      <w:r>
        <w:rPr/>
        <w:t>positions</w:t>
      </w:r>
      <w:r>
        <w:rPr>
          <w:spacing w:val="-5"/>
        </w:rPr>
        <w:t> </w:t>
      </w:r>
      <w:r>
        <w:rPr/>
        <w:t>and</w:t>
      </w:r>
      <w:r>
        <w:rPr>
          <w:spacing w:val="-5"/>
        </w:rPr>
        <w:t> </w:t>
      </w:r>
      <w:r>
        <w:rPr/>
        <w:t>exposures.</w:t>
      </w:r>
      <w:r>
        <w:rPr>
          <w:spacing w:val="-5"/>
        </w:rPr>
        <w:t> </w:t>
      </w:r>
      <w:r>
        <w:rPr/>
        <w:t>Economically,</w:t>
      </w:r>
      <w:r>
        <w:rPr>
          <w:spacing w:val="-5"/>
        </w:rPr>
        <w:t> </w:t>
      </w:r>
      <w:r>
        <w:rPr/>
        <w:t>this</w:t>
      </w:r>
      <w:r>
        <w:rPr>
          <w:spacing w:val="-5"/>
        </w:rPr>
        <w:t> </w:t>
      </w:r>
      <w:r>
        <w:rPr/>
        <w:t>implies</w:t>
      </w:r>
      <w:r>
        <w:rPr>
          <w:spacing w:val="-5"/>
        </w:rPr>
        <w:t> </w:t>
      </w:r>
      <w:r>
        <w:rPr/>
        <w:t>that</w:t>
      </w:r>
      <w:r>
        <w:rPr>
          <w:spacing w:val="-5"/>
        </w:rPr>
        <w:t> </w:t>
      </w:r>
      <w:r>
        <w:rPr/>
        <w:t>aggressive</w:t>
      </w:r>
      <w:r>
        <w:rPr>
          <w:spacing w:val="-5"/>
        </w:rPr>
        <w:t> </w:t>
      </w:r>
      <w:r>
        <w:rPr/>
        <w:t>tax</w:t>
      </w:r>
      <w:r>
        <w:rPr>
          <w:spacing w:val="-5"/>
        </w:rPr>
        <w:t> </w:t>
      </w:r>
      <w:r>
        <w:rPr/>
        <w:t>strategies</w:t>
      </w:r>
      <w:r>
        <w:rPr>
          <w:spacing w:val="-5"/>
        </w:rPr>
        <w:t> </w:t>
      </w:r>
      <w:r>
        <w:rPr/>
        <w:t>may</w:t>
      </w:r>
      <w:r>
        <w:rPr>
          <w:spacing w:val="-5"/>
        </w:rPr>
        <w:t> </w:t>
      </w:r>
      <w:r>
        <w:rPr/>
        <w:t>obscure reserve signals due to complexity</w:t>
      </w:r>
      <w:r>
        <w:rPr>
          <w:spacing w:val="-4"/>
        </w:rPr>
        <w:t> </w:t>
      </w:r>
      <w:r>
        <w:rPr/>
        <w:t>or</w:t>
      </w:r>
      <w:r>
        <w:rPr>
          <w:spacing w:val="-5"/>
        </w:rPr>
        <w:t> </w:t>
      </w:r>
      <w:r>
        <w:rPr/>
        <w:t>intentional</w:t>
      </w:r>
      <w:r>
        <w:rPr>
          <w:spacing w:val="-4"/>
        </w:rPr>
        <w:t> </w:t>
      </w:r>
      <w:r>
        <w:rPr/>
        <w:t>opacity,</w:t>
      </w:r>
      <w:r>
        <w:rPr>
          <w:spacing w:val="-5"/>
        </w:rPr>
        <w:t> </w:t>
      </w:r>
      <w:r>
        <w:rPr/>
        <w:t>while</w:t>
      </w:r>
      <w:r>
        <w:rPr>
          <w:spacing w:val="-4"/>
        </w:rPr>
        <w:t> </w:t>
      </w:r>
      <w:r>
        <w:rPr/>
        <w:t>overly</w:t>
      </w:r>
      <w:r>
        <w:rPr>
          <w:spacing w:val="-5"/>
        </w:rPr>
        <w:t> </w:t>
      </w:r>
      <w:r>
        <w:rPr/>
        <w:t>conservative</w:t>
      </w:r>
      <w:r>
        <w:rPr>
          <w:spacing w:val="-4"/>
        </w:rPr>
        <w:t> </w:t>
      </w:r>
      <w:r>
        <w:rPr/>
        <w:t>strategies</w:t>
      </w:r>
      <w:r>
        <w:rPr>
          <w:spacing w:val="-5"/>
        </w:rPr>
        <w:t> </w:t>
      </w:r>
      <w:r>
        <w:rPr/>
        <w:t>may lack the nuance or variability that generates informative reserves.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56"/>
      </w:pPr>
    </w:p>
    <w:p>
      <w:pPr>
        <w:pStyle w:val="Heading4"/>
        <w:spacing w:line="570" w:lineRule="atLeast"/>
        <w:ind w:right="1191" w:firstLine="120"/>
      </w:pPr>
      <w:r>
        <w:rPr/>
        <w:t>Table</w:t>
      </w:r>
      <w:r>
        <w:rPr>
          <w:spacing w:val="-10"/>
        </w:rPr>
        <w:t> </w:t>
      </w:r>
      <w:r>
        <w:rPr/>
        <w:t>4:</w:t>
      </w:r>
      <w:r>
        <w:rPr>
          <w:spacing w:val="-10"/>
        </w:rPr>
        <w:t> </w:t>
      </w:r>
      <w:r>
        <w:rPr/>
        <w:t>Tax</w:t>
      </w:r>
      <w:r>
        <w:rPr>
          <w:spacing w:val="-10"/>
        </w:rPr>
        <w:t> </w:t>
      </w:r>
      <w:r>
        <w:rPr/>
        <w:t>Reserve</w:t>
      </w:r>
      <w:r>
        <w:rPr>
          <w:spacing w:val="-10"/>
        </w:rPr>
        <w:t> </w:t>
      </w:r>
      <w:r>
        <w:rPr/>
        <w:t>Informativeness</w:t>
      </w:r>
      <w:r>
        <w:rPr>
          <w:spacing w:val="-10"/>
        </w:rPr>
        <w:t> </w:t>
      </w:r>
      <w:r>
        <w:rPr/>
        <w:t>Across</w:t>
      </w:r>
      <w:r>
        <w:rPr>
          <w:spacing w:val="-10"/>
        </w:rPr>
        <w:t> </w:t>
      </w:r>
      <w:r>
        <w:rPr/>
        <w:t>the</w:t>
      </w:r>
      <w:r>
        <w:rPr>
          <w:spacing w:val="-10"/>
        </w:rPr>
        <w:t> </w:t>
      </w:r>
      <w:r>
        <w:rPr/>
        <w:t>Tax</w:t>
      </w:r>
      <w:r>
        <w:rPr>
          <w:spacing w:val="-10"/>
        </w:rPr>
        <w:t> </w:t>
      </w:r>
      <w:r>
        <w:rPr/>
        <w:t>Strategy</w:t>
      </w:r>
      <w:r>
        <w:rPr>
          <w:spacing w:val="-10"/>
        </w:rPr>
        <w:t> </w:t>
      </w:r>
      <w:r>
        <w:rPr/>
        <w:t>Distribution</w:t>
      </w:r>
      <w:r>
        <w:rPr>
          <w:spacing w:val="-10"/>
        </w:rPr>
        <w:t> </w:t>
      </w:r>
      <w:r>
        <w:rPr/>
        <w:t>-</w:t>
      </w:r>
      <w:r>
        <w:rPr>
          <w:spacing w:val="-10"/>
        </w:rPr>
        <w:t> </w:t>
      </w:r>
      <w:r>
        <w:rPr/>
        <w:t>Polynomial </w:t>
      </w:r>
      <w:r>
        <w:rPr>
          <w:spacing w:val="-2"/>
        </w:rPr>
        <w:t>Conclusion</w:t>
      </w:r>
    </w:p>
    <w:p>
      <w:pPr>
        <w:pStyle w:val="BodyText"/>
        <w:spacing w:line="230" w:lineRule="auto" w:before="81"/>
        <w:ind w:left="723" w:right="1378"/>
        <w:jc w:val="both"/>
      </w:pPr>
      <w:r>
        <w:rPr/>
        <w:t>Our study provides evidence that the informativeness of tax reserves varies systematically</w:t>
      </w:r>
      <w:r>
        <w:rPr>
          <w:spacing w:val="40"/>
        </w:rPr>
        <w:t> </w:t>
      </w:r>
      <w:r>
        <w:rPr/>
        <w:t>with firms’ tax strategies in a concave manner. Specifically, we document that reserves are most informative among firms with moderate tax strategies and less informative at the aggressive</w:t>
      </w:r>
      <w:r>
        <w:rPr>
          <w:spacing w:val="-2"/>
        </w:rPr>
        <w:t> </w:t>
      </w:r>
      <w:r>
        <w:rPr/>
        <w:t>and conservative extremes. These findings provide a new perspective on the predictive value of tax reserves (e.g., Robinson et al. 2016; Ciconte et al. 2024) by showing that informativeness is not linear and is influenced by where firms fall along the tax strategy distribution. Our results underscore the importance of considering non-linear associations in accounting research, consistent with the call of Kim et al. (2021), and highlight the risks of assuming linearity in empirical settings where strategic behavior is likely to vary at the extremes.</w:t>
      </w:r>
    </w:p>
    <w:p>
      <w:pPr>
        <w:pStyle w:val="BodyText"/>
        <w:spacing w:after="0" w:line="230" w:lineRule="auto"/>
        <w:jc w:val="both"/>
        <w:sectPr>
          <w:pgSz w:w="12240" w:h="15840"/>
          <w:pgMar w:header="0" w:footer="707" w:top="620" w:bottom="960" w:left="720" w:right="0"/>
        </w:sectPr>
      </w:pPr>
    </w:p>
    <w:p>
      <w:pPr>
        <w:pStyle w:val="BodyText"/>
        <w:spacing w:line="230" w:lineRule="auto" w:before="80"/>
        <w:ind w:left="723" w:right="1379"/>
        <w:jc w:val="both"/>
      </w:pPr>
      <w:r>
        <w:rPr/>
        <w:t>The implications of our findings extend to both researchers and financial statement users.</w:t>
      </w:r>
      <w:r>
        <w:rPr>
          <w:spacing w:val="40"/>
        </w:rPr>
        <w:t> </w:t>
      </w:r>
      <w:r>
        <w:rPr/>
        <w:t>For researchers, our evidence suggests that future work examining tax reserves, tax avoidance, </w:t>
      </w:r>
      <w:r>
        <w:rPr/>
        <w:t>or related disclosures should account for potential non-linearities that may otherwise obscure underlying relations. For financial statement users, our results indicate that the credibility of tax reserve disclosures is conditional on firms’ tax strategies. Aggressive firms may overstate</w:t>
      </w:r>
      <w:r>
        <w:rPr>
          <w:spacing w:val="40"/>
        </w:rPr>
        <w:t> </w:t>
      </w:r>
      <w:r>
        <w:rPr/>
        <w:t>reserves</w:t>
      </w:r>
      <w:r>
        <w:rPr>
          <w:spacing w:val="40"/>
        </w:rPr>
        <w:t> </w:t>
      </w:r>
      <w:r>
        <w:rPr/>
        <w:t>to manage scrutiny, while conservative firms</w:t>
      </w:r>
      <w:r>
        <w:rPr>
          <w:spacing w:val="-4"/>
        </w:rPr>
        <w:t> </w:t>
      </w:r>
      <w:r>
        <w:rPr/>
        <w:t>may</w:t>
      </w:r>
      <w:r>
        <w:rPr>
          <w:spacing w:val="-4"/>
        </w:rPr>
        <w:t> </w:t>
      </w:r>
      <w:r>
        <w:rPr/>
        <w:t>book</w:t>
      </w:r>
      <w:r>
        <w:rPr>
          <w:spacing w:val="-4"/>
        </w:rPr>
        <w:t> </w:t>
      </w:r>
      <w:r>
        <w:rPr/>
        <w:t>precautionary</w:t>
      </w:r>
      <w:r>
        <w:rPr>
          <w:spacing w:val="-4"/>
        </w:rPr>
        <w:t> </w:t>
      </w:r>
      <w:r>
        <w:rPr/>
        <w:t>buffers,</w:t>
      </w:r>
      <w:r>
        <w:rPr>
          <w:spacing w:val="-4"/>
        </w:rPr>
        <w:t> </w:t>
      </w:r>
      <w:r>
        <w:rPr/>
        <w:t>reducing informativeness in both cases. In contrast, moderate firms appear to book reserves that more closely reflect expected settlements, enhancing the predictive value of these disclosures.</w:t>
      </w:r>
    </w:p>
    <w:p>
      <w:pPr>
        <w:pStyle w:val="Heading4"/>
        <w:spacing w:before="244"/>
      </w:pPr>
      <w:r>
        <w:rPr>
          <w:spacing w:val="-2"/>
        </w:rPr>
        <w:t>References</w:t>
      </w:r>
    </w:p>
    <w:p>
      <w:pPr>
        <w:pStyle w:val="BodyText"/>
        <w:spacing w:line="247" w:lineRule="auto" w:before="157"/>
        <w:ind w:left="1443" w:right="1191" w:hanging="720"/>
      </w:pPr>
      <w:r>
        <w:rPr/>
        <w:t>Balakrishnan,</w:t>
      </w:r>
      <w:r>
        <w:rPr>
          <w:spacing w:val="-9"/>
        </w:rPr>
        <w:t> </w:t>
      </w:r>
      <w:r>
        <w:rPr/>
        <w:t>K.,</w:t>
      </w:r>
      <w:r>
        <w:rPr>
          <w:spacing w:val="-9"/>
        </w:rPr>
        <w:t> </w:t>
      </w:r>
      <w:r>
        <w:rPr/>
        <w:t>Blouin,</w:t>
      </w:r>
      <w:r>
        <w:rPr>
          <w:spacing w:val="-9"/>
        </w:rPr>
        <w:t> </w:t>
      </w:r>
      <w:r>
        <w:rPr/>
        <w:t>J.,</w:t>
      </w:r>
      <w:r>
        <w:rPr>
          <w:spacing w:val="-9"/>
        </w:rPr>
        <w:t> </w:t>
      </w:r>
      <w:r>
        <w:rPr/>
        <w:t>and</w:t>
      </w:r>
      <w:r>
        <w:rPr>
          <w:spacing w:val="-9"/>
        </w:rPr>
        <w:t> </w:t>
      </w:r>
      <w:r>
        <w:rPr/>
        <w:t>Guay,</w:t>
      </w:r>
      <w:r>
        <w:rPr>
          <w:spacing w:val="-9"/>
        </w:rPr>
        <w:t> </w:t>
      </w:r>
      <w:r>
        <w:rPr/>
        <w:t>W.,</w:t>
      </w:r>
      <w:r>
        <w:rPr>
          <w:spacing w:val="-9"/>
        </w:rPr>
        <w:t> </w:t>
      </w:r>
      <w:r>
        <w:rPr/>
        <w:t>2019.</w:t>
      </w:r>
      <w:r>
        <w:rPr>
          <w:spacing w:val="-9"/>
        </w:rPr>
        <w:t> </w:t>
      </w:r>
      <w:r>
        <w:rPr/>
        <w:t>“Tax</w:t>
      </w:r>
      <w:r>
        <w:rPr>
          <w:spacing w:val="-9"/>
        </w:rPr>
        <w:t> </w:t>
      </w:r>
      <w:r>
        <w:rPr/>
        <w:t>Aggressiveness</w:t>
      </w:r>
      <w:r>
        <w:rPr>
          <w:spacing w:val="-9"/>
        </w:rPr>
        <w:t> </w:t>
      </w:r>
      <w:r>
        <w:rPr/>
        <w:t>and</w:t>
      </w:r>
      <w:r>
        <w:rPr>
          <w:spacing w:val="-9"/>
        </w:rPr>
        <w:t> </w:t>
      </w:r>
      <w:r>
        <w:rPr/>
        <w:t>Corporate Transparency.” </w:t>
      </w:r>
      <w:r>
        <w:rPr>
          <w:i/>
        </w:rPr>
        <w:t>The Accounting Review </w:t>
      </w:r>
      <w:r>
        <w:rPr/>
        <w:t>94, 45-69.</w:t>
      </w:r>
    </w:p>
    <w:p>
      <w:pPr>
        <w:pStyle w:val="BodyText"/>
        <w:spacing w:line="249" w:lineRule="auto" w:before="170"/>
        <w:ind w:left="1443" w:right="1191" w:hanging="720"/>
      </w:pPr>
      <w:r>
        <w:rPr/>
        <w:t>Blouin,</w:t>
      </w:r>
      <w:r>
        <w:rPr>
          <w:spacing w:val="-7"/>
        </w:rPr>
        <w:t> </w:t>
      </w:r>
      <w:r>
        <w:rPr/>
        <w:t>J.,</w:t>
      </w:r>
      <w:r>
        <w:rPr>
          <w:spacing w:val="-7"/>
        </w:rPr>
        <w:t> </w:t>
      </w:r>
      <w:r>
        <w:rPr/>
        <w:t>and</w:t>
      </w:r>
      <w:r>
        <w:rPr>
          <w:spacing w:val="-7"/>
        </w:rPr>
        <w:t> </w:t>
      </w:r>
      <w:r>
        <w:rPr/>
        <w:t>Tuna,</w:t>
      </w:r>
      <w:r>
        <w:rPr>
          <w:spacing w:val="-7"/>
        </w:rPr>
        <w:t> </w:t>
      </w:r>
      <w:r>
        <w:rPr/>
        <w:t>I.,</w:t>
      </w:r>
      <w:r>
        <w:rPr>
          <w:spacing w:val="-7"/>
        </w:rPr>
        <w:t> </w:t>
      </w:r>
      <w:r>
        <w:rPr/>
        <w:t>2007.</w:t>
      </w:r>
      <w:r>
        <w:rPr>
          <w:spacing w:val="-7"/>
        </w:rPr>
        <w:t> </w:t>
      </w:r>
      <w:r>
        <w:rPr/>
        <w:t>“Tax</w:t>
      </w:r>
      <w:r>
        <w:rPr>
          <w:spacing w:val="-7"/>
        </w:rPr>
        <w:t> </w:t>
      </w:r>
      <w:r>
        <w:rPr/>
        <w:t>Contingencies:</w:t>
      </w:r>
      <w:r>
        <w:rPr>
          <w:spacing w:val="-7"/>
        </w:rPr>
        <w:t> </w:t>
      </w:r>
      <w:r>
        <w:rPr/>
        <w:t>Cushioning</w:t>
      </w:r>
      <w:r>
        <w:rPr>
          <w:spacing w:val="-7"/>
        </w:rPr>
        <w:t> </w:t>
      </w:r>
      <w:r>
        <w:rPr/>
        <w:t>the</w:t>
      </w:r>
      <w:r>
        <w:rPr>
          <w:spacing w:val="-7"/>
        </w:rPr>
        <w:t> </w:t>
      </w:r>
      <w:r>
        <w:rPr/>
        <w:t>Blow</w:t>
      </w:r>
      <w:r>
        <w:rPr>
          <w:spacing w:val="-7"/>
        </w:rPr>
        <w:t> </w:t>
      </w:r>
      <w:r>
        <w:rPr/>
        <w:t>to</w:t>
      </w:r>
      <w:r>
        <w:rPr>
          <w:spacing w:val="-7"/>
        </w:rPr>
        <w:t> </w:t>
      </w:r>
      <w:r>
        <w:rPr/>
        <w:t>Earnings?”</w:t>
      </w:r>
      <w:r>
        <w:rPr>
          <w:spacing w:val="-7"/>
        </w:rPr>
        <w:t> </w:t>
      </w:r>
      <w:r>
        <w:rPr/>
        <w:t>Working Paper. University of Pennsylvania.</w:t>
      </w:r>
    </w:p>
    <w:p>
      <w:pPr>
        <w:spacing w:line="247" w:lineRule="auto" w:before="166"/>
        <w:ind w:left="1428" w:right="1191" w:hanging="705"/>
        <w:jc w:val="left"/>
        <w:rPr>
          <w:sz w:val="24"/>
        </w:rPr>
      </w:pPr>
      <w:r>
        <w:rPr>
          <w:sz w:val="24"/>
        </w:rPr>
        <w:t>Bozanic,</w:t>
      </w:r>
      <w:r>
        <w:rPr>
          <w:spacing w:val="-4"/>
          <w:sz w:val="24"/>
        </w:rPr>
        <w:t> </w:t>
      </w:r>
      <w:r>
        <w:rPr>
          <w:sz w:val="24"/>
        </w:rPr>
        <w:t>Z.,</w:t>
      </w:r>
      <w:r>
        <w:rPr>
          <w:spacing w:val="-4"/>
          <w:sz w:val="24"/>
        </w:rPr>
        <w:t> </w:t>
      </w:r>
      <w:r>
        <w:rPr>
          <w:sz w:val="24"/>
        </w:rPr>
        <w:t>Hoopes,</w:t>
      </w:r>
      <w:r>
        <w:rPr>
          <w:spacing w:val="-4"/>
          <w:sz w:val="24"/>
        </w:rPr>
        <w:t> </w:t>
      </w:r>
      <w:r>
        <w:rPr>
          <w:sz w:val="24"/>
        </w:rPr>
        <w:t>J.,</w:t>
      </w:r>
      <w:r>
        <w:rPr>
          <w:spacing w:val="-4"/>
          <w:sz w:val="24"/>
        </w:rPr>
        <w:t> </w:t>
      </w:r>
      <w:r>
        <w:rPr>
          <w:sz w:val="24"/>
        </w:rPr>
        <w:t>Thornock,</w:t>
      </w:r>
      <w:r>
        <w:rPr>
          <w:spacing w:val="-4"/>
          <w:sz w:val="24"/>
        </w:rPr>
        <w:t> </w:t>
      </w:r>
      <w:r>
        <w:rPr>
          <w:sz w:val="24"/>
        </w:rPr>
        <w:t>J.,</w:t>
      </w:r>
      <w:r>
        <w:rPr>
          <w:spacing w:val="-4"/>
          <w:sz w:val="24"/>
        </w:rPr>
        <w:t> </w:t>
      </w:r>
      <w:r>
        <w:rPr>
          <w:sz w:val="24"/>
        </w:rPr>
        <w:t>and</w:t>
      </w:r>
      <w:r>
        <w:rPr>
          <w:spacing w:val="-4"/>
          <w:sz w:val="24"/>
        </w:rPr>
        <w:t> </w:t>
      </w:r>
      <w:r>
        <w:rPr>
          <w:sz w:val="24"/>
        </w:rPr>
        <w:t>Williams,</w:t>
      </w:r>
      <w:r>
        <w:rPr>
          <w:spacing w:val="-4"/>
          <w:sz w:val="24"/>
        </w:rPr>
        <w:t> </w:t>
      </w:r>
      <w:r>
        <w:rPr>
          <w:sz w:val="24"/>
        </w:rPr>
        <w:t>B.,</w:t>
      </w:r>
      <w:r>
        <w:rPr>
          <w:spacing w:val="-4"/>
          <w:sz w:val="24"/>
        </w:rPr>
        <w:t> </w:t>
      </w:r>
      <w:r>
        <w:rPr>
          <w:sz w:val="24"/>
        </w:rPr>
        <w:t>2017.</w:t>
      </w:r>
      <w:r>
        <w:rPr>
          <w:spacing w:val="-4"/>
          <w:sz w:val="24"/>
        </w:rPr>
        <w:t> </w:t>
      </w:r>
      <w:r>
        <w:rPr>
          <w:sz w:val="24"/>
        </w:rPr>
        <w:t>“IRS</w:t>
      </w:r>
      <w:r>
        <w:rPr>
          <w:spacing w:val="-4"/>
          <w:sz w:val="24"/>
        </w:rPr>
        <w:t> </w:t>
      </w:r>
      <w:r>
        <w:rPr>
          <w:sz w:val="24"/>
        </w:rPr>
        <w:t>Attention.”</w:t>
      </w:r>
      <w:r>
        <w:rPr>
          <w:spacing w:val="-4"/>
          <w:sz w:val="24"/>
        </w:rPr>
        <w:t> </w:t>
      </w:r>
      <w:r>
        <w:rPr>
          <w:i/>
          <w:sz w:val="24"/>
        </w:rPr>
        <w:t>Journal</w:t>
      </w:r>
      <w:r>
        <w:rPr>
          <w:i/>
          <w:spacing w:val="-4"/>
          <w:sz w:val="24"/>
        </w:rPr>
        <w:t> </w:t>
      </w:r>
      <w:r>
        <w:rPr>
          <w:i/>
          <w:sz w:val="24"/>
        </w:rPr>
        <w:t>of</w:t>
      </w:r>
      <w:r>
        <w:rPr>
          <w:i/>
          <w:sz w:val="24"/>
        </w:rPr>
        <w:t> Accounting Research </w:t>
      </w:r>
      <w:r>
        <w:rPr>
          <w:sz w:val="24"/>
        </w:rPr>
        <w:t>55, 79-114.</w:t>
      </w:r>
    </w:p>
    <w:p>
      <w:pPr>
        <w:pStyle w:val="BodyText"/>
        <w:spacing w:line="247" w:lineRule="auto" w:before="172"/>
        <w:ind w:left="1443" w:right="1619" w:hanging="720"/>
      </w:pPr>
      <w:r>
        <w:rPr/>
        <w:t>Brushwood, J., Johnston, D., and Lusch, S., 2021. “The Effect of Tax Audit Outcomes on the Reporting</w:t>
      </w:r>
      <w:r>
        <w:rPr>
          <w:spacing w:val="-8"/>
        </w:rPr>
        <w:t> </w:t>
      </w:r>
      <w:r>
        <w:rPr/>
        <w:t>and</w:t>
      </w:r>
      <w:r>
        <w:rPr>
          <w:spacing w:val="-8"/>
        </w:rPr>
        <w:t> </w:t>
      </w:r>
      <w:r>
        <w:rPr/>
        <w:t>Valuation</w:t>
      </w:r>
      <w:r>
        <w:rPr>
          <w:spacing w:val="-8"/>
        </w:rPr>
        <w:t> </w:t>
      </w:r>
      <w:r>
        <w:rPr/>
        <w:t>of</w:t>
      </w:r>
      <w:r>
        <w:rPr>
          <w:spacing w:val="-8"/>
        </w:rPr>
        <w:t> </w:t>
      </w:r>
      <w:r>
        <w:rPr/>
        <w:t>Unrecognized</w:t>
      </w:r>
      <w:r>
        <w:rPr>
          <w:spacing w:val="-8"/>
        </w:rPr>
        <w:t> </w:t>
      </w:r>
      <w:r>
        <w:rPr/>
        <w:t>Tax</w:t>
      </w:r>
      <w:r>
        <w:rPr>
          <w:spacing w:val="-8"/>
        </w:rPr>
        <w:t> </w:t>
      </w:r>
      <w:r>
        <w:rPr/>
        <w:t>Benefits.”</w:t>
      </w:r>
      <w:r>
        <w:rPr>
          <w:spacing w:val="-8"/>
        </w:rPr>
        <w:t> </w:t>
      </w:r>
      <w:r>
        <w:rPr>
          <w:i/>
        </w:rPr>
        <w:t>Advances</w:t>
      </w:r>
      <w:r>
        <w:rPr>
          <w:i/>
          <w:spacing w:val="-8"/>
        </w:rPr>
        <w:t> </w:t>
      </w:r>
      <w:r>
        <w:rPr>
          <w:i/>
        </w:rPr>
        <w:t>in</w:t>
      </w:r>
      <w:r>
        <w:rPr>
          <w:i/>
          <w:spacing w:val="-8"/>
        </w:rPr>
        <w:t> </w:t>
      </w:r>
      <w:r>
        <w:rPr>
          <w:i/>
        </w:rPr>
        <w:t>Accounting</w:t>
      </w:r>
      <w:r>
        <w:rPr>
          <w:i/>
          <w:spacing w:val="-8"/>
        </w:rPr>
        <w:t> </w:t>
      </w:r>
      <w:r>
        <w:rPr/>
        <w:t>52,</w:t>
      </w:r>
      <w:r>
        <w:rPr>
          <w:spacing w:val="-8"/>
        </w:rPr>
        <w:t> </w:t>
      </w:r>
      <w:r>
        <w:rPr/>
        <w:t>1-</w:t>
      </w:r>
      <w:r>
        <w:rPr>
          <w:spacing w:val="-4"/>
        </w:rPr>
        <w:t>11.</w:t>
      </w:r>
    </w:p>
    <w:p>
      <w:pPr>
        <w:pStyle w:val="BodyText"/>
        <w:spacing w:line="247" w:lineRule="auto" w:before="173"/>
        <w:ind w:left="1428" w:right="1383" w:hanging="705"/>
        <w:jc w:val="both"/>
      </w:pPr>
      <w:r>
        <w:rPr/>
        <w:t>Campbell, J., Cecchini, M., Cianci, A., Ehinger, A., and Werner, E., 2019. “Tax-</w:t>
      </w:r>
      <w:r>
        <w:rPr/>
        <w:t>Related Mandatory Risk Factor Disclosures, Future Profitability, and Stock Returns.” </w:t>
      </w:r>
      <w:r>
        <w:rPr>
          <w:i/>
        </w:rPr>
        <w:t>Review of</w:t>
      </w:r>
      <w:r>
        <w:rPr>
          <w:i/>
        </w:rPr>
        <w:t> Accounting Studies </w:t>
      </w:r>
      <w:r>
        <w:rPr/>
        <w:t>24, 264-308.</w:t>
      </w:r>
    </w:p>
    <w:p>
      <w:pPr>
        <w:pStyle w:val="BodyText"/>
        <w:spacing w:line="247" w:lineRule="auto" w:before="173"/>
        <w:ind w:left="1443" w:right="1380" w:hanging="720"/>
        <w:jc w:val="both"/>
      </w:pPr>
      <w:r>
        <w:rPr/>
        <w:t>Cazier, R. Rego, S., Tian, X. and Wilson, R., 2015. “The Impact of Increased </w:t>
      </w:r>
      <w:r>
        <w:rPr/>
        <w:t>Disclosure Requirements and the Standardization of Accounting Practices on Earnings Management Through the Reserve for Income Taxes.” </w:t>
      </w:r>
      <w:r>
        <w:rPr>
          <w:i/>
        </w:rPr>
        <w:t>Review of Accounting Studies </w:t>
      </w:r>
      <w:r>
        <w:rPr/>
        <w:t>20, 436-469.</w:t>
      </w:r>
    </w:p>
    <w:p>
      <w:pPr>
        <w:pStyle w:val="BodyText"/>
        <w:spacing w:line="247" w:lineRule="auto" w:before="173"/>
        <w:ind w:left="1428" w:right="1380" w:hanging="705"/>
        <w:jc w:val="both"/>
      </w:pPr>
      <w:r>
        <w:rPr/>
        <w:t>Ciconte, W., Donohoe, M., Lisowsky,</w:t>
      </w:r>
      <w:r>
        <w:rPr>
          <w:spacing w:val="-9"/>
        </w:rPr>
        <w:t> </w:t>
      </w:r>
      <w:r>
        <w:rPr/>
        <w:t>P.,</w:t>
      </w:r>
      <w:r>
        <w:rPr>
          <w:spacing w:val="-9"/>
        </w:rPr>
        <w:t> </w:t>
      </w:r>
      <w:r>
        <w:rPr/>
        <w:t>and</w:t>
      </w:r>
      <w:r>
        <w:rPr>
          <w:spacing w:val="-9"/>
        </w:rPr>
        <w:t> </w:t>
      </w:r>
      <w:r>
        <w:rPr/>
        <w:t>Mayberry,</w:t>
      </w:r>
      <w:r>
        <w:rPr>
          <w:spacing w:val="-9"/>
        </w:rPr>
        <w:t> </w:t>
      </w:r>
      <w:r>
        <w:rPr/>
        <w:t>M.,</w:t>
      </w:r>
      <w:r>
        <w:rPr>
          <w:spacing w:val="-9"/>
        </w:rPr>
        <w:t> </w:t>
      </w:r>
      <w:r>
        <w:rPr/>
        <w:t>2024.</w:t>
      </w:r>
      <w:r>
        <w:rPr>
          <w:spacing w:val="-9"/>
        </w:rPr>
        <w:t> </w:t>
      </w:r>
      <w:r>
        <w:rPr/>
        <w:t>“The</w:t>
      </w:r>
      <w:r>
        <w:rPr>
          <w:spacing w:val="-9"/>
        </w:rPr>
        <w:t> </w:t>
      </w:r>
      <w:r>
        <w:rPr/>
        <w:t>Predictive</w:t>
      </w:r>
      <w:r>
        <w:rPr>
          <w:spacing w:val="-9"/>
        </w:rPr>
        <w:t> </w:t>
      </w:r>
      <w:r>
        <w:rPr/>
        <w:t>Ability</w:t>
      </w:r>
      <w:r>
        <w:rPr>
          <w:spacing w:val="-9"/>
        </w:rPr>
        <w:t> </w:t>
      </w:r>
      <w:r>
        <w:rPr/>
        <w:t>of</w:t>
      </w:r>
      <w:r>
        <w:rPr>
          <w:spacing w:val="-9"/>
        </w:rPr>
        <w:t> </w:t>
      </w:r>
      <w:r>
        <w:rPr/>
        <w:t>Tax Contingencies for Future Income Tax Cash Outflows.” </w:t>
      </w:r>
      <w:r>
        <w:rPr>
          <w:i/>
        </w:rPr>
        <w:t>Contemporary </w:t>
      </w:r>
      <w:r>
        <w:rPr>
          <w:i/>
        </w:rPr>
        <w:t>Accounting</w:t>
      </w:r>
      <w:r>
        <w:rPr>
          <w:i/>
        </w:rPr>
        <w:t> Research</w:t>
      </w:r>
      <w:r>
        <w:rPr/>
        <w:t>¸41. 355-390.</w:t>
      </w:r>
    </w:p>
    <w:p>
      <w:pPr>
        <w:pStyle w:val="BodyText"/>
        <w:spacing w:line="247" w:lineRule="auto" w:before="173"/>
        <w:ind w:left="1428" w:right="1191" w:hanging="705"/>
      </w:pPr>
      <w:r>
        <w:rPr/>
        <w:t>Dyreng,</w:t>
      </w:r>
      <w:r>
        <w:rPr>
          <w:spacing w:val="-8"/>
        </w:rPr>
        <w:t> </w:t>
      </w:r>
      <w:r>
        <w:rPr/>
        <w:t>S.,</w:t>
      </w:r>
      <w:r>
        <w:rPr>
          <w:spacing w:val="-8"/>
        </w:rPr>
        <w:t> </w:t>
      </w:r>
      <w:r>
        <w:rPr/>
        <w:t>Hanlon,</w:t>
      </w:r>
      <w:r>
        <w:rPr>
          <w:spacing w:val="-8"/>
        </w:rPr>
        <w:t> </w:t>
      </w:r>
      <w:r>
        <w:rPr/>
        <w:t>M.,</w:t>
      </w:r>
      <w:r>
        <w:rPr>
          <w:spacing w:val="-8"/>
        </w:rPr>
        <w:t> </w:t>
      </w:r>
      <w:r>
        <w:rPr/>
        <w:t>and</w:t>
      </w:r>
      <w:r>
        <w:rPr>
          <w:spacing w:val="-8"/>
        </w:rPr>
        <w:t> </w:t>
      </w:r>
      <w:r>
        <w:rPr/>
        <w:t>Maydew,</w:t>
      </w:r>
      <w:r>
        <w:rPr>
          <w:spacing w:val="-8"/>
        </w:rPr>
        <w:t> </w:t>
      </w:r>
      <w:r>
        <w:rPr/>
        <w:t>E.,</w:t>
      </w:r>
      <w:r>
        <w:rPr>
          <w:spacing w:val="-8"/>
        </w:rPr>
        <w:t> </w:t>
      </w:r>
      <w:r>
        <w:rPr/>
        <w:t>2008.</w:t>
      </w:r>
      <w:r>
        <w:rPr>
          <w:spacing w:val="-8"/>
        </w:rPr>
        <w:t> </w:t>
      </w:r>
      <w:r>
        <w:rPr/>
        <w:t>“Long-Run</w:t>
      </w:r>
      <w:r>
        <w:rPr>
          <w:spacing w:val="-8"/>
        </w:rPr>
        <w:t> </w:t>
      </w:r>
      <w:r>
        <w:rPr/>
        <w:t>Corporate</w:t>
      </w:r>
      <w:r>
        <w:rPr>
          <w:spacing w:val="-8"/>
        </w:rPr>
        <w:t> </w:t>
      </w:r>
      <w:r>
        <w:rPr/>
        <w:t>Tax</w:t>
      </w:r>
      <w:r>
        <w:rPr>
          <w:spacing w:val="-8"/>
        </w:rPr>
        <w:t> </w:t>
      </w:r>
      <w:r>
        <w:rPr/>
        <w:t>Avoidance.”</w:t>
      </w:r>
      <w:r>
        <w:rPr>
          <w:spacing w:val="-8"/>
        </w:rPr>
        <w:t> </w:t>
      </w:r>
      <w:r>
        <w:rPr>
          <w:i/>
        </w:rPr>
        <w:t>The</w:t>
      </w:r>
      <w:r>
        <w:rPr>
          <w:i/>
        </w:rPr>
        <w:t> Accounting Review </w:t>
      </w:r>
      <w:r>
        <w:rPr/>
        <w:t>83, 61-82.</w:t>
      </w:r>
    </w:p>
    <w:p>
      <w:pPr>
        <w:pStyle w:val="BodyText"/>
        <w:spacing w:line="247" w:lineRule="auto" w:before="172"/>
        <w:ind w:left="1443" w:right="1191" w:hanging="720"/>
      </w:pPr>
      <w:r>
        <w:rPr/>
        <w:t>Dyreng,</w:t>
      </w:r>
      <w:r>
        <w:rPr>
          <w:spacing w:val="-6"/>
        </w:rPr>
        <w:t> </w:t>
      </w:r>
      <w:r>
        <w:rPr/>
        <w:t>S.,</w:t>
      </w:r>
      <w:r>
        <w:rPr>
          <w:spacing w:val="-6"/>
        </w:rPr>
        <w:t> </w:t>
      </w:r>
      <w:r>
        <w:rPr/>
        <w:t>Hanlon,</w:t>
      </w:r>
      <w:r>
        <w:rPr>
          <w:spacing w:val="-6"/>
        </w:rPr>
        <w:t> </w:t>
      </w:r>
      <w:r>
        <w:rPr/>
        <w:t>M.,</w:t>
      </w:r>
      <w:r>
        <w:rPr>
          <w:spacing w:val="-6"/>
        </w:rPr>
        <w:t> </w:t>
      </w:r>
      <w:r>
        <w:rPr/>
        <w:t>and</w:t>
      </w:r>
      <w:r>
        <w:rPr>
          <w:spacing w:val="-6"/>
        </w:rPr>
        <w:t> </w:t>
      </w:r>
      <w:r>
        <w:rPr/>
        <w:t>Maydew,</w:t>
      </w:r>
      <w:r>
        <w:rPr>
          <w:spacing w:val="-6"/>
        </w:rPr>
        <w:t> </w:t>
      </w:r>
      <w:r>
        <w:rPr/>
        <w:t>E.,</w:t>
      </w:r>
      <w:r>
        <w:rPr>
          <w:spacing w:val="-6"/>
        </w:rPr>
        <w:t> </w:t>
      </w:r>
      <w:r>
        <w:rPr/>
        <w:t>2010.</w:t>
      </w:r>
      <w:r>
        <w:rPr>
          <w:spacing w:val="-6"/>
        </w:rPr>
        <w:t> </w:t>
      </w:r>
      <w:r>
        <w:rPr/>
        <w:t>“The</w:t>
      </w:r>
      <w:r>
        <w:rPr>
          <w:spacing w:val="-6"/>
        </w:rPr>
        <w:t> </w:t>
      </w:r>
      <w:r>
        <w:rPr/>
        <w:t>Effects</w:t>
      </w:r>
      <w:r>
        <w:rPr>
          <w:spacing w:val="-6"/>
        </w:rPr>
        <w:t> </w:t>
      </w:r>
      <w:r>
        <w:rPr/>
        <w:t>of</w:t>
      </w:r>
      <w:r>
        <w:rPr>
          <w:spacing w:val="-6"/>
        </w:rPr>
        <w:t> </w:t>
      </w:r>
      <w:r>
        <w:rPr/>
        <w:t>Executives</w:t>
      </w:r>
      <w:r>
        <w:rPr>
          <w:spacing w:val="-6"/>
        </w:rPr>
        <w:t> </w:t>
      </w:r>
      <w:r>
        <w:rPr/>
        <w:t>on</w:t>
      </w:r>
      <w:r>
        <w:rPr>
          <w:spacing w:val="-6"/>
        </w:rPr>
        <w:t> </w:t>
      </w:r>
      <w:r>
        <w:rPr/>
        <w:t>Corporate</w:t>
      </w:r>
      <w:r>
        <w:rPr>
          <w:spacing w:val="-6"/>
        </w:rPr>
        <w:t> </w:t>
      </w:r>
      <w:r>
        <w:rPr/>
        <w:t>Tax Avoidance.” </w:t>
      </w:r>
      <w:r>
        <w:rPr>
          <w:i/>
        </w:rPr>
        <w:t>The Accounting Review </w:t>
      </w:r>
      <w:r>
        <w:rPr/>
        <w:t>85, 1163-1189.</w:t>
      </w:r>
    </w:p>
    <w:p>
      <w:pPr>
        <w:pStyle w:val="BodyText"/>
        <w:spacing w:line="247" w:lineRule="auto" w:before="172"/>
        <w:ind w:left="1443" w:right="1948" w:hanging="720"/>
      </w:pPr>
      <w:r>
        <w:rPr/>
        <w:t>Dyreng,</w:t>
      </w:r>
      <w:r>
        <w:rPr>
          <w:spacing w:val="-7"/>
        </w:rPr>
        <w:t> </w:t>
      </w:r>
      <w:r>
        <w:rPr/>
        <w:t>S.,</w:t>
      </w:r>
      <w:r>
        <w:rPr>
          <w:spacing w:val="-7"/>
        </w:rPr>
        <w:t> </w:t>
      </w:r>
      <w:r>
        <w:rPr/>
        <w:t>Hanlon,</w:t>
      </w:r>
      <w:r>
        <w:rPr>
          <w:spacing w:val="-7"/>
        </w:rPr>
        <w:t> </w:t>
      </w:r>
      <w:r>
        <w:rPr/>
        <w:t>M.,</w:t>
      </w:r>
      <w:r>
        <w:rPr>
          <w:spacing w:val="-7"/>
        </w:rPr>
        <w:t> </w:t>
      </w:r>
      <w:r>
        <w:rPr/>
        <w:t>and</w:t>
      </w:r>
      <w:r>
        <w:rPr>
          <w:spacing w:val="-7"/>
        </w:rPr>
        <w:t> </w:t>
      </w:r>
      <w:r>
        <w:rPr/>
        <w:t>Maydew,</w:t>
      </w:r>
      <w:r>
        <w:rPr>
          <w:spacing w:val="-7"/>
        </w:rPr>
        <w:t> </w:t>
      </w:r>
      <w:r>
        <w:rPr/>
        <w:t>E.,</w:t>
      </w:r>
      <w:r>
        <w:rPr>
          <w:spacing w:val="-7"/>
        </w:rPr>
        <w:t> </w:t>
      </w:r>
      <w:r>
        <w:rPr/>
        <w:t>2019.</w:t>
      </w:r>
      <w:r>
        <w:rPr>
          <w:spacing w:val="-7"/>
        </w:rPr>
        <w:t> </w:t>
      </w:r>
      <w:r>
        <w:rPr/>
        <w:t>“</w:t>
      </w:r>
      <w:r>
        <w:rPr>
          <w:spacing w:val="-7"/>
        </w:rPr>
        <w:t> </w:t>
      </w:r>
      <w:r>
        <w:rPr/>
        <w:t>When</w:t>
      </w:r>
      <w:r>
        <w:rPr>
          <w:spacing w:val="-7"/>
        </w:rPr>
        <w:t> </w:t>
      </w:r>
      <w:r>
        <w:rPr/>
        <w:t>Does</w:t>
      </w:r>
      <w:r>
        <w:rPr>
          <w:spacing w:val="-7"/>
        </w:rPr>
        <w:t> </w:t>
      </w:r>
      <w:r>
        <w:rPr/>
        <w:t>Tax</w:t>
      </w:r>
      <w:r>
        <w:rPr>
          <w:spacing w:val="-7"/>
        </w:rPr>
        <w:t> </w:t>
      </w:r>
      <w:r>
        <w:rPr/>
        <w:t>Avoidance</w:t>
      </w:r>
      <w:r>
        <w:rPr>
          <w:spacing w:val="-7"/>
        </w:rPr>
        <w:t> </w:t>
      </w:r>
      <w:r>
        <w:rPr/>
        <w:t>Result</w:t>
      </w:r>
      <w:r>
        <w:rPr>
          <w:spacing w:val="-7"/>
        </w:rPr>
        <w:t> </w:t>
      </w:r>
      <w:r>
        <w:rPr/>
        <w:t>in</w:t>
      </w:r>
      <w:r>
        <w:rPr>
          <w:spacing w:val="-7"/>
        </w:rPr>
        <w:t> </w:t>
      </w:r>
      <w:r>
        <w:rPr/>
        <w:t>Tax Uncertainty?” </w:t>
      </w:r>
      <w:r>
        <w:rPr>
          <w:i/>
        </w:rPr>
        <w:t>The Accounting Review </w:t>
      </w:r>
      <w:r>
        <w:rPr/>
        <w:t>94, 179-203.</w:t>
      </w:r>
    </w:p>
    <w:p>
      <w:pPr>
        <w:pStyle w:val="BodyText"/>
        <w:spacing w:line="247" w:lineRule="auto" w:before="172"/>
        <w:ind w:left="1443" w:right="1191" w:hanging="720"/>
      </w:pPr>
      <w:r>
        <w:rPr/>
        <w:t>Finley,</w:t>
      </w:r>
      <w:r>
        <w:rPr>
          <w:spacing w:val="-7"/>
        </w:rPr>
        <w:t> </w:t>
      </w:r>
      <w:r>
        <w:rPr/>
        <w:t>A.,</w:t>
      </w:r>
      <w:r>
        <w:rPr>
          <w:spacing w:val="-7"/>
        </w:rPr>
        <w:t> </w:t>
      </w:r>
      <w:r>
        <w:rPr/>
        <w:t>2019.</w:t>
      </w:r>
      <w:r>
        <w:rPr>
          <w:spacing w:val="-7"/>
        </w:rPr>
        <w:t> </w:t>
      </w:r>
      <w:r>
        <w:rPr/>
        <w:t>“The</w:t>
      </w:r>
      <w:r>
        <w:rPr>
          <w:spacing w:val="-7"/>
        </w:rPr>
        <w:t> </w:t>
      </w:r>
      <w:r>
        <w:rPr/>
        <w:t>Impact</w:t>
      </w:r>
      <w:r>
        <w:rPr>
          <w:spacing w:val="-7"/>
        </w:rPr>
        <w:t> </w:t>
      </w:r>
      <w:r>
        <w:rPr/>
        <w:t>of</w:t>
      </w:r>
      <w:r>
        <w:rPr>
          <w:spacing w:val="-7"/>
        </w:rPr>
        <w:t> </w:t>
      </w:r>
      <w:r>
        <w:rPr/>
        <w:t>Large</w:t>
      </w:r>
      <w:r>
        <w:rPr>
          <w:spacing w:val="-7"/>
        </w:rPr>
        <w:t> </w:t>
      </w:r>
      <w:r>
        <w:rPr/>
        <w:t>Tax</w:t>
      </w:r>
      <w:r>
        <w:rPr>
          <w:spacing w:val="-7"/>
        </w:rPr>
        <w:t> </w:t>
      </w:r>
      <w:r>
        <w:rPr/>
        <w:t>Settlement</w:t>
      </w:r>
      <w:r>
        <w:rPr>
          <w:spacing w:val="-7"/>
        </w:rPr>
        <w:t> </w:t>
      </w:r>
      <w:r>
        <w:rPr/>
        <w:t>Favorability</w:t>
      </w:r>
      <w:r>
        <w:rPr>
          <w:spacing w:val="-7"/>
        </w:rPr>
        <w:t> </w:t>
      </w:r>
      <w:r>
        <w:rPr/>
        <w:t>on</w:t>
      </w:r>
      <w:r>
        <w:rPr>
          <w:spacing w:val="-7"/>
        </w:rPr>
        <w:t> </w:t>
      </w:r>
      <w:r>
        <w:rPr/>
        <w:t>Firms’</w:t>
      </w:r>
      <w:r>
        <w:rPr>
          <w:spacing w:val="-7"/>
        </w:rPr>
        <w:t> </w:t>
      </w:r>
      <w:r>
        <w:rPr/>
        <w:t>Subsequent</w:t>
      </w:r>
      <w:r>
        <w:rPr>
          <w:spacing w:val="-7"/>
        </w:rPr>
        <w:t> </w:t>
      </w:r>
      <w:r>
        <w:rPr/>
        <w:t>Tax Avoidance.” </w:t>
      </w:r>
      <w:r>
        <w:rPr>
          <w:i/>
        </w:rPr>
        <w:t>Review of Accounting Studies </w:t>
      </w:r>
      <w:r>
        <w:rPr/>
        <w:t>24, 156-187.</w:t>
      </w:r>
    </w:p>
    <w:p>
      <w:pPr>
        <w:spacing w:line="247" w:lineRule="auto" w:before="2"/>
        <w:ind w:left="1428" w:right="1191" w:hanging="705"/>
        <w:jc w:val="left"/>
        <w:rPr>
          <w:sz w:val="24"/>
        </w:rPr>
      </w:pPr>
      <w:r>
        <w:rPr>
          <w:sz w:val="24"/>
        </w:rPr>
        <w:t>Finley,</w:t>
      </w:r>
      <w:r>
        <w:rPr>
          <w:spacing w:val="-7"/>
          <w:sz w:val="24"/>
        </w:rPr>
        <w:t> </w:t>
      </w:r>
      <w:r>
        <w:rPr>
          <w:sz w:val="24"/>
        </w:rPr>
        <w:t>A.,</w:t>
      </w:r>
      <w:r>
        <w:rPr>
          <w:spacing w:val="-7"/>
          <w:sz w:val="24"/>
        </w:rPr>
        <w:t> </w:t>
      </w:r>
      <w:r>
        <w:rPr>
          <w:sz w:val="24"/>
        </w:rPr>
        <w:t>and</w:t>
      </w:r>
      <w:r>
        <w:rPr>
          <w:spacing w:val="-7"/>
          <w:sz w:val="24"/>
        </w:rPr>
        <w:t> </w:t>
      </w:r>
      <w:r>
        <w:rPr>
          <w:sz w:val="24"/>
        </w:rPr>
        <w:t>Stekelberg,</w:t>
      </w:r>
      <w:r>
        <w:rPr>
          <w:spacing w:val="-7"/>
          <w:sz w:val="24"/>
        </w:rPr>
        <w:t> </w:t>
      </w:r>
      <w:r>
        <w:rPr>
          <w:sz w:val="24"/>
        </w:rPr>
        <w:t>J.,</w:t>
      </w:r>
      <w:r>
        <w:rPr>
          <w:spacing w:val="-7"/>
          <w:sz w:val="24"/>
        </w:rPr>
        <w:t> </w:t>
      </w:r>
      <w:r>
        <w:rPr>
          <w:sz w:val="24"/>
        </w:rPr>
        <w:t>2022.</w:t>
      </w:r>
      <w:r>
        <w:rPr>
          <w:spacing w:val="-7"/>
          <w:sz w:val="24"/>
        </w:rPr>
        <w:t> </w:t>
      </w:r>
      <w:r>
        <w:rPr>
          <w:sz w:val="24"/>
        </w:rPr>
        <w:t>“Measuring</w:t>
      </w:r>
      <w:r>
        <w:rPr>
          <w:spacing w:val="-7"/>
          <w:sz w:val="24"/>
        </w:rPr>
        <w:t> </w:t>
      </w:r>
      <w:r>
        <w:rPr>
          <w:sz w:val="24"/>
        </w:rPr>
        <w:t>Tax</w:t>
      </w:r>
      <w:r>
        <w:rPr>
          <w:spacing w:val="-7"/>
          <w:sz w:val="24"/>
        </w:rPr>
        <w:t> </w:t>
      </w:r>
      <w:r>
        <w:rPr>
          <w:sz w:val="24"/>
        </w:rPr>
        <w:t>Authority</w:t>
      </w:r>
      <w:r>
        <w:rPr>
          <w:spacing w:val="-7"/>
          <w:sz w:val="24"/>
        </w:rPr>
        <w:t> </w:t>
      </w:r>
      <w:r>
        <w:rPr>
          <w:sz w:val="24"/>
        </w:rPr>
        <w:t>Monitoring.”</w:t>
      </w:r>
      <w:r>
        <w:rPr>
          <w:spacing w:val="-7"/>
          <w:sz w:val="24"/>
        </w:rPr>
        <w:t> </w:t>
      </w:r>
      <w:r>
        <w:rPr>
          <w:i/>
          <w:sz w:val="24"/>
        </w:rPr>
        <w:t>Journal</w:t>
      </w:r>
      <w:r>
        <w:rPr>
          <w:i/>
          <w:spacing w:val="-7"/>
          <w:sz w:val="24"/>
        </w:rPr>
        <w:t> </w:t>
      </w:r>
      <w:r>
        <w:rPr>
          <w:i/>
          <w:sz w:val="24"/>
        </w:rPr>
        <w:t>of</w:t>
      </w:r>
      <w:r>
        <w:rPr>
          <w:i/>
          <w:spacing w:val="-7"/>
          <w:sz w:val="24"/>
        </w:rPr>
        <w:t> </w:t>
      </w:r>
      <w:r>
        <w:rPr>
          <w:i/>
          <w:sz w:val="24"/>
        </w:rPr>
        <w:t>the</w:t>
      </w:r>
      <w:r>
        <w:rPr>
          <w:i/>
          <w:sz w:val="24"/>
        </w:rPr>
        <w:t> American Taxation Association </w:t>
      </w:r>
      <w:r>
        <w:rPr>
          <w:sz w:val="24"/>
        </w:rPr>
        <w:t>44, 75-92.</w:t>
      </w:r>
    </w:p>
    <w:p>
      <w:pPr>
        <w:pStyle w:val="BodyText"/>
        <w:spacing w:line="247" w:lineRule="auto" w:before="172"/>
        <w:ind w:left="1428" w:right="1191" w:hanging="705"/>
      </w:pPr>
      <w:r>
        <w:rPr/>
        <w:t>Gleason,</w:t>
      </w:r>
      <w:r>
        <w:rPr>
          <w:spacing w:val="-5"/>
        </w:rPr>
        <w:t> </w:t>
      </w:r>
      <w:r>
        <w:rPr/>
        <w:t>C.,</w:t>
      </w:r>
      <w:r>
        <w:rPr>
          <w:spacing w:val="-5"/>
        </w:rPr>
        <w:t> </w:t>
      </w:r>
      <w:r>
        <w:rPr/>
        <w:t>and</w:t>
      </w:r>
      <w:r>
        <w:rPr>
          <w:spacing w:val="-5"/>
        </w:rPr>
        <w:t> </w:t>
      </w:r>
      <w:r>
        <w:rPr/>
        <w:t>Mills,</w:t>
      </w:r>
      <w:r>
        <w:rPr>
          <w:spacing w:val="-5"/>
        </w:rPr>
        <w:t> </w:t>
      </w:r>
      <w:r>
        <w:rPr/>
        <w:t>L.,</w:t>
      </w:r>
      <w:r>
        <w:rPr>
          <w:spacing w:val="-5"/>
        </w:rPr>
        <w:t> </w:t>
      </w:r>
      <w:r>
        <w:rPr/>
        <w:t>2002.</w:t>
      </w:r>
      <w:r>
        <w:rPr>
          <w:spacing w:val="-5"/>
        </w:rPr>
        <w:t> </w:t>
      </w:r>
      <w:r>
        <w:rPr/>
        <w:t>“Materiality</w:t>
      </w:r>
      <w:r>
        <w:rPr>
          <w:spacing w:val="-5"/>
        </w:rPr>
        <w:t> </w:t>
      </w:r>
      <w:r>
        <w:rPr/>
        <w:t>and</w:t>
      </w:r>
      <w:r>
        <w:rPr>
          <w:spacing w:val="-5"/>
        </w:rPr>
        <w:t> </w:t>
      </w:r>
      <w:r>
        <w:rPr/>
        <w:t>Contingent</w:t>
      </w:r>
      <w:r>
        <w:rPr>
          <w:spacing w:val="-5"/>
        </w:rPr>
        <w:t> </w:t>
      </w:r>
      <w:r>
        <w:rPr/>
        <w:t>Tax</w:t>
      </w:r>
      <w:r>
        <w:rPr>
          <w:spacing w:val="-5"/>
        </w:rPr>
        <w:t> </w:t>
      </w:r>
      <w:r>
        <w:rPr/>
        <w:t>Liability</w:t>
      </w:r>
      <w:r>
        <w:rPr>
          <w:spacing w:val="-5"/>
        </w:rPr>
        <w:t> </w:t>
      </w:r>
      <w:r>
        <w:rPr/>
        <w:t>Reporting.”</w:t>
      </w:r>
      <w:r>
        <w:rPr>
          <w:spacing w:val="-5"/>
        </w:rPr>
        <w:t> </w:t>
      </w:r>
      <w:r>
        <w:rPr>
          <w:i/>
        </w:rPr>
        <w:t>The</w:t>
      </w:r>
      <w:r>
        <w:rPr>
          <w:i/>
        </w:rPr>
        <w:t> Accounting Review </w:t>
      </w:r>
      <w:r>
        <w:rPr/>
        <w:t>77, 317-342.</w:t>
      </w:r>
    </w:p>
    <w:p>
      <w:pPr>
        <w:spacing w:line="247" w:lineRule="auto" w:before="172"/>
        <w:ind w:left="1443" w:right="1416" w:hanging="720"/>
        <w:jc w:val="both"/>
        <w:rPr>
          <w:sz w:val="24"/>
        </w:rPr>
      </w:pPr>
      <w:r>
        <w:rPr>
          <w:sz w:val="24"/>
        </w:rPr>
        <w:t>Gleason,</w:t>
      </w:r>
      <w:r>
        <w:rPr>
          <w:spacing w:val="-6"/>
          <w:sz w:val="24"/>
        </w:rPr>
        <w:t> </w:t>
      </w:r>
      <w:r>
        <w:rPr>
          <w:sz w:val="24"/>
        </w:rPr>
        <w:t>C.,</w:t>
      </w:r>
      <w:r>
        <w:rPr>
          <w:spacing w:val="-6"/>
          <w:sz w:val="24"/>
        </w:rPr>
        <w:t> </w:t>
      </w:r>
      <w:r>
        <w:rPr>
          <w:sz w:val="24"/>
        </w:rPr>
        <w:t>and</w:t>
      </w:r>
      <w:r>
        <w:rPr>
          <w:spacing w:val="-6"/>
          <w:sz w:val="24"/>
        </w:rPr>
        <w:t> </w:t>
      </w:r>
      <w:r>
        <w:rPr>
          <w:sz w:val="24"/>
        </w:rPr>
        <w:t>Mills,</w:t>
      </w:r>
      <w:r>
        <w:rPr>
          <w:spacing w:val="-6"/>
          <w:sz w:val="24"/>
        </w:rPr>
        <w:t> </w:t>
      </w:r>
      <w:r>
        <w:rPr>
          <w:sz w:val="24"/>
        </w:rPr>
        <w:t>L.</w:t>
      </w:r>
      <w:r>
        <w:rPr>
          <w:spacing w:val="-6"/>
          <w:sz w:val="24"/>
        </w:rPr>
        <w:t> </w:t>
      </w:r>
      <w:r>
        <w:rPr>
          <w:sz w:val="24"/>
        </w:rPr>
        <w:t>2011.</w:t>
      </w:r>
      <w:r>
        <w:rPr>
          <w:spacing w:val="-6"/>
          <w:sz w:val="24"/>
        </w:rPr>
        <w:t> </w:t>
      </w:r>
      <w:r>
        <w:rPr>
          <w:sz w:val="24"/>
        </w:rPr>
        <w:t>“Do</w:t>
      </w:r>
      <w:r>
        <w:rPr>
          <w:spacing w:val="-6"/>
          <w:sz w:val="24"/>
        </w:rPr>
        <w:t> </w:t>
      </w:r>
      <w:r>
        <w:rPr>
          <w:sz w:val="24"/>
        </w:rPr>
        <w:t>Auditor-Provided</w:t>
      </w:r>
      <w:r>
        <w:rPr>
          <w:spacing w:val="-6"/>
          <w:sz w:val="24"/>
        </w:rPr>
        <w:t> </w:t>
      </w:r>
      <w:r>
        <w:rPr>
          <w:sz w:val="24"/>
        </w:rPr>
        <w:t>Tax</w:t>
      </w:r>
      <w:r>
        <w:rPr>
          <w:spacing w:val="-6"/>
          <w:sz w:val="24"/>
        </w:rPr>
        <w:t> </w:t>
      </w:r>
      <w:r>
        <w:rPr>
          <w:sz w:val="24"/>
        </w:rPr>
        <w:t>Services</w:t>
      </w:r>
      <w:r>
        <w:rPr>
          <w:spacing w:val="-6"/>
          <w:sz w:val="24"/>
        </w:rPr>
        <w:t> </w:t>
      </w:r>
      <w:r>
        <w:rPr>
          <w:sz w:val="24"/>
        </w:rPr>
        <w:t>Improve</w:t>
      </w:r>
      <w:r>
        <w:rPr>
          <w:spacing w:val="-6"/>
          <w:sz w:val="24"/>
        </w:rPr>
        <w:t> </w:t>
      </w:r>
      <w:r>
        <w:rPr>
          <w:sz w:val="24"/>
        </w:rPr>
        <w:t>the</w:t>
      </w:r>
      <w:r>
        <w:rPr>
          <w:spacing w:val="-6"/>
          <w:sz w:val="24"/>
        </w:rPr>
        <w:t> </w:t>
      </w:r>
      <w:r>
        <w:rPr>
          <w:sz w:val="24"/>
        </w:rPr>
        <w:t>Estimate</w:t>
      </w:r>
      <w:r>
        <w:rPr>
          <w:spacing w:val="-6"/>
          <w:sz w:val="24"/>
        </w:rPr>
        <w:t> </w:t>
      </w:r>
      <w:r>
        <w:rPr>
          <w:sz w:val="24"/>
        </w:rPr>
        <w:t>of</w:t>
      </w:r>
      <w:r>
        <w:rPr>
          <w:spacing w:val="-6"/>
          <w:sz w:val="24"/>
        </w:rPr>
        <w:t> </w:t>
      </w:r>
      <w:r>
        <w:rPr>
          <w:sz w:val="24"/>
        </w:rPr>
        <w:t>Tax Reserves? </w:t>
      </w:r>
      <w:r>
        <w:rPr>
          <w:i/>
          <w:sz w:val="24"/>
        </w:rPr>
        <w:t>Contemporary Accounting Research </w:t>
      </w:r>
      <w:r>
        <w:rPr>
          <w:sz w:val="24"/>
        </w:rPr>
        <w:t>28, 1484-1509.</w:t>
      </w:r>
    </w:p>
    <w:p>
      <w:pPr>
        <w:spacing w:after="0" w:line="247" w:lineRule="auto"/>
        <w:jc w:val="both"/>
        <w:rPr>
          <w:sz w:val="24"/>
        </w:rPr>
        <w:sectPr>
          <w:pgSz w:w="12240" w:h="15840"/>
          <w:pgMar w:header="0" w:footer="707" w:top="620" w:bottom="960" w:left="720" w:right="0"/>
        </w:sectPr>
      </w:pPr>
    </w:p>
    <w:p>
      <w:pPr>
        <w:pStyle w:val="BodyText"/>
        <w:spacing w:before="60"/>
        <w:ind w:left="723"/>
      </w:pPr>
      <w:r>
        <w:rPr/>
        <w:t>Guenther,</w:t>
      </w:r>
      <w:r>
        <w:rPr>
          <w:spacing w:val="-6"/>
        </w:rPr>
        <w:t> </w:t>
      </w:r>
      <w:r>
        <w:rPr/>
        <w:t>D.,</w:t>
      </w:r>
      <w:r>
        <w:rPr>
          <w:spacing w:val="-4"/>
        </w:rPr>
        <w:t> </w:t>
      </w:r>
      <w:r>
        <w:rPr/>
        <w:t>Matsunaga,</w:t>
      </w:r>
      <w:r>
        <w:rPr>
          <w:spacing w:val="-4"/>
        </w:rPr>
        <w:t> </w:t>
      </w:r>
      <w:r>
        <w:rPr/>
        <w:t>S.,</w:t>
      </w:r>
      <w:r>
        <w:rPr>
          <w:spacing w:val="-4"/>
        </w:rPr>
        <w:t> </w:t>
      </w:r>
      <w:r>
        <w:rPr/>
        <w:t>and</w:t>
      </w:r>
      <w:r>
        <w:rPr>
          <w:spacing w:val="-4"/>
        </w:rPr>
        <w:t> </w:t>
      </w:r>
      <w:r>
        <w:rPr/>
        <w:t>Williams,</w:t>
      </w:r>
      <w:r>
        <w:rPr>
          <w:spacing w:val="-4"/>
        </w:rPr>
        <w:t> </w:t>
      </w:r>
      <w:r>
        <w:rPr/>
        <w:t>B.,</w:t>
      </w:r>
      <w:r>
        <w:rPr>
          <w:spacing w:val="-4"/>
        </w:rPr>
        <w:t> </w:t>
      </w:r>
      <w:r>
        <w:rPr/>
        <w:t>2017.</w:t>
      </w:r>
      <w:r>
        <w:rPr>
          <w:spacing w:val="-4"/>
        </w:rPr>
        <w:t> </w:t>
      </w:r>
      <w:r>
        <w:rPr/>
        <w:t>“Is</w:t>
      </w:r>
      <w:r>
        <w:rPr>
          <w:spacing w:val="-4"/>
        </w:rPr>
        <w:t> </w:t>
      </w:r>
      <w:r>
        <w:rPr/>
        <w:t>Tax</w:t>
      </w:r>
      <w:r>
        <w:rPr>
          <w:spacing w:val="-4"/>
        </w:rPr>
        <w:t> </w:t>
      </w:r>
      <w:r>
        <w:rPr/>
        <w:t>Avoidance</w:t>
      </w:r>
      <w:r>
        <w:rPr>
          <w:spacing w:val="-4"/>
        </w:rPr>
        <w:t> </w:t>
      </w:r>
      <w:r>
        <w:rPr/>
        <w:t>Related</w:t>
      </w:r>
      <w:r>
        <w:rPr>
          <w:spacing w:val="-4"/>
        </w:rPr>
        <w:t> </w:t>
      </w:r>
      <w:r>
        <w:rPr/>
        <w:t>to</w:t>
      </w:r>
      <w:r>
        <w:rPr>
          <w:spacing w:val="-4"/>
        </w:rPr>
        <w:t> </w:t>
      </w:r>
      <w:r>
        <w:rPr/>
        <w:t>Firm</w:t>
      </w:r>
      <w:r>
        <w:rPr>
          <w:spacing w:val="-3"/>
        </w:rPr>
        <w:t> </w:t>
      </w:r>
      <w:r>
        <w:rPr>
          <w:spacing w:val="-2"/>
        </w:rPr>
        <w:t>Risk?”</w:t>
      </w:r>
    </w:p>
    <w:p>
      <w:pPr>
        <w:spacing w:before="10"/>
        <w:ind w:left="1458" w:right="0" w:firstLine="0"/>
        <w:jc w:val="left"/>
        <w:rPr>
          <w:sz w:val="24"/>
        </w:rPr>
      </w:pPr>
      <w:r>
        <w:rPr>
          <w:i/>
          <w:sz w:val="24"/>
        </w:rPr>
        <w:t>The</w:t>
      </w:r>
      <w:r>
        <w:rPr>
          <w:i/>
          <w:spacing w:val="-3"/>
          <w:sz w:val="24"/>
        </w:rPr>
        <w:t> </w:t>
      </w:r>
      <w:r>
        <w:rPr>
          <w:i/>
          <w:sz w:val="24"/>
        </w:rPr>
        <w:t>Accounting</w:t>
      </w:r>
      <w:r>
        <w:rPr>
          <w:i/>
          <w:spacing w:val="-2"/>
          <w:sz w:val="24"/>
        </w:rPr>
        <w:t> </w:t>
      </w:r>
      <w:r>
        <w:rPr>
          <w:i/>
          <w:sz w:val="24"/>
        </w:rPr>
        <w:t>Revi</w:t>
      </w:r>
      <w:r>
        <w:rPr>
          <w:sz w:val="24"/>
        </w:rPr>
        <w:t>ew</w:t>
      </w:r>
      <w:r>
        <w:rPr>
          <w:spacing w:val="-2"/>
          <w:sz w:val="24"/>
        </w:rPr>
        <w:t> </w:t>
      </w:r>
      <w:r>
        <w:rPr>
          <w:sz w:val="24"/>
        </w:rPr>
        <w:t>92,</w:t>
      </w:r>
      <w:r>
        <w:rPr>
          <w:spacing w:val="-2"/>
          <w:sz w:val="24"/>
        </w:rPr>
        <w:t> </w:t>
      </w:r>
      <w:r>
        <w:rPr>
          <w:sz w:val="24"/>
        </w:rPr>
        <w:t>115-</w:t>
      </w:r>
      <w:r>
        <w:rPr>
          <w:spacing w:val="-4"/>
          <w:sz w:val="24"/>
        </w:rPr>
        <w:t>136.</w:t>
      </w:r>
    </w:p>
    <w:p>
      <w:pPr>
        <w:pStyle w:val="BodyText"/>
        <w:spacing w:before="177"/>
        <w:ind w:left="723"/>
      </w:pPr>
      <w:r>
        <w:rPr/>
        <w:t>Guenther,</w:t>
      </w:r>
      <w:r>
        <w:rPr>
          <w:spacing w:val="-7"/>
        </w:rPr>
        <w:t> </w:t>
      </w:r>
      <w:r>
        <w:rPr/>
        <w:t>D.,</w:t>
      </w:r>
      <w:r>
        <w:rPr>
          <w:spacing w:val="-5"/>
        </w:rPr>
        <w:t> </w:t>
      </w:r>
      <w:r>
        <w:rPr/>
        <w:t>Wilson,</w:t>
      </w:r>
      <w:r>
        <w:rPr>
          <w:spacing w:val="-5"/>
        </w:rPr>
        <w:t> </w:t>
      </w:r>
      <w:r>
        <w:rPr/>
        <w:t>R.,</w:t>
      </w:r>
      <w:r>
        <w:rPr>
          <w:spacing w:val="-5"/>
        </w:rPr>
        <w:t> </w:t>
      </w:r>
      <w:r>
        <w:rPr/>
        <w:t>and</w:t>
      </w:r>
      <w:r>
        <w:rPr>
          <w:spacing w:val="-5"/>
        </w:rPr>
        <w:t> </w:t>
      </w:r>
      <w:r>
        <w:rPr/>
        <w:t>Wu,</w:t>
      </w:r>
      <w:r>
        <w:rPr>
          <w:spacing w:val="-5"/>
        </w:rPr>
        <w:t> </w:t>
      </w:r>
      <w:r>
        <w:rPr/>
        <w:t>K.,</w:t>
      </w:r>
      <w:r>
        <w:rPr>
          <w:spacing w:val="-5"/>
        </w:rPr>
        <w:t> </w:t>
      </w:r>
      <w:r>
        <w:rPr/>
        <w:t>2019.</w:t>
      </w:r>
      <w:r>
        <w:rPr>
          <w:spacing w:val="-5"/>
        </w:rPr>
        <w:t> </w:t>
      </w:r>
      <w:r>
        <w:rPr/>
        <w:t>“Tax</w:t>
      </w:r>
      <w:r>
        <w:rPr>
          <w:spacing w:val="-5"/>
        </w:rPr>
        <w:t> </w:t>
      </w:r>
      <w:r>
        <w:rPr/>
        <w:t>Uncertainty</w:t>
      </w:r>
      <w:r>
        <w:rPr>
          <w:spacing w:val="-5"/>
        </w:rPr>
        <w:t> </w:t>
      </w:r>
      <w:r>
        <w:rPr/>
        <w:t>and</w:t>
      </w:r>
      <w:r>
        <w:rPr>
          <w:spacing w:val="-5"/>
        </w:rPr>
        <w:t> </w:t>
      </w:r>
      <w:r>
        <w:rPr/>
        <w:t>Incremental</w:t>
      </w:r>
      <w:r>
        <w:rPr>
          <w:spacing w:val="-5"/>
        </w:rPr>
        <w:t> </w:t>
      </w:r>
      <w:r>
        <w:rPr/>
        <w:t>Tax</w:t>
      </w:r>
      <w:r>
        <w:rPr>
          <w:spacing w:val="-4"/>
        </w:rPr>
        <w:t> </w:t>
      </w:r>
      <w:r>
        <w:rPr>
          <w:spacing w:val="-2"/>
        </w:rPr>
        <w:t>Avoidance.”</w:t>
      </w:r>
    </w:p>
    <w:p>
      <w:pPr>
        <w:spacing w:before="11"/>
        <w:ind w:left="1458" w:right="0" w:firstLine="0"/>
        <w:jc w:val="left"/>
        <w:rPr>
          <w:sz w:val="24"/>
        </w:rPr>
      </w:pPr>
      <w:r>
        <w:rPr>
          <w:i/>
          <w:sz w:val="24"/>
        </w:rPr>
        <w:t>The Accounting Review </w:t>
      </w:r>
      <w:r>
        <w:rPr>
          <w:sz w:val="24"/>
        </w:rPr>
        <w:t>94, 229-</w:t>
      </w:r>
      <w:r>
        <w:rPr>
          <w:spacing w:val="-4"/>
          <w:sz w:val="24"/>
        </w:rPr>
        <w:t>247.</w:t>
      </w:r>
    </w:p>
    <w:p>
      <w:pPr>
        <w:pStyle w:val="BodyText"/>
        <w:spacing w:line="247" w:lineRule="auto" w:before="177"/>
        <w:ind w:left="1562" w:right="1191" w:hanging="736"/>
      </w:pPr>
      <w:r>
        <w:rPr/>
        <w:t>Hanlon,</w:t>
      </w:r>
      <w:r>
        <w:rPr>
          <w:spacing w:val="-7"/>
        </w:rPr>
        <w:t> </w:t>
      </w:r>
      <w:r>
        <w:rPr/>
        <w:t>M.,</w:t>
      </w:r>
      <w:r>
        <w:rPr>
          <w:spacing w:val="-7"/>
        </w:rPr>
        <w:t> </w:t>
      </w:r>
      <w:r>
        <w:rPr/>
        <w:t>Maydew,</w:t>
      </w:r>
      <w:r>
        <w:rPr>
          <w:spacing w:val="-7"/>
        </w:rPr>
        <w:t> </w:t>
      </w:r>
      <w:r>
        <w:rPr/>
        <w:t>E.,</w:t>
      </w:r>
      <w:r>
        <w:rPr>
          <w:spacing w:val="-7"/>
        </w:rPr>
        <w:t> </w:t>
      </w:r>
      <w:r>
        <w:rPr/>
        <w:t>and</w:t>
      </w:r>
      <w:r>
        <w:rPr>
          <w:spacing w:val="-7"/>
        </w:rPr>
        <w:t> </w:t>
      </w:r>
      <w:r>
        <w:rPr/>
        <w:t>Saavedra,</w:t>
      </w:r>
      <w:r>
        <w:rPr>
          <w:spacing w:val="-7"/>
        </w:rPr>
        <w:t> </w:t>
      </w:r>
      <w:r>
        <w:rPr/>
        <w:t>D.,</w:t>
      </w:r>
      <w:r>
        <w:rPr>
          <w:spacing w:val="-7"/>
        </w:rPr>
        <w:t> </w:t>
      </w:r>
      <w:r>
        <w:rPr/>
        <w:t>2017.</w:t>
      </w:r>
      <w:r>
        <w:rPr>
          <w:spacing w:val="-7"/>
        </w:rPr>
        <w:t> </w:t>
      </w:r>
      <w:r>
        <w:rPr/>
        <w:t>“The</w:t>
      </w:r>
      <w:r>
        <w:rPr>
          <w:spacing w:val="-7"/>
        </w:rPr>
        <w:t> </w:t>
      </w:r>
      <w:r>
        <w:rPr/>
        <w:t>Taxman</w:t>
      </w:r>
      <w:r>
        <w:rPr>
          <w:spacing w:val="-7"/>
        </w:rPr>
        <w:t> </w:t>
      </w:r>
      <w:r>
        <w:rPr/>
        <w:t>Cometh:</w:t>
      </w:r>
      <w:r>
        <w:rPr>
          <w:spacing w:val="-7"/>
        </w:rPr>
        <w:t> </w:t>
      </w:r>
      <w:r>
        <w:rPr/>
        <w:t>Does</w:t>
      </w:r>
      <w:r>
        <w:rPr>
          <w:spacing w:val="-7"/>
        </w:rPr>
        <w:t> </w:t>
      </w:r>
      <w:r>
        <w:rPr/>
        <w:t>Tax</w:t>
      </w:r>
      <w:r>
        <w:rPr>
          <w:spacing w:val="-7"/>
        </w:rPr>
        <w:t> </w:t>
      </w:r>
      <w:r>
        <w:rPr/>
        <w:t>Uncertainty Affect Corporate Cash Holdings?” </w:t>
      </w:r>
      <w:r>
        <w:rPr>
          <w:i/>
        </w:rPr>
        <w:t>Review of Accounting Studies </w:t>
      </w:r>
      <w:r>
        <w:rPr/>
        <w:t>22, 1198-1228.</w:t>
      </w:r>
    </w:p>
    <w:p>
      <w:pPr>
        <w:pStyle w:val="BodyText"/>
        <w:spacing w:line="247" w:lineRule="auto" w:before="173"/>
        <w:ind w:left="1443" w:right="1191" w:hanging="720"/>
      </w:pPr>
      <w:r>
        <w:rPr/>
        <w:t>Henry,</w:t>
      </w:r>
      <w:r>
        <w:rPr>
          <w:spacing w:val="-10"/>
        </w:rPr>
        <w:t> </w:t>
      </w:r>
      <w:r>
        <w:rPr/>
        <w:t>E.,</w:t>
      </w:r>
      <w:r>
        <w:rPr>
          <w:spacing w:val="-10"/>
        </w:rPr>
        <w:t> </w:t>
      </w:r>
      <w:r>
        <w:rPr/>
        <w:t>Massel,</w:t>
      </w:r>
      <w:r>
        <w:rPr>
          <w:spacing w:val="-10"/>
        </w:rPr>
        <w:t> </w:t>
      </w:r>
      <w:r>
        <w:rPr/>
        <w:t>N.,</w:t>
      </w:r>
      <w:r>
        <w:rPr>
          <w:spacing w:val="-10"/>
        </w:rPr>
        <w:t> </w:t>
      </w:r>
      <w:r>
        <w:rPr/>
        <w:t>and</w:t>
      </w:r>
      <w:r>
        <w:rPr>
          <w:spacing w:val="-10"/>
        </w:rPr>
        <w:t> </w:t>
      </w:r>
      <w:r>
        <w:rPr/>
        <w:t>Towery,</w:t>
      </w:r>
      <w:r>
        <w:rPr>
          <w:spacing w:val="-10"/>
        </w:rPr>
        <w:t> </w:t>
      </w:r>
      <w:r>
        <w:rPr/>
        <w:t>E.,</w:t>
      </w:r>
      <w:r>
        <w:rPr>
          <w:spacing w:val="-10"/>
        </w:rPr>
        <w:t> </w:t>
      </w:r>
      <w:r>
        <w:rPr/>
        <w:t>2016.</w:t>
      </w:r>
      <w:r>
        <w:rPr>
          <w:spacing w:val="-10"/>
        </w:rPr>
        <w:t> </w:t>
      </w:r>
      <w:r>
        <w:rPr/>
        <w:t>“Increased</w:t>
      </w:r>
      <w:r>
        <w:rPr>
          <w:spacing w:val="-10"/>
        </w:rPr>
        <w:t> </w:t>
      </w:r>
      <w:r>
        <w:rPr/>
        <w:t>Tax</w:t>
      </w:r>
      <w:r>
        <w:rPr>
          <w:spacing w:val="-10"/>
        </w:rPr>
        <w:t> </w:t>
      </w:r>
      <w:r>
        <w:rPr/>
        <w:t>Disclosures</w:t>
      </w:r>
      <w:r>
        <w:rPr>
          <w:spacing w:val="-10"/>
        </w:rPr>
        <w:t> </w:t>
      </w:r>
      <w:r>
        <w:rPr/>
        <w:t>and</w:t>
      </w:r>
      <w:r>
        <w:rPr>
          <w:spacing w:val="-10"/>
        </w:rPr>
        <w:t> </w:t>
      </w:r>
      <w:r>
        <w:rPr/>
        <w:t>Corporate</w:t>
      </w:r>
      <w:r>
        <w:rPr>
          <w:spacing w:val="-10"/>
        </w:rPr>
        <w:t> </w:t>
      </w:r>
      <w:r>
        <w:rPr/>
        <w:t>Tax Avoidance.” </w:t>
      </w:r>
      <w:r>
        <w:rPr>
          <w:i/>
        </w:rPr>
        <w:t>National Tax Journal </w:t>
      </w:r>
      <w:r>
        <w:rPr/>
        <w:t>69, 809-830.</w:t>
      </w:r>
    </w:p>
    <w:p>
      <w:pPr>
        <w:pStyle w:val="BodyText"/>
        <w:spacing w:line="247" w:lineRule="auto" w:before="172"/>
        <w:ind w:left="1097" w:right="1752"/>
        <w:jc w:val="center"/>
      </w:pPr>
      <w:r>
        <w:rPr/>
        <w:t>Hutchens,</w:t>
      </w:r>
      <w:r>
        <w:rPr>
          <w:spacing w:val="-4"/>
        </w:rPr>
        <w:t> </w:t>
      </w:r>
      <w:r>
        <w:rPr/>
        <w:t>M.,</w:t>
      </w:r>
      <w:r>
        <w:rPr>
          <w:spacing w:val="-4"/>
        </w:rPr>
        <w:t> </w:t>
      </w:r>
      <w:r>
        <w:rPr/>
        <w:t>and</w:t>
      </w:r>
      <w:r>
        <w:rPr>
          <w:spacing w:val="-4"/>
        </w:rPr>
        <w:t> </w:t>
      </w:r>
      <w:r>
        <w:rPr/>
        <w:t>Rego,</w:t>
      </w:r>
      <w:r>
        <w:rPr>
          <w:spacing w:val="-4"/>
        </w:rPr>
        <w:t> </w:t>
      </w:r>
      <w:r>
        <w:rPr/>
        <w:t>S.,</w:t>
      </w:r>
      <w:r>
        <w:rPr>
          <w:spacing w:val="-4"/>
        </w:rPr>
        <w:t> </w:t>
      </w:r>
      <w:r>
        <w:rPr/>
        <w:t>2015.</w:t>
      </w:r>
      <w:r>
        <w:rPr>
          <w:spacing w:val="-4"/>
        </w:rPr>
        <w:t> </w:t>
      </w:r>
      <w:r>
        <w:rPr/>
        <w:t>“Does</w:t>
      </w:r>
      <w:r>
        <w:rPr>
          <w:spacing w:val="-4"/>
        </w:rPr>
        <w:t> </w:t>
      </w:r>
      <w:r>
        <w:rPr/>
        <w:t>Greater</w:t>
      </w:r>
      <w:r>
        <w:rPr>
          <w:spacing w:val="-4"/>
        </w:rPr>
        <w:t> </w:t>
      </w:r>
      <w:r>
        <w:rPr/>
        <w:t>Tax</w:t>
      </w:r>
      <w:r>
        <w:rPr>
          <w:spacing w:val="-4"/>
        </w:rPr>
        <w:t> </w:t>
      </w:r>
      <w:r>
        <w:rPr/>
        <w:t>Risk</w:t>
      </w:r>
      <w:r>
        <w:rPr>
          <w:spacing w:val="-4"/>
        </w:rPr>
        <w:t> </w:t>
      </w:r>
      <w:r>
        <w:rPr/>
        <w:t>Lead</w:t>
      </w:r>
      <w:r>
        <w:rPr>
          <w:spacing w:val="-4"/>
        </w:rPr>
        <w:t> </w:t>
      </w:r>
      <w:r>
        <w:rPr/>
        <w:t>to</w:t>
      </w:r>
      <w:r>
        <w:rPr>
          <w:spacing w:val="-4"/>
        </w:rPr>
        <w:t> </w:t>
      </w:r>
      <w:r>
        <w:rPr/>
        <w:t>Increased</w:t>
      </w:r>
      <w:r>
        <w:rPr>
          <w:spacing w:val="-4"/>
        </w:rPr>
        <w:t> </w:t>
      </w:r>
      <w:r>
        <w:rPr/>
        <w:t>Firm</w:t>
      </w:r>
      <w:r>
        <w:rPr>
          <w:spacing w:val="-4"/>
        </w:rPr>
        <w:t> </w:t>
      </w:r>
      <w:r>
        <w:rPr/>
        <w:t>Risk?” Working Paper. University of Illinois at Urbana–Champaign and Indiana University.</w:t>
      </w:r>
    </w:p>
    <w:p>
      <w:pPr>
        <w:pStyle w:val="BodyText"/>
        <w:spacing w:line="247" w:lineRule="auto" w:before="172"/>
        <w:ind w:left="1443" w:right="1379" w:hanging="720"/>
        <w:jc w:val="both"/>
      </w:pPr>
      <w:r>
        <w:rPr/>
        <w:t>Jiménez-Angueira, C.E., Nwaeze, E., and Park,</w:t>
      </w:r>
      <w:r>
        <w:rPr>
          <w:spacing w:val="-4"/>
        </w:rPr>
        <w:t> </w:t>
      </w:r>
      <w:r>
        <w:rPr/>
        <w:t>S.J.,</w:t>
      </w:r>
      <w:r>
        <w:rPr>
          <w:spacing w:val="-4"/>
        </w:rPr>
        <w:t> </w:t>
      </w:r>
      <w:r>
        <w:rPr/>
        <w:t>2021.</w:t>
      </w:r>
      <w:r>
        <w:rPr>
          <w:spacing w:val="-4"/>
        </w:rPr>
        <w:t> </w:t>
      </w:r>
      <w:r>
        <w:rPr/>
        <w:t>“The</w:t>
      </w:r>
      <w:r>
        <w:rPr>
          <w:spacing w:val="-4"/>
        </w:rPr>
        <w:t> </w:t>
      </w:r>
      <w:r>
        <w:rPr/>
        <w:t>Effect</w:t>
      </w:r>
      <w:r>
        <w:rPr>
          <w:spacing w:val="-4"/>
        </w:rPr>
        <w:t> </w:t>
      </w:r>
      <w:r>
        <w:rPr/>
        <w:t>of</w:t>
      </w:r>
      <w:r>
        <w:rPr>
          <w:spacing w:val="-4"/>
        </w:rPr>
        <w:t> </w:t>
      </w:r>
      <w:r>
        <w:rPr/>
        <w:t>Conservative</w:t>
      </w:r>
      <w:r>
        <w:rPr>
          <w:spacing w:val="-4"/>
        </w:rPr>
        <w:t> </w:t>
      </w:r>
      <w:r>
        <w:rPr/>
        <w:t>Financial Reporting and Tax Aggressiveness on the Market Valuation of Unrecognized Tax Benefits.” </w:t>
      </w:r>
      <w:r>
        <w:rPr>
          <w:i/>
        </w:rPr>
        <w:t>Asian Review of Accounting </w:t>
      </w:r>
      <w:r>
        <w:rPr/>
        <w:t>29, 150-172.</w:t>
      </w:r>
    </w:p>
    <w:p>
      <w:pPr>
        <w:pStyle w:val="BodyText"/>
        <w:spacing w:line="247" w:lineRule="auto" w:before="172"/>
        <w:ind w:left="1443" w:right="1407" w:hanging="720"/>
        <w:jc w:val="both"/>
      </w:pPr>
      <w:r>
        <w:rPr/>
        <w:t>Kim,</w:t>
      </w:r>
      <w:r>
        <w:rPr>
          <w:spacing w:val="-11"/>
        </w:rPr>
        <w:t> </w:t>
      </w:r>
      <w:r>
        <w:rPr/>
        <w:t>J.M.,</w:t>
      </w:r>
      <w:r>
        <w:rPr>
          <w:spacing w:val="-11"/>
        </w:rPr>
        <w:t> </w:t>
      </w:r>
      <w:r>
        <w:rPr/>
        <w:t>Taylor,</w:t>
      </w:r>
      <w:r>
        <w:rPr>
          <w:spacing w:val="-11"/>
        </w:rPr>
        <w:t> </w:t>
      </w:r>
      <w:r>
        <w:rPr/>
        <w:t>D.,</w:t>
      </w:r>
      <w:r>
        <w:rPr>
          <w:spacing w:val="-11"/>
        </w:rPr>
        <w:t> </w:t>
      </w:r>
      <w:r>
        <w:rPr/>
        <w:t>Verrecchia,</w:t>
      </w:r>
      <w:r>
        <w:rPr>
          <w:spacing w:val="-11"/>
        </w:rPr>
        <w:t> </w:t>
      </w:r>
      <w:r>
        <w:rPr/>
        <w:t>R.,</w:t>
      </w:r>
      <w:r>
        <w:rPr>
          <w:spacing w:val="-11"/>
        </w:rPr>
        <w:t> </w:t>
      </w:r>
      <w:r>
        <w:rPr/>
        <w:t>2021.</w:t>
      </w:r>
      <w:r>
        <w:rPr>
          <w:spacing w:val="-11"/>
        </w:rPr>
        <w:t> </w:t>
      </w:r>
      <w:r>
        <w:rPr/>
        <w:t>“Voluntary</w:t>
      </w:r>
      <w:r>
        <w:rPr>
          <w:spacing w:val="-11"/>
        </w:rPr>
        <w:t> </w:t>
      </w:r>
      <w:r>
        <w:rPr/>
        <w:t>Disclosure</w:t>
      </w:r>
      <w:r>
        <w:rPr>
          <w:spacing w:val="-11"/>
        </w:rPr>
        <w:t> </w:t>
      </w:r>
      <w:r>
        <w:rPr/>
        <w:t>When</w:t>
      </w:r>
      <w:r>
        <w:rPr>
          <w:spacing w:val="-11"/>
        </w:rPr>
        <w:t> </w:t>
      </w:r>
      <w:r>
        <w:rPr/>
        <w:t>Private</w:t>
      </w:r>
      <w:r>
        <w:rPr>
          <w:spacing w:val="-11"/>
        </w:rPr>
        <w:t> </w:t>
      </w:r>
      <w:r>
        <w:rPr/>
        <w:t>Information</w:t>
      </w:r>
      <w:r>
        <w:rPr>
          <w:spacing w:val="-11"/>
        </w:rPr>
        <w:t> </w:t>
      </w:r>
      <w:r>
        <w:rPr/>
        <w:t>and Disclosure Costs Are Jointly Determined.” </w:t>
      </w:r>
      <w:r>
        <w:rPr>
          <w:i/>
        </w:rPr>
        <w:t>Review of Accounting Studies, </w:t>
      </w:r>
      <w:r>
        <w:rPr/>
        <w:t>Forthcoming.</w:t>
      </w:r>
    </w:p>
    <w:p>
      <w:pPr>
        <w:pStyle w:val="BodyText"/>
        <w:spacing w:line="247" w:lineRule="auto" w:before="172"/>
        <w:ind w:left="1443" w:right="1379" w:hanging="720"/>
        <w:jc w:val="both"/>
      </w:pPr>
      <w:r>
        <w:rPr/>
        <w:t>Antinozzi, H.S., Kunz, P., and Neuman, S., 2024. “Decoding Unrecognized Tax Benefits: </w:t>
      </w:r>
      <w:r>
        <w:rPr/>
        <w:t>An Analysis of Critical Audit Matter Reports.” Working Paper. University of Memphis and University of Missouri.</w:t>
      </w:r>
    </w:p>
    <w:p>
      <w:pPr>
        <w:spacing w:line="247" w:lineRule="auto" w:before="173"/>
        <w:ind w:left="997" w:right="1651" w:firstLine="0"/>
        <w:jc w:val="center"/>
        <w:rPr>
          <w:sz w:val="24"/>
        </w:rPr>
      </w:pPr>
      <w:r>
        <w:rPr>
          <w:sz w:val="24"/>
        </w:rPr>
        <w:t>Lind,</w:t>
      </w:r>
      <w:r>
        <w:rPr>
          <w:spacing w:val="-5"/>
          <w:sz w:val="24"/>
        </w:rPr>
        <w:t> </w:t>
      </w:r>
      <w:r>
        <w:rPr>
          <w:sz w:val="24"/>
        </w:rPr>
        <w:t>J.,</w:t>
      </w:r>
      <w:r>
        <w:rPr>
          <w:spacing w:val="-5"/>
          <w:sz w:val="24"/>
        </w:rPr>
        <w:t> </w:t>
      </w:r>
      <w:r>
        <w:rPr>
          <w:sz w:val="24"/>
        </w:rPr>
        <w:t>and</w:t>
      </w:r>
      <w:r>
        <w:rPr>
          <w:spacing w:val="-5"/>
          <w:sz w:val="24"/>
        </w:rPr>
        <w:t> </w:t>
      </w:r>
      <w:r>
        <w:rPr>
          <w:sz w:val="24"/>
        </w:rPr>
        <w:t>Mehlum,</w:t>
      </w:r>
      <w:r>
        <w:rPr>
          <w:spacing w:val="-5"/>
          <w:sz w:val="24"/>
        </w:rPr>
        <w:t> </w:t>
      </w:r>
      <w:r>
        <w:rPr>
          <w:sz w:val="24"/>
        </w:rPr>
        <w:t>H.,</w:t>
      </w:r>
      <w:r>
        <w:rPr>
          <w:spacing w:val="-5"/>
          <w:sz w:val="24"/>
        </w:rPr>
        <w:t> </w:t>
      </w:r>
      <w:r>
        <w:rPr>
          <w:sz w:val="24"/>
        </w:rPr>
        <w:t>2010.</w:t>
      </w:r>
      <w:r>
        <w:rPr>
          <w:spacing w:val="-5"/>
          <w:sz w:val="24"/>
        </w:rPr>
        <w:t> </w:t>
      </w:r>
      <w:r>
        <w:rPr>
          <w:sz w:val="24"/>
        </w:rPr>
        <w:t>“With</w:t>
      </w:r>
      <w:r>
        <w:rPr>
          <w:spacing w:val="-5"/>
          <w:sz w:val="24"/>
        </w:rPr>
        <w:t> </w:t>
      </w:r>
      <w:r>
        <w:rPr>
          <w:sz w:val="24"/>
        </w:rPr>
        <w:t>or</w:t>
      </w:r>
      <w:r>
        <w:rPr>
          <w:spacing w:val="-5"/>
          <w:sz w:val="24"/>
        </w:rPr>
        <w:t> </w:t>
      </w:r>
      <w:r>
        <w:rPr>
          <w:sz w:val="24"/>
        </w:rPr>
        <w:t>Without</w:t>
      </w:r>
      <w:r>
        <w:rPr>
          <w:spacing w:val="-5"/>
          <w:sz w:val="24"/>
        </w:rPr>
        <w:t> </w:t>
      </w:r>
      <w:r>
        <w:rPr>
          <w:sz w:val="24"/>
        </w:rPr>
        <w:t>U?</w:t>
      </w:r>
      <w:r>
        <w:rPr>
          <w:spacing w:val="-5"/>
          <w:sz w:val="24"/>
        </w:rPr>
        <w:t> </w:t>
      </w:r>
      <w:r>
        <w:rPr>
          <w:sz w:val="24"/>
        </w:rPr>
        <w:t>The</w:t>
      </w:r>
      <w:r>
        <w:rPr>
          <w:spacing w:val="-5"/>
          <w:sz w:val="24"/>
        </w:rPr>
        <w:t> </w:t>
      </w:r>
      <w:r>
        <w:rPr>
          <w:sz w:val="24"/>
        </w:rPr>
        <w:t>Appropriate</w:t>
      </w:r>
      <w:r>
        <w:rPr>
          <w:spacing w:val="-5"/>
          <w:sz w:val="24"/>
        </w:rPr>
        <w:t> </w:t>
      </w:r>
      <w:r>
        <w:rPr>
          <w:sz w:val="24"/>
        </w:rPr>
        <w:t>Test</w:t>
      </w:r>
      <w:r>
        <w:rPr>
          <w:spacing w:val="-5"/>
          <w:sz w:val="24"/>
        </w:rPr>
        <w:t> </w:t>
      </w:r>
      <w:r>
        <w:rPr>
          <w:sz w:val="24"/>
        </w:rPr>
        <w:t>For</w:t>
      </w:r>
      <w:r>
        <w:rPr>
          <w:spacing w:val="-5"/>
          <w:sz w:val="24"/>
        </w:rPr>
        <w:t> </w:t>
      </w:r>
      <w:r>
        <w:rPr>
          <w:sz w:val="24"/>
        </w:rPr>
        <w:t>A</w:t>
      </w:r>
      <w:r>
        <w:rPr>
          <w:spacing w:val="-5"/>
          <w:sz w:val="24"/>
        </w:rPr>
        <w:t> </w:t>
      </w:r>
      <w:r>
        <w:rPr>
          <w:sz w:val="24"/>
        </w:rPr>
        <w:t>U-</w:t>
      </w:r>
      <w:r>
        <w:rPr>
          <w:sz w:val="24"/>
        </w:rPr>
        <w:t>shaped Relationship. </w:t>
      </w:r>
      <w:r>
        <w:rPr>
          <w:i/>
          <w:sz w:val="24"/>
        </w:rPr>
        <w:t>Oxford Bulletin of Economics and Statistics </w:t>
      </w:r>
      <w:r>
        <w:rPr>
          <w:sz w:val="24"/>
        </w:rPr>
        <w:t>72, 109-118.</w:t>
      </w:r>
    </w:p>
    <w:p>
      <w:pPr>
        <w:spacing w:line="249" w:lineRule="auto" w:before="170"/>
        <w:ind w:left="1428" w:right="1191" w:hanging="705"/>
        <w:jc w:val="left"/>
        <w:rPr>
          <w:sz w:val="24"/>
        </w:rPr>
      </w:pPr>
      <w:r>
        <w:rPr>
          <w:sz w:val="24"/>
        </w:rPr>
        <w:t>Lisowsky,</w:t>
      </w:r>
      <w:r>
        <w:rPr>
          <w:spacing w:val="-9"/>
          <w:sz w:val="24"/>
        </w:rPr>
        <w:t> </w:t>
      </w:r>
      <w:r>
        <w:rPr>
          <w:sz w:val="24"/>
        </w:rPr>
        <w:t>P.,</w:t>
      </w:r>
      <w:r>
        <w:rPr>
          <w:spacing w:val="-9"/>
          <w:sz w:val="24"/>
        </w:rPr>
        <w:t> </w:t>
      </w:r>
      <w:r>
        <w:rPr>
          <w:sz w:val="24"/>
        </w:rPr>
        <w:t>2009.</w:t>
      </w:r>
      <w:r>
        <w:rPr>
          <w:spacing w:val="-9"/>
          <w:sz w:val="24"/>
        </w:rPr>
        <w:t> </w:t>
      </w:r>
      <w:r>
        <w:rPr>
          <w:sz w:val="24"/>
        </w:rPr>
        <w:t>“Inferring,</w:t>
      </w:r>
      <w:r>
        <w:rPr>
          <w:spacing w:val="-9"/>
          <w:sz w:val="24"/>
        </w:rPr>
        <w:t> </w:t>
      </w:r>
      <w:r>
        <w:rPr>
          <w:sz w:val="24"/>
        </w:rPr>
        <w:t>U.S.</w:t>
      </w:r>
      <w:r>
        <w:rPr>
          <w:spacing w:val="-9"/>
          <w:sz w:val="24"/>
        </w:rPr>
        <w:t> </w:t>
      </w:r>
      <w:r>
        <w:rPr>
          <w:sz w:val="24"/>
        </w:rPr>
        <w:t>Tax</w:t>
      </w:r>
      <w:r>
        <w:rPr>
          <w:spacing w:val="-9"/>
          <w:sz w:val="24"/>
        </w:rPr>
        <w:t> </w:t>
      </w:r>
      <w:r>
        <w:rPr>
          <w:sz w:val="24"/>
        </w:rPr>
        <w:t>Liability</w:t>
      </w:r>
      <w:r>
        <w:rPr>
          <w:spacing w:val="-9"/>
          <w:sz w:val="24"/>
        </w:rPr>
        <w:t> </w:t>
      </w:r>
      <w:r>
        <w:rPr>
          <w:sz w:val="24"/>
        </w:rPr>
        <w:t>from</w:t>
      </w:r>
      <w:r>
        <w:rPr>
          <w:spacing w:val="-9"/>
          <w:sz w:val="24"/>
        </w:rPr>
        <w:t> </w:t>
      </w:r>
      <w:r>
        <w:rPr>
          <w:sz w:val="24"/>
        </w:rPr>
        <w:t>Financial</w:t>
      </w:r>
      <w:r>
        <w:rPr>
          <w:spacing w:val="-9"/>
          <w:sz w:val="24"/>
        </w:rPr>
        <w:t> </w:t>
      </w:r>
      <w:r>
        <w:rPr>
          <w:sz w:val="24"/>
        </w:rPr>
        <w:t>Statement</w:t>
      </w:r>
      <w:r>
        <w:rPr>
          <w:spacing w:val="-9"/>
          <w:sz w:val="24"/>
        </w:rPr>
        <w:t> </w:t>
      </w:r>
      <w:r>
        <w:rPr>
          <w:sz w:val="24"/>
        </w:rPr>
        <w:t>Information.”</w:t>
      </w:r>
      <w:r>
        <w:rPr>
          <w:spacing w:val="-9"/>
          <w:sz w:val="24"/>
        </w:rPr>
        <w:t> </w:t>
      </w:r>
      <w:r>
        <w:rPr>
          <w:i/>
          <w:sz w:val="24"/>
        </w:rPr>
        <w:t>The</w:t>
      </w:r>
      <w:r>
        <w:rPr>
          <w:i/>
          <w:sz w:val="24"/>
        </w:rPr>
        <w:t> Journal of the American Taxation Association </w:t>
      </w:r>
      <w:r>
        <w:rPr>
          <w:sz w:val="24"/>
        </w:rPr>
        <w:t>21, 29-63.</w:t>
      </w:r>
    </w:p>
    <w:p>
      <w:pPr>
        <w:pStyle w:val="BodyText"/>
        <w:spacing w:line="249" w:lineRule="auto" w:before="167"/>
        <w:ind w:left="1443" w:right="1815" w:hanging="720"/>
        <w:jc w:val="both"/>
      </w:pPr>
      <w:r>
        <w:rPr/>
        <w:t>Lisowsky,</w:t>
      </w:r>
      <w:r>
        <w:rPr>
          <w:spacing w:val="-5"/>
        </w:rPr>
        <w:t> </w:t>
      </w:r>
      <w:r>
        <w:rPr/>
        <w:t>P.,</w:t>
      </w:r>
      <w:r>
        <w:rPr>
          <w:spacing w:val="-5"/>
        </w:rPr>
        <w:t> </w:t>
      </w:r>
      <w:r>
        <w:rPr/>
        <w:t>Robinson,</w:t>
      </w:r>
      <w:r>
        <w:rPr>
          <w:spacing w:val="-5"/>
        </w:rPr>
        <w:t> </w:t>
      </w:r>
      <w:r>
        <w:rPr/>
        <w:t>L.,</w:t>
      </w:r>
      <w:r>
        <w:rPr>
          <w:spacing w:val="-5"/>
        </w:rPr>
        <w:t> </w:t>
      </w:r>
      <w:r>
        <w:rPr/>
        <w:t>Schmidt,</w:t>
      </w:r>
      <w:r>
        <w:rPr>
          <w:spacing w:val="-5"/>
        </w:rPr>
        <w:t> </w:t>
      </w:r>
      <w:r>
        <w:rPr/>
        <w:t>A.,</w:t>
      </w:r>
      <w:r>
        <w:rPr>
          <w:spacing w:val="-5"/>
        </w:rPr>
        <w:t> </w:t>
      </w:r>
      <w:r>
        <w:rPr/>
        <w:t>2013.</w:t>
      </w:r>
      <w:r>
        <w:rPr>
          <w:spacing w:val="-5"/>
        </w:rPr>
        <w:t> </w:t>
      </w:r>
      <w:r>
        <w:rPr/>
        <w:t>“Do</w:t>
      </w:r>
      <w:r>
        <w:rPr>
          <w:spacing w:val="-5"/>
        </w:rPr>
        <w:t> </w:t>
      </w:r>
      <w:r>
        <w:rPr/>
        <w:t>Publicly</w:t>
      </w:r>
      <w:r>
        <w:rPr>
          <w:spacing w:val="-5"/>
        </w:rPr>
        <w:t> </w:t>
      </w:r>
      <w:r>
        <w:rPr/>
        <w:t>Disclosed</w:t>
      </w:r>
      <w:r>
        <w:rPr>
          <w:spacing w:val="-5"/>
        </w:rPr>
        <w:t> </w:t>
      </w:r>
      <w:r>
        <w:rPr/>
        <w:t>Tax</w:t>
      </w:r>
      <w:r>
        <w:rPr>
          <w:spacing w:val="-5"/>
        </w:rPr>
        <w:t> </w:t>
      </w:r>
      <w:r>
        <w:rPr/>
        <w:t>Reserves</w:t>
      </w:r>
      <w:r>
        <w:rPr>
          <w:spacing w:val="-5"/>
        </w:rPr>
        <w:t> </w:t>
      </w:r>
      <w:r>
        <w:rPr/>
        <w:t>Tell</w:t>
      </w:r>
      <w:r>
        <w:rPr>
          <w:spacing w:val="-5"/>
        </w:rPr>
        <w:t> </w:t>
      </w:r>
      <w:r>
        <w:rPr/>
        <w:t>Us About</w:t>
      </w:r>
      <w:r>
        <w:rPr>
          <w:spacing w:val="-7"/>
        </w:rPr>
        <w:t> </w:t>
      </w:r>
      <w:r>
        <w:rPr/>
        <w:t>Privately</w:t>
      </w:r>
      <w:r>
        <w:rPr>
          <w:spacing w:val="-7"/>
        </w:rPr>
        <w:t> </w:t>
      </w:r>
      <w:r>
        <w:rPr/>
        <w:t>Disclosed</w:t>
      </w:r>
      <w:r>
        <w:rPr>
          <w:spacing w:val="-7"/>
        </w:rPr>
        <w:t> </w:t>
      </w:r>
      <w:r>
        <w:rPr/>
        <w:t>Tax</w:t>
      </w:r>
      <w:r>
        <w:rPr>
          <w:spacing w:val="-7"/>
        </w:rPr>
        <w:t> </w:t>
      </w:r>
      <w:r>
        <w:rPr/>
        <w:t>Shelter</w:t>
      </w:r>
      <w:r>
        <w:rPr>
          <w:spacing w:val="-7"/>
        </w:rPr>
        <w:t> </w:t>
      </w:r>
      <w:r>
        <w:rPr/>
        <w:t>Activity?”</w:t>
      </w:r>
      <w:r>
        <w:rPr>
          <w:spacing w:val="-7"/>
        </w:rPr>
        <w:t> </w:t>
      </w:r>
      <w:r>
        <w:rPr>
          <w:i/>
        </w:rPr>
        <w:t>Journal</w:t>
      </w:r>
      <w:r>
        <w:rPr>
          <w:i/>
          <w:spacing w:val="-7"/>
        </w:rPr>
        <w:t> </w:t>
      </w:r>
      <w:r>
        <w:rPr>
          <w:i/>
        </w:rPr>
        <w:t>of</w:t>
      </w:r>
      <w:r>
        <w:rPr>
          <w:i/>
          <w:spacing w:val="-7"/>
        </w:rPr>
        <w:t> </w:t>
      </w:r>
      <w:r>
        <w:rPr>
          <w:i/>
        </w:rPr>
        <w:t>Accounting</w:t>
      </w:r>
      <w:r>
        <w:rPr>
          <w:i/>
          <w:spacing w:val="-7"/>
        </w:rPr>
        <w:t> </w:t>
      </w:r>
      <w:r>
        <w:rPr>
          <w:i/>
        </w:rPr>
        <w:t>Research</w:t>
      </w:r>
      <w:r>
        <w:rPr>
          <w:i/>
          <w:spacing w:val="-7"/>
        </w:rPr>
        <w:t> </w:t>
      </w:r>
      <w:r>
        <w:rPr/>
        <w:t>51, 583- 629.</w:t>
      </w:r>
    </w:p>
    <w:p>
      <w:pPr>
        <w:spacing w:line="247" w:lineRule="auto" w:before="164"/>
        <w:ind w:left="1428" w:right="1381" w:hanging="705"/>
        <w:jc w:val="left"/>
        <w:rPr>
          <w:sz w:val="24"/>
        </w:rPr>
      </w:pPr>
      <w:r>
        <w:rPr>
          <w:sz w:val="24"/>
        </w:rPr>
        <w:t>Moore,</w:t>
      </w:r>
      <w:r>
        <w:rPr>
          <w:spacing w:val="-7"/>
          <w:sz w:val="24"/>
        </w:rPr>
        <w:t> </w:t>
      </w:r>
      <w:r>
        <w:rPr>
          <w:sz w:val="24"/>
        </w:rPr>
        <w:t>R.,</w:t>
      </w:r>
      <w:r>
        <w:rPr>
          <w:spacing w:val="-7"/>
          <w:sz w:val="24"/>
        </w:rPr>
        <w:t> </w:t>
      </w:r>
      <w:r>
        <w:rPr>
          <w:sz w:val="24"/>
        </w:rPr>
        <w:t>2021,</w:t>
      </w:r>
      <w:r>
        <w:rPr>
          <w:spacing w:val="-7"/>
          <w:sz w:val="24"/>
        </w:rPr>
        <w:t> </w:t>
      </w:r>
      <w:r>
        <w:rPr>
          <w:sz w:val="24"/>
        </w:rPr>
        <w:t>“The</w:t>
      </w:r>
      <w:r>
        <w:rPr>
          <w:spacing w:val="-7"/>
          <w:sz w:val="24"/>
        </w:rPr>
        <w:t> </w:t>
      </w:r>
      <w:r>
        <w:rPr>
          <w:sz w:val="24"/>
        </w:rPr>
        <w:t>Concave</w:t>
      </w:r>
      <w:r>
        <w:rPr>
          <w:spacing w:val="-7"/>
          <w:sz w:val="24"/>
        </w:rPr>
        <w:t> </w:t>
      </w:r>
      <w:r>
        <w:rPr>
          <w:sz w:val="24"/>
        </w:rPr>
        <w:t>Association</w:t>
      </w:r>
      <w:r>
        <w:rPr>
          <w:spacing w:val="-7"/>
          <w:sz w:val="24"/>
        </w:rPr>
        <w:t> </w:t>
      </w:r>
      <w:r>
        <w:rPr>
          <w:sz w:val="24"/>
        </w:rPr>
        <w:t>Between</w:t>
      </w:r>
      <w:r>
        <w:rPr>
          <w:spacing w:val="-7"/>
          <w:sz w:val="24"/>
        </w:rPr>
        <w:t> </w:t>
      </w:r>
      <w:r>
        <w:rPr>
          <w:sz w:val="24"/>
        </w:rPr>
        <w:t>Tax</w:t>
      </w:r>
      <w:r>
        <w:rPr>
          <w:spacing w:val="-7"/>
          <w:sz w:val="24"/>
        </w:rPr>
        <w:t> </w:t>
      </w:r>
      <w:r>
        <w:rPr>
          <w:sz w:val="24"/>
        </w:rPr>
        <w:t>Reserves</w:t>
      </w:r>
      <w:r>
        <w:rPr>
          <w:spacing w:val="-7"/>
          <w:sz w:val="24"/>
        </w:rPr>
        <w:t> </w:t>
      </w:r>
      <w:r>
        <w:rPr>
          <w:sz w:val="24"/>
        </w:rPr>
        <w:t>and</w:t>
      </w:r>
      <w:r>
        <w:rPr>
          <w:spacing w:val="-7"/>
          <w:sz w:val="24"/>
        </w:rPr>
        <w:t> </w:t>
      </w:r>
      <w:r>
        <w:rPr>
          <w:sz w:val="24"/>
        </w:rPr>
        <w:t>Equity</w:t>
      </w:r>
      <w:r>
        <w:rPr>
          <w:spacing w:val="-7"/>
          <w:sz w:val="24"/>
        </w:rPr>
        <w:t> </w:t>
      </w:r>
      <w:r>
        <w:rPr>
          <w:sz w:val="24"/>
        </w:rPr>
        <w:t>Value.”</w:t>
      </w:r>
      <w:r>
        <w:rPr>
          <w:spacing w:val="-7"/>
          <w:sz w:val="24"/>
        </w:rPr>
        <w:t> </w:t>
      </w:r>
      <w:r>
        <w:rPr>
          <w:i/>
          <w:sz w:val="24"/>
        </w:rPr>
        <w:t>The</w:t>
      </w:r>
      <w:r>
        <w:rPr>
          <w:i/>
          <w:sz w:val="24"/>
        </w:rPr>
        <w:t> Journal of the American Taxation Association </w:t>
      </w:r>
      <w:r>
        <w:rPr>
          <w:sz w:val="24"/>
        </w:rPr>
        <w:t>43, 107-124.</w:t>
      </w:r>
    </w:p>
    <w:p>
      <w:pPr>
        <w:pStyle w:val="BodyText"/>
        <w:spacing w:line="247" w:lineRule="auto" w:before="172"/>
        <w:ind w:left="1566" w:right="1427" w:hanging="794"/>
        <w:jc w:val="both"/>
      </w:pPr>
      <w:r>
        <w:rPr/>
        <w:t>Nesbitt,</w:t>
      </w:r>
      <w:r>
        <w:rPr>
          <w:spacing w:val="-9"/>
        </w:rPr>
        <w:t> </w:t>
      </w:r>
      <w:r>
        <w:rPr/>
        <w:t>W.,</w:t>
      </w:r>
      <w:r>
        <w:rPr>
          <w:spacing w:val="-9"/>
        </w:rPr>
        <w:t> </w:t>
      </w:r>
      <w:r>
        <w:rPr/>
        <w:t>2014.</w:t>
      </w:r>
      <w:r>
        <w:rPr>
          <w:spacing w:val="-9"/>
        </w:rPr>
        <w:t> </w:t>
      </w:r>
      <w:r>
        <w:rPr/>
        <w:t>“Unrecognized</w:t>
      </w:r>
      <w:r>
        <w:rPr>
          <w:spacing w:val="-9"/>
        </w:rPr>
        <w:t> </w:t>
      </w:r>
      <w:r>
        <w:rPr/>
        <w:t>Tax</w:t>
      </w:r>
      <w:r>
        <w:rPr>
          <w:spacing w:val="-9"/>
        </w:rPr>
        <w:t> </w:t>
      </w:r>
      <w:r>
        <w:rPr/>
        <w:t>Benefits:</w:t>
      </w:r>
      <w:r>
        <w:rPr>
          <w:spacing w:val="-9"/>
        </w:rPr>
        <w:t> </w:t>
      </w:r>
      <w:r>
        <w:rPr/>
        <w:t>Disentangling</w:t>
      </w:r>
      <w:r>
        <w:rPr>
          <w:spacing w:val="-9"/>
        </w:rPr>
        <w:t> </w:t>
      </w:r>
      <w:r>
        <w:rPr/>
        <w:t>the</w:t>
      </w:r>
      <w:r>
        <w:rPr>
          <w:spacing w:val="-9"/>
        </w:rPr>
        <w:t> </w:t>
      </w:r>
      <w:r>
        <w:rPr/>
        <w:t>Effects</w:t>
      </w:r>
      <w:r>
        <w:rPr>
          <w:spacing w:val="-9"/>
        </w:rPr>
        <w:t> </w:t>
      </w:r>
      <w:r>
        <w:rPr/>
        <w:t>of</w:t>
      </w:r>
      <w:r>
        <w:rPr>
          <w:spacing w:val="-9"/>
        </w:rPr>
        <w:t> </w:t>
      </w:r>
      <w:r>
        <w:rPr/>
        <w:t>Tax</w:t>
      </w:r>
      <w:r>
        <w:rPr>
          <w:spacing w:val="-9"/>
        </w:rPr>
        <w:t> </w:t>
      </w:r>
      <w:r>
        <w:rPr/>
        <w:t>Aggressiveness and Financial Reporting Discretion.” Working Paper. Michigan State University.</w:t>
      </w:r>
    </w:p>
    <w:p>
      <w:pPr>
        <w:pStyle w:val="BodyText"/>
        <w:spacing w:line="247" w:lineRule="auto" w:before="2"/>
        <w:ind w:left="1443" w:right="1383" w:hanging="720"/>
        <w:jc w:val="both"/>
      </w:pPr>
      <w:r>
        <w:rPr/>
        <w:t>Neuman, S., Omer,</w:t>
      </w:r>
      <w:r>
        <w:rPr>
          <w:spacing w:val="-6"/>
        </w:rPr>
        <w:t> </w:t>
      </w:r>
      <w:r>
        <w:rPr/>
        <w:t>T.,</w:t>
      </w:r>
      <w:r>
        <w:rPr>
          <w:spacing w:val="-6"/>
        </w:rPr>
        <w:t> </w:t>
      </w:r>
      <w:r>
        <w:rPr/>
        <w:t>and</w:t>
      </w:r>
      <w:r>
        <w:rPr>
          <w:spacing w:val="-6"/>
        </w:rPr>
        <w:t> </w:t>
      </w:r>
      <w:r>
        <w:rPr/>
        <w:t>Schmidt,</w:t>
      </w:r>
      <w:r>
        <w:rPr>
          <w:spacing w:val="-6"/>
        </w:rPr>
        <w:t> </w:t>
      </w:r>
      <w:r>
        <w:rPr/>
        <w:t>A.,</w:t>
      </w:r>
      <w:r>
        <w:rPr>
          <w:spacing w:val="-6"/>
        </w:rPr>
        <w:t> </w:t>
      </w:r>
      <w:r>
        <w:rPr/>
        <w:t>2014.</w:t>
      </w:r>
      <w:r>
        <w:rPr>
          <w:spacing w:val="-6"/>
        </w:rPr>
        <w:t> </w:t>
      </w:r>
      <w:r>
        <w:rPr/>
        <w:t>“Examining</w:t>
      </w:r>
      <w:r>
        <w:rPr>
          <w:spacing w:val="-6"/>
        </w:rPr>
        <w:t> </w:t>
      </w:r>
      <w:r>
        <w:rPr/>
        <w:t>the</w:t>
      </w:r>
      <w:r>
        <w:rPr>
          <w:spacing w:val="-6"/>
        </w:rPr>
        <w:t> </w:t>
      </w:r>
      <w:r>
        <w:rPr/>
        <w:t>Association</w:t>
      </w:r>
      <w:r>
        <w:rPr>
          <w:spacing w:val="-6"/>
        </w:rPr>
        <w:t> </w:t>
      </w:r>
      <w:r>
        <w:rPr/>
        <w:t>between</w:t>
      </w:r>
      <w:r>
        <w:rPr>
          <w:spacing w:val="-6"/>
        </w:rPr>
        <w:t> </w:t>
      </w:r>
      <w:r>
        <w:rPr/>
        <w:t>Tax</w:t>
      </w:r>
      <w:r>
        <w:rPr>
          <w:spacing w:val="-6"/>
        </w:rPr>
        <w:t> </w:t>
      </w:r>
      <w:r>
        <w:rPr/>
        <w:t>Risk</w:t>
      </w:r>
      <w:r>
        <w:rPr>
          <w:spacing w:val="-6"/>
        </w:rPr>
        <w:t> </w:t>
      </w:r>
      <w:r>
        <w:rPr/>
        <w:t>and Tax Outcomes.” Working Paper, University of Missouri, University of Nebraska, and North Carolina State University.</w:t>
      </w:r>
    </w:p>
    <w:p>
      <w:pPr>
        <w:spacing w:line="247" w:lineRule="auto" w:before="173"/>
        <w:ind w:left="1323" w:right="1191" w:hanging="383"/>
        <w:jc w:val="left"/>
        <w:rPr>
          <w:sz w:val="24"/>
        </w:rPr>
      </w:pPr>
      <w:r>
        <w:rPr>
          <w:sz w:val="24"/>
        </w:rPr>
        <w:t>Robinson,</w:t>
      </w:r>
      <w:r>
        <w:rPr>
          <w:spacing w:val="-5"/>
          <w:sz w:val="24"/>
        </w:rPr>
        <w:t> </w:t>
      </w:r>
      <w:r>
        <w:rPr>
          <w:sz w:val="24"/>
        </w:rPr>
        <w:t>L.,</w:t>
      </w:r>
      <w:r>
        <w:rPr>
          <w:spacing w:val="-5"/>
          <w:sz w:val="24"/>
        </w:rPr>
        <w:t> </w:t>
      </w:r>
      <w:r>
        <w:rPr>
          <w:sz w:val="24"/>
        </w:rPr>
        <w:t>and</w:t>
      </w:r>
      <w:r>
        <w:rPr>
          <w:spacing w:val="-5"/>
          <w:sz w:val="24"/>
        </w:rPr>
        <w:t> </w:t>
      </w:r>
      <w:r>
        <w:rPr>
          <w:sz w:val="24"/>
        </w:rPr>
        <w:t>Schmidt,</w:t>
      </w:r>
      <w:r>
        <w:rPr>
          <w:spacing w:val="-5"/>
          <w:sz w:val="24"/>
        </w:rPr>
        <w:t> </w:t>
      </w:r>
      <w:r>
        <w:rPr>
          <w:sz w:val="24"/>
        </w:rPr>
        <w:t>A.,</w:t>
      </w:r>
      <w:r>
        <w:rPr>
          <w:spacing w:val="-5"/>
          <w:sz w:val="24"/>
        </w:rPr>
        <w:t> </w:t>
      </w:r>
      <w:r>
        <w:rPr>
          <w:sz w:val="24"/>
        </w:rPr>
        <w:t>2013.</w:t>
      </w:r>
      <w:r>
        <w:rPr>
          <w:spacing w:val="-5"/>
          <w:sz w:val="24"/>
        </w:rPr>
        <w:t> </w:t>
      </w:r>
      <w:r>
        <w:rPr>
          <w:sz w:val="24"/>
        </w:rPr>
        <w:t>“Firm</w:t>
      </w:r>
      <w:r>
        <w:rPr>
          <w:spacing w:val="-5"/>
          <w:sz w:val="24"/>
        </w:rPr>
        <w:t> </w:t>
      </w:r>
      <w:r>
        <w:rPr>
          <w:sz w:val="24"/>
        </w:rPr>
        <w:t>and</w:t>
      </w:r>
      <w:r>
        <w:rPr>
          <w:spacing w:val="-5"/>
          <w:sz w:val="24"/>
        </w:rPr>
        <w:t> </w:t>
      </w:r>
      <w:r>
        <w:rPr>
          <w:sz w:val="24"/>
        </w:rPr>
        <w:t>Investor</w:t>
      </w:r>
      <w:r>
        <w:rPr>
          <w:spacing w:val="-5"/>
          <w:sz w:val="24"/>
        </w:rPr>
        <w:t> </w:t>
      </w:r>
      <w:r>
        <w:rPr>
          <w:sz w:val="24"/>
        </w:rPr>
        <w:t>Responses</w:t>
      </w:r>
      <w:r>
        <w:rPr>
          <w:spacing w:val="-5"/>
          <w:sz w:val="24"/>
        </w:rPr>
        <w:t> </w:t>
      </w:r>
      <w:r>
        <w:rPr>
          <w:sz w:val="24"/>
        </w:rPr>
        <w:t>to</w:t>
      </w:r>
      <w:r>
        <w:rPr>
          <w:spacing w:val="-5"/>
          <w:sz w:val="24"/>
        </w:rPr>
        <w:t> </w:t>
      </w:r>
      <w:r>
        <w:rPr>
          <w:sz w:val="24"/>
        </w:rPr>
        <w:t>Uncertain</w:t>
      </w:r>
      <w:r>
        <w:rPr>
          <w:spacing w:val="-5"/>
          <w:sz w:val="24"/>
        </w:rPr>
        <w:t> </w:t>
      </w:r>
      <w:r>
        <w:rPr>
          <w:sz w:val="24"/>
        </w:rPr>
        <w:t>Tax</w:t>
      </w:r>
      <w:r>
        <w:rPr>
          <w:spacing w:val="-5"/>
          <w:sz w:val="24"/>
        </w:rPr>
        <w:t> </w:t>
      </w:r>
      <w:r>
        <w:rPr>
          <w:sz w:val="24"/>
        </w:rPr>
        <w:t>Benefit Disclosure Requirements.” </w:t>
      </w:r>
      <w:r>
        <w:rPr>
          <w:i/>
          <w:sz w:val="24"/>
        </w:rPr>
        <w:t>Journal of the American Taxation Association </w:t>
      </w:r>
      <w:r>
        <w:rPr>
          <w:sz w:val="24"/>
        </w:rPr>
        <w:t>35, 85-120.</w:t>
      </w:r>
    </w:p>
    <w:p>
      <w:pPr>
        <w:pStyle w:val="BodyText"/>
        <w:spacing w:line="247" w:lineRule="auto" w:before="172"/>
        <w:ind w:left="1443" w:right="1381" w:hanging="720"/>
      </w:pPr>
      <w:r>
        <w:rPr/>
        <w:t>Robinson,</w:t>
      </w:r>
      <w:r>
        <w:rPr>
          <w:spacing w:val="-5"/>
        </w:rPr>
        <w:t> </w:t>
      </w:r>
      <w:r>
        <w:rPr/>
        <w:t>L.,</w:t>
      </w:r>
      <w:r>
        <w:rPr>
          <w:spacing w:val="-5"/>
        </w:rPr>
        <w:t> </w:t>
      </w:r>
      <w:r>
        <w:rPr/>
        <w:t>Stomberg,</w:t>
      </w:r>
      <w:r>
        <w:rPr>
          <w:spacing w:val="-5"/>
        </w:rPr>
        <w:t> </w:t>
      </w:r>
      <w:r>
        <w:rPr/>
        <w:t>B.,</w:t>
      </w:r>
      <w:r>
        <w:rPr>
          <w:spacing w:val="-5"/>
        </w:rPr>
        <w:t> </w:t>
      </w:r>
      <w:r>
        <w:rPr/>
        <w:t>and</w:t>
      </w:r>
      <w:r>
        <w:rPr>
          <w:spacing w:val="-5"/>
        </w:rPr>
        <w:t> </w:t>
      </w:r>
      <w:r>
        <w:rPr/>
        <w:t>Towery,</w:t>
      </w:r>
      <w:r>
        <w:rPr>
          <w:spacing w:val="-5"/>
        </w:rPr>
        <w:t> </w:t>
      </w:r>
      <w:r>
        <w:rPr/>
        <w:t>E.,</w:t>
      </w:r>
      <w:r>
        <w:rPr>
          <w:spacing w:val="-5"/>
        </w:rPr>
        <w:t> </w:t>
      </w:r>
      <w:r>
        <w:rPr/>
        <w:t>2016.</w:t>
      </w:r>
      <w:r>
        <w:rPr>
          <w:spacing w:val="-5"/>
        </w:rPr>
        <w:t> </w:t>
      </w:r>
      <w:r>
        <w:rPr/>
        <w:t>“One</w:t>
      </w:r>
      <w:r>
        <w:rPr>
          <w:spacing w:val="-5"/>
        </w:rPr>
        <w:t> </w:t>
      </w:r>
      <w:r>
        <w:rPr/>
        <w:t>Size</w:t>
      </w:r>
      <w:r>
        <w:rPr>
          <w:spacing w:val="-5"/>
        </w:rPr>
        <w:t> </w:t>
      </w:r>
      <w:r>
        <w:rPr/>
        <w:t>Does</w:t>
      </w:r>
      <w:r>
        <w:rPr>
          <w:spacing w:val="-5"/>
        </w:rPr>
        <w:t> </w:t>
      </w:r>
      <w:r>
        <w:rPr/>
        <w:t>Not</w:t>
      </w:r>
      <w:r>
        <w:rPr>
          <w:spacing w:val="-5"/>
        </w:rPr>
        <w:t> </w:t>
      </w:r>
      <w:r>
        <w:rPr/>
        <w:t>Fit</w:t>
      </w:r>
      <w:r>
        <w:rPr>
          <w:spacing w:val="-5"/>
        </w:rPr>
        <w:t> </w:t>
      </w:r>
      <w:r>
        <w:rPr/>
        <w:t>All:</w:t>
      </w:r>
      <w:r>
        <w:rPr>
          <w:spacing w:val="-5"/>
        </w:rPr>
        <w:t> </w:t>
      </w:r>
      <w:r>
        <w:rPr/>
        <w:t>How</w:t>
      </w:r>
      <w:r>
        <w:rPr>
          <w:spacing w:val="-5"/>
        </w:rPr>
        <w:t> </w:t>
      </w:r>
      <w:r>
        <w:rPr/>
        <w:t>the</w:t>
      </w:r>
      <w:r>
        <w:rPr>
          <w:spacing w:val="-5"/>
        </w:rPr>
        <w:t> </w:t>
      </w:r>
      <w:r>
        <w:rPr/>
        <w:t>Uniform Rules of FIN 48 Affect the Relevance of Income Tax Accounting.” </w:t>
      </w:r>
      <w:r>
        <w:rPr>
          <w:i/>
        </w:rPr>
        <w:t>The Accounting</w:t>
      </w:r>
      <w:r>
        <w:rPr>
          <w:i/>
        </w:rPr>
        <w:t> Review </w:t>
      </w:r>
      <w:r>
        <w:rPr/>
        <w:t>91, 1195-1217.</w:t>
      </w:r>
    </w:p>
    <w:p>
      <w:pPr>
        <w:pStyle w:val="BodyText"/>
        <w:spacing w:line="247" w:lineRule="auto" w:before="173"/>
        <w:ind w:left="796" w:right="1436"/>
        <w:jc w:val="center"/>
      </w:pPr>
      <w:r>
        <w:rPr/>
        <w:t>Schwab, C., Stomberg, B, and Xia, J., 2022. “What Determines Effective Tax Rates? The Relative</w:t>
      </w:r>
      <w:r>
        <w:rPr>
          <w:spacing w:val="40"/>
        </w:rPr>
        <w:t> </w:t>
      </w:r>
      <w:r>
        <w:rPr/>
        <w:t>Influence</w:t>
      </w:r>
      <w:r>
        <w:rPr>
          <w:spacing w:val="-6"/>
        </w:rPr>
        <w:t> </w:t>
      </w:r>
      <w:r>
        <w:rPr/>
        <w:t>of</w:t>
      </w:r>
      <w:r>
        <w:rPr>
          <w:spacing w:val="-6"/>
        </w:rPr>
        <w:t> </w:t>
      </w:r>
      <w:r>
        <w:rPr/>
        <w:t>Tax</w:t>
      </w:r>
      <w:r>
        <w:rPr>
          <w:spacing w:val="-6"/>
        </w:rPr>
        <w:t> </w:t>
      </w:r>
      <w:r>
        <w:rPr/>
        <w:t>and</w:t>
      </w:r>
      <w:r>
        <w:rPr>
          <w:spacing w:val="-6"/>
        </w:rPr>
        <w:t> </w:t>
      </w:r>
      <w:r>
        <w:rPr/>
        <w:t>Other</w:t>
      </w:r>
      <w:r>
        <w:rPr>
          <w:spacing w:val="-6"/>
        </w:rPr>
        <w:t> </w:t>
      </w:r>
      <w:r>
        <w:rPr/>
        <w:t>Factors.”</w:t>
      </w:r>
      <w:r>
        <w:rPr>
          <w:spacing w:val="-6"/>
        </w:rPr>
        <w:t> </w:t>
      </w:r>
      <w:r>
        <w:rPr>
          <w:i/>
        </w:rPr>
        <w:t>Contemporary</w:t>
      </w:r>
      <w:r>
        <w:rPr>
          <w:i/>
          <w:spacing w:val="-6"/>
        </w:rPr>
        <w:t> </w:t>
      </w:r>
      <w:r>
        <w:rPr>
          <w:i/>
        </w:rPr>
        <w:t>Accounting</w:t>
      </w:r>
      <w:r>
        <w:rPr>
          <w:i/>
          <w:spacing w:val="-6"/>
        </w:rPr>
        <w:t> </w:t>
      </w:r>
      <w:r>
        <w:rPr>
          <w:i/>
        </w:rPr>
        <w:t>Research</w:t>
      </w:r>
      <w:r>
        <w:rPr>
          <w:i/>
          <w:spacing w:val="-6"/>
        </w:rPr>
        <w:t> </w:t>
      </w:r>
      <w:r>
        <w:rPr/>
        <w:t>39,</w:t>
      </w:r>
      <w:r>
        <w:rPr>
          <w:spacing w:val="-6"/>
        </w:rPr>
        <w:t> </w:t>
      </w:r>
      <w:r>
        <w:rPr/>
        <w:t>459-</w:t>
      </w:r>
      <w:r>
        <w:rPr/>
        <w:t>497.</w:t>
      </w:r>
    </w:p>
    <w:p>
      <w:pPr>
        <w:pStyle w:val="BodyText"/>
        <w:spacing w:after="0" w:line="247" w:lineRule="auto"/>
        <w:jc w:val="center"/>
        <w:sectPr>
          <w:pgSz w:w="12240" w:h="15840"/>
          <w:pgMar w:header="0" w:footer="707" w:top="640" w:bottom="960" w:left="720" w:right="0"/>
        </w:sectPr>
      </w:pPr>
    </w:p>
    <w:p>
      <w:pPr>
        <w:pStyle w:val="Heading4"/>
        <w:spacing w:before="60"/>
      </w:pPr>
      <w:r>
        <w:rPr>
          <w:spacing w:val="-2"/>
        </w:rPr>
        <w:t>Appendix</w:t>
      </w:r>
    </w:p>
    <w:p>
      <w:pPr>
        <w:pStyle w:val="BodyText"/>
        <w:spacing w:before="9"/>
        <w:rPr>
          <w:b/>
          <w:sz w:val="7"/>
        </w:rPr>
      </w:pPr>
      <w:r>
        <w:rPr>
          <w:b/>
          <w:sz w:val="7"/>
        </w:rPr>
        <w:drawing>
          <wp:anchor distT="0" distB="0" distL="0" distR="0" allowOverlap="1" layoutInCell="1" locked="0" behindDoc="1" simplePos="0" relativeHeight="487595008">
            <wp:simplePos x="0" y="0"/>
            <wp:positionH relativeFrom="page">
              <wp:posOffset>943305</wp:posOffset>
            </wp:positionH>
            <wp:positionV relativeFrom="paragraph">
              <wp:posOffset>72430</wp:posOffset>
            </wp:positionV>
            <wp:extent cx="6154590" cy="4872228"/>
            <wp:effectExtent l="0" t="0" r="0" b="0"/>
            <wp:wrapTopAndBottom/>
            <wp:docPr id="30" name="Image 30"/>
            <wp:cNvGraphicFramePr>
              <a:graphicFrameLocks/>
            </wp:cNvGraphicFramePr>
            <a:graphic>
              <a:graphicData uri="http://schemas.openxmlformats.org/drawingml/2006/picture">
                <pic:pic>
                  <pic:nvPicPr>
                    <pic:cNvPr id="30" name="Image 30"/>
                    <pic:cNvPicPr/>
                  </pic:nvPicPr>
                  <pic:blipFill>
                    <a:blip r:embed="rId145" cstate="print"/>
                    <a:stretch>
                      <a:fillRect/>
                    </a:stretch>
                  </pic:blipFill>
                  <pic:spPr>
                    <a:xfrm>
                      <a:off x="0" y="0"/>
                      <a:ext cx="6154590" cy="4872228"/>
                    </a:xfrm>
                    <a:prstGeom prst="rect">
                      <a:avLst/>
                    </a:prstGeom>
                  </pic:spPr>
                </pic:pic>
              </a:graphicData>
            </a:graphic>
          </wp:anchor>
        </w:drawing>
      </w:r>
    </w:p>
    <w:p>
      <w:pPr>
        <w:pStyle w:val="BodyText"/>
        <w:spacing w:after="0"/>
        <w:rPr>
          <w:b/>
          <w:sz w:val="7"/>
        </w:rPr>
        <w:sectPr>
          <w:pgSz w:w="12240" w:h="15840"/>
          <w:pgMar w:header="0" w:footer="707" w:top="640" w:bottom="960" w:left="720" w:right="0"/>
        </w:sectPr>
      </w:pPr>
    </w:p>
    <w:p>
      <w:pPr>
        <w:tabs>
          <w:tab w:pos="3420" w:val="left" w:leader="none"/>
        </w:tabs>
        <w:spacing w:before="73"/>
        <w:ind w:left="850" w:right="0" w:firstLine="0"/>
        <w:jc w:val="left"/>
        <w:rPr>
          <w:b/>
          <w:sz w:val="24"/>
        </w:rPr>
      </w:pPr>
      <w:r>
        <w:rPr>
          <w:b/>
          <w:sz w:val="24"/>
        </w:rPr>
        <mc:AlternateContent>
          <mc:Choice Requires="wps">
            <w:drawing>
              <wp:anchor distT="0" distB="0" distL="0" distR="0" allowOverlap="1" layoutInCell="1" locked="0" behindDoc="1" simplePos="0" relativeHeight="483871232">
                <wp:simplePos x="0" y="0"/>
                <wp:positionH relativeFrom="page">
                  <wp:posOffset>915834</wp:posOffset>
                </wp:positionH>
                <wp:positionV relativeFrom="paragraph">
                  <wp:posOffset>39161</wp:posOffset>
                </wp:positionV>
                <wp:extent cx="6228080" cy="6427470"/>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6228080" cy="6427470"/>
                          <a:chExt cx="6228080" cy="6427470"/>
                        </a:xfrm>
                      </wpg:grpSpPr>
                      <pic:pic>
                        <pic:nvPicPr>
                          <pic:cNvPr id="32" name="Image 32"/>
                          <pic:cNvPicPr/>
                        </pic:nvPicPr>
                        <pic:blipFill>
                          <a:blip r:embed="rId146" cstate="print"/>
                          <a:stretch>
                            <a:fillRect/>
                          </a:stretch>
                        </pic:blipFill>
                        <pic:spPr>
                          <a:xfrm>
                            <a:off x="1611867" y="6262077"/>
                            <a:ext cx="2539913" cy="164791"/>
                          </a:xfrm>
                          <a:prstGeom prst="rect">
                            <a:avLst/>
                          </a:prstGeom>
                        </pic:spPr>
                      </pic:pic>
                      <wps:wsp>
                        <wps:cNvPr id="33" name="Graphic 33"/>
                        <wps:cNvSpPr/>
                        <wps:spPr>
                          <a:xfrm>
                            <a:off x="0" y="0"/>
                            <a:ext cx="6228080" cy="6262370"/>
                          </a:xfrm>
                          <a:custGeom>
                            <a:avLst/>
                            <a:gdLst/>
                            <a:ahLst/>
                            <a:cxnLst/>
                            <a:rect l="l" t="t" r="r" b="b"/>
                            <a:pathLst>
                              <a:path w="6228080" h="6262370">
                                <a:moveTo>
                                  <a:pt x="1630185" y="6262076"/>
                                </a:moveTo>
                                <a:lnTo>
                                  <a:pt x="1630185" y="0"/>
                                </a:lnTo>
                              </a:path>
                              <a:path w="6228080" h="6262370">
                                <a:moveTo>
                                  <a:pt x="0" y="183101"/>
                                </a:moveTo>
                                <a:lnTo>
                                  <a:pt x="6227676" y="183101"/>
                                </a:lnTo>
                              </a:path>
                            </a:pathLst>
                          </a:custGeom>
                          <a:ln w="915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2.112968pt;margin-top:3.083614pt;width:490.4pt;height:506.1pt;mso-position-horizontal-relative:page;mso-position-vertical-relative:paragraph;z-index:-19445248" id="docshapegroup13" coordorigin="1442,62" coordsize="9808,10122">
                <v:shape style="position:absolute;left:3980;top:9923;width:4000;height:260" type="#_x0000_t75" id="docshape14" stroked="false">
                  <v:imagedata r:id="rId146" o:title=""/>
                </v:shape>
                <v:shape style="position:absolute;left:1442;top:61;width:9808;height:9862" id="docshape15" coordorigin="1442,62" coordsize="9808,9862" path="m4009,9923l4009,62m1442,350l11250,350e" filled="false" stroked="true" strokeweight=".721001pt" strokecolor="#000000">
                  <v:path arrowok="t"/>
                  <v:stroke dashstyle="solid"/>
                </v:shape>
                <w10:wrap type="none"/>
              </v:group>
            </w:pict>
          </mc:Fallback>
        </mc:AlternateContent>
      </w:r>
      <w:r>
        <w:rPr>
          <w:b/>
          <w:color w:val="2D2D2D"/>
          <w:spacing w:val="-2"/>
          <w:w w:val="105"/>
          <w:sz w:val="24"/>
        </w:rPr>
        <w:t>Va1iable</w:t>
      </w:r>
      <w:r>
        <w:rPr>
          <w:b/>
          <w:color w:val="2D2D2D"/>
          <w:sz w:val="24"/>
        </w:rPr>
        <w:tab/>
      </w:r>
      <w:r>
        <w:rPr>
          <w:b/>
          <w:color w:val="2D2D2D"/>
          <w:spacing w:val="-2"/>
          <w:w w:val="105"/>
          <w:sz w:val="24"/>
        </w:rPr>
        <w:t>Definition</w:t>
      </w:r>
    </w:p>
    <w:p>
      <w:pPr>
        <w:pStyle w:val="BodyText"/>
        <w:spacing w:before="1"/>
        <w:rPr>
          <w:b/>
          <w:sz w:val="19"/>
        </w:rPr>
      </w:pPr>
    </w:p>
    <w:p>
      <w:pPr>
        <w:pStyle w:val="BodyText"/>
        <w:spacing w:after="0"/>
        <w:rPr>
          <w:b/>
          <w:sz w:val="19"/>
        </w:rPr>
        <w:sectPr>
          <w:pgSz w:w="12240" w:h="15840"/>
          <w:pgMar w:header="0" w:footer="707" w:top="640" w:bottom="960" w:left="720" w:right="0"/>
        </w:sectPr>
      </w:pPr>
    </w:p>
    <w:p>
      <w:pPr>
        <w:spacing w:before="91"/>
        <w:ind w:left="843" w:right="0" w:firstLine="0"/>
        <w:jc w:val="left"/>
        <w:rPr>
          <w:i/>
          <w:sz w:val="24"/>
        </w:rPr>
      </w:pPr>
      <w:r>
        <w:rPr>
          <w:i/>
          <w:color w:val="2D2D2D"/>
          <w:spacing w:val="-2"/>
          <w:w w:val="105"/>
          <w:sz w:val="24"/>
        </w:rPr>
        <w:t>PYDEC</w:t>
      </w:r>
    </w:p>
    <w:p>
      <w:pPr>
        <w:pStyle w:val="BodyText"/>
        <w:rPr>
          <w:i/>
        </w:rPr>
      </w:pPr>
    </w:p>
    <w:p>
      <w:pPr>
        <w:pStyle w:val="BodyText"/>
        <w:rPr>
          <w:i/>
        </w:rPr>
      </w:pPr>
    </w:p>
    <w:p>
      <w:pPr>
        <w:pStyle w:val="BodyText"/>
        <w:rPr>
          <w:i/>
        </w:rPr>
      </w:pPr>
    </w:p>
    <w:p>
      <w:pPr>
        <w:pStyle w:val="BodyText"/>
        <w:spacing w:before="52"/>
        <w:rPr>
          <w:i/>
        </w:rPr>
      </w:pPr>
    </w:p>
    <w:p>
      <w:pPr>
        <w:spacing w:before="0"/>
        <w:ind w:left="850" w:right="0" w:firstLine="0"/>
        <w:jc w:val="left"/>
        <w:rPr>
          <w:i/>
          <w:sz w:val="24"/>
        </w:rPr>
      </w:pPr>
      <w:r>
        <w:rPr>
          <w:i/>
          <w:color w:val="3F3F3F"/>
          <w:w w:val="105"/>
          <w:sz w:val="24"/>
        </w:rPr>
        <w:t>CETR</w:t>
      </w:r>
      <w:r>
        <w:rPr>
          <w:i/>
          <w:color w:val="3F3F3F"/>
          <w:spacing w:val="50"/>
          <w:w w:val="105"/>
          <w:sz w:val="24"/>
        </w:rPr>
        <w:t> </w:t>
      </w:r>
      <w:r>
        <w:rPr>
          <w:i/>
          <w:color w:val="2D2D2D"/>
          <w:spacing w:val="-2"/>
          <w:w w:val="105"/>
          <w:sz w:val="24"/>
        </w:rPr>
        <w:t>GROSS</w:t>
      </w:r>
    </w:p>
    <w:p>
      <w:pPr>
        <w:pStyle w:val="BodyText"/>
        <w:rPr>
          <w:i/>
        </w:rPr>
      </w:pPr>
    </w:p>
    <w:p>
      <w:pPr>
        <w:pStyle w:val="BodyText"/>
        <w:rPr>
          <w:i/>
        </w:rPr>
      </w:pPr>
    </w:p>
    <w:p>
      <w:pPr>
        <w:pStyle w:val="BodyText"/>
        <w:spacing w:before="54"/>
        <w:rPr>
          <w:i/>
        </w:rPr>
      </w:pPr>
    </w:p>
    <w:p>
      <w:pPr>
        <w:spacing w:before="0"/>
        <w:ind w:left="850" w:right="0" w:firstLine="0"/>
        <w:jc w:val="left"/>
        <w:rPr>
          <w:i/>
          <w:sz w:val="24"/>
        </w:rPr>
      </w:pPr>
      <w:r>
        <w:rPr>
          <w:i/>
          <w:color w:val="3F3F3F"/>
          <w:spacing w:val="-2"/>
          <w:w w:val="105"/>
          <w:sz w:val="24"/>
        </w:rPr>
        <w:t>CETR</w:t>
      </w:r>
      <w:r>
        <w:rPr>
          <w:i/>
          <w:color w:val="080808"/>
          <w:spacing w:val="-2"/>
          <w:w w:val="105"/>
          <w:sz w:val="24"/>
        </w:rPr>
        <w:t>_GROSS_</w:t>
      </w:r>
      <w:r>
        <w:rPr>
          <w:i/>
          <w:color w:val="3F3F3F"/>
          <w:spacing w:val="-2"/>
          <w:w w:val="105"/>
          <w:sz w:val="24"/>
        </w:rPr>
        <w:t>SQ</w:t>
      </w:r>
    </w:p>
    <w:p>
      <w:pPr>
        <w:pStyle w:val="BodyText"/>
        <w:rPr>
          <w:i/>
        </w:rPr>
      </w:pPr>
    </w:p>
    <w:p>
      <w:pPr>
        <w:pStyle w:val="BodyText"/>
        <w:spacing w:before="23"/>
        <w:rPr>
          <w:i/>
        </w:rPr>
      </w:pPr>
    </w:p>
    <w:p>
      <w:pPr>
        <w:spacing w:line="496" w:lineRule="auto" w:before="0"/>
        <w:ind w:left="837" w:right="1390" w:firstLine="6"/>
        <w:jc w:val="left"/>
        <w:rPr>
          <w:i/>
          <w:sz w:val="24"/>
        </w:rPr>
      </w:pPr>
      <w:r>
        <w:rPr>
          <w:i/>
          <w:color w:val="2D2D2D"/>
          <w:spacing w:val="-2"/>
          <w:w w:val="110"/>
          <w:sz w:val="24"/>
        </w:rPr>
        <w:t>FORllfC</w:t>
      </w:r>
      <w:r>
        <w:rPr>
          <w:i/>
          <w:color w:val="2D2D2D"/>
          <w:spacing w:val="-2"/>
          <w:w w:val="110"/>
          <w:sz w:val="24"/>
        </w:rPr>
        <w:t> </w:t>
      </w:r>
      <w:r>
        <w:rPr>
          <w:i/>
          <w:color w:val="2D2D2D"/>
          <w:spacing w:val="-4"/>
          <w:w w:val="110"/>
          <w:sz w:val="24"/>
        </w:rPr>
        <w:t>JNTAN </w:t>
      </w:r>
      <w:r>
        <w:rPr>
          <w:i/>
          <w:color w:val="2D2D2D"/>
          <w:spacing w:val="-4"/>
          <w:w w:val="110"/>
          <w:sz w:val="25"/>
        </w:rPr>
        <w:t>LEV </w:t>
      </w:r>
      <w:r>
        <w:rPr>
          <w:i/>
          <w:color w:val="3F3F3F"/>
          <w:spacing w:val="-4"/>
          <w:w w:val="110"/>
          <w:sz w:val="24"/>
        </w:rPr>
        <w:t>MNC</w:t>
      </w:r>
    </w:p>
    <w:p>
      <w:pPr>
        <w:pStyle w:val="BodyText"/>
        <w:spacing w:before="29"/>
        <w:rPr>
          <w:i/>
        </w:rPr>
      </w:pPr>
    </w:p>
    <w:p>
      <w:pPr>
        <w:spacing w:before="0"/>
        <w:ind w:left="844" w:right="0" w:firstLine="0"/>
        <w:jc w:val="left"/>
        <w:rPr>
          <w:i/>
          <w:sz w:val="24"/>
        </w:rPr>
      </w:pPr>
      <w:r>
        <w:rPr>
          <w:i/>
          <w:color w:val="3F3F3F"/>
          <w:spacing w:val="-5"/>
          <w:w w:val="105"/>
          <w:sz w:val="24"/>
        </w:rPr>
        <w:t>NOL</w:t>
      </w:r>
    </w:p>
    <w:p>
      <w:pPr>
        <w:pStyle w:val="BodyText"/>
        <w:rPr>
          <w:i/>
        </w:rPr>
      </w:pPr>
    </w:p>
    <w:p>
      <w:pPr>
        <w:pStyle w:val="BodyText"/>
        <w:spacing w:before="46"/>
        <w:rPr>
          <w:i/>
        </w:rPr>
      </w:pPr>
    </w:p>
    <w:p>
      <w:pPr>
        <w:spacing w:before="0"/>
        <w:ind w:left="827" w:right="0" w:firstLine="0"/>
        <w:jc w:val="left"/>
        <w:rPr>
          <w:rFonts w:ascii="Arial"/>
          <w:i/>
          <w:sz w:val="23"/>
        </w:rPr>
      </w:pPr>
      <w:r>
        <w:rPr>
          <w:rFonts w:ascii="Arial"/>
          <w:i/>
          <w:color w:val="3F3F3F"/>
          <w:spacing w:val="-2"/>
          <w:sz w:val="23"/>
        </w:rPr>
        <w:t>LJNOL</w:t>
      </w:r>
    </w:p>
    <w:p>
      <w:pPr>
        <w:pStyle w:val="BodyText"/>
        <w:rPr>
          <w:rFonts w:ascii="Arial"/>
          <w:i/>
          <w:sz w:val="23"/>
        </w:rPr>
      </w:pPr>
    </w:p>
    <w:p>
      <w:pPr>
        <w:pStyle w:val="BodyText"/>
        <w:spacing w:before="63"/>
        <w:rPr>
          <w:rFonts w:ascii="Arial"/>
          <w:i/>
          <w:sz w:val="23"/>
        </w:rPr>
      </w:pPr>
    </w:p>
    <w:p>
      <w:pPr>
        <w:spacing w:before="0"/>
        <w:ind w:left="843" w:right="0" w:firstLine="0"/>
        <w:jc w:val="left"/>
        <w:rPr>
          <w:i/>
          <w:sz w:val="24"/>
        </w:rPr>
      </w:pPr>
      <w:r>
        <w:rPr>
          <w:i/>
          <w:color w:val="2D2D2D"/>
          <w:spacing w:val="-5"/>
          <w:w w:val="105"/>
          <w:sz w:val="24"/>
        </w:rPr>
        <w:t>PPE</w:t>
      </w:r>
    </w:p>
    <w:p>
      <w:pPr>
        <w:pStyle w:val="BodyText"/>
        <w:rPr>
          <w:i/>
        </w:rPr>
      </w:pPr>
    </w:p>
    <w:p>
      <w:pPr>
        <w:pStyle w:val="BodyText"/>
        <w:spacing w:before="32"/>
        <w:rPr>
          <w:i/>
        </w:rPr>
      </w:pPr>
    </w:p>
    <w:p>
      <w:pPr>
        <w:spacing w:before="0"/>
        <w:ind w:left="843" w:right="0" w:firstLine="0"/>
        <w:jc w:val="left"/>
        <w:rPr>
          <w:i/>
          <w:sz w:val="24"/>
        </w:rPr>
      </w:pPr>
      <w:r>
        <w:rPr>
          <w:i/>
          <w:color w:val="2D2D2D"/>
          <w:spacing w:val="-5"/>
          <w:w w:val="105"/>
          <w:sz w:val="24"/>
        </w:rPr>
        <w:t>ROA</w:t>
      </w:r>
    </w:p>
    <w:p>
      <w:pPr>
        <w:pStyle w:val="BodyText"/>
        <w:spacing w:before="20"/>
        <w:rPr>
          <w:i/>
        </w:rPr>
      </w:pPr>
    </w:p>
    <w:p>
      <w:pPr>
        <w:tabs>
          <w:tab w:pos="3260" w:val="left" w:leader="none"/>
        </w:tabs>
        <w:spacing w:before="0"/>
        <w:ind w:left="722" w:right="0" w:firstLine="0"/>
        <w:jc w:val="left"/>
        <w:rPr>
          <w:i/>
          <w:sz w:val="24"/>
        </w:rPr>
      </w:pPr>
      <w:r>
        <w:rPr>
          <w:i/>
          <w:color w:val="3F3F3F"/>
          <w:spacing w:val="68"/>
          <w:sz w:val="24"/>
          <w:u w:val="single" w:color="000000"/>
        </w:rPr>
        <w:t> </w:t>
      </w:r>
      <w:r>
        <w:rPr>
          <w:i/>
          <w:color w:val="3F3F3F"/>
          <w:spacing w:val="-4"/>
          <w:sz w:val="24"/>
          <w:u w:val="single" w:color="000000"/>
        </w:rPr>
        <w:t>SIZE</w:t>
      </w:r>
      <w:r>
        <w:rPr>
          <w:i/>
          <w:color w:val="3F3F3F"/>
          <w:sz w:val="24"/>
          <w:u w:val="single" w:color="000000"/>
        </w:rPr>
        <w:tab/>
      </w:r>
    </w:p>
    <w:p>
      <w:pPr>
        <w:pStyle w:val="BodyText"/>
        <w:spacing w:line="249" w:lineRule="auto" w:before="91"/>
        <w:ind w:left="114" w:right="932" w:firstLine="6"/>
      </w:pPr>
      <w:r>
        <w:rPr/>
        <w:br w:type="column"/>
      </w:r>
      <w:r>
        <w:rPr>
          <w:color w:val="1C1C1C"/>
          <w:w w:val="105"/>
        </w:rPr>
        <w:t>The</w:t>
      </w:r>
      <w:r>
        <w:rPr>
          <w:color w:val="1C1C1C"/>
          <w:spacing w:val="-16"/>
          <w:w w:val="105"/>
        </w:rPr>
        <w:t> </w:t>
      </w:r>
      <w:r>
        <w:rPr>
          <w:color w:val="3F3F3F"/>
          <w:w w:val="105"/>
        </w:rPr>
        <w:t>sum</w:t>
      </w:r>
      <w:r>
        <w:rPr>
          <w:color w:val="3F3F3F"/>
          <w:spacing w:val="-2"/>
          <w:w w:val="105"/>
        </w:rPr>
        <w:t> </w:t>
      </w:r>
      <w:r>
        <w:rPr>
          <w:color w:val="2D2D2D"/>
          <w:w w:val="105"/>
        </w:rPr>
        <w:t>of</w:t>
      </w:r>
      <w:r>
        <w:rPr>
          <w:color w:val="2D2D2D"/>
          <w:spacing w:val="-7"/>
          <w:w w:val="105"/>
        </w:rPr>
        <w:t> </w:t>
      </w:r>
      <w:r>
        <w:rPr>
          <w:color w:val="2D2D2D"/>
          <w:w w:val="105"/>
        </w:rPr>
        <w:t>all</w:t>
      </w:r>
      <w:r>
        <w:rPr>
          <w:color w:val="2D2D2D"/>
          <w:spacing w:val="-13"/>
          <w:w w:val="105"/>
        </w:rPr>
        <w:t> </w:t>
      </w:r>
      <w:r>
        <w:rPr>
          <w:color w:val="2D2D2D"/>
          <w:w w:val="105"/>
        </w:rPr>
        <w:t>decreases </w:t>
      </w:r>
      <w:r>
        <w:rPr>
          <w:color w:val="3F3F3F"/>
          <w:w w:val="105"/>
        </w:rPr>
        <w:t>to the</w:t>
      </w:r>
      <w:r>
        <w:rPr>
          <w:color w:val="3F3F3F"/>
          <w:spacing w:val="-4"/>
          <w:w w:val="105"/>
        </w:rPr>
        <w:t> </w:t>
      </w:r>
      <w:r>
        <w:rPr>
          <w:color w:val="2D2D2D"/>
          <w:w w:val="105"/>
        </w:rPr>
        <w:t>tax</w:t>
      </w:r>
      <w:r>
        <w:rPr>
          <w:color w:val="2D2D2D"/>
          <w:spacing w:val="-14"/>
          <w:w w:val="105"/>
        </w:rPr>
        <w:t> </w:t>
      </w:r>
      <w:r>
        <w:rPr>
          <w:color w:val="2D2D2D"/>
          <w:w w:val="105"/>
        </w:rPr>
        <w:t>reserve</w:t>
      </w:r>
      <w:r>
        <w:rPr>
          <w:color w:val="2D2D2D"/>
          <w:spacing w:val="-7"/>
          <w:w w:val="105"/>
        </w:rPr>
        <w:t> </w:t>
      </w:r>
      <w:r>
        <w:rPr>
          <w:color w:val="3F3F3F"/>
          <w:w w:val="105"/>
        </w:rPr>
        <w:t>arising</w:t>
      </w:r>
      <w:r>
        <w:rPr>
          <w:color w:val="3F3F3F"/>
          <w:spacing w:val="-7"/>
          <w:w w:val="105"/>
        </w:rPr>
        <w:t> </w:t>
      </w:r>
      <w:r>
        <w:rPr>
          <w:color w:val="2D2D2D"/>
          <w:w w:val="105"/>
        </w:rPr>
        <w:t>from</w:t>
      </w:r>
      <w:r>
        <w:rPr>
          <w:color w:val="2D2D2D"/>
          <w:spacing w:val="-9"/>
          <w:w w:val="105"/>
        </w:rPr>
        <w:t> </w:t>
      </w:r>
      <w:r>
        <w:rPr>
          <w:color w:val="3F3F3F"/>
          <w:w w:val="105"/>
        </w:rPr>
        <w:t>unce1tain tax </w:t>
      </w:r>
      <w:r>
        <w:rPr>
          <w:color w:val="2D2D2D"/>
          <w:w w:val="105"/>
        </w:rPr>
        <w:t>positions</w:t>
      </w:r>
      <w:r>
        <w:rPr>
          <w:color w:val="2D2D2D"/>
          <w:spacing w:val="-4"/>
          <w:w w:val="105"/>
        </w:rPr>
        <w:t> </w:t>
      </w:r>
      <w:r>
        <w:rPr>
          <w:color w:val="3F3F3F"/>
          <w:w w:val="105"/>
        </w:rPr>
        <w:t>taken</w:t>
      </w:r>
      <w:r>
        <w:rPr>
          <w:color w:val="3F3F3F"/>
          <w:spacing w:val="-1"/>
          <w:w w:val="105"/>
        </w:rPr>
        <w:t> </w:t>
      </w:r>
      <w:r>
        <w:rPr>
          <w:color w:val="2D2D2D"/>
          <w:w w:val="105"/>
        </w:rPr>
        <w:t>in</w:t>
      </w:r>
      <w:r>
        <w:rPr>
          <w:color w:val="2D2D2D"/>
          <w:spacing w:val="-15"/>
          <w:w w:val="105"/>
        </w:rPr>
        <w:t> </w:t>
      </w:r>
      <w:r>
        <w:rPr>
          <w:color w:val="3F3F3F"/>
          <w:w w:val="105"/>
        </w:rPr>
        <w:t>a</w:t>
      </w:r>
      <w:r>
        <w:rPr>
          <w:color w:val="3F3F3F"/>
          <w:spacing w:val="-4"/>
          <w:w w:val="105"/>
        </w:rPr>
        <w:t> </w:t>
      </w:r>
      <w:r>
        <w:rPr>
          <w:color w:val="2D2D2D"/>
          <w:w w:val="105"/>
        </w:rPr>
        <w:t>prior</w:t>
      </w:r>
      <w:r>
        <w:rPr>
          <w:color w:val="2D2D2D"/>
          <w:spacing w:val="-9"/>
          <w:w w:val="105"/>
        </w:rPr>
        <w:t> </w:t>
      </w:r>
      <w:r>
        <w:rPr>
          <w:color w:val="2D2D2D"/>
          <w:w w:val="105"/>
        </w:rPr>
        <w:t>year</w:t>
      </w:r>
      <w:r>
        <w:rPr>
          <w:color w:val="2D2D2D"/>
          <w:spacing w:val="-8"/>
          <w:w w:val="105"/>
        </w:rPr>
        <w:t> </w:t>
      </w:r>
      <w:r>
        <w:rPr>
          <w:color w:val="2D2D2D"/>
          <w:w w:val="105"/>
        </w:rPr>
        <w:t>(TXTUBPOSPDEC)</w:t>
      </w:r>
      <w:r>
        <w:rPr>
          <w:color w:val="2D2D2D"/>
          <w:spacing w:val="-16"/>
          <w:w w:val="105"/>
        </w:rPr>
        <w:t> </w:t>
      </w:r>
      <w:r>
        <w:rPr>
          <w:color w:val="2D2D2D"/>
          <w:w w:val="105"/>
        </w:rPr>
        <w:t>for</w:t>
      </w:r>
      <w:r>
        <w:rPr>
          <w:color w:val="2D2D2D"/>
          <w:spacing w:val="-9"/>
          <w:w w:val="105"/>
        </w:rPr>
        <w:t> </w:t>
      </w:r>
      <w:r>
        <w:rPr>
          <w:color w:val="2D2D2D"/>
          <w:w w:val="105"/>
        </w:rPr>
        <w:t>future</w:t>
      </w:r>
      <w:r>
        <w:rPr>
          <w:color w:val="2D2D2D"/>
          <w:spacing w:val="-11"/>
          <w:w w:val="105"/>
        </w:rPr>
        <w:t> </w:t>
      </w:r>
      <w:r>
        <w:rPr>
          <w:color w:val="2D2D2D"/>
          <w:w w:val="105"/>
        </w:rPr>
        <w:t>periods </w:t>
      </w:r>
      <w:r>
        <w:rPr>
          <w:color w:val="3F3F3F"/>
          <w:w w:val="105"/>
        </w:rPr>
        <w:t>(t+l </w:t>
      </w:r>
      <w:r>
        <w:rPr>
          <w:color w:val="2D2D2D"/>
          <w:w w:val="105"/>
        </w:rPr>
        <w:t>through t+5)</w:t>
      </w:r>
      <w:r>
        <w:rPr>
          <w:color w:val="2D2D2D"/>
          <w:spacing w:val="-5"/>
          <w:w w:val="105"/>
        </w:rPr>
        <w:t> </w:t>
      </w:r>
      <w:r>
        <w:rPr>
          <w:color w:val="2D2D2D"/>
          <w:w w:val="105"/>
        </w:rPr>
        <w:t>di ·ided by</w:t>
      </w:r>
      <w:r>
        <w:rPr>
          <w:color w:val="2D2D2D"/>
          <w:spacing w:val="-6"/>
          <w:w w:val="105"/>
        </w:rPr>
        <w:t> </w:t>
      </w:r>
      <w:r>
        <w:rPr>
          <w:color w:val="2D2D2D"/>
          <w:w w:val="105"/>
        </w:rPr>
        <w:t>the ending balance of the</w:t>
      </w:r>
      <w:r>
        <w:rPr>
          <w:color w:val="2D2D2D"/>
          <w:spacing w:val="-7"/>
          <w:w w:val="105"/>
        </w:rPr>
        <w:t> </w:t>
      </w:r>
      <w:r>
        <w:rPr>
          <w:color w:val="2D2D2D"/>
          <w:w w:val="105"/>
        </w:rPr>
        <w:t>reserve (TXTUBEND} in year t.</w:t>
      </w:r>
    </w:p>
    <w:p>
      <w:pPr>
        <w:pStyle w:val="BodyText"/>
        <w:spacing w:before="8"/>
      </w:pPr>
    </w:p>
    <w:p>
      <w:pPr>
        <w:pStyle w:val="BodyText"/>
        <w:spacing w:line="254" w:lineRule="auto"/>
        <w:ind w:left="119" w:right="1159" w:firstLine="1"/>
      </w:pPr>
      <w:r>
        <w:rPr>
          <w:color w:val="1C1C1C"/>
          <w:w w:val="105"/>
        </w:rPr>
        <w:t>The </w:t>
      </w:r>
      <w:r>
        <w:rPr>
          <w:color w:val="2D2D2D"/>
          <w:w w:val="105"/>
        </w:rPr>
        <w:t>three-, four</w:t>
      </w:r>
      <w:r>
        <w:rPr>
          <w:color w:val="080808"/>
          <w:w w:val="105"/>
        </w:rPr>
        <w:t>-</w:t>
      </w:r>
      <w:r>
        <w:rPr>
          <w:color w:val="575757"/>
          <w:w w:val="105"/>
        </w:rPr>
        <w:t>,</w:t>
      </w:r>
      <w:r>
        <w:rPr>
          <w:color w:val="575757"/>
          <w:spacing w:val="-10"/>
          <w:w w:val="105"/>
        </w:rPr>
        <w:t> </w:t>
      </w:r>
      <w:r>
        <w:rPr>
          <w:color w:val="3F3F3F"/>
          <w:w w:val="105"/>
        </w:rPr>
        <w:t>and </w:t>
      </w:r>
      <w:r>
        <w:rPr>
          <w:color w:val="2D2D2D"/>
          <w:w w:val="105"/>
        </w:rPr>
        <w:t>five-year </w:t>
      </w:r>
      <w:r>
        <w:rPr>
          <w:color w:val="3F3F3F"/>
          <w:w w:val="105"/>
        </w:rPr>
        <w:t>sum </w:t>
      </w:r>
      <w:r>
        <w:rPr>
          <w:color w:val="2D2D2D"/>
          <w:w w:val="105"/>
        </w:rPr>
        <w:t>of cash </w:t>
      </w:r>
      <w:r>
        <w:rPr>
          <w:color w:val="3F3F3F"/>
          <w:w w:val="105"/>
        </w:rPr>
        <w:t>taxes </w:t>
      </w:r>
      <w:r>
        <w:rPr>
          <w:color w:val="2D2D2D"/>
          <w:w w:val="105"/>
        </w:rPr>
        <w:t>paid including taxing</w:t>
      </w:r>
      <w:r>
        <w:rPr>
          <w:color w:val="2D2D2D"/>
          <w:spacing w:val="-10"/>
          <w:w w:val="105"/>
        </w:rPr>
        <w:t> </w:t>
      </w:r>
      <w:r>
        <w:rPr>
          <w:color w:val="3F3F3F"/>
          <w:w w:val="105"/>
        </w:rPr>
        <w:t>authority</w:t>
      </w:r>
      <w:r>
        <w:rPr>
          <w:color w:val="3F3F3F"/>
          <w:spacing w:val="-4"/>
          <w:w w:val="105"/>
        </w:rPr>
        <w:t> </w:t>
      </w:r>
      <w:r>
        <w:rPr>
          <w:color w:val="3F3F3F"/>
          <w:w w:val="105"/>
        </w:rPr>
        <w:t>settlements (TXPD) </w:t>
      </w:r>
      <w:r>
        <w:rPr>
          <w:color w:val="2D2D2D"/>
          <w:w w:val="105"/>
        </w:rPr>
        <w:t>di,</w:t>
      </w:r>
      <w:r>
        <w:rPr>
          <w:color w:val="2D2D2D"/>
          <w:spacing w:val="-4"/>
          <w:w w:val="105"/>
        </w:rPr>
        <w:t> </w:t>
      </w:r>
      <w:r>
        <w:rPr>
          <w:color w:val="2D2D2D"/>
          <w:w w:val="105"/>
        </w:rPr>
        <w:t>ided</w:t>
      </w:r>
      <w:r>
        <w:rPr>
          <w:color w:val="2D2D2D"/>
          <w:spacing w:val="-18"/>
          <w:w w:val="105"/>
        </w:rPr>
        <w:t> </w:t>
      </w:r>
      <w:r>
        <w:rPr>
          <w:color w:val="2D2D2D"/>
          <w:w w:val="105"/>
        </w:rPr>
        <w:t>by</w:t>
      </w:r>
      <w:r>
        <w:rPr>
          <w:color w:val="2D2D2D"/>
          <w:spacing w:val="-11"/>
          <w:w w:val="105"/>
        </w:rPr>
        <w:t> </w:t>
      </w:r>
      <w:r>
        <w:rPr>
          <w:color w:val="2D2D2D"/>
          <w:w w:val="105"/>
        </w:rPr>
        <w:t>the</w:t>
      </w:r>
      <w:r>
        <w:rPr>
          <w:color w:val="2D2D2D"/>
          <w:spacing w:val="-1"/>
          <w:w w:val="105"/>
        </w:rPr>
        <w:t> </w:t>
      </w:r>
      <w:r>
        <w:rPr>
          <w:color w:val="2D2D2D"/>
          <w:w w:val="105"/>
        </w:rPr>
        <w:t>three</w:t>
      </w:r>
      <w:r>
        <w:rPr>
          <w:color w:val="080808"/>
          <w:w w:val="105"/>
        </w:rPr>
        <w:t>-</w:t>
      </w:r>
      <w:r>
        <w:rPr>
          <w:color w:val="575757"/>
          <w:w w:val="105"/>
        </w:rPr>
        <w:t>)</w:t>
      </w:r>
      <w:r>
        <w:rPr>
          <w:color w:val="575757"/>
          <w:spacing w:val="-40"/>
          <w:w w:val="105"/>
        </w:rPr>
        <w:t> </w:t>
      </w:r>
      <w:r>
        <w:rPr>
          <w:color w:val="2D2D2D"/>
          <w:w w:val="105"/>
        </w:rPr>
        <w:t>four</w:t>
      </w:r>
      <w:r>
        <w:rPr>
          <w:color w:val="080808"/>
          <w:w w:val="105"/>
        </w:rPr>
        <w:t>-</w:t>
      </w:r>
      <w:r>
        <w:rPr>
          <w:color w:val="575757"/>
          <w:w w:val="105"/>
        </w:rPr>
        <w:t>,</w:t>
      </w:r>
      <w:r>
        <w:rPr>
          <w:color w:val="575757"/>
          <w:spacing w:val="-8"/>
          <w:w w:val="105"/>
        </w:rPr>
        <w:t> </w:t>
      </w:r>
      <w:r>
        <w:rPr>
          <w:color w:val="2D2D2D"/>
          <w:w w:val="105"/>
        </w:rPr>
        <w:t>and fi</w:t>
      </w:r>
      <w:r>
        <w:rPr>
          <w:color w:val="575757"/>
          <w:w w:val="105"/>
        </w:rPr>
        <w:t>v</w:t>
      </w:r>
      <w:r>
        <w:rPr>
          <w:color w:val="2D2D2D"/>
          <w:w w:val="105"/>
        </w:rPr>
        <w:t>e-year</w:t>
      </w:r>
      <w:r>
        <w:rPr>
          <w:color w:val="2D2D2D"/>
          <w:spacing w:val="-2"/>
          <w:w w:val="105"/>
        </w:rPr>
        <w:t> </w:t>
      </w:r>
      <w:r>
        <w:rPr>
          <w:color w:val="3F3F3F"/>
          <w:w w:val="105"/>
        </w:rPr>
        <w:t>sum </w:t>
      </w:r>
      <w:r>
        <w:rPr>
          <w:color w:val="2D2D2D"/>
          <w:w w:val="105"/>
        </w:rPr>
        <w:t>of</w:t>
      </w:r>
      <w:r>
        <w:rPr>
          <w:color w:val="2D2D2D"/>
          <w:spacing w:val="-2"/>
          <w:w w:val="105"/>
        </w:rPr>
        <w:t> </w:t>
      </w:r>
      <w:r>
        <w:rPr>
          <w:color w:val="2D2D2D"/>
          <w:w w:val="105"/>
        </w:rPr>
        <w:t>pretax income </w:t>
      </w:r>
      <w:r>
        <w:rPr>
          <w:color w:val="3F3F3F"/>
          <w:w w:val="105"/>
        </w:rPr>
        <w:t>before special </w:t>
      </w:r>
      <w:r>
        <w:rPr>
          <w:color w:val="2D2D2D"/>
          <w:w w:val="105"/>
        </w:rPr>
        <w:t>items</w:t>
      </w:r>
      <w:r>
        <w:rPr>
          <w:color w:val="2D2D2D"/>
          <w:spacing w:val="-2"/>
          <w:w w:val="105"/>
        </w:rPr>
        <w:t> </w:t>
      </w:r>
      <w:r>
        <w:rPr>
          <w:color w:val="2D2D2D"/>
          <w:w w:val="105"/>
        </w:rPr>
        <w:t>(PI</w:t>
      </w:r>
      <w:r>
        <w:rPr>
          <w:color w:val="080808"/>
          <w:w w:val="105"/>
        </w:rPr>
        <w:t>-</w:t>
      </w:r>
      <w:r>
        <w:rPr>
          <w:color w:val="3F3F3F"/>
          <w:w w:val="105"/>
        </w:rPr>
        <w:t>SPI}.</w:t>
      </w:r>
      <w:r>
        <w:rPr>
          <w:color w:val="AFAFAF"/>
          <w:w w:val="105"/>
        </w:rPr>
        <w:t>.</w:t>
      </w:r>
    </w:p>
    <w:p>
      <w:pPr>
        <w:pStyle w:val="BodyText"/>
        <w:spacing w:before="4"/>
      </w:pPr>
    </w:p>
    <w:p>
      <w:pPr>
        <w:spacing w:before="0"/>
        <w:ind w:left="121" w:right="0" w:firstLine="0"/>
        <w:jc w:val="left"/>
        <w:rPr>
          <w:sz w:val="24"/>
        </w:rPr>
      </w:pPr>
      <w:r>
        <w:rPr>
          <w:color w:val="1C1C1C"/>
          <w:w w:val="105"/>
          <w:sz w:val="24"/>
        </w:rPr>
        <w:t>The</w:t>
      </w:r>
      <w:r>
        <w:rPr>
          <w:color w:val="1C1C1C"/>
          <w:spacing w:val="-16"/>
          <w:w w:val="105"/>
          <w:sz w:val="24"/>
        </w:rPr>
        <w:t> </w:t>
      </w:r>
      <w:r>
        <w:rPr>
          <w:color w:val="3F3F3F"/>
          <w:w w:val="105"/>
          <w:sz w:val="24"/>
        </w:rPr>
        <w:t>variable</w:t>
      </w:r>
      <w:r>
        <w:rPr>
          <w:color w:val="3F3F3F"/>
          <w:spacing w:val="-8"/>
          <w:w w:val="105"/>
          <w:sz w:val="24"/>
        </w:rPr>
        <w:t> </w:t>
      </w:r>
      <w:r>
        <w:rPr>
          <w:i/>
          <w:color w:val="2D2D2D"/>
          <w:w w:val="105"/>
          <w:sz w:val="24"/>
        </w:rPr>
        <w:t>CETR</w:t>
      </w:r>
      <w:r>
        <w:rPr>
          <w:color w:val="080808"/>
          <w:w w:val="105"/>
          <w:sz w:val="24"/>
        </w:rPr>
        <w:t>_</w:t>
      </w:r>
      <w:r>
        <w:rPr>
          <w:i/>
          <w:color w:val="2D2D2D"/>
          <w:w w:val="105"/>
          <w:sz w:val="24"/>
        </w:rPr>
        <w:t>GROSS</w:t>
      </w:r>
      <w:r>
        <w:rPr>
          <w:i/>
          <w:color w:val="2D2D2D"/>
          <w:spacing w:val="-12"/>
          <w:w w:val="105"/>
          <w:sz w:val="24"/>
        </w:rPr>
        <w:t> </w:t>
      </w:r>
      <w:r>
        <w:rPr>
          <w:color w:val="3F3F3F"/>
          <w:spacing w:val="-2"/>
          <w:w w:val="105"/>
          <w:sz w:val="24"/>
        </w:rPr>
        <w:t>squared</w:t>
      </w:r>
    </w:p>
    <w:p>
      <w:pPr>
        <w:spacing w:before="13"/>
        <w:ind w:left="111" w:right="0" w:firstLine="0"/>
        <w:jc w:val="left"/>
        <w:rPr>
          <w:i/>
          <w:iCs/>
          <w:sz w:val="24"/>
          <w:szCs w:val="24"/>
        </w:rPr>
      </w:pPr>
      <w:r>
        <w:rPr>
          <w:i/>
          <w:iCs/>
          <w:color w:val="2D2D2D"/>
          <w:spacing w:val="-2"/>
          <w:w w:val="105"/>
          <w:sz w:val="24"/>
          <w:szCs w:val="24"/>
        </w:rPr>
        <w:t>(CETR</w:t>
      </w:r>
      <w:r>
        <w:rPr>
          <w:color w:val="080808"/>
          <w:spacing w:val="-2"/>
          <w:w w:val="105"/>
          <w:sz w:val="24"/>
          <w:szCs w:val="24"/>
        </w:rPr>
        <w:t>_</w:t>
      </w:r>
      <w:r>
        <w:rPr>
          <w:i/>
          <w:iCs/>
          <w:color w:val="2D2D2D"/>
          <w:spacing w:val="-2"/>
          <w:w w:val="105"/>
          <w:sz w:val="24"/>
          <w:szCs w:val="24"/>
        </w:rPr>
        <w:t>GROS�CETR</w:t>
      </w:r>
      <w:r>
        <w:rPr>
          <w:color w:val="080808"/>
          <w:spacing w:val="-2"/>
          <w:w w:val="105"/>
          <w:sz w:val="24"/>
          <w:szCs w:val="24"/>
        </w:rPr>
        <w:t>_</w:t>
      </w:r>
      <w:r>
        <w:rPr>
          <w:i/>
          <w:iCs/>
          <w:color w:val="2D2D2D"/>
          <w:spacing w:val="-2"/>
          <w:w w:val="105"/>
          <w:sz w:val="24"/>
          <w:szCs w:val="24"/>
        </w:rPr>
        <w:t>GROSS)</w:t>
      </w:r>
    </w:p>
    <w:p>
      <w:pPr>
        <w:pStyle w:val="BodyText"/>
        <w:spacing w:before="19"/>
        <w:rPr>
          <w:i/>
        </w:rPr>
      </w:pPr>
    </w:p>
    <w:p>
      <w:pPr>
        <w:pStyle w:val="BodyText"/>
        <w:spacing w:line="508" w:lineRule="auto" w:before="1"/>
        <w:ind w:left="122" w:right="932" w:firstLine="2"/>
      </w:pPr>
      <w:r>
        <w:rPr>
          <w:color w:val="2D2D2D"/>
          <w:w w:val="105"/>
        </w:rPr>
        <w:t>Foreign</w:t>
      </w:r>
      <w:r>
        <w:rPr>
          <w:color w:val="2D2D2D"/>
          <w:spacing w:val="-5"/>
          <w:w w:val="105"/>
        </w:rPr>
        <w:t> </w:t>
      </w:r>
      <w:r>
        <w:rPr>
          <w:color w:val="2D2D2D"/>
          <w:w w:val="105"/>
        </w:rPr>
        <w:t>pretax</w:t>
      </w:r>
      <w:r>
        <w:rPr>
          <w:color w:val="2D2D2D"/>
          <w:spacing w:val="-9"/>
          <w:w w:val="105"/>
        </w:rPr>
        <w:t> </w:t>
      </w:r>
      <w:r>
        <w:rPr>
          <w:color w:val="2D2D2D"/>
          <w:w w:val="105"/>
        </w:rPr>
        <w:t>income</w:t>
      </w:r>
      <w:r>
        <w:rPr>
          <w:color w:val="2D2D2D"/>
          <w:spacing w:val="-3"/>
          <w:w w:val="105"/>
        </w:rPr>
        <w:t> </w:t>
      </w:r>
      <w:r>
        <w:rPr>
          <w:color w:val="3F3F3F"/>
          <w:w w:val="105"/>
        </w:rPr>
        <w:t>(PIFO)</w:t>
      </w:r>
      <w:r>
        <w:rPr>
          <w:color w:val="3F3F3F"/>
          <w:spacing w:val="-11"/>
          <w:w w:val="105"/>
        </w:rPr>
        <w:t> </w:t>
      </w:r>
      <w:r>
        <w:rPr>
          <w:color w:val="3F3F3F"/>
          <w:w w:val="105"/>
        </w:rPr>
        <w:t>divided</w:t>
      </w:r>
      <w:r>
        <w:rPr>
          <w:color w:val="3F3F3F"/>
          <w:spacing w:val="-10"/>
          <w:w w:val="105"/>
        </w:rPr>
        <w:t> </w:t>
      </w:r>
      <w:r>
        <w:rPr>
          <w:color w:val="2D2D2D"/>
          <w:w w:val="105"/>
        </w:rPr>
        <w:t>by</w:t>
      </w:r>
      <w:r>
        <w:rPr>
          <w:color w:val="2D2D2D"/>
          <w:spacing w:val="-10"/>
          <w:w w:val="105"/>
        </w:rPr>
        <w:t> </w:t>
      </w:r>
      <w:r>
        <w:rPr>
          <w:color w:val="2D2D2D"/>
          <w:w w:val="105"/>
        </w:rPr>
        <w:t>total</w:t>
      </w:r>
      <w:r>
        <w:rPr>
          <w:color w:val="2D2D2D"/>
          <w:spacing w:val="-13"/>
          <w:w w:val="105"/>
        </w:rPr>
        <w:t> </w:t>
      </w:r>
      <w:r>
        <w:rPr>
          <w:color w:val="2D2D2D"/>
          <w:w w:val="105"/>
        </w:rPr>
        <w:t>pretax</w:t>
      </w:r>
      <w:r>
        <w:rPr>
          <w:color w:val="2D2D2D"/>
          <w:spacing w:val="-8"/>
          <w:w w:val="105"/>
        </w:rPr>
        <w:t> </w:t>
      </w:r>
      <w:r>
        <w:rPr>
          <w:color w:val="2D2D2D"/>
          <w:w w:val="105"/>
        </w:rPr>
        <w:t>income</w:t>
      </w:r>
      <w:r>
        <w:rPr>
          <w:color w:val="2D2D2D"/>
          <w:spacing w:val="-3"/>
          <w:w w:val="105"/>
        </w:rPr>
        <w:t> </w:t>
      </w:r>
      <w:r>
        <w:rPr>
          <w:color w:val="2D2D2D"/>
          <w:w w:val="105"/>
        </w:rPr>
        <w:t>(PI). Intangible </w:t>
      </w:r>
      <w:r>
        <w:rPr>
          <w:color w:val="3F3F3F"/>
          <w:w w:val="105"/>
        </w:rPr>
        <w:t>assets </w:t>
      </w:r>
      <w:r>
        <w:rPr>
          <w:color w:val="2D2D2D"/>
          <w:w w:val="105"/>
        </w:rPr>
        <w:t>(INTAN)</w:t>
      </w:r>
      <w:r>
        <w:rPr>
          <w:color w:val="2D2D2D"/>
          <w:spacing w:val="-1"/>
          <w:w w:val="105"/>
        </w:rPr>
        <w:t> </w:t>
      </w:r>
      <w:r>
        <w:rPr>
          <w:color w:val="2D2D2D"/>
          <w:w w:val="105"/>
        </w:rPr>
        <w:t>divided </w:t>
      </w:r>
      <w:r>
        <w:rPr>
          <w:color w:val="3F3F3F"/>
          <w:w w:val="105"/>
        </w:rPr>
        <w:t>total</w:t>
      </w:r>
      <w:r>
        <w:rPr>
          <w:color w:val="3F3F3F"/>
          <w:spacing w:val="-7"/>
          <w:w w:val="105"/>
        </w:rPr>
        <w:t> </w:t>
      </w:r>
      <w:r>
        <w:rPr>
          <w:color w:val="2D2D2D"/>
          <w:w w:val="105"/>
        </w:rPr>
        <w:t>assets (AT</w:t>
      </w:r>
      <w:r>
        <w:rPr>
          <w:color w:val="575757"/>
          <w:w w:val="105"/>
        </w:rPr>
        <w:t>).</w:t>
      </w:r>
      <w:r>
        <w:rPr>
          <w:color w:val="2D2D2D"/>
          <w:w w:val="105"/>
        </w:rPr>
        <w:t>.</w:t>
      </w:r>
      <w:r>
        <w:rPr>
          <w:color w:val="AFAFAF"/>
          <w:w w:val="105"/>
        </w:rPr>
        <w:t>.</w:t>
      </w:r>
    </w:p>
    <w:p>
      <w:pPr>
        <w:pStyle w:val="BodyText"/>
        <w:spacing w:line="264" w:lineRule="exact"/>
        <w:ind w:left="121"/>
      </w:pPr>
      <w:r>
        <w:rPr>
          <w:color w:val="1C1C1C"/>
          <w:w w:val="105"/>
        </w:rPr>
        <w:t>Total</w:t>
      </w:r>
      <w:r>
        <w:rPr>
          <w:color w:val="1C1C1C"/>
          <w:spacing w:val="1"/>
          <w:w w:val="105"/>
        </w:rPr>
        <w:t> </w:t>
      </w:r>
      <w:r>
        <w:rPr>
          <w:color w:val="2D2D2D"/>
          <w:w w:val="105"/>
        </w:rPr>
        <w:t>book</w:t>
      </w:r>
      <w:r>
        <w:rPr>
          <w:color w:val="2D2D2D"/>
          <w:spacing w:val="3"/>
          <w:w w:val="105"/>
        </w:rPr>
        <w:t> </w:t>
      </w:r>
      <w:r>
        <w:rPr>
          <w:color w:val="2D2D2D"/>
          <w:w w:val="105"/>
        </w:rPr>
        <w:t>debt</w:t>
      </w:r>
      <w:r>
        <w:rPr>
          <w:color w:val="2D2D2D"/>
          <w:spacing w:val="-25"/>
          <w:w w:val="105"/>
        </w:rPr>
        <w:t> </w:t>
      </w:r>
      <w:r>
        <w:rPr>
          <w:color w:val="3F3F3F"/>
          <w:w w:val="105"/>
        </w:rPr>
        <w:t>{DLC</w:t>
      </w:r>
      <w:r>
        <w:rPr>
          <w:color w:val="3F3F3F"/>
          <w:spacing w:val="1"/>
          <w:w w:val="105"/>
        </w:rPr>
        <w:t> </w:t>
      </w:r>
      <w:r>
        <w:rPr>
          <w:color w:val="2D2D2D"/>
          <w:w w:val="105"/>
        </w:rPr>
        <w:t>+</w:t>
      </w:r>
      <w:r>
        <w:rPr>
          <w:color w:val="2D2D2D"/>
          <w:spacing w:val="4"/>
          <w:w w:val="105"/>
        </w:rPr>
        <w:t> </w:t>
      </w:r>
      <w:r>
        <w:rPr>
          <w:color w:val="1C1C1C"/>
          <w:w w:val="105"/>
        </w:rPr>
        <w:t>DLTT)</w:t>
      </w:r>
      <w:r>
        <w:rPr>
          <w:color w:val="1C1C1C"/>
          <w:spacing w:val="-6"/>
          <w:w w:val="105"/>
        </w:rPr>
        <w:t> </w:t>
      </w:r>
      <w:r>
        <w:rPr>
          <w:color w:val="2D2D2D"/>
          <w:w w:val="105"/>
        </w:rPr>
        <w:t>divided hy</w:t>
      </w:r>
      <w:r>
        <w:rPr>
          <w:color w:val="2D2D2D"/>
          <w:spacing w:val="3"/>
          <w:w w:val="105"/>
        </w:rPr>
        <w:t> </w:t>
      </w:r>
      <w:r>
        <w:rPr>
          <w:color w:val="2D2D2D"/>
          <w:w w:val="105"/>
        </w:rPr>
        <w:t>total</w:t>
      </w:r>
      <w:r>
        <w:rPr>
          <w:color w:val="2D2D2D"/>
          <w:spacing w:val="-5"/>
          <w:w w:val="105"/>
        </w:rPr>
        <w:t> </w:t>
      </w:r>
      <w:r>
        <w:rPr>
          <w:color w:val="2D2D2D"/>
          <w:w w:val="105"/>
        </w:rPr>
        <w:t>assds</w:t>
      </w:r>
      <w:r>
        <w:rPr>
          <w:color w:val="2D2D2D"/>
          <w:spacing w:val="-16"/>
          <w:w w:val="105"/>
        </w:rPr>
        <w:t> </w:t>
      </w:r>
      <w:r>
        <w:rPr>
          <w:color w:val="2D2D2D"/>
          <w:spacing w:val="-4"/>
          <w:w w:val="105"/>
        </w:rPr>
        <w:t>(AT).</w:t>
      </w:r>
    </w:p>
    <w:p>
      <w:pPr>
        <w:pStyle w:val="BodyText"/>
        <w:spacing w:before="15"/>
      </w:pPr>
    </w:p>
    <w:p>
      <w:pPr>
        <w:pStyle w:val="BodyText"/>
        <w:spacing w:line="259" w:lineRule="auto"/>
        <w:ind w:left="114" w:right="932" w:firstLine="7"/>
      </w:pPr>
      <w:r>
        <w:rPr>
          <w:color w:val="2D2D2D"/>
          <w:w w:val="105"/>
        </w:rPr>
        <w:t>Indicator</w:t>
      </w:r>
      <w:r>
        <w:rPr>
          <w:color w:val="2D2D2D"/>
          <w:spacing w:val="-4"/>
          <w:w w:val="105"/>
        </w:rPr>
        <w:t> </w:t>
      </w:r>
      <w:r>
        <w:rPr>
          <w:color w:val="3F3F3F"/>
          <w:w w:val="105"/>
        </w:rPr>
        <w:t>,</w:t>
      </w:r>
      <w:r>
        <w:rPr>
          <w:color w:val="3F3F3F"/>
          <w:spacing w:val="-1"/>
          <w:w w:val="105"/>
        </w:rPr>
        <w:t> </w:t>
      </w:r>
      <w:r>
        <w:rPr>
          <w:color w:val="2D2D2D"/>
          <w:w w:val="105"/>
        </w:rPr>
        <w:t>a1iable equal to</w:t>
      </w:r>
      <w:r>
        <w:rPr>
          <w:color w:val="2D2D2D"/>
          <w:spacing w:val="-6"/>
          <w:w w:val="105"/>
        </w:rPr>
        <w:t> </w:t>
      </w:r>
      <w:r>
        <w:rPr>
          <w:color w:val="2D2D2D"/>
          <w:w w:val="105"/>
        </w:rPr>
        <w:t>one</w:t>
      </w:r>
      <w:r>
        <w:rPr>
          <w:color w:val="2D2D2D"/>
          <w:spacing w:val="-11"/>
          <w:w w:val="105"/>
        </w:rPr>
        <w:t> </w:t>
      </w:r>
      <w:r>
        <w:rPr>
          <w:color w:val="2D2D2D"/>
          <w:w w:val="105"/>
        </w:rPr>
        <w:t>for</w:t>
      </w:r>
      <w:r>
        <w:rPr>
          <w:color w:val="2D2D2D"/>
          <w:spacing w:val="-13"/>
          <w:w w:val="105"/>
        </w:rPr>
        <w:t> </w:t>
      </w:r>
      <w:r>
        <w:rPr>
          <w:color w:val="2D2D2D"/>
          <w:w w:val="105"/>
        </w:rPr>
        <w:t>fums</w:t>
      </w:r>
      <w:r>
        <w:rPr>
          <w:color w:val="2D2D2D"/>
          <w:spacing w:val="-17"/>
          <w:w w:val="105"/>
        </w:rPr>
        <w:t> </w:t>
      </w:r>
      <w:r>
        <w:rPr>
          <w:color w:val="3F3F3F"/>
          <w:w w:val="105"/>
        </w:rPr>
        <w:t>with</w:t>
      </w:r>
      <w:r>
        <w:rPr>
          <w:color w:val="3F3F3F"/>
          <w:spacing w:val="-8"/>
          <w:w w:val="105"/>
        </w:rPr>
        <w:t> </w:t>
      </w:r>
      <w:r>
        <w:rPr>
          <w:color w:val="3F3F3F"/>
          <w:w w:val="105"/>
        </w:rPr>
        <w:t>an</w:t>
      </w:r>
      <w:r>
        <w:rPr>
          <w:color w:val="3F3F3F"/>
          <w:spacing w:val="-11"/>
          <w:w w:val="105"/>
        </w:rPr>
        <w:t> </w:t>
      </w:r>
      <w:r>
        <w:rPr>
          <w:color w:val="2D2D2D"/>
          <w:w w:val="105"/>
        </w:rPr>
        <w:t>absolute</w:t>
      </w:r>
      <w:r>
        <w:rPr>
          <w:color w:val="2D2D2D"/>
          <w:spacing w:val="-8"/>
          <w:w w:val="105"/>
        </w:rPr>
        <w:t> </w:t>
      </w:r>
      <w:r>
        <w:rPr>
          <w:color w:val="3F3F3F"/>
          <w:w w:val="105"/>
        </w:rPr>
        <w:t>value</w:t>
      </w:r>
      <w:r>
        <w:rPr>
          <w:color w:val="3F3F3F"/>
          <w:spacing w:val="-6"/>
          <w:w w:val="105"/>
        </w:rPr>
        <w:t> </w:t>
      </w:r>
      <w:r>
        <w:rPr>
          <w:color w:val="2D2D2D"/>
          <w:w w:val="105"/>
        </w:rPr>
        <w:t>of pretax foreign income</w:t>
      </w:r>
      <w:r>
        <w:rPr>
          <w:color w:val="2D2D2D"/>
          <w:spacing w:val="-20"/>
          <w:w w:val="105"/>
        </w:rPr>
        <w:t> </w:t>
      </w:r>
      <w:r>
        <w:rPr>
          <w:color w:val="3F3F3F"/>
          <w:w w:val="105"/>
        </w:rPr>
        <w:t>{PIFO) </w:t>
      </w:r>
      <w:r>
        <w:rPr>
          <w:color w:val="2D2D2D"/>
          <w:w w:val="105"/>
        </w:rPr>
        <w:t>greater than zero, zero</w:t>
      </w:r>
      <w:r>
        <w:rPr>
          <w:color w:val="2D2D2D"/>
          <w:spacing w:val="-4"/>
          <w:w w:val="105"/>
        </w:rPr>
        <w:t> </w:t>
      </w:r>
      <w:r>
        <w:rPr>
          <w:color w:val="2D2D2D"/>
          <w:w w:val="105"/>
        </w:rPr>
        <w:t>othe1wise.</w:t>
      </w:r>
    </w:p>
    <w:p>
      <w:pPr>
        <w:pStyle w:val="BodyText"/>
        <w:spacing w:before="7"/>
      </w:pPr>
    </w:p>
    <w:p>
      <w:pPr>
        <w:pStyle w:val="BodyText"/>
        <w:spacing w:line="242" w:lineRule="auto"/>
        <w:ind w:left="118" w:right="1159" w:firstLine="3"/>
      </w:pPr>
      <w:r>
        <w:rPr>
          <w:color w:val="2D2D2D"/>
        </w:rPr>
        <w:t>Indicator </w:t>
      </w:r>
      <w:r>
        <w:rPr>
          <w:color w:val="3F3F3F"/>
        </w:rPr>
        <w:t>va1iable </w:t>
      </w:r>
      <w:r>
        <w:rPr>
          <w:color w:val="2D2D2D"/>
        </w:rPr>
        <w:t>equal to one for</w:t>
      </w:r>
      <w:r>
        <w:rPr>
          <w:color w:val="2D2D2D"/>
          <w:spacing w:val="-1"/>
        </w:rPr>
        <w:t> </w:t>
      </w:r>
      <w:r>
        <w:rPr>
          <w:color w:val="2D2D2D"/>
        </w:rPr>
        <w:t>non-zero tax loss carryfo:nvard. </w:t>
      </w:r>
      <w:r>
        <w:rPr>
          <w:color w:val="3F3F3F"/>
          <w:w w:val="105"/>
        </w:rPr>
        <w:t>(1LCF}, </w:t>
      </w:r>
      <w:r>
        <w:rPr>
          <w:color w:val="2D2D2D"/>
          <w:w w:val="105"/>
        </w:rPr>
        <w:t>and zero otherwise</w:t>
      </w:r>
      <w:r>
        <w:rPr>
          <w:color w:val="575757"/>
          <w:w w:val="105"/>
        </w:rPr>
        <w:t>.</w:t>
      </w:r>
    </w:p>
    <w:p>
      <w:pPr>
        <w:pStyle w:val="BodyText"/>
        <w:spacing w:before="32"/>
      </w:pPr>
    </w:p>
    <w:p>
      <w:pPr>
        <w:pStyle w:val="BodyText"/>
        <w:spacing w:line="242" w:lineRule="auto"/>
        <w:ind w:left="118" w:right="1207"/>
      </w:pPr>
      <w:r>
        <w:rPr>
          <w:color w:val="2D2D2D"/>
        </w:rPr>
        <w:t>Change in </w:t>
      </w:r>
      <w:r>
        <w:rPr>
          <w:color w:val="2D2D2D"/>
          <w:sz w:val="21"/>
        </w:rPr>
        <w:t>fax</w:t>
      </w:r>
      <w:r>
        <w:rPr>
          <w:color w:val="2D2D2D"/>
          <w:spacing w:val="40"/>
          <w:sz w:val="21"/>
        </w:rPr>
        <w:t> </w:t>
      </w:r>
      <w:r>
        <w:rPr>
          <w:color w:val="2D2D2D"/>
        </w:rPr>
        <w:t>loss carryforwai·d</w:t>
      </w:r>
      <w:r>
        <w:rPr>
          <w:color w:val="2D2D2D"/>
          <w:spacing w:val="-10"/>
        </w:rPr>
        <w:t> </w:t>
      </w:r>
      <w:r>
        <w:rPr>
          <w:color w:val="3F3F3F"/>
        </w:rPr>
        <w:t>{TL-CF), </w:t>
      </w:r>
      <w:r>
        <w:rPr>
          <w:color w:val="2D2D2D"/>
        </w:rPr>
        <w:t>divided </w:t>
      </w:r>
      <w:r>
        <w:rPr>
          <w:color w:val="1C1C1C"/>
        </w:rPr>
        <w:t>by </w:t>
      </w:r>
      <w:r>
        <w:rPr>
          <w:color w:val="2D2D2D"/>
        </w:rPr>
        <w:t>total assets </w:t>
      </w:r>
      <w:r>
        <w:rPr>
          <w:color w:val="3F3F3F"/>
          <w:spacing w:val="-2"/>
        </w:rPr>
        <w:t>(AT).</w:t>
      </w:r>
      <w:r>
        <w:rPr>
          <w:color w:val="797979"/>
          <w:spacing w:val="-2"/>
        </w:rPr>
        <w:t>..</w:t>
      </w:r>
    </w:p>
    <w:p>
      <w:pPr>
        <w:pStyle w:val="BodyText"/>
        <w:spacing w:before="31"/>
      </w:pPr>
    </w:p>
    <w:p>
      <w:pPr>
        <w:pStyle w:val="BodyText"/>
        <w:spacing w:line="242" w:lineRule="auto"/>
        <w:ind w:left="119" w:right="1207"/>
      </w:pPr>
      <w:r>
        <w:rPr>
          <w:color w:val="2D2D2D"/>
          <w:w w:val="105"/>
        </w:rPr>
        <w:t>Gross</w:t>
      </w:r>
      <w:r>
        <w:rPr>
          <w:color w:val="2D2D2D"/>
          <w:spacing w:val="-14"/>
          <w:w w:val="105"/>
        </w:rPr>
        <w:t> </w:t>
      </w:r>
      <w:r>
        <w:rPr>
          <w:color w:val="2D2D2D"/>
          <w:w w:val="105"/>
        </w:rPr>
        <w:t>property,</w:t>
      </w:r>
      <w:r>
        <w:rPr>
          <w:color w:val="2D2D2D"/>
          <w:spacing w:val="-10"/>
          <w:w w:val="105"/>
        </w:rPr>
        <w:t> </w:t>
      </w:r>
      <w:r>
        <w:rPr>
          <w:color w:val="2D2D2D"/>
          <w:w w:val="105"/>
        </w:rPr>
        <w:t>plant</w:t>
      </w:r>
      <w:r>
        <w:rPr>
          <w:color w:val="575757"/>
          <w:w w:val="105"/>
        </w:rPr>
        <w:t>,</w:t>
      </w:r>
      <w:r>
        <w:rPr>
          <w:color w:val="575757"/>
          <w:spacing w:val="-20"/>
          <w:w w:val="105"/>
        </w:rPr>
        <w:t> </w:t>
      </w:r>
      <w:r>
        <w:rPr>
          <w:color w:val="3F3F3F"/>
          <w:w w:val="105"/>
        </w:rPr>
        <w:t>and</w:t>
      </w:r>
      <w:r>
        <w:rPr>
          <w:color w:val="3F3F3F"/>
          <w:spacing w:val="-7"/>
          <w:w w:val="105"/>
        </w:rPr>
        <w:t> </w:t>
      </w:r>
      <w:r>
        <w:rPr>
          <w:color w:val="1C1C1C"/>
          <w:w w:val="105"/>
        </w:rPr>
        <w:t>equipment</w:t>
      </w:r>
      <w:r>
        <w:rPr>
          <w:color w:val="1C1C1C"/>
          <w:spacing w:val="-7"/>
          <w:w w:val="105"/>
        </w:rPr>
        <w:t> </w:t>
      </w:r>
      <w:r>
        <w:rPr>
          <w:color w:val="3F3F3F"/>
          <w:w w:val="105"/>
        </w:rPr>
        <w:t>(PPEGT)</w:t>
      </w:r>
      <w:r>
        <w:rPr>
          <w:color w:val="3F3F3F"/>
          <w:spacing w:val="-8"/>
          <w:w w:val="105"/>
        </w:rPr>
        <w:t> </w:t>
      </w:r>
      <w:r>
        <w:rPr>
          <w:color w:val="2D2D2D"/>
          <w:w w:val="105"/>
        </w:rPr>
        <w:t>di</w:t>
      </w:r>
      <w:r>
        <w:rPr>
          <w:color w:val="575757"/>
          <w:w w:val="105"/>
        </w:rPr>
        <w:t>v</w:t>
      </w:r>
      <w:r>
        <w:rPr>
          <w:color w:val="2D2D2D"/>
          <w:w w:val="105"/>
        </w:rPr>
        <w:t>ided</w:t>
      </w:r>
      <w:r>
        <w:rPr>
          <w:color w:val="2D2D2D"/>
          <w:spacing w:val="-6"/>
          <w:w w:val="105"/>
        </w:rPr>
        <w:t> </w:t>
      </w:r>
      <w:r>
        <w:rPr>
          <w:color w:val="2D2D2D"/>
          <w:w w:val="105"/>
        </w:rPr>
        <w:t>by total assets </w:t>
      </w:r>
      <w:r>
        <w:rPr>
          <w:color w:val="3F3F3F"/>
          <w:w w:val="105"/>
        </w:rPr>
        <w:t>(AT).</w:t>
      </w:r>
    </w:p>
    <w:p>
      <w:pPr>
        <w:pStyle w:val="BodyText"/>
        <w:spacing w:before="27"/>
      </w:pPr>
    </w:p>
    <w:p>
      <w:pPr>
        <w:pStyle w:val="BodyText"/>
        <w:ind w:left="117"/>
      </w:pPr>
      <w:r>
        <w:rPr>
          <w:color w:val="3F3F3F"/>
          <w:w w:val="105"/>
        </w:rPr>
        <w:t>Net</w:t>
      </w:r>
      <w:r>
        <w:rPr>
          <w:color w:val="3F3F3F"/>
          <w:spacing w:val="-10"/>
          <w:w w:val="105"/>
        </w:rPr>
        <w:t> </w:t>
      </w:r>
      <w:r>
        <w:rPr>
          <w:color w:val="2D2D2D"/>
          <w:w w:val="105"/>
        </w:rPr>
        <w:t>Income</w:t>
      </w:r>
      <w:r>
        <w:rPr>
          <w:color w:val="2D2D2D"/>
          <w:spacing w:val="7"/>
          <w:w w:val="105"/>
        </w:rPr>
        <w:t> </w:t>
      </w:r>
      <w:r>
        <w:rPr>
          <w:color w:val="3F3F3F"/>
          <w:w w:val="105"/>
        </w:rPr>
        <w:t>(IB}</w:t>
      </w:r>
      <w:r>
        <w:rPr>
          <w:color w:val="3F3F3F"/>
          <w:spacing w:val="-25"/>
          <w:w w:val="105"/>
        </w:rPr>
        <w:t> </w:t>
      </w:r>
      <w:r>
        <w:rPr>
          <w:color w:val="2D2D2D"/>
          <w:w w:val="105"/>
        </w:rPr>
        <w:t>divided</w:t>
      </w:r>
      <w:r>
        <w:rPr>
          <w:color w:val="2D2D2D"/>
          <w:spacing w:val="-9"/>
          <w:w w:val="105"/>
        </w:rPr>
        <w:t> </w:t>
      </w:r>
      <w:r>
        <w:rPr>
          <w:color w:val="2D2D2D"/>
          <w:w w:val="105"/>
        </w:rPr>
        <w:t>by</w:t>
      </w:r>
      <w:r>
        <w:rPr>
          <w:color w:val="2D2D2D"/>
          <w:spacing w:val="-14"/>
          <w:w w:val="105"/>
        </w:rPr>
        <w:t> </w:t>
      </w:r>
      <w:r>
        <w:rPr>
          <w:color w:val="2D2D2D"/>
          <w:w w:val="105"/>
        </w:rPr>
        <w:t>total</w:t>
      </w:r>
      <w:r>
        <w:rPr>
          <w:color w:val="2D2D2D"/>
          <w:spacing w:val="-11"/>
          <w:w w:val="105"/>
        </w:rPr>
        <w:t> </w:t>
      </w:r>
      <w:r>
        <w:rPr>
          <w:color w:val="2D2D2D"/>
          <w:w w:val="105"/>
        </w:rPr>
        <w:t>as</w:t>
      </w:r>
      <w:r>
        <w:rPr>
          <w:color w:val="575757"/>
          <w:w w:val="105"/>
        </w:rPr>
        <w:t>s</w:t>
      </w:r>
      <w:r>
        <w:rPr>
          <w:color w:val="2D2D2D"/>
          <w:w w:val="105"/>
        </w:rPr>
        <w:t>ets</w:t>
      </w:r>
      <w:r>
        <w:rPr>
          <w:color w:val="2D2D2D"/>
          <w:spacing w:val="-15"/>
          <w:w w:val="105"/>
        </w:rPr>
        <w:t> </w:t>
      </w:r>
      <w:r>
        <w:rPr>
          <w:color w:val="3F3F3F"/>
          <w:spacing w:val="-2"/>
          <w:w w:val="105"/>
        </w:rPr>
        <w:t>(AT).</w:t>
      </w:r>
    </w:p>
    <w:p>
      <w:pPr>
        <w:pStyle w:val="BodyText"/>
        <w:spacing w:after="0"/>
        <w:sectPr>
          <w:type w:val="continuous"/>
          <w:pgSz w:w="12240" w:h="15840"/>
          <w:pgMar w:header="0" w:footer="707" w:top="740" w:bottom="280" w:left="720" w:right="0"/>
          <w:cols w:num="2" w:equalWidth="0">
            <w:col w:w="3261" w:space="40"/>
            <w:col w:w="8219"/>
          </w:cols>
        </w:sectPr>
      </w:pPr>
    </w:p>
    <w:p>
      <w:pPr>
        <w:pStyle w:val="Heading3"/>
        <w:spacing w:before="20"/>
        <w:ind w:left="1726" w:right="2337"/>
      </w:pPr>
      <w:bookmarkStart w:name="Data‑Driven Marketing and Hospitality St" w:id="74"/>
      <w:bookmarkEnd w:id="74"/>
      <w:r>
        <w:rPr>
          <w:b w:val="0"/>
        </w:rPr>
      </w:r>
      <w:r>
        <w:rPr/>
        <w:t>Data</w:t>
      </w:r>
      <w:r>
        <w:rPr>
          <w:rFonts w:ascii="Segoe UI Symbol" w:hAnsi="Segoe UI Symbol"/>
          <w:b w:val="0"/>
        </w:rPr>
        <w:t>‑</w:t>
      </w:r>
      <w:r>
        <w:rPr/>
        <w:t>Driven</w:t>
      </w:r>
      <w:r>
        <w:rPr>
          <w:spacing w:val="-12"/>
        </w:rPr>
        <w:t> </w:t>
      </w:r>
      <w:r>
        <w:rPr/>
        <w:t>Marketing</w:t>
      </w:r>
      <w:r>
        <w:rPr>
          <w:spacing w:val="-12"/>
        </w:rPr>
        <w:t> </w:t>
      </w:r>
      <w:r>
        <w:rPr/>
        <w:t>and</w:t>
      </w:r>
      <w:r>
        <w:rPr>
          <w:spacing w:val="-12"/>
        </w:rPr>
        <w:t> </w:t>
      </w:r>
      <w:r>
        <w:rPr/>
        <w:t>Hospitality</w:t>
      </w:r>
      <w:r>
        <w:rPr>
          <w:spacing w:val="-12"/>
        </w:rPr>
        <w:t> </w:t>
      </w:r>
      <w:r>
        <w:rPr/>
        <w:t>Strategies</w:t>
      </w:r>
      <w:r>
        <w:rPr>
          <w:spacing w:val="-12"/>
        </w:rPr>
        <w:t> </w:t>
      </w:r>
      <w:r>
        <w:rPr/>
        <w:t>in</w:t>
      </w:r>
      <w:r>
        <w:rPr>
          <w:spacing w:val="-12"/>
        </w:rPr>
        <w:t> </w:t>
      </w:r>
      <w:r>
        <w:rPr/>
        <w:t>Football: </w:t>
      </w:r>
      <w:bookmarkStart w:name="h.bizgq5a2x62d" w:id="75"/>
      <w:bookmarkEnd w:id="75"/>
      <w:r>
        <w:rPr/>
        <w:t>E</w:t>
      </w:r>
      <w:r>
        <w:rPr/>
        <w:t>nhancing Fan Experience, Revenue, and Sales Performance</w:t>
      </w:r>
    </w:p>
    <w:p>
      <w:pPr>
        <w:pStyle w:val="BodyText"/>
        <w:spacing w:before="303"/>
        <w:ind w:right="703"/>
        <w:jc w:val="center"/>
      </w:pPr>
      <w:r>
        <w:rPr/>
        <w:t>Jones, Casey </w:t>
      </w:r>
      <w:r>
        <w:rPr>
          <w:spacing w:val="-5"/>
        </w:rPr>
        <w:t>E.</w:t>
      </w:r>
    </w:p>
    <w:p>
      <w:pPr>
        <w:pStyle w:val="BodyText"/>
        <w:ind w:left="2538" w:right="3243"/>
        <w:jc w:val="center"/>
      </w:pPr>
      <w:r>
        <w:rPr/>
        <w:t>Hospitality</w:t>
      </w:r>
      <w:r>
        <w:rPr>
          <w:spacing w:val="-9"/>
        </w:rPr>
        <w:t> </w:t>
      </w:r>
      <w:r>
        <w:rPr/>
        <w:t>and</w:t>
      </w:r>
      <w:r>
        <w:rPr>
          <w:spacing w:val="-9"/>
        </w:rPr>
        <w:t> </w:t>
      </w:r>
      <w:r>
        <w:rPr/>
        <w:t>Tourism</w:t>
      </w:r>
      <w:r>
        <w:rPr>
          <w:spacing w:val="-9"/>
        </w:rPr>
        <w:t> </w:t>
      </w:r>
      <w:r>
        <w:rPr/>
        <w:t>Management,</w:t>
      </w:r>
      <w:r>
        <w:rPr>
          <w:spacing w:val="-9"/>
        </w:rPr>
        <w:t> </w:t>
      </w:r>
      <w:r>
        <w:rPr/>
        <w:t>&amp;</w:t>
      </w:r>
      <w:r>
        <w:rPr>
          <w:spacing w:val="-9"/>
        </w:rPr>
        <w:t> </w:t>
      </w:r>
      <w:r>
        <w:rPr/>
        <w:t>Digital</w:t>
      </w:r>
      <w:r>
        <w:rPr>
          <w:spacing w:val="-9"/>
        </w:rPr>
        <w:t> </w:t>
      </w:r>
      <w:r>
        <w:rPr/>
        <w:t>Marketing Appalachian State University</w:t>
      </w:r>
    </w:p>
    <w:p>
      <w:pPr>
        <w:pStyle w:val="BodyText"/>
        <w:ind w:right="693"/>
        <w:jc w:val="center"/>
      </w:pPr>
      <w:r>
        <w:rPr/>
        <w:t>287 Rivers </w:t>
      </w:r>
      <w:r>
        <w:rPr>
          <w:spacing w:val="-5"/>
        </w:rPr>
        <w:t>St</w:t>
      </w:r>
    </w:p>
    <w:p>
      <w:pPr>
        <w:pStyle w:val="BodyText"/>
        <w:ind w:left="4188" w:right="4955" w:firstLine="56"/>
        <w:jc w:val="center"/>
      </w:pPr>
      <w:r>
        <w:rPr/>
        <w:t>Boone NC, 28607 </w:t>
      </w:r>
      <w:hyperlink r:id="rId147">
        <w:r>
          <w:rPr>
            <w:spacing w:val="-2"/>
          </w:rPr>
          <w:t>jonesce18@appstate.edu</w:t>
        </w:r>
      </w:hyperlink>
      <w:r>
        <w:rPr>
          <w:spacing w:val="-2"/>
        </w:rPr>
        <w:t> 910.320.0255</w:t>
      </w:r>
    </w:p>
    <w:p>
      <w:pPr>
        <w:pStyle w:val="BodyText"/>
        <w:spacing w:before="276"/>
        <w:ind w:left="723"/>
      </w:pPr>
      <w:r>
        <w:rPr/>
        <w:t>Key</w:t>
      </w:r>
      <w:r>
        <w:rPr>
          <w:spacing w:val="-3"/>
        </w:rPr>
        <w:t> </w:t>
      </w:r>
      <w:r>
        <w:rPr/>
        <w:t>Words:</w:t>
      </w:r>
      <w:r>
        <w:rPr>
          <w:spacing w:val="-3"/>
        </w:rPr>
        <w:t> </w:t>
      </w:r>
      <w:r>
        <w:rPr/>
        <w:t>Data</w:t>
      </w:r>
      <w:r>
        <w:rPr>
          <w:spacing w:val="-3"/>
        </w:rPr>
        <w:t> </w:t>
      </w:r>
      <w:r>
        <w:rPr/>
        <w:t>Analytics,</w:t>
      </w:r>
      <w:r>
        <w:rPr>
          <w:spacing w:val="-3"/>
        </w:rPr>
        <w:t> </w:t>
      </w:r>
      <w:r>
        <w:rPr/>
        <w:t>Sports</w:t>
      </w:r>
      <w:r>
        <w:rPr>
          <w:spacing w:val="-3"/>
        </w:rPr>
        <w:t> </w:t>
      </w:r>
      <w:r>
        <w:rPr/>
        <w:t>Marketing,</w:t>
      </w:r>
      <w:r>
        <w:rPr>
          <w:spacing w:val="-3"/>
        </w:rPr>
        <w:t> </w:t>
      </w:r>
      <w:r>
        <w:rPr/>
        <w:t>Hospitality</w:t>
      </w:r>
      <w:r>
        <w:rPr>
          <w:spacing w:val="-2"/>
        </w:rPr>
        <w:t> Management</w:t>
      </w:r>
    </w:p>
    <w:p>
      <w:pPr>
        <w:pStyle w:val="BodyText"/>
      </w:pPr>
    </w:p>
    <w:p>
      <w:pPr>
        <w:pStyle w:val="BodyText"/>
        <w:ind w:left="723" w:right="1076"/>
      </w:pPr>
      <w:r>
        <w:rPr/>
        <w:t>Football organizations increasingly rely on data analytics to guide marketing and hospitality strategies that influence fan experience, ticket sales, and overall revenue performance. While</w:t>
      </w:r>
      <w:r>
        <w:rPr>
          <w:spacing w:val="40"/>
        </w:rPr>
        <w:t> </w:t>
      </w:r>
      <w:r>
        <w:rPr/>
        <w:t>prior research has examined fan loyalty, service quality, sports marketing, and pricing strategies independently, there remains a gap in understanding how data-driven marketing and hospitality strategies are integrated in football organizations to shape fan behavior and sales outcomes. The problem</w:t>
      </w:r>
      <w:r>
        <w:rPr>
          <w:spacing w:val="-3"/>
        </w:rPr>
        <w:t> </w:t>
      </w:r>
      <w:r>
        <w:rPr/>
        <w:t>addressed</w:t>
      </w:r>
      <w:r>
        <w:rPr>
          <w:spacing w:val="-3"/>
        </w:rPr>
        <w:t> </w:t>
      </w:r>
      <w:r>
        <w:rPr/>
        <w:t>in</w:t>
      </w:r>
      <w:r>
        <w:rPr>
          <w:spacing w:val="-3"/>
        </w:rPr>
        <w:t> </w:t>
      </w:r>
      <w:r>
        <w:rPr/>
        <w:t>this</w:t>
      </w:r>
      <w:r>
        <w:rPr>
          <w:spacing w:val="-3"/>
        </w:rPr>
        <w:t> </w:t>
      </w:r>
      <w:r>
        <w:rPr/>
        <w:t>study</w:t>
      </w:r>
      <w:r>
        <w:rPr>
          <w:spacing w:val="-3"/>
        </w:rPr>
        <w:t> </w:t>
      </w:r>
      <w:r>
        <w:rPr/>
        <w:t>is</w:t>
      </w:r>
      <w:r>
        <w:rPr>
          <w:spacing w:val="-3"/>
        </w:rPr>
        <w:t> </w:t>
      </w:r>
      <w:r>
        <w:rPr/>
        <w:t>the</w:t>
      </w:r>
      <w:r>
        <w:rPr>
          <w:spacing w:val="-3"/>
        </w:rPr>
        <w:t> </w:t>
      </w:r>
      <w:r>
        <w:rPr/>
        <w:t>limited</w:t>
      </w:r>
      <w:r>
        <w:rPr>
          <w:spacing w:val="-3"/>
        </w:rPr>
        <w:t> </w:t>
      </w:r>
      <w:r>
        <w:rPr/>
        <w:t>empirical</w:t>
      </w:r>
      <w:r>
        <w:rPr>
          <w:spacing w:val="-3"/>
        </w:rPr>
        <w:t> </w:t>
      </w:r>
      <w:r>
        <w:rPr/>
        <w:t>understanding</w:t>
      </w:r>
      <w:r>
        <w:rPr>
          <w:spacing w:val="-3"/>
        </w:rPr>
        <w:t> </w:t>
      </w:r>
      <w:r>
        <w:rPr/>
        <w:t>of</w:t>
      </w:r>
      <w:r>
        <w:rPr>
          <w:spacing w:val="-3"/>
        </w:rPr>
        <w:t> </w:t>
      </w:r>
      <w:r>
        <w:rPr/>
        <w:t>how</w:t>
      </w:r>
      <w:r>
        <w:rPr>
          <w:spacing w:val="-3"/>
        </w:rPr>
        <w:t> </w:t>
      </w:r>
      <w:r>
        <w:rPr/>
        <w:t>football</w:t>
      </w:r>
      <w:r>
        <w:rPr>
          <w:spacing w:val="-3"/>
        </w:rPr>
        <w:t> </w:t>
      </w:r>
      <w:r>
        <w:rPr/>
        <w:t>teams</w:t>
      </w:r>
      <w:r>
        <w:rPr>
          <w:spacing w:val="-3"/>
        </w:rPr>
        <w:t> </w:t>
      </w:r>
      <w:r>
        <w:rPr/>
        <w:t>use</w:t>
      </w:r>
      <w:r>
        <w:rPr>
          <w:spacing w:val="40"/>
        </w:rPr>
        <w:t> </w:t>
      </w:r>
      <w:r>
        <w:rPr/>
        <w:t>fan data to connect marketing decisions, hospitality offerings, and sales performance into a</w:t>
      </w:r>
      <w:r>
        <w:rPr>
          <w:spacing w:val="40"/>
        </w:rPr>
        <w:t> </w:t>
      </w:r>
      <w:r>
        <w:rPr/>
        <w:t>cohesive </w:t>
      </w:r>
      <w:r>
        <w:rPr>
          <w:spacing w:val="-2"/>
        </w:rPr>
        <w:t>strategy.</w:t>
      </w:r>
    </w:p>
    <w:p>
      <w:pPr>
        <w:pStyle w:val="BodyText"/>
        <w:spacing w:line="247" w:lineRule="auto" w:before="169"/>
        <w:ind w:left="723" w:right="1478"/>
      </w:pPr>
      <w:r>
        <w:rPr/>
        <w:t>This issue is important to study because fan experience is a critical driver of attendance, repeat visitation,</w:t>
      </w:r>
      <w:r>
        <w:rPr>
          <w:spacing w:val="-4"/>
        </w:rPr>
        <w:t> </w:t>
      </w:r>
      <w:r>
        <w:rPr/>
        <w:t>and</w:t>
      </w:r>
      <w:r>
        <w:rPr>
          <w:spacing w:val="-4"/>
        </w:rPr>
        <w:t> </w:t>
      </w:r>
      <w:r>
        <w:rPr/>
        <w:t>spending</w:t>
      </w:r>
      <w:r>
        <w:rPr>
          <w:spacing w:val="-4"/>
        </w:rPr>
        <w:t> </w:t>
      </w:r>
      <w:r>
        <w:rPr/>
        <w:t>in</w:t>
      </w:r>
      <w:r>
        <w:rPr>
          <w:spacing w:val="-4"/>
        </w:rPr>
        <w:t> </w:t>
      </w:r>
      <w:r>
        <w:rPr/>
        <w:t>football</w:t>
      </w:r>
      <w:r>
        <w:rPr>
          <w:spacing w:val="-4"/>
        </w:rPr>
        <w:t> </w:t>
      </w:r>
      <w:r>
        <w:rPr/>
        <w:t>environments.</w:t>
      </w:r>
      <w:r>
        <w:rPr>
          <w:spacing w:val="-4"/>
        </w:rPr>
        <w:t> </w:t>
      </w:r>
      <w:r>
        <w:rPr/>
        <w:t>Revenue</w:t>
      </w:r>
      <w:r>
        <w:rPr>
          <w:spacing w:val="-4"/>
        </w:rPr>
        <w:t> </w:t>
      </w:r>
      <w:r>
        <w:rPr/>
        <w:t>streams</w:t>
      </w:r>
      <w:r>
        <w:rPr>
          <w:spacing w:val="-4"/>
        </w:rPr>
        <w:t> </w:t>
      </w:r>
      <w:r>
        <w:rPr/>
        <w:t>such</w:t>
      </w:r>
      <w:r>
        <w:rPr>
          <w:spacing w:val="-4"/>
        </w:rPr>
        <w:t> </w:t>
      </w:r>
      <w:r>
        <w:rPr/>
        <w:t>as</w:t>
      </w:r>
      <w:r>
        <w:rPr>
          <w:spacing w:val="-4"/>
        </w:rPr>
        <w:t> </w:t>
      </w:r>
      <w:r>
        <w:rPr/>
        <w:t>ticket</w:t>
      </w:r>
      <w:r>
        <w:rPr>
          <w:spacing w:val="-4"/>
        </w:rPr>
        <w:t> </w:t>
      </w:r>
      <w:r>
        <w:rPr/>
        <w:t>sales,</w:t>
      </w:r>
      <w:r>
        <w:rPr>
          <w:spacing w:val="-4"/>
        </w:rPr>
        <w:t> </w:t>
      </w:r>
      <w:r>
        <w:rPr/>
        <w:t>premium seating, concessions, and loyalty programs are heavily influenced by both marketing communication and the quality of game-day hospitality. As competition for fan engagement increases and organizations collect larger amounts of fan data, it is essential to understand how analytics can be used effectively to enhance satisfaction while also improving financial outcomes. Examining this relationship can help football organizations better align fan-centered strategies with business objectives.</w:t>
      </w:r>
    </w:p>
    <w:p>
      <w:pPr>
        <w:pStyle w:val="BodyText"/>
        <w:spacing w:line="247" w:lineRule="auto" w:before="178"/>
        <w:ind w:left="723" w:right="1450"/>
      </w:pPr>
      <w:r>
        <w:rPr/>
        <w:t>This study will use a mixed-methods research approach to examine how data-driven marketing and hospitality strategies affect fan experience and sales performance in football. The quantitative component will rely on publicly available data related to attendance, ticket pricing, fan</w:t>
      </w:r>
      <w:r>
        <w:rPr>
          <w:spacing w:val="-5"/>
        </w:rPr>
        <w:t> </w:t>
      </w:r>
      <w:r>
        <w:rPr/>
        <w:t>engagement,</w:t>
      </w:r>
      <w:r>
        <w:rPr>
          <w:spacing w:val="-5"/>
        </w:rPr>
        <w:t> </w:t>
      </w:r>
      <w:r>
        <w:rPr/>
        <w:t>and</w:t>
      </w:r>
      <w:r>
        <w:rPr>
          <w:spacing w:val="-5"/>
        </w:rPr>
        <w:t> </w:t>
      </w:r>
      <w:r>
        <w:rPr/>
        <w:t>revenue</w:t>
      </w:r>
      <w:r>
        <w:rPr>
          <w:spacing w:val="-5"/>
        </w:rPr>
        <w:t> </w:t>
      </w:r>
      <w:r>
        <w:rPr/>
        <w:t>performance</w:t>
      </w:r>
      <w:r>
        <w:rPr>
          <w:spacing w:val="-5"/>
        </w:rPr>
        <w:t> </w:t>
      </w:r>
      <w:r>
        <w:rPr/>
        <w:t>across</w:t>
      </w:r>
      <w:r>
        <w:rPr>
          <w:spacing w:val="-5"/>
        </w:rPr>
        <w:t> </w:t>
      </w:r>
      <w:r>
        <w:rPr/>
        <w:t>college</w:t>
      </w:r>
      <w:r>
        <w:rPr>
          <w:spacing w:val="-5"/>
        </w:rPr>
        <w:t> </w:t>
      </w:r>
      <w:r>
        <w:rPr/>
        <w:t>and</w:t>
      </w:r>
      <w:r>
        <w:rPr>
          <w:spacing w:val="-5"/>
        </w:rPr>
        <w:t> </w:t>
      </w:r>
      <w:r>
        <w:rPr/>
        <w:t>professional</w:t>
      </w:r>
      <w:r>
        <w:rPr>
          <w:spacing w:val="-5"/>
        </w:rPr>
        <w:t> </w:t>
      </w:r>
      <w:r>
        <w:rPr/>
        <w:t>football</w:t>
      </w:r>
      <w:r>
        <w:rPr>
          <w:spacing w:val="-5"/>
        </w:rPr>
        <w:t> </w:t>
      </w:r>
      <w:r>
        <w:rPr/>
        <w:t>organizations. Data sources may include league- and team-published reports, publicly available attendance and pricing data, industry and club annual reports, media coverage, and fan-generated feedback from platforms such as social media, podcasts, and online forums. Descriptive statistical analysis will be used to identify trends in attendance behavior, purchasing patterns, and fan engagement. The qualitative component will consist of interviews with professionals working in football marketing, ticket sales, and hospitality roles, supplemented by observational insights gained through</w:t>
      </w:r>
      <w:r>
        <w:rPr>
          <w:spacing w:val="-1"/>
        </w:rPr>
        <w:t> </w:t>
      </w:r>
      <w:r>
        <w:rPr/>
        <w:t>first-hand</w:t>
      </w:r>
      <w:r>
        <w:rPr>
          <w:spacing w:val="-1"/>
        </w:rPr>
        <w:t> </w:t>
      </w:r>
      <w:r>
        <w:rPr/>
        <w:t>experience</w:t>
      </w:r>
      <w:r>
        <w:rPr>
          <w:spacing w:val="-1"/>
        </w:rPr>
        <w:t> </w:t>
      </w:r>
      <w:r>
        <w:rPr/>
        <w:t>interning</w:t>
      </w:r>
      <w:r>
        <w:rPr>
          <w:spacing w:val="-1"/>
        </w:rPr>
        <w:t> </w:t>
      </w:r>
      <w:r>
        <w:rPr/>
        <w:t>with</w:t>
      </w:r>
      <w:r>
        <w:rPr>
          <w:spacing w:val="-1"/>
        </w:rPr>
        <w:t> </w:t>
      </w:r>
      <w:r>
        <w:rPr/>
        <w:t>a</w:t>
      </w:r>
      <w:r>
        <w:rPr>
          <w:spacing w:val="-1"/>
        </w:rPr>
        <w:t> </w:t>
      </w:r>
      <w:r>
        <w:rPr/>
        <w:t>collegiate</w:t>
      </w:r>
      <w:r>
        <w:rPr>
          <w:spacing w:val="-1"/>
        </w:rPr>
        <w:t> </w:t>
      </w:r>
      <w:r>
        <w:rPr/>
        <w:t>football</w:t>
      </w:r>
      <w:r>
        <w:rPr>
          <w:spacing w:val="-1"/>
        </w:rPr>
        <w:t> </w:t>
      </w:r>
      <w:r>
        <w:rPr/>
        <w:t>program.</w:t>
      </w:r>
      <w:r>
        <w:rPr>
          <w:spacing w:val="-1"/>
        </w:rPr>
        <w:t> </w:t>
      </w:r>
      <w:r>
        <w:rPr/>
        <w:t>These</w:t>
      </w:r>
      <w:r>
        <w:rPr>
          <w:spacing w:val="-1"/>
        </w:rPr>
        <w:t> </w:t>
      </w:r>
      <w:r>
        <w:rPr/>
        <w:t>qualitative</w:t>
      </w:r>
      <w:r>
        <w:rPr>
          <w:spacing w:val="-1"/>
        </w:rPr>
        <w:t> </w:t>
      </w:r>
      <w:r>
        <w:rPr/>
        <w:t>data will provide contextual understanding of how organizations collect, analyze, and apply fan data in real-world decision-making.</w:t>
      </w:r>
    </w:p>
    <w:p>
      <w:pPr>
        <w:pStyle w:val="BodyText"/>
        <w:spacing w:line="247" w:lineRule="auto" w:before="183"/>
        <w:ind w:left="723" w:right="1392"/>
      </w:pPr>
      <w:r>
        <w:rPr/>
        <w:t>The outcomes of this study will be of interest to sports marketing professionals, hospitality managers, football executives, and scholars in sports management and analytics. By demonstrating</w:t>
      </w:r>
      <w:r>
        <w:rPr>
          <w:spacing w:val="-4"/>
        </w:rPr>
        <w:t> </w:t>
      </w:r>
      <w:r>
        <w:rPr/>
        <w:t>how</w:t>
      </w:r>
      <w:r>
        <w:rPr>
          <w:spacing w:val="-4"/>
        </w:rPr>
        <w:t> </w:t>
      </w:r>
      <w:r>
        <w:rPr/>
        <w:t>data-driven</w:t>
      </w:r>
      <w:r>
        <w:rPr>
          <w:spacing w:val="-4"/>
        </w:rPr>
        <w:t> </w:t>
      </w:r>
      <w:r>
        <w:rPr/>
        <w:t>strategies</w:t>
      </w:r>
      <w:r>
        <w:rPr>
          <w:spacing w:val="-4"/>
        </w:rPr>
        <w:t> </w:t>
      </w:r>
      <w:r>
        <w:rPr/>
        <w:t>influence</w:t>
      </w:r>
      <w:r>
        <w:rPr>
          <w:spacing w:val="-4"/>
        </w:rPr>
        <w:t> </w:t>
      </w:r>
      <w:r>
        <w:rPr/>
        <w:t>both</w:t>
      </w:r>
      <w:r>
        <w:rPr>
          <w:spacing w:val="-4"/>
        </w:rPr>
        <w:t> </w:t>
      </w:r>
      <w:r>
        <w:rPr/>
        <w:t>fan</w:t>
      </w:r>
      <w:r>
        <w:rPr>
          <w:spacing w:val="-4"/>
        </w:rPr>
        <w:t> </w:t>
      </w:r>
      <w:r>
        <w:rPr/>
        <w:t>experience</w:t>
      </w:r>
      <w:r>
        <w:rPr>
          <w:spacing w:val="-4"/>
        </w:rPr>
        <w:t> </w:t>
      </w:r>
      <w:r>
        <w:rPr/>
        <w:t>and</w:t>
      </w:r>
      <w:r>
        <w:rPr>
          <w:spacing w:val="-4"/>
        </w:rPr>
        <w:t> </w:t>
      </w:r>
      <w:r>
        <w:rPr/>
        <w:t>sales</w:t>
      </w:r>
      <w:r>
        <w:rPr>
          <w:spacing w:val="-4"/>
        </w:rPr>
        <w:t> </w:t>
      </w:r>
      <w:r>
        <w:rPr/>
        <w:t>outcomes,</w:t>
      </w:r>
      <w:r>
        <w:rPr>
          <w:spacing w:val="-4"/>
        </w:rPr>
        <w:t> </w:t>
      </w:r>
      <w:r>
        <w:rPr/>
        <w:t>this research may inform more effective marketing, hospitality, and revenue-generation practices within football organizations.</w:t>
      </w:r>
    </w:p>
    <w:p>
      <w:pPr>
        <w:pStyle w:val="BodyText"/>
        <w:spacing w:after="0" w:line="247" w:lineRule="auto"/>
        <w:sectPr>
          <w:pgSz w:w="12240" w:h="15840"/>
          <w:pgMar w:header="0" w:footer="707" w:top="640" w:bottom="960" w:left="720" w:right="0"/>
        </w:sectPr>
      </w:pPr>
    </w:p>
    <w:p>
      <w:pPr>
        <w:pStyle w:val="Heading3"/>
        <w:spacing w:line="254" w:lineRule="auto" w:before="20"/>
        <w:ind w:left="1169" w:right="1809"/>
      </w:pPr>
      <w:bookmarkStart w:name="Do Country‑Focused ETFs Outperform Bench" w:id="76"/>
      <w:bookmarkEnd w:id="76"/>
      <w:r>
        <w:rPr>
          <w:b w:val="0"/>
        </w:rPr>
      </w:r>
      <w:r>
        <w:rPr/>
        <w:t>Do</w:t>
      </w:r>
      <w:r>
        <w:rPr>
          <w:spacing w:val="-10"/>
        </w:rPr>
        <w:t> </w:t>
      </w:r>
      <w:r>
        <w:rPr/>
        <w:t>Country</w:t>
      </w:r>
      <w:r>
        <w:rPr>
          <w:rFonts w:ascii="Segoe UI Symbol" w:hAnsi="Segoe UI Symbol"/>
          <w:b w:val="0"/>
        </w:rPr>
        <w:t>‑</w:t>
      </w:r>
      <w:r>
        <w:rPr/>
        <w:t>Focused</w:t>
      </w:r>
      <w:r>
        <w:rPr>
          <w:spacing w:val="-10"/>
        </w:rPr>
        <w:t> </w:t>
      </w:r>
      <w:r>
        <w:rPr/>
        <w:t>ETFs</w:t>
      </w:r>
      <w:r>
        <w:rPr>
          <w:spacing w:val="-10"/>
        </w:rPr>
        <w:t> </w:t>
      </w:r>
      <w:r>
        <w:rPr/>
        <w:t>Outperform</w:t>
      </w:r>
      <w:r>
        <w:rPr>
          <w:spacing w:val="-10"/>
        </w:rPr>
        <w:t> </w:t>
      </w:r>
      <w:r>
        <w:rPr/>
        <w:t>Benchmark</w:t>
      </w:r>
      <w:r>
        <w:rPr>
          <w:spacing w:val="-10"/>
        </w:rPr>
        <w:t> </w:t>
      </w:r>
      <w:r>
        <w:rPr/>
        <w:t>Indices</w:t>
      </w:r>
      <w:r>
        <w:rPr>
          <w:spacing w:val="-10"/>
        </w:rPr>
        <w:t> </w:t>
      </w:r>
      <w:r>
        <w:rPr/>
        <w:t>in</w:t>
      </w:r>
      <w:r>
        <w:rPr>
          <w:spacing w:val="-10"/>
        </w:rPr>
        <w:t> </w:t>
      </w:r>
      <w:r>
        <w:rPr/>
        <w:t>Times</w:t>
      </w:r>
      <w:r>
        <w:rPr>
          <w:spacing w:val="-10"/>
        </w:rPr>
        <w:t> </w:t>
      </w:r>
      <w:r>
        <w:rPr/>
        <w:t>of </w:t>
      </w:r>
      <w:bookmarkStart w:name="h.1fs5f0bc88l4" w:id="77"/>
      <w:bookmarkEnd w:id="77"/>
      <w:r>
        <w:rPr/>
        <w:t>A</w:t>
      </w:r>
      <w:r>
        <w:rPr/>
        <w:t>bnormal Volatility?</w:t>
      </w:r>
    </w:p>
    <w:p>
      <w:pPr>
        <w:pStyle w:val="BodyText"/>
        <w:spacing w:line="276" w:lineRule="auto" w:before="305"/>
        <w:ind w:left="4443" w:right="5154" w:firstLine="33"/>
        <w:jc w:val="center"/>
      </w:pPr>
      <w:r>
        <w:rPr/>
        <w:t>Stephen N. Jurich College of </w:t>
      </w:r>
      <w:r>
        <w:rPr>
          <w:spacing w:val="-2"/>
        </w:rPr>
        <w:t>Business</w:t>
      </w:r>
    </w:p>
    <w:p>
      <w:pPr>
        <w:pStyle w:val="BodyText"/>
        <w:spacing w:line="273" w:lineRule="auto"/>
        <w:ind w:left="4008" w:right="4723"/>
        <w:jc w:val="center"/>
      </w:pPr>
      <w:r>
        <w:rPr/>
        <w:t>Eastern</w:t>
      </w:r>
      <w:r>
        <w:rPr>
          <w:spacing w:val="-15"/>
        </w:rPr>
        <w:t> </w:t>
      </w:r>
      <w:r>
        <w:rPr/>
        <w:t>Kentucky</w:t>
      </w:r>
      <w:r>
        <w:rPr>
          <w:spacing w:val="-15"/>
        </w:rPr>
        <w:t> </w:t>
      </w:r>
      <w:r>
        <w:rPr/>
        <w:t>University 521 Lancaster Ave.</w:t>
      </w:r>
    </w:p>
    <w:p>
      <w:pPr>
        <w:pStyle w:val="BodyText"/>
        <w:spacing w:line="273" w:lineRule="auto"/>
        <w:ind w:left="4248" w:right="4942" w:firstLine="9"/>
        <w:jc w:val="center"/>
      </w:pPr>
      <w:r>
        <w:rPr/>
        <w:t>Richmond, KY 40475 </w:t>
      </w:r>
      <w:hyperlink r:id="rId148">
        <w:r>
          <w:rPr>
            <w:spacing w:val="-2"/>
          </w:rPr>
          <w:t>stephen.jurich@eku.edu</w:t>
        </w:r>
      </w:hyperlink>
    </w:p>
    <w:p>
      <w:pPr>
        <w:pStyle w:val="BodyText"/>
        <w:spacing w:line="266" w:lineRule="auto" w:before="268"/>
        <w:ind w:left="1008" w:right="1664"/>
        <w:jc w:val="both"/>
      </w:pPr>
      <w:r>
        <w:rPr>
          <w:b/>
        </w:rPr>
        <w:t>Abstract: </w:t>
      </w:r>
      <w:r>
        <w:rPr/>
        <w:t>This study examines international equity ETFs in a period of abnormal </w:t>
      </w:r>
      <w:r>
        <w:rPr/>
        <w:t>trading volume and market volatility. The findings should be beneficial</w:t>
      </w:r>
      <w:r>
        <w:rPr>
          <w:spacing w:val="-4"/>
        </w:rPr>
        <w:t> </w:t>
      </w:r>
      <w:r>
        <w:rPr/>
        <w:t>to</w:t>
      </w:r>
      <w:r>
        <w:rPr>
          <w:spacing w:val="-4"/>
        </w:rPr>
        <w:t> </w:t>
      </w:r>
      <w:r>
        <w:rPr/>
        <w:t>market</w:t>
      </w:r>
      <w:r>
        <w:rPr>
          <w:spacing w:val="-4"/>
        </w:rPr>
        <w:t> </w:t>
      </w:r>
      <w:r>
        <w:rPr/>
        <w:t>participants</w:t>
      </w:r>
      <w:r>
        <w:rPr>
          <w:spacing w:val="-4"/>
        </w:rPr>
        <w:t> </w:t>
      </w:r>
      <w:r>
        <w:rPr/>
        <w:t>who utilize ETFs for international diversification. The volatile market swings</w:t>
      </w:r>
      <w:r>
        <w:rPr>
          <w:spacing w:val="-3"/>
        </w:rPr>
        <w:t> </w:t>
      </w:r>
      <w:r>
        <w:rPr/>
        <w:t>of</w:t>
      </w:r>
      <w:r>
        <w:rPr>
          <w:spacing w:val="-3"/>
        </w:rPr>
        <w:t> </w:t>
      </w:r>
      <w:r>
        <w:rPr/>
        <w:t>2025</w:t>
      </w:r>
      <w:r>
        <w:rPr>
          <w:spacing w:val="-3"/>
        </w:rPr>
        <w:t> </w:t>
      </w:r>
      <w:r>
        <w:rPr/>
        <w:t>provide</w:t>
      </w:r>
      <w:r>
        <w:rPr>
          <w:spacing w:val="-3"/>
        </w:rPr>
        <w:t> </w:t>
      </w:r>
      <w:r>
        <w:rPr/>
        <w:t>a natural experiment with which to analyze the impact of exogenous shocks on index</w:t>
      </w:r>
      <w:r>
        <w:rPr>
          <w:spacing w:val="-2"/>
        </w:rPr>
        <w:t> </w:t>
      </w:r>
      <w:r>
        <w:rPr/>
        <w:t>funds. This study</w:t>
      </w:r>
      <w:r>
        <w:rPr>
          <w:spacing w:val="-2"/>
        </w:rPr>
        <w:t> </w:t>
      </w:r>
      <w:r>
        <w:rPr/>
        <w:t>examines</w:t>
      </w:r>
      <w:r>
        <w:rPr>
          <w:spacing w:val="-2"/>
        </w:rPr>
        <w:t> </w:t>
      </w:r>
      <w:r>
        <w:rPr/>
        <w:t>the</w:t>
      </w:r>
      <w:r>
        <w:rPr>
          <w:spacing w:val="-2"/>
        </w:rPr>
        <w:t> </w:t>
      </w:r>
      <w:r>
        <w:rPr/>
        <w:t>variation</w:t>
      </w:r>
      <w:r>
        <w:rPr>
          <w:spacing w:val="-2"/>
        </w:rPr>
        <w:t> </w:t>
      </w:r>
      <w:r>
        <w:rPr/>
        <w:t>in</w:t>
      </w:r>
      <w:r>
        <w:rPr>
          <w:spacing w:val="-2"/>
        </w:rPr>
        <w:t> </w:t>
      </w:r>
      <w:r>
        <w:rPr/>
        <w:t>index</w:t>
      </w:r>
      <w:r>
        <w:rPr>
          <w:spacing w:val="-2"/>
        </w:rPr>
        <w:t> </w:t>
      </w:r>
      <w:r>
        <w:rPr/>
        <w:t>performance</w:t>
      </w:r>
      <w:r>
        <w:rPr>
          <w:spacing w:val="-2"/>
        </w:rPr>
        <w:t> </w:t>
      </w:r>
      <w:r>
        <w:rPr/>
        <w:t>of</w:t>
      </w:r>
      <w:r>
        <w:rPr>
          <w:spacing w:val="-2"/>
        </w:rPr>
        <w:t> </w:t>
      </w:r>
      <w:r>
        <w:rPr/>
        <w:t>geographic</w:t>
      </w:r>
      <w:r>
        <w:rPr>
          <w:spacing w:val="-2"/>
        </w:rPr>
        <w:t> </w:t>
      </w:r>
      <w:r>
        <w:rPr/>
        <w:t>specific</w:t>
      </w:r>
      <w:r>
        <w:rPr>
          <w:spacing w:val="-2"/>
        </w:rPr>
        <w:t> </w:t>
      </w:r>
      <w:r>
        <w:rPr/>
        <w:t>funds.</w:t>
      </w:r>
      <w:r>
        <w:rPr>
          <w:spacing w:val="-2"/>
        </w:rPr>
        <w:t> </w:t>
      </w:r>
      <w:r>
        <w:rPr/>
        <w:t>Many international ETFs do not fully replicate prominent benchmark indices. The tracking</w:t>
      </w:r>
      <w:r>
        <w:rPr>
          <w:spacing w:val="40"/>
        </w:rPr>
        <w:t> </w:t>
      </w:r>
      <w:r>
        <w:rPr/>
        <w:t>indices</w:t>
      </w:r>
      <w:r>
        <w:rPr>
          <w:spacing w:val="80"/>
        </w:rPr>
        <w:t> </w:t>
      </w:r>
      <w:r>
        <w:rPr/>
        <w:t>of country focused funds have different holdings than bellwether indices. This paper sheds</w:t>
      </w:r>
      <w:r>
        <w:rPr>
          <w:spacing w:val="40"/>
        </w:rPr>
        <w:t> </w:t>
      </w:r>
      <w:r>
        <w:rPr/>
        <w:t>light on why the ETF holdings vary and what it means for investor returns. There is</w:t>
      </w:r>
      <w:r>
        <w:rPr>
          <w:spacing w:val="40"/>
        </w:rPr>
        <w:t> </w:t>
      </w:r>
      <w:r>
        <w:rPr/>
        <w:t>substantial evidence that replication varies with broader market volatility.</w:t>
      </w:r>
    </w:p>
    <w:p>
      <w:pPr>
        <w:pStyle w:val="BodyText"/>
      </w:pPr>
    </w:p>
    <w:p>
      <w:pPr>
        <w:pStyle w:val="BodyText"/>
        <w:ind w:left="1008"/>
        <w:jc w:val="both"/>
      </w:pPr>
      <w:r>
        <w:rPr>
          <w:i/>
        </w:rPr>
        <w:t>Keywords:</w:t>
      </w:r>
      <w:r>
        <w:rPr>
          <w:i/>
          <w:spacing w:val="-2"/>
        </w:rPr>
        <w:t> </w:t>
      </w:r>
      <w:r>
        <w:rPr/>
        <w:t>ETFs,</w:t>
      </w:r>
      <w:r>
        <w:rPr>
          <w:spacing w:val="-1"/>
        </w:rPr>
        <w:t> </w:t>
      </w:r>
      <w:r>
        <w:rPr/>
        <w:t>benchmark</w:t>
      </w:r>
      <w:r>
        <w:rPr>
          <w:spacing w:val="-1"/>
        </w:rPr>
        <w:t> </w:t>
      </w:r>
      <w:r>
        <w:rPr/>
        <w:t>indices,</w:t>
      </w:r>
      <w:r>
        <w:rPr>
          <w:spacing w:val="-2"/>
        </w:rPr>
        <w:t> </w:t>
      </w:r>
      <w:r>
        <w:rPr/>
        <w:t>market</w:t>
      </w:r>
      <w:r>
        <w:rPr>
          <w:spacing w:val="-1"/>
        </w:rPr>
        <w:t> </w:t>
      </w:r>
      <w:r>
        <w:rPr/>
        <w:t>shocks,</w:t>
      </w:r>
      <w:r>
        <w:rPr>
          <w:spacing w:val="-1"/>
        </w:rPr>
        <w:t> </w:t>
      </w:r>
      <w:r>
        <w:rPr/>
        <w:t>volume,</w:t>
      </w:r>
      <w:r>
        <w:rPr>
          <w:spacing w:val="-1"/>
        </w:rPr>
        <w:t> </w:t>
      </w:r>
      <w:r>
        <w:rPr>
          <w:spacing w:val="-2"/>
        </w:rPr>
        <w:t>returns</w:t>
      </w:r>
    </w:p>
    <w:p>
      <w:pPr>
        <w:spacing w:before="40"/>
        <w:ind w:left="993" w:right="0" w:firstLine="0"/>
        <w:jc w:val="both"/>
        <w:rPr>
          <w:sz w:val="24"/>
        </w:rPr>
      </w:pPr>
      <w:r>
        <w:rPr>
          <w:i/>
          <w:sz w:val="24"/>
        </w:rPr>
        <w:t>JEL Classification: </w:t>
      </w:r>
      <w:r>
        <w:rPr>
          <w:sz w:val="24"/>
        </w:rPr>
        <w:t>G12, </w:t>
      </w:r>
      <w:r>
        <w:rPr>
          <w:spacing w:val="-5"/>
          <w:sz w:val="24"/>
        </w:rPr>
        <w:t>G15</w:t>
      </w:r>
    </w:p>
    <w:p>
      <w:pPr>
        <w:pStyle w:val="Heading4"/>
        <w:spacing w:before="275"/>
      </w:pPr>
      <w:r>
        <w:rPr>
          <w:spacing w:val="-2"/>
        </w:rPr>
        <w:t>Introduction</w:t>
      </w:r>
    </w:p>
    <w:p>
      <w:pPr>
        <w:pStyle w:val="BodyText"/>
        <w:spacing w:line="266" w:lineRule="auto" w:before="200"/>
        <w:ind w:left="723" w:right="1380"/>
        <w:jc w:val="both"/>
      </w:pPr>
      <w:r>
        <w:rPr/>
        <w:t>Country specific ETFs have increased the possibilities for international diversification.</w:t>
      </w:r>
      <w:r>
        <w:rPr>
          <w:spacing w:val="40"/>
        </w:rPr>
        <w:t> </w:t>
      </w:r>
      <w:r>
        <w:rPr/>
        <w:t>This</w:t>
      </w:r>
      <w:r>
        <w:rPr>
          <w:spacing w:val="40"/>
        </w:rPr>
        <w:t> </w:t>
      </w:r>
      <w:r>
        <w:rPr/>
        <w:t>study focuses on the deviation of international equity exchange traded fund (ETF)</w:t>
      </w:r>
      <w:r>
        <w:rPr>
          <w:spacing w:val="40"/>
        </w:rPr>
        <w:t> </w:t>
      </w:r>
      <w:r>
        <w:rPr/>
        <w:t>performance from bellwether indices in periods of abnormal trading volume and heightened</w:t>
      </w:r>
      <w:r>
        <w:rPr>
          <w:spacing w:val="40"/>
        </w:rPr>
        <w:t> </w:t>
      </w:r>
      <w:r>
        <w:rPr/>
        <w:t>volatility. The turbulent global markets of 2025 present a natural experiment with which to</w:t>
      </w:r>
      <w:r>
        <w:rPr>
          <w:spacing w:val="40"/>
        </w:rPr>
        <w:t> </w:t>
      </w:r>
      <w:r>
        <w:rPr/>
        <w:t>examine country focused ETFs during times of heightened volatility.</w:t>
      </w:r>
    </w:p>
    <w:p>
      <w:pPr>
        <w:pStyle w:val="BodyText"/>
        <w:spacing w:line="266" w:lineRule="auto" w:before="172"/>
        <w:ind w:left="723" w:right="1379"/>
        <w:jc w:val="both"/>
      </w:pPr>
      <w:r>
        <w:rPr/>
        <w:t>There are</w:t>
      </w:r>
      <w:r>
        <w:rPr>
          <w:spacing w:val="-4"/>
        </w:rPr>
        <w:t> </w:t>
      </w:r>
      <w:r>
        <w:rPr/>
        <w:t>prominent</w:t>
      </w:r>
      <w:r>
        <w:rPr>
          <w:spacing w:val="-4"/>
        </w:rPr>
        <w:t> </w:t>
      </w:r>
      <w:r>
        <w:rPr/>
        <w:t>indices</w:t>
      </w:r>
      <w:r>
        <w:rPr>
          <w:spacing w:val="-4"/>
        </w:rPr>
        <w:t> </w:t>
      </w:r>
      <w:r>
        <w:rPr/>
        <w:t>that</w:t>
      </w:r>
      <w:r>
        <w:rPr>
          <w:spacing w:val="-4"/>
        </w:rPr>
        <w:t> </w:t>
      </w:r>
      <w:r>
        <w:rPr/>
        <w:t>investors</w:t>
      </w:r>
      <w:r>
        <w:rPr>
          <w:spacing w:val="-4"/>
        </w:rPr>
        <w:t> </w:t>
      </w:r>
      <w:r>
        <w:rPr/>
        <w:t>associate</w:t>
      </w:r>
      <w:r>
        <w:rPr>
          <w:spacing w:val="-4"/>
        </w:rPr>
        <w:t> </w:t>
      </w:r>
      <w:r>
        <w:rPr/>
        <w:t>with</w:t>
      </w:r>
      <w:r>
        <w:rPr>
          <w:spacing w:val="-4"/>
        </w:rPr>
        <w:t> </w:t>
      </w:r>
      <w:r>
        <w:rPr/>
        <w:t>geographic</w:t>
      </w:r>
      <w:r>
        <w:rPr>
          <w:spacing w:val="-4"/>
        </w:rPr>
        <w:t> </w:t>
      </w:r>
      <w:r>
        <w:rPr/>
        <w:t>regions.</w:t>
      </w:r>
      <w:r>
        <w:rPr>
          <w:spacing w:val="-4"/>
        </w:rPr>
        <w:t> </w:t>
      </w:r>
      <w:r>
        <w:rPr/>
        <w:t>However,</w:t>
      </w:r>
      <w:r>
        <w:rPr>
          <w:spacing w:val="40"/>
        </w:rPr>
        <w:t> </w:t>
      </w:r>
      <w:r>
        <w:rPr/>
        <w:t>the</w:t>
      </w:r>
      <w:r>
        <w:rPr>
          <w:spacing w:val="-4"/>
        </w:rPr>
        <w:t> </w:t>
      </w:r>
      <w:r>
        <w:rPr/>
        <w:t>ETFs associated with many countries do</w:t>
      </w:r>
      <w:r>
        <w:rPr>
          <w:spacing w:val="-2"/>
        </w:rPr>
        <w:t> </w:t>
      </w:r>
      <w:r>
        <w:rPr/>
        <w:t>not</w:t>
      </w:r>
      <w:r>
        <w:rPr>
          <w:spacing w:val="-2"/>
        </w:rPr>
        <w:t> </w:t>
      </w:r>
      <w:r>
        <w:rPr/>
        <w:t>fully</w:t>
      </w:r>
      <w:r>
        <w:rPr>
          <w:spacing w:val="-2"/>
        </w:rPr>
        <w:t> </w:t>
      </w:r>
      <w:r>
        <w:rPr/>
        <w:t>track</w:t>
      </w:r>
      <w:r>
        <w:rPr>
          <w:spacing w:val="-2"/>
        </w:rPr>
        <w:t> </w:t>
      </w:r>
      <w:r>
        <w:rPr/>
        <w:t>the</w:t>
      </w:r>
      <w:r>
        <w:rPr>
          <w:spacing w:val="-2"/>
        </w:rPr>
        <w:t> </w:t>
      </w:r>
      <w:r>
        <w:rPr/>
        <w:t>indices.</w:t>
      </w:r>
      <w:r>
        <w:rPr>
          <w:spacing w:val="-2"/>
        </w:rPr>
        <w:t> </w:t>
      </w:r>
      <w:r>
        <w:rPr/>
        <w:t>Therefore,</w:t>
      </w:r>
      <w:r>
        <w:rPr>
          <w:spacing w:val="-2"/>
        </w:rPr>
        <w:t> </w:t>
      </w:r>
      <w:r>
        <w:rPr/>
        <w:t>it</w:t>
      </w:r>
      <w:r>
        <w:rPr>
          <w:spacing w:val="-2"/>
        </w:rPr>
        <w:t> </w:t>
      </w:r>
      <w:r>
        <w:rPr/>
        <w:t>is</w:t>
      </w:r>
      <w:r>
        <w:rPr>
          <w:spacing w:val="-2"/>
        </w:rPr>
        <w:t> </w:t>
      </w:r>
      <w:r>
        <w:rPr/>
        <w:t>important</w:t>
      </w:r>
      <w:r>
        <w:rPr>
          <w:spacing w:val="40"/>
        </w:rPr>
        <w:t> </w:t>
      </w:r>
      <w:r>
        <w:rPr/>
        <w:t>to</w:t>
      </w:r>
      <w:r>
        <w:rPr>
          <w:spacing w:val="-2"/>
        </w:rPr>
        <w:t> </w:t>
      </w:r>
      <w:r>
        <w:rPr/>
        <w:t>clarify our use of the term benchmark index. Filippou, Gozluklu, and Rozental (2022) use the</w:t>
      </w:r>
      <w:r>
        <w:rPr>
          <w:spacing w:val="40"/>
        </w:rPr>
        <w:t> </w:t>
      </w:r>
      <w:r>
        <w:rPr/>
        <w:t>term tracking index instead of benchmark. In this study, </w:t>
      </w:r>
      <w:r>
        <w:rPr>
          <w:i/>
        </w:rPr>
        <w:t>tracking index </w:t>
      </w:r>
      <w:r>
        <w:rPr/>
        <w:t>refers to the benchmark indicated in the ETF prospectus. On the other hand, the term </w:t>
      </w:r>
      <w:r>
        <w:rPr>
          <w:i/>
        </w:rPr>
        <w:t>bellwether index </w:t>
      </w:r>
      <w:r>
        <w:rPr/>
        <w:t>refers to most prominent index for the country.</w:t>
      </w:r>
    </w:p>
    <w:p>
      <w:pPr>
        <w:pStyle w:val="BodyText"/>
        <w:spacing w:line="266" w:lineRule="auto" w:before="173"/>
        <w:ind w:left="723" w:right="1379"/>
        <w:jc w:val="both"/>
      </w:pPr>
      <w:r>
        <w:rPr/>
        <w:t>For</w:t>
      </w:r>
      <w:r>
        <w:rPr>
          <w:spacing w:val="-4"/>
        </w:rPr>
        <w:t> </w:t>
      </w:r>
      <w:r>
        <w:rPr/>
        <w:t>instance,</w:t>
      </w:r>
      <w:r>
        <w:rPr>
          <w:spacing w:val="-4"/>
        </w:rPr>
        <w:t> </w:t>
      </w:r>
      <w:r>
        <w:rPr/>
        <w:t>the</w:t>
      </w:r>
      <w:r>
        <w:rPr>
          <w:spacing w:val="-4"/>
        </w:rPr>
        <w:t> </w:t>
      </w:r>
      <w:r>
        <w:rPr/>
        <w:t>DAX</w:t>
      </w:r>
      <w:r>
        <w:rPr>
          <w:spacing w:val="-4"/>
        </w:rPr>
        <w:t> </w:t>
      </w:r>
      <w:r>
        <w:rPr/>
        <w:t>is</w:t>
      </w:r>
      <w:r>
        <w:rPr>
          <w:spacing w:val="-4"/>
        </w:rPr>
        <w:t> </w:t>
      </w:r>
      <w:r>
        <w:rPr/>
        <w:t>the</w:t>
      </w:r>
      <w:r>
        <w:rPr>
          <w:spacing w:val="-4"/>
        </w:rPr>
        <w:t> </w:t>
      </w:r>
      <w:r>
        <w:rPr/>
        <w:t>most</w:t>
      </w:r>
      <w:r>
        <w:rPr>
          <w:spacing w:val="-4"/>
        </w:rPr>
        <w:t> </w:t>
      </w:r>
      <w:r>
        <w:rPr/>
        <w:t>prominent</w:t>
      </w:r>
      <w:r>
        <w:rPr>
          <w:spacing w:val="-4"/>
        </w:rPr>
        <w:t> </w:t>
      </w:r>
      <w:r>
        <w:rPr/>
        <w:t>index</w:t>
      </w:r>
      <w:r>
        <w:rPr>
          <w:spacing w:val="-4"/>
        </w:rPr>
        <w:t> </w:t>
      </w:r>
      <w:r>
        <w:rPr/>
        <w:t>for</w:t>
      </w:r>
      <w:r>
        <w:rPr>
          <w:spacing w:val="-4"/>
        </w:rPr>
        <w:t> </w:t>
      </w:r>
      <w:r>
        <w:rPr/>
        <w:t>Germany.</w:t>
      </w:r>
      <w:r>
        <w:rPr>
          <w:spacing w:val="-4"/>
        </w:rPr>
        <w:t> </w:t>
      </w:r>
      <w:r>
        <w:rPr/>
        <w:t>However,</w:t>
      </w:r>
      <w:r>
        <w:rPr>
          <w:spacing w:val="-4"/>
        </w:rPr>
        <w:t> </w:t>
      </w:r>
      <w:r>
        <w:rPr/>
        <w:t>the</w:t>
      </w:r>
      <w:r>
        <w:rPr>
          <w:spacing w:val="-4"/>
        </w:rPr>
        <w:t> </w:t>
      </w:r>
      <w:r>
        <w:rPr/>
        <w:t>index</w:t>
      </w:r>
      <w:r>
        <w:rPr>
          <w:spacing w:val="-4"/>
        </w:rPr>
        <w:t> </w:t>
      </w:r>
      <w:r>
        <w:rPr/>
        <w:t>for</w:t>
      </w:r>
      <w:r>
        <w:rPr>
          <w:spacing w:val="40"/>
        </w:rPr>
        <w:t> </w:t>
      </w:r>
      <w:r>
        <w:rPr/>
        <w:t>EWG</w:t>
      </w:r>
      <w:r>
        <w:rPr>
          <w:spacing w:val="-4"/>
        </w:rPr>
        <w:t> </w:t>
      </w:r>
      <w:r>
        <w:rPr/>
        <w:t>is the MSCI Germany Index. The DAX currently has 40 constituents, but the ETF has over</w:t>
      </w:r>
      <w:r>
        <w:rPr>
          <w:spacing w:val="40"/>
        </w:rPr>
        <w:t> </w:t>
      </w:r>
      <w:r>
        <w:rPr/>
        <w:t>50 holdings. The most prominent British index is the FTSE-100. On the other hand the EWU UK ETF has 82 holdings of which 73 are stocks, which is less than the number of stocks associated with the FTSE.</w:t>
      </w:r>
    </w:p>
    <w:p>
      <w:pPr>
        <w:pStyle w:val="BodyText"/>
        <w:spacing w:line="266" w:lineRule="auto" w:before="174"/>
        <w:ind w:left="723" w:right="1382"/>
        <w:jc w:val="both"/>
      </w:pPr>
      <w:r>
        <w:rPr/>
        <w:t>While there has been a recent increase in ETF research, extant literature about benchmark</w:t>
      </w:r>
      <w:r>
        <w:rPr>
          <w:spacing w:val="80"/>
          <w:w w:val="150"/>
        </w:rPr>
        <w:t> </w:t>
      </w:r>
      <w:r>
        <w:rPr/>
        <w:t>indices is limited. Filippou, et al. (2022) find that the country based shocks are driven by </w:t>
      </w:r>
      <w:r>
        <w:rPr/>
        <w:t>U.S. stock market shocks more than local markets.</w:t>
      </w:r>
      <w:r>
        <w:rPr>
          <w:spacing w:val="-5"/>
        </w:rPr>
        <w:t> </w:t>
      </w:r>
      <w:r>
        <w:rPr/>
        <w:t>Converse,</w:t>
      </w:r>
      <w:r>
        <w:rPr>
          <w:spacing w:val="-5"/>
        </w:rPr>
        <w:t> </w:t>
      </w:r>
      <w:r>
        <w:rPr/>
        <w:t>Levy-Yeyati,</w:t>
      </w:r>
      <w:r>
        <w:rPr>
          <w:spacing w:val="-5"/>
        </w:rPr>
        <w:t> </w:t>
      </w:r>
      <w:r>
        <w:rPr/>
        <w:t>and</w:t>
      </w:r>
      <w:r>
        <w:rPr>
          <w:spacing w:val="-5"/>
        </w:rPr>
        <w:t> </w:t>
      </w:r>
      <w:r>
        <w:rPr/>
        <w:t>Williams</w:t>
      </w:r>
      <w:r>
        <w:rPr>
          <w:spacing w:val="-5"/>
        </w:rPr>
        <w:t> </w:t>
      </w:r>
      <w:r>
        <w:rPr/>
        <w:t>(2023)</w:t>
      </w:r>
      <w:r>
        <w:rPr>
          <w:spacing w:val="-5"/>
        </w:rPr>
        <w:t> </w:t>
      </w:r>
      <w:r>
        <w:rPr/>
        <w:t>show that</w:t>
      </w:r>
      <w:r>
        <w:rPr>
          <w:spacing w:val="75"/>
        </w:rPr>
        <w:t> </w:t>
      </w:r>
      <w:r>
        <w:rPr/>
        <w:t>ETFs</w:t>
      </w:r>
      <w:r>
        <w:rPr>
          <w:spacing w:val="75"/>
        </w:rPr>
        <w:t> </w:t>
      </w:r>
      <w:r>
        <w:rPr/>
        <w:t>amplify</w:t>
      </w:r>
      <w:r>
        <w:rPr>
          <w:spacing w:val="75"/>
        </w:rPr>
        <w:t> </w:t>
      </w:r>
      <w:r>
        <w:rPr/>
        <w:t>the</w:t>
      </w:r>
      <w:r>
        <w:rPr>
          <w:spacing w:val="75"/>
        </w:rPr>
        <w:t> </w:t>
      </w:r>
      <w:r>
        <w:rPr/>
        <w:t>transmission</w:t>
      </w:r>
      <w:r>
        <w:rPr>
          <w:spacing w:val="60"/>
        </w:rPr>
        <w:t> </w:t>
      </w:r>
      <w:r>
        <w:rPr/>
        <w:t>of</w:t>
      </w:r>
      <w:r>
        <w:rPr>
          <w:spacing w:val="60"/>
        </w:rPr>
        <w:t> </w:t>
      </w:r>
      <w:r>
        <w:rPr/>
        <w:t>global</w:t>
      </w:r>
      <w:r>
        <w:rPr>
          <w:spacing w:val="60"/>
        </w:rPr>
        <w:t> </w:t>
      </w:r>
      <w:r>
        <w:rPr/>
        <w:t>financial</w:t>
      </w:r>
      <w:r>
        <w:rPr>
          <w:spacing w:val="60"/>
        </w:rPr>
        <w:t> </w:t>
      </w:r>
      <w:r>
        <w:rPr/>
        <w:t>shocks</w:t>
      </w:r>
      <w:r>
        <w:rPr>
          <w:spacing w:val="60"/>
        </w:rPr>
        <w:t> </w:t>
      </w:r>
      <w:r>
        <w:rPr/>
        <w:t>across</w:t>
      </w:r>
      <w:r>
        <w:rPr>
          <w:spacing w:val="60"/>
        </w:rPr>
        <w:t> </w:t>
      </w:r>
      <w:r>
        <w:rPr/>
        <w:t>countries.</w:t>
      </w:r>
      <w:r>
        <w:rPr>
          <w:spacing w:val="60"/>
        </w:rPr>
        <w:t> </w:t>
      </w:r>
      <w:r>
        <w:rPr/>
        <w:t>This</w:t>
      </w:r>
      <w:r>
        <w:rPr>
          <w:spacing w:val="60"/>
        </w:rPr>
        <w:t> </w:t>
      </w:r>
      <w:r>
        <w:rPr>
          <w:spacing w:val="-2"/>
        </w:rPr>
        <w:t>study</w:t>
      </w:r>
    </w:p>
    <w:p>
      <w:pPr>
        <w:pStyle w:val="BodyText"/>
        <w:spacing w:after="0" w:line="266" w:lineRule="auto"/>
        <w:jc w:val="both"/>
        <w:sectPr>
          <w:pgSz w:w="12240" w:h="15840"/>
          <w:pgMar w:header="0" w:footer="707" w:top="640" w:bottom="900" w:left="720" w:right="0"/>
        </w:sectPr>
      </w:pPr>
    </w:p>
    <w:p>
      <w:pPr>
        <w:pStyle w:val="BodyText"/>
        <w:spacing w:line="266" w:lineRule="auto" w:before="60"/>
        <w:ind w:left="723" w:right="1392"/>
        <w:jc w:val="both"/>
      </w:pPr>
      <w:r>
        <w:rPr/>
        <w:t>examines the deviation in performance of those ETFs from their major indexes. Therefore, </w:t>
      </w:r>
      <w:r>
        <w:rPr/>
        <w:t>the results are of interest to practitioners as they show which types of funds provide the best returns.</w:t>
      </w:r>
    </w:p>
    <w:p>
      <w:pPr>
        <w:pStyle w:val="BodyText"/>
        <w:spacing w:line="266" w:lineRule="auto" w:before="174"/>
        <w:ind w:left="723" w:right="1380"/>
        <w:jc w:val="both"/>
      </w:pPr>
      <w:r>
        <w:rPr/>
        <w:t>The reality is that these funds are not</w:t>
      </w:r>
      <w:r>
        <w:rPr>
          <w:spacing w:val="-2"/>
        </w:rPr>
        <w:t> </w:t>
      </w:r>
      <w:r>
        <w:rPr/>
        <w:t>index</w:t>
      </w:r>
      <w:r>
        <w:rPr>
          <w:spacing w:val="-2"/>
        </w:rPr>
        <w:t> </w:t>
      </w:r>
      <w:r>
        <w:rPr/>
        <w:t>funds</w:t>
      </w:r>
      <w:r>
        <w:rPr>
          <w:spacing w:val="-2"/>
        </w:rPr>
        <w:t> </w:t>
      </w:r>
      <w:r>
        <w:rPr/>
        <w:t>in</w:t>
      </w:r>
      <w:r>
        <w:rPr>
          <w:spacing w:val="-2"/>
        </w:rPr>
        <w:t> </w:t>
      </w:r>
      <w:r>
        <w:rPr/>
        <w:t>the</w:t>
      </w:r>
      <w:r>
        <w:rPr>
          <w:spacing w:val="-2"/>
        </w:rPr>
        <w:t> </w:t>
      </w:r>
      <w:r>
        <w:rPr/>
        <w:t>since</w:t>
      </w:r>
      <w:r>
        <w:rPr>
          <w:spacing w:val="-2"/>
        </w:rPr>
        <w:t> </w:t>
      </w:r>
      <w:r>
        <w:rPr/>
        <w:t>that</w:t>
      </w:r>
      <w:r>
        <w:rPr>
          <w:spacing w:val="-2"/>
        </w:rPr>
        <w:t> </w:t>
      </w:r>
      <w:r>
        <w:rPr/>
        <w:t>many</w:t>
      </w:r>
      <w:r>
        <w:rPr>
          <w:spacing w:val="-2"/>
        </w:rPr>
        <w:t> </w:t>
      </w:r>
      <w:r>
        <w:rPr/>
        <w:t>investors</w:t>
      </w:r>
      <w:r>
        <w:rPr>
          <w:spacing w:val="-2"/>
        </w:rPr>
        <w:t> </w:t>
      </w:r>
      <w:r>
        <w:rPr/>
        <w:t>associate</w:t>
      </w:r>
      <w:r>
        <w:rPr>
          <w:spacing w:val="40"/>
        </w:rPr>
        <w:t> </w:t>
      </w:r>
      <w:r>
        <w:rPr/>
        <w:t>with index based ETFs that closely mimic the performance of a major benchmark. This paper sheds light on the opacity</w:t>
      </w:r>
      <w:r>
        <w:rPr>
          <w:spacing w:val="-2"/>
        </w:rPr>
        <w:t> </w:t>
      </w:r>
      <w:r>
        <w:rPr/>
        <w:t>of</w:t>
      </w:r>
      <w:r>
        <w:rPr>
          <w:spacing w:val="-2"/>
        </w:rPr>
        <w:t> </w:t>
      </w:r>
      <w:r>
        <w:rPr/>
        <w:t>the</w:t>
      </w:r>
      <w:r>
        <w:rPr>
          <w:spacing w:val="-2"/>
        </w:rPr>
        <w:t> </w:t>
      </w:r>
      <w:r>
        <w:rPr/>
        <w:t>holdings</w:t>
      </w:r>
      <w:r>
        <w:rPr>
          <w:spacing w:val="-2"/>
        </w:rPr>
        <w:t> </w:t>
      </w:r>
      <w:r>
        <w:rPr/>
        <w:t>of</w:t>
      </w:r>
      <w:r>
        <w:rPr>
          <w:spacing w:val="-2"/>
        </w:rPr>
        <w:t> </w:t>
      </w:r>
      <w:r>
        <w:rPr/>
        <w:t>these</w:t>
      </w:r>
      <w:r>
        <w:rPr>
          <w:spacing w:val="-2"/>
        </w:rPr>
        <w:t> </w:t>
      </w:r>
      <w:r>
        <w:rPr/>
        <w:t>funds.</w:t>
      </w:r>
      <w:r>
        <w:rPr>
          <w:spacing w:val="-2"/>
        </w:rPr>
        <w:t> </w:t>
      </w:r>
      <w:r>
        <w:rPr/>
        <w:t>Existing</w:t>
      </w:r>
      <w:r>
        <w:rPr>
          <w:spacing w:val="-2"/>
        </w:rPr>
        <w:t> </w:t>
      </w:r>
      <w:r>
        <w:rPr/>
        <w:t>literature</w:t>
      </w:r>
      <w:r>
        <w:rPr>
          <w:spacing w:val="-2"/>
        </w:rPr>
        <w:t> </w:t>
      </w:r>
      <w:r>
        <w:rPr/>
        <w:t>does</w:t>
      </w:r>
      <w:r>
        <w:rPr>
          <w:spacing w:val="-2"/>
        </w:rPr>
        <w:t> </w:t>
      </w:r>
      <w:r>
        <w:rPr/>
        <w:t>not</w:t>
      </w:r>
      <w:r>
        <w:rPr>
          <w:spacing w:val="-2"/>
        </w:rPr>
        <w:t> </w:t>
      </w:r>
      <w:r>
        <w:rPr/>
        <w:t>adequately</w:t>
      </w:r>
      <w:r>
        <w:rPr>
          <w:spacing w:val="-2"/>
        </w:rPr>
        <w:t> </w:t>
      </w:r>
      <w:r>
        <w:rPr/>
        <w:t>address this topic. The tariff announcements of 2025 present a fruitful time with which to analyze the impact of trade policy on international ETFs. The periods of heightened volatility should</w:t>
      </w:r>
      <w:r>
        <w:rPr>
          <w:spacing w:val="-3"/>
        </w:rPr>
        <w:t> </w:t>
      </w:r>
      <w:r>
        <w:rPr/>
        <w:t>lead</w:t>
      </w:r>
      <w:r>
        <w:rPr>
          <w:spacing w:val="-3"/>
        </w:rPr>
        <w:t> </w:t>
      </w:r>
      <w:r>
        <w:rPr/>
        <w:t>to greater deviation.</w:t>
      </w:r>
    </w:p>
    <w:p>
      <w:pPr>
        <w:pStyle w:val="BodyText"/>
        <w:spacing w:line="266" w:lineRule="auto" w:before="171"/>
        <w:ind w:left="723" w:right="1385"/>
        <w:jc w:val="both"/>
      </w:pPr>
      <w:r>
        <w:rPr/>
        <w:t>This study addresses the following research questions: Do International ETFs track</w:t>
      </w:r>
      <w:r>
        <w:rPr>
          <w:spacing w:val="40"/>
        </w:rPr>
        <w:t> </w:t>
      </w:r>
      <w:r>
        <w:rPr/>
        <w:t>bellwether indexes? Do funds with less (more) holdings perform better (worse) than</w:t>
      </w:r>
      <w:r>
        <w:rPr>
          <w:spacing w:val="-2"/>
        </w:rPr>
        <w:t> </w:t>
      </w:r>
      <w:r>
        <w:rPr/>
        <w:t>bellwether</w:t>
      </w:r>
      <w:r>
        <w:rPr>
          <w:spacing w:val="40"/>
        </w:rPr>
        <w:t> </w:t>
      </w:r>
      <w:r>
        <w:rPr/>
        <w:t>ETFs?</w:t>
      </w:r>
      <w:r>
        <w:rPr>
          <w:spacing w:val="-2"/>
        </w:rPr>
        <w:t> </w:t>
      </w:r>
      <w:r>
        <w:rPr/>
        <w:t>The answers to these questions will help shed light on why the fund managers use different </w:t>
      </w:r>
      <w:r>
        <w:rPr>
          <w:spacing w:val="-2"/>
        </w:rPr>
        <w:t>benchmarks.</w:t>
      </w:r>
    </w:p>
    <w:p>
      <w:pPr>
        <w:pStyle w:val="BodyText"/>
        <w:spacing w:line="266" w:lineRule="auto" w:before="172"/>
        <w:ind w:left="723" w:right="1387"/>
        <w:jc w:val="both"/>
      </w:pPr>
      <w:r>
        <w:rPr/>
        <w:t>The remainder of the paper is organized as follows. Section 2 includes the literature</w:t>
      </w:r>
      <w:r>
        <w:rPr>
          <w:spacing w:val="-3"/>
        </w:rPr>
        <w:t> </w:t>
      </w:r>
      <w:r>
        <w:rPr/>
        <w:t>review</w:t>
      </w:r>
      <w:r>
        <w:rPr>
          <w:spacing w:val="40"/>
        </w:rPr>
        <w:t> </w:t>
      </w:r>
      <w:r>
        <w:rPr/>
        <w:t>and hypothesis development. Section 3 presents the sample selection and initial analysis. Section</w:t>
      </w:r>
      <w:r>
        <w:rPr>
          <w:spacing w:val="40"/>
        </w:rPr>
        <w:t> </w:t>
      </w:r>
      <w:r>
        <w:rPr/>
        <w:t>4 organizes the results and section 5 concludes.</w:t>
      </w:r>
    </w:p>
    <w:p>
      <w:pPr>
        <w:pStyle w:val="BodyText"/>
      </w:pPr>
    </w:p>
    <w:p>
      <w:pPr>
        <w:pStyle w:val="Heading4"/>
      </w:pPr>
      <w:r>
        <w:rPr/>
        <w:t>Literature</w:t>
      </w:r>
      <w:r>
        <w:rPr>
          <w:spacing w:val="-5"/>
        </w:rPr>
        <w:t> </w:t>
      </w:r>
      <w:r>
        <w:rPr>
          <w:spacing w:val="-2"/>
        </w:rPr>
        <w:t>Overview</w:t>
      </w:r>
    </w:p>
    <w:p>
      <w:pPr>
        <w:pStyle w:val="BodyText"/>
        <w:spacing w:line="266" w:lineRule="auto" w:before="200"/>
        <w:ind w:left="723" w:right="1619"/>
      </w:pPr>
      <w:r>
        <w:rPr/>
        <w:t>This</w:t>
      </w:r>
      <w:r>
        <w:rPr>
          <w:spacing w:val="-3"/>
        </w:rPr>
        <w:t> </w:t>
      </w:r>
      <w:r>
        <w:rPr/>
        <w:t>study</w:t>
      </w:r>
      <w:r>
        <w:rPr>
          <w:spacing w:val="-3"/>
        </w:rPr>
        <w:t> </w:t>
      </w:r>
      <w:r>
        <w:rPr/>
        <w:t>builds</w:t>
      </w:r>
      <w:r>
        <w:rPr>
          <w:spacing w:val="-3"/>
        </w:rPr>
        <w:t> </w:t>
      </w:r>
      <w:r>
        <w:rPr/>
        <w:t>on</w:t>
      </w:r>
      <w:r>
        <w:rPr>
          <w:spacing w:val="-3"/>
        </w:rPr>
        <w:t> </w:t>
      </w:r>
      <w:r>
        <w:rPr/>
        <w:t>a</w:t>
      </w:r>
      <w:r>
        <w:rPr>
          <w:spacing w:val="-3"/>
        </w:rPr>
        <w:t> </w:t>
      </w:r>
      <w:r>
        <w:rPr/>
        <w:t>growing</w:t>
      </w:r>
      <w:r>
        <w:rPr>
          <w:spacing w:val="-3"/>
        </w:rPr>
        <w:t> </w:t>
      </w:r>
      <w:r>
        <w:rPr/>
        <w:t>stream</w:t>
      </w:r>
      <w:r>
        <w:rPr>
          <w:spacing w:val="-3"/>
        </w:rPr>
        <w:t> </w:t>
      </w:r>
      <w:r>
        <w:rPr/>
        <w:t>of</w:t>
      </w:r>
      <w:r>
        <w:rPr>
          <w:spacing w:val="-3"/>
        </w:rPr>
        <w:t> </w:t>
      </w:r>
      <w:r>
        <w:rPr/>
        <w:t>literature</w:t>
      </w:r>
      <w:r>
        <w:rPr>
          <w:spacing w:val="-3"/>
        </w:rPr>
        <w:t> </w:t>
      </w:r>
      <w:r>
        <w:rPr/>
        <w:t>about</w:t>
      </w:r>
      <w:r>
        <w:rPr>
          <w:spacing w:val="-3"/>
        </w:rPr>
        <w:t> </w:t>
      </w:r>
      <w:r>
        <w:rPr/>
        <w:t>ETFs.</w:t>
      </w:r>
      <w:r>
        <w:rPr>
          <w:spacing w:val="-3"/>
        </w:rPr>
        <w:t> </w:t>
      </w:r>
      <w:r>
        <w:rPr/>
        <w:t>Ben-David,</w:t>
      </w:r>
      <w:r>
        <w:rPr>
          <w:spacing w:val="-3"/>
        </w:rPr>
        <w:t> </w:t>
      </w:r>
      <w:r>
        <w:rPr/>
        <w:t>et</w:t>
      </w:r>
      <w:r>
        <w:rPr>
          <w:spacing w:val="-3"/>
        </w:rPr>
        <w:t> </w:t>
      </w:r>
      <w:r>
        <w:rPr/>
        <w:t>al.</w:t>
      </w:r>
      <w:r>
        <w:rPr>
          <w:spacing w:val="-3"/>
        </w:rPr>
        <w:t> </w:t>
      </w:r>
      <w:r>
        <w:rPr/>
        <w:t>(2018)</w:t>
      </w:r>
      <w:r>
        <w:rPr>
          <w:spacing w:val="40"/>
        </w:rPr>
        <w:t> </w:t>
      </w:r>
      <w:r>
        <w:rPr/>
        <w:t>show that ETF ownership increases volatility. The seminal work of Agapova compares ETFs to traditional mutual funds. Boehmer and Boehmer document the listing and trading of the major ETFs. This study draws from a stream of literature</w:t>
      </w:r>
    </w:p>
    <w:p>
      <w:pPr>
        <w:pStyle w:val="BodyText"/>
        <w:spacing w:line="266" w:lineRule="auto" w:before="201"/>
        <w:ind w:left="723" w:right="1379"/>
        <w:jc w:val="both"/>
      </w:pPr>
      <w:r>
        <w:rPr/>
        <w:t>The growing stream of literature about exchange traded funds is an exciting area of </w:t>
      </w:r>
      <w:r>
        <w:rPr/>
        <w:t>study. Atanasova and Weisskopf (2020) find a positive relationship between liquidity and the price convergence of the ETFs and their holdings. Bhattacharya and O’Hara (2017) model an amplification mechanism. In times of economic uncertainty and financial instability, Alomari, Selmi, Mensi, Ko and Kang (2024) find that ETF spillover effects are magnified.</w:t>
      </w:r>
    </w:p>
    <w:p>
      <w:pPr>
        <w:spacing w:line="266" w:lineRule="auto" w:before="200"/>
        <w:ind w:left="4550" w:right="1191" w:hanging="3162"/>
        <w:jc w:val="left"/>
        <w:rPr>
          <w:i/>
          <w:sz w:val="24"/>
        </w:rPr>
      </w:pPr>
      <w:r>
        <w:rPr>
          <w:i/>
          <w:sz w:val="24"/>
          <w:u w:val="thick"/>
        </w:rPr>
        <w:t>Hypothesis</w:t>
      </w:r>
      <w:r>
        <w:rPr>
          <w:i/>
          <w:sz w:val="24"/>
          <w:u w:val="none"/>
        </w:rPr>
        <w:t>:</w:t>
      </w:r>
      <w:r>
        <w:rPr>
          <w:i/>
          <w:spacing w:val="-4"/>
          <w:sz w:val="24"/>
          <w:u w:val="none"/>
        </w:rPr>
        <w:t> </w:t>
      </w:r>
      <w:r>
        <w:rPr>
          <w:i/>
          <w:sz w:val="24"/>
          <w:u w:val="none"/>
        </w:rPr>
        <w:t>The</w:t>
      </w:r>
      <w:r>
        <w:rPr>
          <w:i/>
          <w:spacing w:val="-4"/>
          <w:sz w:val="24"/>
          <w:u w:val="none"/>
        </w:rPr>
        <w:t> </w:t>
      </w:r>
      <w:r>
        <w:rPr>
          <w:i/>
          <w:sz w:val="24"/>
          <w:u w:val="none"/>
        </w:rPr>
        <w:t>deviation</w:t>
      </w:r>
      <w:r>
        <w:rPr>
          <w:i/>
          <w:spacing w:val="-4"/>
          <w:sz w:val="24"/>
          <w:u w:val="none"/>
        </w:rPr>
        <w:t> </w:t>
      </w:r>
      <w:r>
        <w:rPr>
          <w:i/>
          <w:sz w:val="24"/>
          <w:u w:val="none"/>
        </w:rPr>
        <w:t>in</w:t>
      </w:r>
      <w:r>
        <w:rPr>
          <w:i/>
          <w:spacing w:val="-4"/>
          <w:sz w:val="24"/>
          <w:u w:val="none"/>
        </w:rPr>
        <w:t> </w:t>
      </w:r>
      <w:r>
        <w:rPr>
          <w:i/>
          <w:sz w:val="24"/>
          <w:u w:val="none"/>
        </w:rPr>
        <w:t>performance</w:t>
      </w:r>
      <w:r>
        <w:rPr>
          <w:i/>
          <w:spacing w:val="-4"/>
          <w:sz w:val="24"/>
          <w:u w:val="none"/>
        </w:rPr>
        <w:t> </w:t>
      </w:r>
      <w:r>
        <w:rPr>
          <w:i/>
          <w:sz w:val="24"/>
          <w:u w:val="none"/>
        </w:rPr>
        <w:t>of</w:t>
      </w:r>
      <w:r>
        <w:rPr>
          <w:i/>
          <w:spacing w:val="-4"/>
          <w:sz w:val="24"/>
          <w:u w:val="none"/>
        </w:rPr>
        <w:t> </w:t>
      </w:r>
      <w:r>
        <w:rPr>
          <w:i/>
          <w:sz w:val="24"/>
          <w:u w:val="none"/>
        </w:rPr>
        <w:t>ETFs</w:t>
      </w:r>
      <w:r>
        <w:rPr>
          <w:i/>
          <w:spacing w:val="-4"/>
          <w:sz w:val="24"/>
          <w:u w:val="none"/>
        </w:rPr>
        <w:t> </w:t>
      </w:r>
      <w:r>
        <w:rPr>
          <w:i/>
          <w:sz w:val="24"/>
          <w:u w:val="none"/>
        </w:rPr>
        <w:t>will</w:t>
      </w:r>
      <w:r>
        <w:rPr>
          <w:i/>
          <w:spacing w:val="-4"/>
          <w:sz w:val="24"/>
          <w:u w:val="none"/>
        </w:rPr>
        <w:t> </w:t>
      </w:r>
      <w:r>
        <w:rPr>
          <w:i/>
          <w:sz w:val="24"/>
          <w:u w:val="none"/>
        </w:rPr>
        <w:t>be</w:t>
      </w:r>
      <w:r>
        <w:rPr>
          <w:i/>
          <w:spacing w:val="-4"/>
          <w:sz w:val="24"/>
          <w:u w:val="none"/>
        </w:rPr>
        <w:t> </w:t>
      </w:r>
      <w:r>
        <w:rPr>
          <w:i/>
          <w:sz w:val="24"/>
          <w:u w:val="none"/>
        </w:rPr>
        <w:t>greater</w:t>
      </w:r>
      <w:r>
        <w:rPr>
          <w:i/>
          <w:spacing w:val="-4"/>
          <w:sz w:val="24"/>
          <w:u w:val="none"/>
        </w:rPr>
        <w:t> </w:t>
      </w:r>
      <w:r>
        <w:rPr>
          <w:i/>
          <w:sz w:val="24"/>
          <w:u w:val="none"/>
        </w:rPr>
        <w:t>during</w:t>
      </w:r>
      <w:r>
        <w:rPr>
          <w:i/>
          <w:spacing w:val="-4"/>
          <w:sz w:val="24"/>
          <w:u w:val="none"/>
        </w:rPr>
        <w:t> </w:t>
      </w:r>
      <w:r>
        <w:rPr>
          <w:i/>
          <w:sz w:val="24"/>
          <w:u w:val="none"/>
        </w:rPr>
        <w:t>periods</w:t>
      </w:r>
      <w:r>
        <w:rPr>
          <w:i/>
          <w:spacing w:val="-4"/>
          <w:sz w:val="24"/>
          <w:u w:val="none"/>
        </w:rPr>
        <w:t> </w:t>
      </w:r>
      <w:r>
        <w:rPr>
          <w:i/>
          <w:sz w:val="24"/>
          <w:u w:val="none"/>
        </w:rPr>
        <w:t>of</w:t>
      </w:r>
      <w:r>
        <w:rPr>
          <w:i/>
          <w:sz w:val="24"/>
          <w:u w:val="none"/>
        </w:rPr>
        <w:t> abnormal volume.</w:t>
      </w:r>
    </w:p>
    <w:p>
      <w:pPr>
        <w:pStyle w:val="BodyText"/>
        <w:spacing w:line="266" w:lineRule="auto" w:before="199"/>
        <w:ind w:left="723" w:right="1380"/>
        <w:jc w:val="both"/>
      </w:pPr>
      <w:r>
        <w:rPr/>
        <w:t>Converse et al. (2023) find that equity flows and stock prices are more volatile in</w:t>
      </w:r>
      <w:r>
        <w:rPr>
          <w:spacing w:val="40"/>
        </w:rPr>
        <w:t> </w:t>
      </w:r>
      <w:r>
        <w:rPr/>
        <w:t>international markets with greater ETF ownership. Converse et al. (2023) explain how the creation</w:t>
      </w:r>
      <w:r>
        <w:rPr>
          <w:spacing w:val="40"/>
        </w:rPr>
        <w:t> </w:t>
      </w:r>
      <w:r>
        <w:rPr/>
        <w:t>and redemption process for shares in emerging market ETFs happens on more developed markets.</w:t>
      </w:r>
    </w:p>
    <w:p>
      <w:pPr>
        <w:pStyle w:val="Heading4"/>
        <w:spacing w:before="274"/>
      </w:pPr>
      <w:r>
        <w:rPr>
          <w:spacing w:val="-2"/>
        </w:rPr>
        <w:t>Methodology</w:t>
      </w:r>
    </w:p>
    <w:p>
      <w:pPr>
        <w:pStyle w:val="BodyText"/>
        <w:spacing w:line="266" w:lineRule="auto" w:before="200"/>
        <w:ind w:left="723" w:right="1391"/>
        <w:jc w:val="both"/>
      </w:pPr>
      <w:r>
        <w:rPr/>
        <w:t>The sample in this study does not contain any multi-country ETFs. Atanasova and</w:t>
      </w:r>
      <w:r>
        <w:rPr>
          <w:spacing w:val="40"/>
        </w:rPr>
        <w:t> </w:t>
      </w:r>
      <w:r>
        <w:rPr/>
        <w:t>Weisskopf (2020) separate by development level. This study uses the tariff announcement of 2025</w:t>
      </w:r>
      <w:r>
        <w:rPr>
          <w:spacing w:val="40"/>
        </w:rPr>
        <w:t> </w:t>
      </w:r>
      <w:r>
        <w:rPr/>
        <w:t>as a global shock. What international ETFs track major benchmarks and which ones do not?</w:t>
      </w:r>
    </w:p>
    <w:p>
      <w:pPr>
        <w:pStyle w:val="BodyText"/>
        <w:spacing w:line="266" w:lineRule="auto" w:before="173"/>
        <w:ind w:left="723" w:right="1379"/>
        <w:jc w:val="both"/>
      </w:pPr>
      <w:r>
        <w:rPr/>
        <w:t>Current literature in this area is limited. Filippou, et al. (2022) utilize the term tracking</w:t>
      </w:r>
      <w:r>
        <w:rPr>
          <w:spacing w:val="40"/>
        </w:rPr>
        <w:t> </w:t>
      </w:r>
      <w:r>
        <w:rPr/>
        <w:t>index instead of benchmark. Atanasova and Weisskopf (2020) suggest that emerging market funds</w:t>
      </w:r>
      <w:r>
        <w:rPr>
          <w:spacing w:val="40"/>
        </w:rPr>
        <w:t> </w:t>
      </w:r>
      <w:r>
        <w:rPr/>
        <w:t>in their sample are smaller, more illiquid and have higher expense ratios.</w:t>
      </w:r>
    </w:p>
    <w:p>
      <w:pPr>
        <w:pStyle w:val="BodyText"/>
        <w:spacing w:after="0" w:line="266" w:lineRule="auto"/>
        <w:jc w:val="both"/>
        <w:sectPr>
          <w:pgSz w:w="12240" w:h="15840"/>
          <w:pgMar w:header="0" w:footer="707" w:top="640" w:bottom="960" w:left="720" w:right="0"/>
        </w:sectPr>
      </w:pPr>
    </w:p>
    <w:p>
      <w:pPr>
        <w:pStyle w:val="BodyText"/>
        <w:spacing w:before="60"/>
        <w:ind w:left="1008"/>
        <w:jc w:val="both"/>
      </w:pPr>
      <w:r>
        <w:rPr/>
        <w:t>Table</w:t>
      </w:r>
      <w:r>
        <w:rPr>
          <w:spacing w:val="-6"/>
        </w:rPr>
        <w:t> </w:t>
      </w:r>
      <w:r>
        <w:rPr/>
        <w:t>1:</w:t>
      </w:r>
      <w:r>
        <w:rPr>
          <w:spacing w:val="-6"/>
        </w:rPr>
        <w:t> </w:t>
      </w:r>
      <w:r>
        <w:rPr/>
        <w:t>Descriptive</w:t>
      </w:r>
      <w:r>
        <w:rPr>
          <w:spacing w:val="-5"/>
        </w:rPr>
        <w:t> </w:t>
      </w:r>
      <w:r>
        <w:rPr>
          <w:spacing w:val="-2"/>
        </w:rPr>
        <w:t>Statistics</w:t>
      </w:r>
    </w:p>
    <w:p>
      <w:pPr>
        <w:pStyle w:val="BodyText"/>
        <w:spacing w:line="266" w:lineRule="auto" w:before="232"/>
        <w:ind w:left="1008" w:right="1664"/>
        <w:jc w:val="both"/>
      </w:pPr>
      <w:r>
        <w:rPr/>
        <w:t>The table presents the descriptive statistics for the sample exchange traded funds. Panel</w:t>
      </w:r>
      <w:r>
        <w:rPr>
          <w:spacing w:val="-1"/>
        </w:rPr>
        <w:t> </w:t>
      </w:r>
      <w:r>
        <w:rPr/>
        <w:t>A presents</w:t>
      </w:r>
      <w:r>
        <w:rPr>
          <w:spacing w:val="40"/>
        </w:rPr>
        <w:t> </w:t>
      </w:r>
      <w:r>
        <w:rPr/>
        <w:t>the Net Asset Value of the sample ETFs. Panel B provides the share prices. The price</w:t>
      </w:r>
      <w:r>
        <w:rPr>
          <w:spacing w:val="29"/>
        </w:rPr>
        <w:t> </w:t>
      </w:r>
      <w:r>
        <w:rPr/>
        <w:t>figures are</w:t>
      </w:r>
      <w:r>
        <w:rPr>
          <w:spacing w:val="80"/>
        </w:rPr>
        <w:t> </w:t>
      </w:r>
      <w:r>
        <w:rPr/>
        <w:t>the open price for the ETFs. Panel C presents the shares outstanding for the sample funds. Panel D</w:t>
      </w:r>
      <w:r>
        <w:rPr>
          <w:spacing w:val="40"/>
        </w:rPr>
        <w:t> </w:t>
      </w:r>
      <w:r>
        <w:rPr/>
        <w:t>shows the daily share volume.</w:t>
      </w:r>
    </w:p>
    <w:p>
      <w:pPr>
        <w:pStyle w:val="BodyText"/>
        <w:spacing w:before="143"/>
        <w:rPr>
          <w:sz w:val="20"/>
        </w:rPr>
      </w:pPr>
      <w:r>
        <w:rPr>
          <w:sz w:val="20"/>
        </w:rPr>
        <w:drawing>
          <wp:anchor distT="0" distB="0" distL="0" distR="0" allowOverlap="1" layoutInCell="1" locked="0" behindDoc="1" simplePos="0" relativeHeight="487596032">
            <wp:simplePos x="0" y="0"/>
            <wp:positionH relativeFrom="page">
              <wp:posOffset>1151285</wp:posOffset>
            </wp:positionH>
            <wp:positionV relativeFrom="paragraph">
              <wp:posOffset>252664</wp:posOffset>
            </wp:positionV>
            <wp:extent cx="5653106" cy="5897880"/>
            <wp:effectExtent l="0" t="0" r="0" b="0"/>
            <wp:wrapTopAndBottom/>
            <wp:docPr id="34" name="Image 34"/>
            <wp:cNvGraphicFramePr>
              <a:graphicFrameLocks/>
            </wp:cNvGraphicFramePr>
            <a:graphic>
              <a:graphicData uri="http://schemas.openxmlformats.org/drawingml/2006/picture">
                <pic:pic>
                  <pic:nvPicPr>
                    <pic:cNvPr id="34" name="Image 34"/>
                    <pic:cNvPicPr/>
                  </pic:nvPicPr>
                  <pic:blipFill>
                    <a:blip r:embed="rId149" cstate="print"/>
                    <a:stretch>
                      <a:fillRect/>
                    </a:stretch>
                  </pic:blipFill>
                  <pic:spPr>
                    <a:xfrm>
                      <a:off x="0" y="0"/>
                      <a:ext cx="5653106" cy="5897880"/>
                    </a:xfrm>
                    <a:prstGeom prst="rect">
                      <a:avLst/>
                    </a:prstGeom>
                  </pic:spPr>
                </pic:pic>
              </a:graphicData>
            </a:graphic>
          </wp:anchor>
        </w:drawing>
      </w:r>
    </w:p>
    <w:p>
      <w:pPr>
        <w:pStyle w:val="BodyText"/>
        <w:spacing w:before="161"/>
      </w:pPr>
    </w:p>
    <w:p>
      <w:pPr>
        <w:pStyle w:val="BodyText"/>
        <w:spacing w:line="266" w:lineRule="auto"/>
        <w:ind w:left="723" w:right="1387"/>
        <w:jc w:val="both"/>
      </w:pPr>
      <w:r>
        <w:rPr/>
        <w:t>The data</w:t>
      </w:r>
      <w:r>
        <w:rPr>
          <w:spacing w:val="-3"/>
        </w:rPr>
        <w:t> </w:t>
      </w:r>
      <w:r>
        <w:rPr/>
        <w:t>focuses</w:t>
      </w:r>
      <w:r>
        <w:rPr>
          <w:spacing w:val="-3"/>
        </w:rPr>
        <w:t> </w:t>
      </w:r>
      <w:r>
        <w:rPr/>
        <w:t>on</w:t>
      </w:r>
      <w:r>
        <w:rPr>
          <w:spacing w:val="-3"/>
        </w:rPr>
        <w:t> </w:t>
      </w:r>
      <w:r>
        <w:rPr/>
        <w:t>international</w:t>
      </w:r>
      <w:r>
        <w:rPr>
          <w:spacing w:val="-3"/>
        </w:rPr>
        <w:t> </w:t>
      </w:r>
      <w:r>
        <w:rPr/>
        <w:t>ETFs.</w:t>
      </w:r>
      <w:r>
        <w:rPr>
          <w:spacing w:val="-3"/>
        </w:rPr>
        <w:t> </w:t>
      </w:r>
      <w:r>
        <w:rPr/>
        <w:t>This</w:t>
      </w:r>
      <w:r>
        <w:rPr>
          <w:spacing w:val="-3"/>
        </w:rPr>
        <w:t> </w:t>
      </w:r>
      <w:r>
        <w:rPr/>
        <w:t>study</w:t>
      </w:r>
      <w:r>
        <w:rPr>
          <w:spacing w:val="-3"/>
        </w:rPr>
        <w:t> </w:t>
      </w:r>
      <w:r>
        <w:rPr/>
        <w:t>uses</w:t>
      </w:r>
      <w:r>
        <w:rPr>
          <w:spacing w:val="-3"/>
        </w:rPr>
        <w:t> </w:t>
      </w:r>
      <w:r>
        <w:rPr/>
        <w:t>ETFs</w:t>
      </w:r>
      <w:r>
        <w:rPr>
          <w:spacing w:val="-3"/>
        </w:rPr>
        <w:t> </w:t>
      </w:r>
      <w:r>
        <w:rPr/>
        <w:t>found</w:t>
      </w:r>
      <w:r>
        <w:rPr>
          <w:spacing w:val="-3"/>
        </w:rPr>
        <w:t> </w:t>
      </w:r>
      <w:r>
        <w:rPr/>
        <w:t>in</w:t>
      </w:r>
      <w:r>
        <w:rPr>
          <w:spacing w:val="-3"/>
        </w:rPr>
        <w:t> </w:t>
      </w:r>
      <w:r>
        <w:rPr/>
        <w:t>the</w:t>
      </w:r>
      <w:r>
        <w:rPr>
          <w:spacing w:val="-3"/>
        </w:rPr>
        <w:t> </w:t>
      </w:r>
      <w:r>
        <w:rPr/>
        <w:t>sample</w:t>
      </w:r>
      <w:r>
        <w:rPr>
          <w:spacing w:val="-3"/>
        </w:rPr>
        <w:t> </w:t>
      </w:r>
      <w:r>
        <w:rPr/>
        <w:t>of</w:t>
      </w:r>
      <w:r>
        <w:rPr>
          <w:spacing w:val="40"/>
        </w:rPr>
        <w:t> </w:t>
      </w:r>
      <w:r>
        <w:rPr/>
        <w:t>Filippou,</w:t>
      </w:r>
      <w:r>
        <w:rPr>
          <w:spacing w:val="-3"/>
        </w:rPr>
        <w:t> </w:t>
      </w:r>
      <w:r>
        <w:rPr/>
        <w:t>et al. (2022). The country based ETFs are found in the iShares family. EWC Canada is</w:t>
      </w:r>
      <w:r>
        <w:rPr>
          <w:spacing w:val="40"/>
        </w:rPr>
        <w:t> </w:t>
      </w:r>
      <w:r>
        <w:rPr/>
        <w:t>also an interesting case. The sample does not include multi-country ETFs such as EEM.</w:t>
      </w:r>
    </w:p>
    <w:p>
      <w:pPr>
        <w:pStyle w:val="BodyText"/>
        <w:spacing w:line="266" w:lineRule="auto" w:before="173"/>
        <w:ind w:left="723" w:right="1380"/>
        <w:jc w:val="both"/>
      </w:pPr>
      <w:r>
        <w:rPr/>
        <w:t>Similar studies in the past have used different techniques to identify time periods.</w:t>
      </w:r>
      <w:r>
        <w:rPr>
          <w:spacing w:val="-3"/>
        </w:rPr>
        <w:t> </w:t>
      </w:r>
      <w:r>
        <w:rPr/>
        <w:t>A&amp;W</w:t>
      </w:r>
      <w:r>
        <w:rPr>
          <w:spacing w:val="40"/>
        </w:rPr>
        <w:t> </w:t>
      </w:r>
      <w:r>
        <w:rPr/>
        <w:t>(2020) use quintiles of trading volume. Filippou, et al. (2022) utilize VIX shocks. The primary</w:t>
      </w:r>
      <w:r>
        <w:rPr>
          <w:spacing w:val="40"/>
        </w:rPr>
        <w:t> </w:t>
      </w:r>
      <w:r>
        <w:rPr/>
        <w:t>date of interest in the study was on the so-called liberation day of April 2, 2025</w:t>
      </w:r>
    </w:p>
    <w:p>
      <w:pPr>
        <w:pStyle w:val="BodyText"/>
        <w:spacing w:after="0" w:line="266" w:lineRule="auto"/>
        <w:jc w:val="both"/>
        <w:sectPr>
          <w:pgSz w:w="12240" w:h="15840"/>
          <w:pgMar w:header="0" w:footer="707" w:top="640" w:bottom="960" w:left="720" w:right="0"/>
        </w:sectPr>
      </w:pPr>
    </w:p>
    <w:p>
      <w:pPr>
        <w:pStyle w:val="BodyText"/>
        <w:spacing w:line="266" w:lineRule="auto" w:before="60"/>
        <w:ind w:left="723" w:right="1382"/>
        <w:jc w:val="both"/>
      </w:pPr>
      <w:r>
        <w:rPr/>
        <w:t>Table 1 presents the descriptive statistics for the sample of exchange traded funds. Panel</w:t>
      </w:r>
      <w:r>
        <w:rPr>
          <w:spacing w:val="40"/>
        </w:rPr>
        <w:t> </w:t>
      </w:r>
      <w:r>
        <w:rPr/>
        <w:t>A presents the Net Asset Value of the sample ETFs. There is substantial variation in the NAV among the ETFs, but the variation throughout the sample period is the more important aspect</w:t>
      </w:r>
      <w:r>
        <w:rPr>
          <w:spacing w:val="-2"/>
        </w:rPr>
        <w:t> </w:t>
      </w:r>
      <w:r>
        <w:rPr/>
        <w:t>of this study. Panel B provides the daily open share prices for the ETFs. We can see that there is substantial variation in the share prices.</w:t>
      </w:r>
    </w:p>
    <w:p>
      <w:pPr>
        <w:pStyle w:val="BodyText"/>
        <w:spacing w:before="98"/>
      </w:pPr>
    </w:p>
    <w:p>
      <w:pPr>
        <w:pStyle w:val="BodyText"/>
        <w:spacing w:line="266" w:lineRule="auto"/>
        <w:ind w:left="723" w:right="1384"/>
        <w:jc w:val="both"/>
      </w:pPr>
      <w:r>
        <w:rPr/>
        <w:t>Panel C</w:t>
      </w:r>
      <w:r>
        <w:rPr>
          <w:spacing w:val="-4"/>
        </w:rPr>
        <w:t> </w:t>
      </w:r>
      <w:r>
        <w:rPr/>
        <w:t>of</w:t>
      </w:r>
      <w:r>
        <w:rPr>
          <w:spacing w:val="-4"/>
        </w:rPr>
        <w:t> </w:t>
      </w:r>
      <w:r>
        <w:rPr/>
        <w:t>Table</w:t>
      </w:r>
      <w:r>
        <w:rPr>
          <w:spacing w:val="-4"/>
        </w:rPr>
        <w:t> </w:t>
      </w:r>
      <w:r>
        <w:rPr/>
        <w:t>1</w:t>
      </w:r>
      <w:r>
        <w:rPr>
          <w:spacing w:val="-4"/>
        </w:rPr>
        <w:t> </w:t>
      </w:r>
      <w:r>
        <w:rPr/>
        <w:t>presents</w:t>
      </w:r>
      <w:r>
        <w:rPr>
          <w:spacing w:val="-4"/>
        </w:rPr>
        <w:t> </w:t>
      </w:r>
      <w:r>
        <w:rPr/>
        <w:t>the</w:t>
      </w:r>
      <w:r>
        <w:rPr>
          <w:spacing w:val="-4"/>
        </w:rPr>
        <w:t> </w:t>
      </w:r>
      <w:r>
        <w:rPr/>
        <w:t>shares</w:t>
      </w:r>
      <w:r>
        <w:rPr>
          <w:spacing w:val="-4"/>
        </w:rPr>
        <w:t> </w:t>
      </w:r>
      <w:r>
        <w:rPr/>
        <w:t>outstanding</w:t>
      </w:r>
      <w:r>
        <w:rPr>
          <w:spacing w:val="-4"/>
        </w:rPr>
        <w:t> </w:t>
      </w:r>
      <w:r>
        <w:rPr/>
        <w:t>for</w:t>
      </w:r>
      <w:r>
        <w:rPr>
          <w:spacing w:val="-4"/>
        </w:rPr>
        <w:t> </w:t>
      </w:r>
      <w:r>
        <w:rPr/>
        <w:t>the</w:t>
      </w:r>
      <w:r>
        <w:rPr>
          <w:spacing w:val="-4"/>
        </w:rPr>
        <w:t> </w:t>
      </w:r>
      <w:r>
        <w:rPr/>
        <w:t>sample</w:t>
      </w:r>
      <w:r>
        <w:rPr>
          <w:spacing w:val="-4"/>
        </w:rPr>
        <w:t> </w:t>
      </w:r>
      <w:r>
        <w:rPr/>
        <w:t>funds.</w:t>
      </w:r>
      <w:r>
        <w:rPr>
          <w:spacing w:val="-4"/>
        </w:rPr>
        <w:t> </w:t>
      </w:r>
      <w:r>
        <w:rPr/>
        <w:t>Panel</w:t>
      </w:r>
      <w:r>
        <w:rPr>
          <w:spacing w:val="-4"/>
        </w:rPr>
        <w:t> </w:t>
      </w:r>
      <w:r>
        <w:rPr/>
        <w:t>D</w:t>
      </w:r>
      <w:r>
        <w:rPr>
          <w:spacing w:val="-4"/>
        </w:rPr>
        <w:t> </w:t>
      </w:r>
      <w:r>
        <w:rPr/>
        <w:t>provides</w:t>
      </w:r>
      <w:r>
        <w:rPr>
          <w:spacing w:val="40"/>
        </w:rPr>
        <w:t> </w:t>
      </w:r>
      <w:r>
        <w:rPr/>
        <w:t>insight about the wide variation in the daily share volume. The sample ETFs provide a broad</w:t>
      </w:r>
      <w:r>
        <w:rPr>
          <w:spacing w:val="80"/>
        </w:rPr>
        <w:t> </w:t>
      </w:r>
      <w:r>
        <w:rPr>
          <w:spacing w:val="-2"/>
        </w:rPr>
        <w:t>perspective.</w:t>
      </w:r>
    </w:p>
    <w:p>
      <w:pPr>
        <w:pStyle w:val="BodyText"/>
        <w:spacing w:before="95"/>
      </w:pPr>
    </w:p>
    <w:p>
      <w:pPr>
        <w:pStyle w:val="BodyText"/>
        <w:ind w:left="723"/>
      </w:pPr>
      <w:r>
        <w:rPr/>
        <w:t>Table</w:t>
      </w:r>
      <w:r>
        <w:rPr>
          <w:spacing w:val="-6"/>
        </w:rPr>
        <w:t> </w:t>
      </w:r>
      <w:r>
        <w:rPr/>
        <w:t>2:</w:t>
      </w:r>
      <w:r>
        <w:rPr>
          <w:spacing w:val="-6"/>
        </w:rPr>
        <w:t> </w:t>
      </w:r>
      <w:r>
        <w:rPr/>
        <w:t>ETF</w:t>
      </w:r>
      <w:r>
        <w:rPr>
          <w:spacing w:val="-5"/>
        </w:rPr>
        <w:t> </w:t>
      </w:r>
      <w:r>
        <w:rPr>
          <w:spacing w:val="-2"/>
        </w:rPr>
        <w:t>Holdings</w:t>
      </w:r>
    </w:p>
    <w:p>
      <w:pPr>
        <w:pStyle w:val="BodyText"/>
        <w:rPr>
          <w:sz w:val="4"/>
        </w:rPr>
      </w:pPr>
      <w:r>
        <w:rPr>
          <w:sz w:val="4"/>
        </w:rPr>
        <w:drawing>
          <wp:anchor distT="0" distB="0" distL="0" distR="0" allowOverlap="1" layoutInCell="1" locked="0" behindDoc="1" simplePos="0" relativeHeight="487596544">
            <wp:simplePos x="0" y="0"/>
            <wp:positionH relativeFrom="page">
              <wp:posOffset>952637</wp:posOffset>
            </wp:positionH>
            <wp:positionV relativeFrom="paragraph">
              <wp:posOffset>44635</wp:posOffset>
            </wp:positionV>
            <wp:extent cx="5904988" cy="1517141"/>
            <wp:effectExtent l="0" t="0" r="0" b="0"/>
            <wp:wrapTopAndBottom/>
            <wp:docPr id="35" name="Image 35"/>
            <wp:cNvGraphicFramePr>
              <a:graphicFrameLocks/>
            </wp:cNvGraphicFramePr>
            <a:graphic>
              <a:graphicData uri="http://schemas.openxmlformats.org/drawingml/2006/picture">
                <pic:pic>
                  <pic:nvPicPr>
                    <pic:cNvPr id="35" name="Image 35"/>
                    <pic:cNvPicPr/>
                  </pic:nvPicPr>
                  <pic:blipFill>
                    <a:blip r:embed="rId150" cstate="print"/>
                    <a:stretch>
                      <a:fillRect/>
                    </a:stretch>
                  </pic:blipFill>
                  <pic:spPr>
                    <a:xfrm>
                      <a:off x="0" y="0"/>
                      <a:ext cx="5904988" cy="1517141"/>
                    </a:xfrm>
                    <a:prstGeom prst="rect">
                      <a:avLst/>
                    </a:prstGeom>
                  </pic:spPr>
                </pic:pic>
              </a:graphicData>
            </a:graphic>
          </wp:anchor>
        </w:drawing>
      </w:r>
    </w:p>
    <w:p>
      <w:pPr>
        <w:pStyle w:val="BodyText"/>
        <w:spacing w:before="124"/>
      </w:pPr>
    </w:p>
    <w:p>
      <w:pPr>
        <w:pStyle w:val="BodyText"/>
        <w:spacing w:line="271" w:lineRule="auto" w:before="1"/>
        <w:ind w:left="723" w:right="1379"/>
        <w:jc w:val="both"/>
      </w:pPr>
      <w:r>
        <w:rPr/>
        <w:t>Table 2 presents the difference in constituents of the sample funds. The holdings of the</w:t>
      </w:r>
      <w:r>
        <w:rPr>
          <w:spacing w:val="40"/>
        </w:rPr>
        <w:t> </w:t>
      </w:r>
      <w:r>
        <w:rPr/>
        <w:t>fund EWG differ substantially from that of the DAX. The iShares MSCI Germany ETF mimics</w:t>
      </w:r>
      <w:r>
        <w:rPr>
          <w:spacing w:val="40"/>
        </w:rPr>
        <w:t> </w:t>
      </w:r>
      <w:r>
        <w:rPr/>
        <w:t>the MSCI</w:t>
      </w:r>
      <w:r>
        <w:rPr>
          <w:spacing w:val="40"/>
        </w:rPr>
        <w:t> </w:t>
      </w:r>
      <w:r>
        <w:rPr/>
        <w:t>Germany index.</w:t>
      </w:r>
      <w:r>
        <w:rPr>
          <w:vertAlign w:val="superscript"/>
        </w:rPr>
        <w:t>1</w:t>
      </w:r>
      <w:r>
        <w:rPr>
          <w:vertAlign w:val="baseline"/>
        </w:rPr>
        <w:t> However, the holdings include 53 equities. The remainder of the</w:t>
      </w:r>
      <w:r>
        <w:rPr>
          <w:spacing w:val="40"/>
          <w:vertAlign w:val="baseline"/>
        </w:rPr>
        <w:t> </w:t>
      </w:r>
      <w:r>
        <w:rPr>
          <w:vertAlign w:val="baseline"/>
        </w:rPr>
        <w:t>holdings include Euros, a U.S. Dollar short position, EUR/USD Derivatives, Money Market securities, Cash Collateral and Margins, and DAX futures.</w:t>
      </w:r>
    </w:p>
    <w:p>
      <w:pPr>
        <w:pStyle w:val="Heading4"/>
        <w:spacing w:before="265"/>
        <w:rPr>
          <w:b w:val="0"/>
        </w:rPr>
      </w:pPr>
      <w:r>
        <w:rPr>
          <w:spacing w:val="-2"/>
        </w:rPr>
        <w:t>Results</w:t>
      </w:r>
      <w:r>
        <w:rPr>
          <w:b w:val="0"/>
          <w:spacing w:val="-2"/>
        </w:rPr>
        <w:t>:</w:t>
      </w:r>
    </w:p>
    <w:p>
      <w:pPr>
        <w:pStyle w:val="BodyText"/>
        <w:spacing w:line="266" w:lineRule="auto" w:before="200"/>
        <w:ind w:left="723" w:right="1386"/>
        <w:jc w:val="both"/>
      </w:pPr>
      <w:r>
        <w:rPr/>
        <w:t>This study focuses on the tariff announcements of 2025 as</w:t>
      </w:r>
      <w:r>
        <w:rPr>
          <w:spacing w:val="-2"/>
        </w:rPr>
        <w:t> </w:t>
      </w:r>
      <w:r>
        <w:rPr/>
        <w:t>a</w:t>
      </w:r>
      <w:r>
        <w:rPr>
          <w:spacing w:val="-2"/>
        </w:rPr>
        <w:t> </w:t>
      </w:r>
      <w:r>
        <w:rPr/>
        <w:t>natural</w:t>
      </w:r>
      <w:r>
        <w:rPr>
          <w:spacing w:val="-2"/>
        </w:rPr>
        <w:t> </w:t>
      </w:r>
      <w:r>
        <w:rPr/>
        <w:t>experiment.</w:t>
      </w:r>
      <w:r>
        <w:rPr>
          <w:spacing w:val="-2"/>
        </w:rPr>
        <w:t> </w:t>
      </w:r>
      <w:r>
        <w:rPr/>
        <w:t>Figure</w:t>
      </w:r>
      <w:r>
        <w:rPr>
          <w:spacing w:val="-2"/>
        </w:rPr>
        <w:t> </w:t>
      </w:r>
      <w:r>
        <w:rPr/>
        <w:t>1</w:t>
      </w:r>
      <w:r>
        <w:rPr>
          <w:spacing w:val="40"/>
        </w:rPr>
        <w:t> </w:t>
      </w:r>
      <w:r>
        <w:rPr/>
        <w:t>shows that there is were abnormal price fluctuations around the major tariff announcements.</w:t>
      </w:r>
      <w:r>
        <w:rPr>
          <w:spacing w:val="40"/>
        </w:rPr>
        <w:t> </w:t>
      </w:r>
      <w:r>
        <w:rPr/>
        <w:t>Figure 2 shows that there was a considerable increase in trading volume</w:t>
      </w:r>
      <w:r>
        <w:rPr>
          <w:spacing w:val="-3"/>
        </w:rPr>
        <w:t> </w:t>
      </w:r>
      <w:r>
        <w:rPr/>
        <w:t>around</w:t>
      </w:r>
      <w:r>
        <w:rPr>
          <w:spacing w:val="-3"/>
        </w:rPr>
        <w:t> </w:t>
      </w:r>
      <w:r>
        <w:rPr/>
        <w:t>the</w:t>
      </w:r>
      <w:r>
        <w:rPr>
          <w:spacing w:val="-3"/>
        </w:rPr>
        <w:t> </w:t>
      </w:r>
      <w:r>
        <w:rPr/>
        <w:t>tariff</w:t>
      </w:r>
      <w:r>
        <w:rPr>
          <w:spacing w:val="40"/>
        </w:rPr>
        <w:t> </w:t>
      </w:r>
      <w:r>
        <w:rPr/>
        <w:t>announcements of April 2, 2025.</w:t>
      </w:r>
    </w:p>
    <w:p>
      <w:pPr>
        <w:pStyle w:val="BodyText"/>
        <w:spacing w:line="266" w:lineRule="auto" w:before="172"/>
        <w:ind w:left="723" w:right="1387"/>
        <w:jc w:val="both"/>
      </w:pPr>
      <w:r>
        <w:rPr/>
        <w:t>There is anecdotal evidence that major country-based ETFs do not track the major</w:t>
      </w:r>
      <w:r>
        <w:rPr>
          <w:spacing w:val="40"/>
        </w:rPr>
        <w:t> </w:t>
      </w:r>
      <w:r>
        <w:rPr/>
        <w:t>benchmark indices of their countries. Appendix A presents major ETFs and the holdings for the</w:t>
      </w:r>
      <w:r>
        <w:rPr>
          <w:spacing w:val="40"/>
        </w:rPr>
        <w:t> </w:t>
      </w:r>
      <w:r>
        <w:rPr/>
        <w:t>sample funds. There is considerable variation in the holdings of some of the most prominent ETFs.</w:t>
      </w:r>
    </w:p>
    <w:p>
      <w:pPr>
        <w:pStyle w:val="BodyText"/>
        <w:spacing w:before="218"/>
      </w:pPr>
    </w:p>
    <w:p>
      <w:pPr>
        <w:pStyle w:val="Heading4"/>
        <w:rPr>
          <w:b w:val="0"/>
        </w:rPr>
      </w:pPr>
      <w:r>
        <w:rPr>
          <w:spacing w:val="-2"/>
        </w:rPr>
        <w:t>Conclusions</w:t>
      </w:r>
      <w:r>
        <w:rPr>
          <w:b w:val="0"/>
          <w:spacing w:val="-2"/>
        </w:rPr>
        <w:t>:</w:t>
      </w:r>
    </w:p>
    <w:p>
      <w:pPr>
        <w:pStyle w:val="BodyText"/>
        <w:spacing w:line="266" w:lineRule="auto" w:before="200"/>
        <w:ind w:left="723" w:right="1381"/>
        <w:jc w:val="both"/>
      </w:pPr>
      <w:r>
        <w:rPr/>
        <w:t>Using the tariff announcements of 2025 as a global shock, this study shows that the</w:t>
      </w:r>
      <w:r>
        <w:rPr>
          <w:spacing w:val="40"/>
        </w:rPr>
        <w:t> </w:t>
      </w:r>
      <w:r>
        <w:rPr/>
        <w:t>deviation</w:t>
      </w:r>
      <w:r>
        <w:rPr>
          <w:spacing w:val="40"/>
        </w:rPr>
        <w:t> </w:t>
      </w:r>
      <w:r>
        <w:rPr/>
        <w:t>that many ETFs have from their underlying benchmark indexes is not uniform. While</w:t>
      </w:r>
      <w:r>
        <w:rPr>
          <w:spacing w:val="40"/>
        </w:rPr>
        <w:t> </w:t>
      </w:r>
      <w:r>
        <w:rPr/>
        <w:t>existing literature has studied the growth of the ETF industry, the results suggest</w:t>
      </w:r>
      <w:r>
        <w:rPr>
          <w:spacing w:val="-3"/>
        </w:rPr>
        <w:t> </w:t>
      </w:r>
      <w:r>
        <w:rPr/>
        <w:t>that</w:t>
      </w:r>
      <w:r>
        <w:rPr>
          <w:spacing w:val="-3"/>
        </w:rPr>
        <w:t> </w:t>
      </w:r>
      <w:r>
        <w:rPr/>
        <w:t>international</w:t>
      </w:r>
      <w:r>
        <w:rPr>
          <w:spacing w:val="40"/>
        </w:rPr>
        <w:t> </w:t>
      </w:r>
      <w:r>
        <w:rPr/>
        <w:t>ETFs perform differently than prominent benchmark indices.</w:t>
      </w:r>
    </w:p>
    <w:p>
      <w:pPr>
        <w:pStyle w:val="BodyText"/>
        <w:spacing w:line="266" w:lineRule="auto" w:before="172"/>
        <w:ind w:left="723" w:right="1390"/>
        <w:jc w:val="both"/>
      </w:pPr>
      <w:r>
        <w:rPr/>
        <w:t>One of</w:t>
      </w:r>
      <w:r>
        <w:rPr>
          <w:spacing w:val="-4"/>
        </w:rPr>
        <w:t> </w:t>
      </w:r>
      <w:r>
        <w:rPr/>
        <w:t>the</w:t>
      </w:r>
      <w:r>
        <w:rPr>
          <w:spacing w:val="-4"/>
        </w:rPr>
        <w:t> </w:t>
      </w:r>
      <w:r>
        <w:rPr/>
        <w:t>biggest</w:t>
      </w:r>
      <w:r>
        <w:rPr>
          <w:spacing w:val="-4"/>
        </w:rPr>
        <w:t> </w:t>
      </w:r>
      <w:r>
        <w:rPr/>
        <w:t>benefits</w:t>
      </w:r>
      <w:r>
        <w:rPr>
          <w:spacing w:val="-4"/>
        </w:rPr>
        <w:t> </w:t>
      </w:r>
      <w:r>
        <w:rPr/>
        <w:t>of</w:t>
      </w:r>
      <w:r>
        <w:rPr>
          <w:spacing w:val="-4"/>
        </w:rPr>
        <w:t> </w:t>
      </w:r>
      <w:r>
        <w:rPr/>
        <w:t>international</w:t>
      </w:r>
      <w:r>
        <w:rPr>
          <w:spacing w:val="-4"/>
        </w:rPr>
        <w:t> </w:t>
      </w:r>
      <w:r>
        <w:rPr/>
        <w:t>ETFs</w:t>
      </w:r>
      <w:r>
        <w:rPr>
          <w:spacing w:val="-4"/>
        </w:rPr>
        <w:t> </w:t>
      </w:r>
      <w:r>
        <w:rPr/>
        <w:t>is</w:t>
      </w:r>
      <w:r>
        <w:rPr>
          <w:spacing w:val="-4"/>
        </w:rPr>
        <w:t> </w:t>
      </w:r>
      <w:r>
        <w:rPr/>
        <w:t>the</w:t>
      </w:r>
      <w:r>
        <w:rPr>
          <w:spacing w:val="-4"/>
        </w:rPr>
        <w:t> </w:t>
      </w:r>
      <w:r>
        <w:rPr/>
        <w:t>diversification</w:t>
      </w:r>
      <w:r>
        <w:rPr>
          <w:spacing w:val="-4"/>
        </w:rPr>
        <w:t> </w:t>
      </w:r>
      <w:r>
        <w:rPr/>
        <w:t>possibilities.</w:t>
      </w:r>
      <w:r>
        <w:rPr>
          <w:spacing w:val="40"/>
        </w:rPr>
        <w:t> </w:t>
      </w:r>
      <w:r>
        <w:rPr/>
        <w:t>However,</w:t>
      </w:r>
      <w:r>
        <w:rPr>
          <w:spacing w:val="-4"/>
        </w:rPr>
        <w:t> </w:t>
      </w:r>
      <w:r>
        <w:rPr/>
        <w:t>the ETFs</w:t>
      </w:r>
      <w:r>
        <w:rPr>
          <w:spacing w:val="13"/>
        </w:rPr>
        <w:t> </w:t>
      </w:r>
      <w:r>
        <w:rPr/>
        <w:t>are</w:t>
      </w:r>
      <w:r>
        <w:rPr>
          <w:spacing w:val="15"/>
        </w:rPr>
        <w:t> </w:t>
      </w:r>
      <w:r>
        <w:rPr/>
        <w:t>rarely</w:t>
      </w:r>
      <w:r>
        <w:rPr>
          <w:spacing w:val="15"/>
        </w:rPr>
        <w:t> </w:t>
      </w:r>
      <w:r>
        <w:rPr/>
        <w:t>in</w:t>
      </w:r>
      <w:r>
        <w:rPr>
          <w:spacing w:val="15"/>
        </w:rPr>
        <w:t> </w:t>
      </w:r>
      <w:r>
        <w:rPr/>
        <w:t>line</w:t>
      </w:r>
      <w:r>
        <w:rPr>
          <w:spacing w:val="15"/>
        </w:rPr>
        <w:t> </w:t>
      </w:r>
      <w:r>
        <w:rPr/>
        <w:t>with</w:t>
      </w:r>
      <w:r>
        <w:rPr>
          <w:spacing w:val="15"/>
        </w:rPr>
        <w:t> </w:t>
      </w:r>
      <w:r>
        <w:rPr/>
        <w:t>major</w:t>
      </w:r>
      <w:r>
        <w:rPr>
          <w:spacing w:val="15"/>
        </w:rPr>
        <w:t> </w:t>
      </w:r>
      <w:r>
        <w:rPr/>
        <w:t>indexes. The benchmarks are on the other hand,</w:t>
      </w:r>
      <w:r>
        <w:rPr>
          <w:spacing w:val="60"/>
        </w:rPr>
        <w:t> </w:t>
      </w:r>
      <w:r>
        <w:rPr/>
        <w:t>those </w:t>
      </w:r>
      <w:r>
        <w:rPr>
          <w:spacing w:val="-2"/>
        </w:rPr>
        <w:t>created</w:t>
      </w:r>
    </w:p>
    <w:p>
      <w:pPr>
        <w:pStyle w:val="BodyText"/>
        <w:spacing w:after="0" w:line="266" w:lineRule="auto"/>
        <w:jc w:val="both"/>
        <w:sectPr>
          <w:pgSz w:w="12240" w:h="15840"/>
          <w:pgMar w:header="0" w:footer="707" w:top="640" w:bottom="960" w:left="720" w:right="0"/>
        </w:sectPr>
      </w:pPr>
    </w:p>
    <w:p>
      <w:pPr>
        <w:pStyle w:val="BodyText"/>
        <w:spacing w:line="266" w:lineRule="auto" w:before="60"/>
        <w:ind w:left="723" w:right="1191"/>
      </w:pPr>
      <w:r>
        <w:rPr/>
        <w:t>by</w:t>
      </w:r>
      <w:r>
        <w:rPr>
          <w:spacing w:val="25"/>
        </w:rPr>
        <w:t> </w:t>
      </w:r>
      <w:r>
        <w:rPr/>
        <w:t>MSCI</w:t>
      </w:r>
      <w:r>
        <w:rPr>
          <w:spacing w:val="25"/>
        </w:rPr>
        <w:t> </w:t>
      </w:r>
      <w:r>
        <w:rPr/>
        <w:t>or</w:t>
      </w:r>
      <w:r>
        <w:rPr>
          <w:spacing w:val="25"/>
        </w:rPr>
        <w:t> </w:t>
      </w:r>
      <w:r>
        <w:rPr/>
        <w:t>FTSE</w:t>
      </w:r>
      <w:r>
        <w:rPr>
          <w:spacing w:val="25"/>
        </w:rPr>
        <w:t> </w:t>
      </w:r>
      <w:r>
        <w:rPr/>
        <w:t>and</w:t>
      </w:r>
      <w:r>
        <w:rPr>
          <w:spacing w:val="25"/>
        </w:rPr>
        <w:t> </w:t>
      </w:r>
      <w:r>
        <w:rPr/>
        <w:t>utilized</w:t>
      </w:r>
      <w:r>
        <w:rPr>
          <w:spacing w:val="25"/>
        </w:rPr>
        <w:t> </w:t>
      </w:r>
      <w:r>
        <w:rPr/>
        <w:t>by the fund families, iShares and Vanguard. The</w:t>
      </w:r>
      <w:r>
        <w:rPr>
          <w:spacing w:val="80"/>
        </w:rPr>
        <w:t> </w:t>
      </w:r>
      <w:r>
        <w:rPr/>
        <w:t>results of </w:t>
      </w:r>
      <w:r>
        <w:rPr/>
        <w:t>this study will benefit investors.</w:t>
      </w:r>
    </w:p>
    <w:p>
      <w:pPr>
        <w:pStyle w:val="BodyText"/>
        <w:spacing w:before="1"/>
      </w:pPr>
    </w:p>
    <w:p>
      <w:pPr>
        <w:pStyle w:val="Heading4"/>
      </w:pPr>
      <w:r>
        <w:rPr>
          <w:spacing w:val="-2"/>
        </w:rPr>
        <w:t>References</w:t>
      </w:r>
    </w:p>
    <w:p>
      <w:pPr>
        <w:spacing w:line="266" w:lineRule="auto" w:before="200"/>
        <w:ind w:left="708" w:right="1191" w:firstLine="15"/>
        <w:jc w:val="left"/>
        <w:rPr>
          <w:sz w:val="24"/>
        </w:rPr>
      </w:pPr>
      <w:r>
        <w:rPr>
          <w:sz w:val="24"/>
        </w:rPr>
        <w:t>Agapova,</w:t>
      </w:r>
      <w:r>
        <w:rPr>
          <w:spacing w:val="-5"/>
          <w:sz w:val="24"/>
        </w:rPr>
        <w:t> </w:t>
      </w:r>
      <w:r>
        <w:rPr>
          <w:sz w:val="24"/>
        </w:rPr>
        <w:t>A.</w:t>
      </w:r>
      <w:r>
        <w:rPr>
          <w:spacing w:val="-5"/>
          <w:sz w:val="24"/>
        </w:rPr>
        <w:t> </w:t>
      </w:r>
      <w:r>
        <w:rPr>
          <w:sz w:val="24"/>
        </w:rPr>
        <w:t>(2011).</w:t>
      </w:r>
      <w:r>
        <w:rPr>
          <w:spacing w:val="-5"/>
          <w:sz w:val="24"/>
        </w:rPr>
        <w:t> </w:t>
      </w:r>
      <w:r>
        <w:rPr>
          <w:sz w:val="24"/>
        </w:rPr>
        <w:t>Conventional</w:t>
      </w:r>
      <w:r>
        <w:rPr>
          <w:spacing w:val="-5"/>
          <w:sz w:val="24"/>
        </w:rPr>
        <w:t> </w:t>
      </w:r>
      <w:r>
        <w:rPr>
          <w:sz w:val="24"/>
        </w:rPr>
        <w:t>mutual</w:t>
      </w:r>
      <w:r>
        <w:rPr>
          <w:spacing w:val="-5"/>
          <w:sz w:val="24"/>
        </w:rPr>
        <w:t> </w:t>
      </w:r>
      <w:r>
        <w:rPr>
          <w:sz w:val="24"/>
        </w:rPr>
        <w:t>index</w:t>
      </w:r>
      <w:r>
        <w:rPr>
          <w:spacing w:val="-5"/>
          <w:sz w:val="24"/>
        </w:rPr>
        <w:t> </w:t>
      </w:r>
      <w:r>
        <w:rPr>
          <w:sz w:val="24"/>
        </w:rPr>
        <w:t>funds</w:t>
      </w:r>
      <w:r>
        <w:rPr>
          <w:spacing w:val="-5"/>
          <w:sz w:val="24"/>
        </w:rPr>
        <w:t> </w:t>
      </w:r>
      <w:r>
        <w:rPr>
          <w:sz w:val="24"/>
        </w:rPr>
        <w:t>versus</w:t>
      </w:r>
      <w:r>
        <w:rPr>
          <w:spacing w:val="-5"/>
          <w:sz w:val="24"/>
        </w:rPr>
        <w:t> </w:t>
      </w:r>
      <w:r>
        <w:rPr>
          <w:sz w:val="24"/>
        </w:rPr>
        <w:t>exchange-traded</w:t>
      </w:r>
      <w:r>
        <w:rPr>
          <w:spacing w:val="-5"/>
          <w:sz w:val="24"/>
        </w:rPr>
        <w:t> </w:t>
      </w:r>
      <w:r>
        <w:rPr>
          <w:sz w:val="24"/>
        </w:rPr>
        <w:t>funds.</w:t>
      </w:r>
      <w:r>
        <w:rPr>
          <w:spacing w:val="-5"/>
          <w:sz w:val="24"/>
        </w:rPr>
        <w:t> </w:t>
      </w:r>
      <w:r>
        <w:rPr>
          <w:i/>
          <w:sz w:val="24"/>
        </w:rPr>
        <w:t>Journal</w:t>
      </w:r>
      <w:r>
        <w:rPr>
          <w:i/>
          <w:spacing w:val="-5"/>
          <w:sz w:val="24"/>
        </w:rPr>
        <w:t> </w:t>
      </w:r>
      <w:r>
        <w:rPr>
          <w:i/>
          <w:sz w:val="24"/>
        </w:rPr>
        <w:t>of</w:t>
      </w:r>
      <w:r>
        <w:rPr>
          <w:i/>
          <w:sz w:val="24"/>
        </w:rPr>
        <w:t> Financial Markets</w:t>
      </w:r>
      <w:r>
        <w:rPr>
          <w:sz w:val="24"/>
        </w:rPr>
        <w:t>, 14(2), 323-343.</w:t>
      </w:r>
    </w:p>
    <w:p>
      <w:pPr>
        <w:pStyle w:val="BodyText"/>
        <w:spacing w:line="266" w:lineRule="auto" w:before="173"/>
        <w:ind w:left="723" w:right="1381"/>
      </w:pPr>
      <w:r>
        <w:rPr/>
        <w:t>Alomari, M., Selmi, R., Mensi, W., Ko, H. U., &amp; Kang, S. H. (2024). Dynamic spillovers in higher</w:t>
      </w:r>
      <w:r>
        <w:rPr>
          <w:spacing w:val="-3"/>
        </w:rPr>
        <w:t> </w:t>
      </w:r>
      <w:r>
        <w:rPr/>
        <w:t>moments</w:t>
      </w:r>
      <w:r>
        <w:rPr>
          <w:spacing w:val="-3"/>
        </w:rPr>
        <w:t> </w:t>
      </w:r>
      <w:r>
        <w:rPr/>
        <w:t>and</w:t>
      </w:r>
      <w:r>
        <w:rPr>
          <w:spacing w:val="-3"/>
        </w:rPr>
        <w:t> </w:t>
      </w:r>
      <w:r>
        <w:rPr/>
        <w:t>jumps</w:t>
      </w:r>
      <w:r>
        <w:rPr>
          <w:spacing w:val="-3"/>
        </w:rPr>
        <w:t> </w:t>
      </w:r>
      <w:r>
        <w:rPr/>
        <w:t>across</w:t>
      </w:r>
      <w:r>
        <w:rPr>
          <w:spacing w:val="-3"/>
        </w:rPr>
        <w:t> </w:t>
      </w:r>
      <w:r>
        <w:rPr/>
        <w:t>ETFs</w:t>
      </w:r>
      <w:r>
        <w:rPr>
          <w:spacing w:val="-3"/>
        </w:rPr>
        <w:t> </w:t>
      </w:r>
      <w:r>
        <w:rPr/>
        <w:t>and</w:t>
      </w:r>
      <w:r>
        <w:rPr>
          <w:spacing w:val="-3"/>
        </w:rPr>
        <w:t> </w:t>
      </w:r>
      <w:r>
        <w:rPr/>
        <w:t>economic</w:t>
      </w:r>
      <w:r>
        <w:rPr>
          <w:spacing w:val="-3"/>
        </w:rPr>
        <w:t> </w:t>
      </w:r>
      <w:r>
        <w:rPr/>
        <w:t>and</w:t>
      </w:r>
      <w:r>
        <w:rPr>
          <w:spacing w:val="-3"/>
        </w:rPr>
        <w:t> </w:t>
      </w:r>
      <w:r>
        <w:rPr/>
        <w:t>financial</w:t>
      </w:r>
      <w:r>
        <w:rPr>
          <w:spacing w:val="-3"/>
        </w:rPr>
        <w:t> </w:t>
      </w:r>
      <w:r>
        <w:rPr/>
        <w:t>uncertainty</w:t>
      </w:r>
      <w:r>
        <w:rPr>
          <w:spacing w:val="-3"/>
        </w:rPr>
        <w:t> </w:t>
      </w:r>
      <w:r>
        <w:rPr/>
        <w:t>factors</w:t>
      </w:r>
      <w:r>
        <w:rPr>
          <w:spacing w:val="-3"/>
        </w:rPr>
        <w:t> </w:t>
      </w:r>
      <w:r>
        <w:rPr/>
        <w:t>in</w:t>
      </w:r>
      <w:r>
        <w:rPr>
          <w:spacing w:val="-3"/>
        </w:rPr>
        <w:t> </w:t>
      </w:r>
      <w:r>
        <w:rPr/>
        <w:t>the context of successive shocks. </w:t>
      </w:r>
      <w:r>
        <w:rPr>
          <w:i/>
        </w:rPr>
        <w:t>The Quarterly Review of Economics and Finance</w:t>
      </w:r>
      <w:r>
        <w:rPr/>
        <w:t>, </w:t>
      </w:r>
      <w:r>
        <w:rPr>
          <w:i/>
        </w:rPr>
        <w:t>93</w:t>
      </w:r>
      <w:r>
        <w:rPr/>
        <w:t>, 210-</w:t>
      </w:r>
      <w:r>
        <w:rPr>
          <w:spacing w:val="-4"/>
        </w:rPr>
        <w:t>228.</w:t>
      </w:r>
    </w:p>
    <w:p>
      <w:pPr>
        <w:spacing w:line="266" w:lineRule="auto" w:before="172"/>
        <w:ind w:left="723" w:right="1619" w:firstLine="0"/>
        <w:jc w:val="left"/>
        <w:rPr>
          <w:sz w:val="24"/>
        </w:rPr>
      </w:pPr>
      <w:r>
        <w:rPr>
          <w:sz w:val="24"/>
        </w:rPr>
        <w:t>Atanasova,</w:t>
      </w:r>
      <w:r>
        <w:rPr>
          <w:spacing w:val="-6"/>
          <w:sz w:val="24"/>
        </w:rPr>
        <w:t> </w:t>
      </w:r>
      <w:r>
        <w:rPr>
          <w:sz w:val="24"/>
        </w:rPr>
        <w:t>C.,</w:t>
      </w:r>
      <w:r>
        <w:rPr>
          <w:spacing w:val="-6"/>
          <w:sz w:val="24"/>
        </w:rPr>
        <w:t> </w:t>
      </w:r>
      <w:r>
        <w:rPr>
          <w:sz w:val="24"/>
        </w:rPr>
        <w:t>&amp;</w:t>
      </w:r>
      <w:r>
        <w:rPr>
          <w:spacing w:val="-6"/>
          <w:sz w:val="24"/>
        </w:rPr>
        <w:t> </w:t>
      </w:r>
      <w:r>
        <w:rPr>
          <w:sz w:val="24"/>
        </w:rPr>
        <w:t>Weisskopf,</w:t>
      </w:r>
      <w:r>
        <w:rPr>
          <w:spacing w:val="-6"/>
          <w:sz w:val="24"/>
        </w:rPr>
        <w:t> </w:t>
      </w:r>
      <w:r>
        <w:rPr>
          <w:sz w:val="24"/>
        </w:rPr>
        <w:t>J.</w:t>
      </w:r>
      <w:r>
        <w:rPr>
          <w:spacing w:val="-6"/>
          <w:sz w:val="24"/>
        </w:rPr>
        <w:t> </w:t>
      </w:r>
      <w:r>
        <w:rPr>
          <w:sz w:val="24"/>
        </w:rPr>
        <w:t>P.</w:t>
      </w:r>
      <w:r>
        <w:rPr>
          <w:spacing w:val="-6"/>
          <w:sz w:val="24"/>
        </w:rPr>
        <w:t> </w:t>
      </w:r>
      <w:r>
        <w:rPr>
          <w:sz w:val="24"/>
        </w:rPr>
        <w:t>(2020).</w:t>
      </w:r>
      <w:r>
        <w:rPr>
          <w:spacing w:val="-6"/>
          <w:sz w:val="24"/>
        </w:rPr>
        <w:t> </w:t>
      </w:r>
      <w:r>
        <w:rPr>
          <w:sz w:val="24"/>
        </w:rPr>
        <w:t>The</w:t>
      </w:r>
      <w:r>
        <w:rPr>
          <w:spacing w:val="-6"/>
          <w:sz w:val="24"/>
        </w:rPr>
        <w:t> </w:t>
      </w:r>
      <w:r>
        <w:rPr>
          <w:sz w:val="24"/>
        </w:rPr>
        <w:t>price</w:t>
      </w:r>
      <w:r>
        <w:rPr>
          <w:spacing w:val="-6"/>
          <w:sz w:val="24"/>
        </w:rPr>
        <w:t> </w:t>
      </w:r>
      <w:r>
        <w:rPr>
          <w:sz w:val="24"/>
        </w:rPr>
        <w:t>of</w:t>
      </w:r>
      <w:r>
        <w:rPr>
          <w:spacing w:val="-6"/>
          <w:sz w:val="24"/>
        </w:rPr>
        <w:t> </w:t>
      </w:r>
      <w:r>
        <w:rPr>
          <w:sz w:val="24"/>
        </w:rPr>
        <w:t>international</w:t>
      </w:r>
      <w:r>
        <w:rPr>
          <w:spacing w:val="-6"/>
          <w:sz w:val="24"/>
        </w:rPr>
        <w:t> </w:t>
      </w:r>
      <w:r>
        <w:rPr>
          <w:sz w:val="24"/>
        </w:rPr>
        <w:t>equity</w:t>
      </w:r>
      <w:r>
        <w:rPr>
          <w:spacing w:val="-6"/>
          <w:sz w:val="24"/>
        </w:rPr>
        <w:t> </w:t>
      </w:r>
      <w:r>
        <w:rPr>
          <w:sz w:val="24"/>
        </w:rPr>
        <w:t>ETFs:</w:t>
      </w:r>
      <w:r>
        <w:rPr>
          <w:spacing w:val="-6"/>
          <w:sz w:val="24"/>
        </w:rPr>
        <w:t> </w:t>
      </w:r>
      <w:r>
        <w:rPr>
          <w:sz w:val="24"/>
        </w:rPr>
        <w:t>The</w:t>
      </w:r>
      <w:r>
        <w:rPr>
          <w:spacing w:val="-6"/>
          <w:sz w:val="24"/>
        </w:rPr>
        <w:t> </w:t>
      </w:r>
      <w:r>
        <w:rPr>
          <w:sz w:val="24"/>
        </w:rPr>
        <w:t>role</w:t>
      </w:r>
      <w:r>
        <w:rPr>
          <w:spacing w:val="-6"/>
          <w:sz w:val="24"/>
        </w:rPr>
        <w:t> </w:t>
      </w:r>
      <w:r>
        <w:rPr>
          <w:sz w:val="24"/>
        </w:rPr>
        <w:t>of relative liquidity. </w:t>
      </w:r>
      <w:r>
        <w:rPr>
          <w:i/>
          <w:sz w:val="24"/>
        </w:rPr>
        <w:t>Journal of international financial markets, institutions and money</w:t>
      </w:r>
      <w:r>
        <w:rPr>
          <w:sz w:val="24"/>
        </w:rPr>
        <w:t>, 65, </w:t>
      </w:r>
      <w:r>
        <w:rPr>
          <w:spacing w:val="-2"/>
          <w:sz w:val="24"/>
        </w:rPr>
        <w:t>101190.</w:t>
      </w:r>
    </w:p>
    <w:p>
      <w:pPr>
        <w:pStyle w:val="BodyText"/>
        <w:spacing w:line="256" w:lineRule="auto" w:before="138"/>
        <w:ind w:left="723" w:right="1619"/>
      </w:pPr>
      <w:r>
        <w:rPr/>
        <w:t>Ben</w:t>
      </w:r>
      <w:r>
        <w:rPr>
          <w:rFonts w:ascii="Segoe UI Symbol"/>
        </w:rPr>
        <w:t>-</w:t>
      </w:r>
      <w:r>
        <w:rPr/>
        <w:t>David,</w:t>
      </w:r>
      <w:r>
        <w:rPr>
          <w:spacing w:val="-3"/>
        </w:rPr>
        <w:t> </w:t>
      </w:r>
      <w:r>
        <w:rPr/>
        <w:t>I.,</w:t>
      </w:r>
      <w:r>
        <w:rPr>
          <w:spacing w:val="-3"/>
        </w:rPr>
        <w:t> </w:t>
      </w:r>
      <w:r>
        <w:rPr/>
        <w:t>Franzoni,</w:t>
      </w:r>
      <w:r>
        <w:rPr>
          <w:spacing w:val="-3"/>
        </w:rPr>
        <w:t> </w:t>
      </w:r>
      <w:r>
        <w:rPr/>
        <w:t>F.,</w:t>
      </w:r>
      <w:r>
        <w:rPr>
          <w:spacing w:val="-3"/>
        </w:rPr>
        <w:t> </w:t>
      </w:r>
      <w:r>
        <w:rPr/>
        <w:t>&amp;</w:t>
      </w:r>
      <w:r>
        <w:rPr>
          <w:spacing w:val="-3"/>
        </w:rPr>
        <w:t> </w:t>
      </w:r>
      <w:r>
        <w:rPr/>
        <w:t>Moussawi,</w:t>
      </w:r>
      <w:r>
        <w:rPr>
          <w:spacing w:val="-3"/>
        </w:rPr>
        <w:t> </w:t>
      </w:r>
      <w:r>
        <w:rPr/>
        <w:t>R.</w:t>
      </w:r>
      <w:r>
        <w:rPr>
          <w:spacing w:val="-3"/>
        </w:rPr>
        <w:t> </w:t>
      </w:r>
      <w:r>
        <w:rPr/>
        <w:t>(2018).</w:t>
      </w:r>
      <w:r>
        <w:rPr>
          <w:spacing w:val="-3"/>
        </w:rPr>
        <w:t> </w:t>
      </w:r>
      <w:r>
        <w:rPr/>
        <w:t>Do</w:t>
      </w:r>
      <w:r>
        <w:rPr>
          <w:spacing w:val="-3"/>
        </w:rPr>
        <w:t> </w:t>
      </w:r>
      <w:r>
        <w:rPr/>
        <w:t>ETFs</w:t>
      </w:r>
      <w:r>
        <w:rPr>
          <w:spacing w:val="-3"/>
        </w:rPr>
        <w:t> </w:t>
      </w:r>
      <w:r>
        <w:rPr/>
        <w:t>increase</w:t>
      </w:r>
      <w:r>
        <w:rPr>
          <w:spacing w:val="-3"/>
        </w:rPr>
        <w:t> </w:t>
      </w:r>
      <w:r>
        <w:rPr/>
        <w:t>volatility?.</w:t>
      </w:r>
      <w:r>
        <w:rPr>
          <w:spacing w:val="-3"/>
        </w:rPr>
        <w:t> </w:t>
      </w:r>
      <w:r>
        <w:rPr>
          <w:i/>
        </w:rPr>
        <w:t>The</w:t>
      </w:r>
      <w:r>
        <w:rPr>
          <w:i/>
          <w:spacing w:val="-3"/>
        </w:rPr>
        <w:t> </w:t>
      </w:r>
      <w:r>
        <w:rPr>
          <w:i/>
        </w:rPr>
        <w:t>Journal</w:t>
      </w:r>
      <w:r>
        <w:rPr>
          <w:i/>
        </w:rPr>
        <w:t> of Finance</w:t>
      </w:r>
      <w:r>
        <w:rPr/>
        <w:t>, 73(6), 2471-2535.</w:t>
      </w:r>
    </w:p>
    <w:p>
      <w:pPr>
        <w:pStyle w:val="BodyText"/>
        <w:spacing w:line="266" w:lineRule="auto" w:before="184"/>
        <w:ind w:left="723" w:right="1461"/>
      </w:pPr>
      <w:r>
        <w:rPr/>
        <w:t>Bhattacharya, A., &amp; O'Hara, M. (2018). Can ETFs increase market fragility? Effect of information</w:t>
      </w:r>
      <w:r>
        <w:rPr>
          <w:spacing w:val="-4"/>
        </w:rPr>
        <w:t> </w:t>
      </w:r>
      <w:r>
        <w:rPr/>
        <w:t>linkages</w:t>
      </w:r>
      <w:r>
        <w:rPr>
          <w:spacing w:val="-4"/>
        </w:rPr>
        <w:t> </w:t>
      </w:r>
      <w:r>
        <w:rPr/>
        <w:t>in</w:t>
      </w:r>
      <w:r>
        <w:rPr>
          <w:spacing w:val="-4"/>
        </w:rPr>
        <w:t> </w:t>
      </w:r>
      <w:r>
        <w:rPr/>
        <w:t>ETF</w:t>
      </w:r>
      <w:r>
        <w:rPr>
          <w:spacing w:val="-4"/>
        </w:rPr>
        <w:t> </w:t>
      </w:r>
      <w:r>
        <w:rPr/>
        <w:t>markets.</w:t>
      </w:r>
      <w:r>
        <w:rPr>
          <w:spacing w:val="-4"/>
        </w:rPr>
        <w:t> </w:t>
      </w:r>
      <w:r>
        <w:rPr/>
        <w:t>Effect</w:t>
      </w:r>
      <w:r>
        <w:rPr>
          <w:spacing w:val="-4"/>
        </w:rPr>
        <w:t> </w:t>
      </w:r>
      <w:r>
        <w:rPr/>
        <w:t>of</w:t>
      </w:r>
      <w:r>
        <w:rPr>
          <w:spacing w:val="-4"/>
        </w:rPr>
        <w:t> </w:t>
      </w:r>
      <w:r>
        <w:rPr/>
        <w:t>Information</w:t>
      </w:r>
      <w:r>
        <w:rPr>
          <w:spacing w:val="-4"/>
        </w:rPr>
        <w:t> </w:t>
      </w:r>
      <w:r>
        <w:rPr/>
        <w:t>Linkages</w:t>
      </w:r>
      <w:r>
        <w:rPr>
          <w:spacing w:val="-4"/>
        </w:rPr>
        <w:t> </w:t>
      </w:r>
      <w:r>
        <w:rPr/>
        <w:t>in</w:t>
      </w:r>
      <w:r>
        <w:rPr>
          <w:spacing w:val="-4"/>
        </w:rPr>
        <w:t> </w:t>
      </w:r>
      <w:r>
        <w:rPr/>
        <w:t>ETF</w:t>
      </w:r>
      <w:r>
        <w:rPr>
          <w:spacing w:val="-4"/>
        </w:rPr>
        <w:t> </w:t>
      </w:r>
      <w:r>
        <w:rPr/>
        <w:t>Markets</w:t>
      </w:r>
      <w:r>
        <w:rPr>
          <w:spacing w:val="-4"/>
        </w:rPr>
        <w:t> </w:t>
      </w:r>
      <w:r>
        <w:rPr/>
        <w:t>(April</w:t>
      </w:r>
      <w:r>
        <w:rPr>
          <w:spacing w:val="-4"/>
        </w:rPr>
        <w:t> </w:t>
      </w:r>
      <w:r>
        <w:rPr/>
        <w:t>17, </w:t>
      </w:r>
      <w:r>
        <w:rPr>
          <w:spacing w:val="-2"/>
        </w:rPr>
        <w:t>2018).</w:t>
      </w:r>
    </w:p>
    <w:p>
      <w:pPr>
        <w:pStyle w:val="BodyText"/>
        <w:spacing w:before="174"/>
        <w:ind w:left="723"/>
      </w:pPr>
      <w:r>
        <w:rPr/>
        <w:t>Boehmer,</w:t>
      </w:r>
      <w:r>
        <w:rPr>
          <w:spacing w:val="-6"/>
        </w:rPr>
        <w:t> </w:t>
      </w:r>
      <w:r>
        <w:rPr/>
        <w:t>E.,</w:t>
      </w:r>
      <w:r>
        <w:rPr>
          <w:spacing w:val="-3"/>
        </w:rPr>
        <w:t> </w:t>
      </w:r>
      <w:r>
        <w:rPr/>
        <w:t>Boehmer,</w:t>
      </w:r>
      <w:r>
        <w:rPr>
          <w:spacing w:val="-3"/>
        </w:rPr>
        <w:t> </w:t>
      </w:r>
      <w:r>
        <w:rPr/>
        <w:t>B.,</w:t>
      </w:r>
      <w:r>
        <w:rPr>
          <w:spacing w:val="-3"/>
        </w:rPr>
        <w:t> </w:t>
      </w:r>
      <w:r>
        <w:rPr/>
        <w:t>(2003).</w:t>
      </w:r>
      <w:r>
        <w:rPr>
          <w:spacing w:val="-3"/>
        </w:rPr>
        <w:t> </w:t>
      </w:r>
      <w:r>
        <w:rPr/>
        <w:t>Trading</w:t>
      </w:r>
      <w:r>
        <w:rPr>
          <w:spacing w:val="-4"/>
        </w:rPr>
        <w:t> </w:t>
      </w:r>
      <w:r>
        <w:rPr/>
        <w:t>our</w:t>
      </w:r>
      <w:r>
        <w:rPr>
          <w:spacing w:val="-3"/>
        </w:rPr>
        <w:t> </w:t>
      </w:r>
      <w:r>
        <w:rPr/>
        <w:t>Neighbor’s</w:t>
      </w:r>
      <w:r>
        <w:rPr>
          <w:spacing w:val="-3"/>
        </w:rPr>
        <w:t> </w:t>
      </w:r>
      <w:r>
        <w:rPr/>
        <w:t>ETF:</w:t>
      </w:r>
      <w:r>
        <w:rPr>
          <w:spacing w:val="-3"/>
        </w:rPr>
        <w:t> </w:t>
      </w:r>
      <w:r>
        <w:rPr/>
        <w:t>Competition</w:t>
      </w:r>
      <w:r>
        <w:rPr>
          <w:spacing w:val="-3"/>
        </w:rPr>
        <w:t> </w:t>
      </w:r>
      <w:r>
        <w:rPr/>
        <w:t>or</w:t>
      </w:r>
      <w:r>
        <w:rPr>
          <w:spacing w:val="-3"/>
        </w:rPr>
        <w:t> </w:t>
      </w:r>
      <w:r>
        <w:rPr>
          <w:spacing w:val="-2"/>
        </w:rPr>
        <w:t>fragmentation?</w:t>
      </w:r>
    </w:p>
    <w:p>
      <w:pPr>
        <w:spacing w:before="30"/>
        <w:ind w:left="708" w:right="0" w:firstLine="0"/>
        <w:jc w:val="left"/>
        <w:rPr>
          <w:sz w:val="24"/>
        </w:rPr>
      </w:pPr>
      <w:r>
        <w:rPr>
          <w:i/>
          <w:sz w:val="24"/>
        </w:rPr>
        <w:t>Journal of Banking and Finance</w:t>
      </w:r>
      <w:r>
        <w:rPr>
          <w:sz w:val="24"/>
        </w:rPr>
        <w:t>, 27, 1667-</w:t>
      </w:r>
      <w:r>
        <w:rPr>
          <w:spacing w:val="-2"/>
          <w:sz w:val="24"/>
        </w:rPr>
        <w:t>1703.</w:t>
      </w:r>
    </w:p>
    <w:p>
      <w:pPr>
        <w:pStyle w:val="BodyText"/>
        <w:spacing w:line="266" w:lineRule="auto" w:before="204"/>
        <w:ind w:left="708" w:right="1381" w:firstLine="15"/>
      </w:pPr>
      <w:r>
        <w:rPr/>
        <w:t>Clifford,</w:t>
      </w:r>
      <w:r>
        <w:rPr>
          <w:spacing w:val="-5"/>
        </w:rPr>
        <w:t> </w:t>
      </w:r>
      <w:r>
        <w:rPr/>
        <w:t>C.</w:t>
      </w:r>
      <w:r>
        <w:rPr>
          <w:spacing w:val="-5"/>
        </w:rPr>
        <w:t> </w:t>
      </w:r>
      <w:r>
        <w:rPr/>
        <w:t>P.,</w:t>
      </w:r>
      <w:r>
        <w:rPr>
          <w:spacing w:val="-5"/>
        </w:rPr>
        <w:t> </w:t>
      </w:r>
      <w:r>
        <w:rPr/>
        <w:t>Fulkerson,</w:t>
      </w:r>
      <w:r>
        <w:rPr>
          <w:spacing w:val="-5"/>
        </w:rPr>
        <w:t> </w:t>
      </w:r>
      <w:r>
        <w:rPr/>
        <w:t>J.</w:t>
      </w:r>
      <w:r>
        <w:rPr>
          <w:spacing w:val="-5"/>
        </w:rPr>
        <w:t> </w:t>
      </w:r>
      <w:r>
        <w:rPr/>
        <w:t>A.,</w:t>
      </w:r>
      <w:r>
        <w:rPr>
          <w:spacing w:val="-5"/>
        </w:rPr>
        <w:t> </w:t>
      </w:r>
      <w:r>
        <w:rPr/>
        <w:t>&amp;</w:t>
      </w:r>
      <w:r>
        <w:rPr>
          <w:spacing w:val="-5"/>
        </w:rPr>
        <w:t> </w:t>
      </w:r>
      <w:r>
        <w:rPr/>
        <w:t>Jordan,</w:t>
      </w:r>
      <w:r>
        <w:rPr>
          <w:spacing w:val="-5"/>
        </w:rPr>
        <w:t> </w:t>
      </w:r>
      <w:r>
        <w:rPr/>
        <w:t>B.</w:t>
      </w:r>
      <w:r>
        <w:rPr>
          <w:spacing w:val="-5"/>
        </w:rPr>
        <w:t> </w:t>
      </w:r>
      <w:r>
        <w:rPr/>
        <w:t>D.</w:t>
      </w:r>
      <w:r>
        <w:rPr>
          <w:spacing w:val="-5"/>
        </w:rPr>
        <w:t> </w:t>
      </w:r>
      <w:r>
        <w:rPr/>
        <w:t>(2014).</w:t>
      </w:r>
      <w:r>
        <w:rPr>
          <w:spacing w:val="-5"/>
        </w:rPr>
        <w:t> </w:t>
      </w:r>
      <w:r>
        <w:rPr/>
        <w:t>What</w:t>
      </w:r>
      <w:r>
        <w:rPr>
          <w:spacing w:val="-5"/>
        </w:rPr>
        <w:t> </w:t>
      </w:r>
      <w:r>
        <w:rPr/>
        <w:t>drives</w:t>
      </w:r>
      <w:r>
        <w:rPr>
          <w:spacing w:val="-5"/>
        </w:rPr>
        <w:t> </w:t>
      </w:r>
      <w:r>
        <w:rPr/>
        <w:t>ETF</w:t>
      </w:r>
      <w:r>
        <w:rPr>
          <w:spacing w:val="-5"/>
        </w:rPr>
        <w:t> </w:t>
      </w:r>
      <w:r>
        <w:rPr/>
        <w:t>flows?.</w:t>
      </w:r>
      <w:r>
        <w:rPr>
          <w:spacing w:val="-5"/>
        </w:rPr>
        <w:t> </w:t>
      </w:r>
      <w:r>
        <w:rPr>
          <w:i/>
        </w:rPr>
        <w:t>Financial</w:t>
      </w:r>
      <w:r>
        <w:rPr>
          <w:i/>
        </w:rPr>
        <w:t> Review</w:t>
      </w:r>
      <w:r>
        <w:rPr/>
        <w:t>, 49(3), 619-642.</w:t>
      </w:r>
    </w:p>
    <w:p>
      <w:pPr>
        <w:pStyle w:val="BodyText"/>
        <w:spacing w:line="266" w:lineRule="auto" w:before="173"/>
        <w:ind w:left="723" w:right="1381"/>
      </w:pPr>
      <w:r>
        <w:rPr/>
        <w:t>Converse,</w:t>
      </w:r>
      <w:r>
        <w:rPr>
          <w:spacing w:val="-7"/>
        </w:rPr>
        <w:t> </w:t>
      </w:r>
      <w:r>
        <w:rPr/>
        <w:t>N.,</w:t>
      </w:r>
      <w:r>
        <w:rPr>
          <w:spacing w:val="-7"/>
        </w:rPr>
        <w:t> </w:t>
      </w:r>
      <w:r>
        <w:rPr/>
        <w:t>Levy-Yeyati,</w:t>
      </w:r>
      <w:r>
        <w:rPr>
          <w:spacing w:val="-7"/>
        </w:rPr>
        <w:t> </w:t>
      </w:r>
      <w:r>
        <w:rPr/>
        <w:t>E.,</w:t>
      </w:r>
      <w:r>
        <w:rPr>
          <w:spacing w:val="-7"/>
        </w:rPr>
        <w:t> </w:t>
      </w:r>
      <w:r>
        <w:rPr/>
        <w:t>&amp;</w:t>
      </w:r>
      <w:r>
        <w:rPr>
          <w:spacing w:val="-7"/>
        </w:rPr>
        <w:t> </w:t>
      </w:r>
      <w:r>
        <w:rPr/>
        <w:t>Williams,</w:t>
      </w:r>
      <w:r>
        <w:rPr>
          <w:spacing w:val="-7"/>
        </w:rPr>
        <w:t> </w:t>
      </w:r>
      <w:r>
        <w:rPr/>
        <w:t>T.</w:t>
      </w:r>
      <w:r>
        <w:rPr>
          <w:spacing w:val="-7"/>
        </w:rPr>
        <w:t> </w:t>
      </w:r>
      <w:r>
        <w:rPr/>
        <w:t>(2023).</w:t>
      </w:r>
      <w:r>
        <w:rPr>
          <w:spacing w:val="-7"/>
        </w:rPr>
        <w:t> </w:t>
      </w:r>
      <w:r>
        <w:rPr/>
        <w:t>How</w:t>
      </w:r>
      <w:r>
        <w:rPr>
          <w:spacing w:val="-7"/>
        </w:rPr>
        <w:t> </w:t>
      </w:r>
      <w:r>
        <w:rPr/>
        <w:t>ETFs</w:t>
      </w:r>
      <w:r>
        <w:rPr>
          <w:spacing w:val="-7"/>
        </w:rPr>
        <w:t> </w:t>
      </w:r>
      <w:r>
        <w:rPr/>
        <w:t>amplify</w:t>
      </w:r>
      <w:r>
        <w:rPr>
          <w:spacing w:val="-7"/>
        </w:rPr>
        <w:t> </w:t>
      </w:r>
      <w:r>
        <w:rPr/>
        <w:t>the</w:t>
      </w:r>
      <w:r>
        <w:rPr>
          <w:spacing w:val="-7"/>
        </w:rPr>
        <w:t> </w:t>
      </w:r>
      <w:r>
        <w:rPr/>
        <w:t>global</w:t>
      </w:r>
      <w:r>
        <w:rPr>
          <w:spacing w:val="-7"/>
        </w:rPr>
        <w:t> </w:t>
      </w:r>
      <w:r>
        <w:rPr/>
        <w:t>financial cycle in emerging markets. </w:t>
      </w:r>
      <w:r>
        <w:rPr>
          <w:i/>
        </w:rPr>
        <w:t>The Review of Financial Studies</w:t>
      </w:r>
      <w:r>
        <w:rPr/>
        <w:t>, </w:t>
      </w:r>
      <w:r>
        <w:rPr>
          <w:i/>
        </w:rPr>
        <w:t>36</w:t>
      </w:r>
      <w:r>
        <w:rPr/>
        <w:t>(9), 3423-3462.</w:t>
      </w:r>
    </w:p>
    <w:p>
      <w:pPr>
        <w:spacing w:line="266" w:lineRule="auto" w:before="173"/>
        <w:ind w:left="723" w:right="1392" w:firstLine="0"/>
        <w:jc w:val="left"/>
        <w:rPr>
          <w:sz w:val="24"/>
        </w:rPr>
      </w:pPr>
      <w:r>
        <w:rPr>
          <w:sz w:val="24"/>
        </w:rPr>
        <w:t>Dorocáková,</w:t>
      </w:r>
      <w:r>
        <w:rPr>
          <w:spacing w:val="-5"/>
          <w:sz w:val="24"/>
        </w:rPr>
        <w:t> </w:t>
      </w:r>
      <w:r>
        <w:rPr>
          <w:sz w:val="24"/>
        </w:rPr>
        <w:t>M.</w:t>
      </w:r>
      <w:r>
        <w:rPr>
          <w:spacing w:val="-5"/>
          <w:sz w:val="24"/>
        </w:rPr>
        <w:t> </w:t>
      </w:r>
      <w:r>
        <w:rPr>
          <w:sz w:val="24"/>
        </w:rPr>
        <w:t>(2017).</w:t>
      </w:r>
      <w:r>
        <w:rPr>
          <w:spacing w:val="-5"/>
          <w:sz w:val="24"/>
        </w:rPr>
        <w:t> </w:t>
      </w:r>
      <w:r>
        <w:rPr>
          <w:sz w:val="24"/>
        </w:rPr>
        <w:t>Comparison</w:t>
      </w:r>
      <w:r>
        <w:rPr>
          <w:spacing w:val="-5"/>
          <w:sz w:val="24"/>
        </w:rPr>
        <w:t> </w:t>
      </w:r>
      <w:r>
        <w:rPr>
          <w:sz w:val="24"/>
        </w:rPr>
        <w:t>of</w:t>
      </w:r>
      <w:r>
        <w:rPr>
          <w:spacing w:val="-5"/>
          <w:sz w:val="24"/>
        </w:rPr>
        <w:t> </w:t>
      </w:r>
      <w:r>
        <w:rPr>
          <w:sz w:val="24"/>
        </w:rPr>
        <w:t>ETF´s</w:t>
      </w:r>
      <w:r>
        <w:rPr>
          <w:spacing w:val="-5"/>
          <w:sz w:val="24"/>
        </w:rPr>
        <w:t> </w:t>
      </w:r>
      <w:r>
        <w:rPr>
          <w:sz w:val="24"/>
        </w:rPr>
        <w:t>performance</w:t>
      </w:r>
      <w:r>
        <w:rPr>
          <w:spacing w:val="-5"/>
          <w:sz w:val="24"/>
        </w:rPr>
        <w:t> </w:t>
      </w:r>
      <w:r>
        <w:rPr>
          <w:sz w:val="24"/>
        </w:rPr>
        <w:t>related</w:t>
      </w:r>
      <w:r>
        <w:rPr>
          <w:spacing w:val="-5"/>
          <w:sz w:val="24"/>
        </w:rPr>
        <w:t> </w:t>
      </w:r>
      <w:r>
        <w:rPr>
          <w:sz w:val="24"/>
        </w:rPr>
        <w:t>to</w:t>
      </w:r>
      <w:r>
        <w:rPr>
          <w:spacing w:val="-5"/>
          <w:sz w:val="24"/>
        </w:rPr>
        <w:t> </w:t>
      </w:r>
      <w:r>
        <w:rPr>
          <w:sz w:val="24"/>
        </w:rPr>
        <w:t>the</w:t>
      </w:r>
      <w:r>
        <w:rPr>
          <w:spacing w:val="-5"/>
          <w:sz w:val="24"/>
        </w:rPr>
        <w:t> </w:t>
      </w:r>
      <w:r>
        <w:rPr>
          <w:sz w:val="24"/>
        </w:rPr>
        <w:t>tracking</w:t>
      </w:r>
      <w:r>
        <w:rPr>
          <w:spacing w:val="-5"/>
          <w:sz w:val="24"/>
        </w:rPr>
        <w:t> </w:t>
      </w:r>
      <w:r>
        <w:rPr>
          <w:sz w:val="24"/>
        </w:rPr>
        <w:t>error.</w:t>
      </w:r>
      <w:r>
        <w:rPr>
          <w:spacing w:val="-5"/>
          <w:sz w:val="24"/>
        </w:rPr>
        <w:t> </w:t>
      </w:r>
      <w:r>
        <w:rPr>
          <w:i/>
          <w:sz w:val="24"/>
        </w:rPr>
        <w:t>Journal</w:t>
      </w:r>
      <w:r>
        <w:rPr>
          <w:i/>
          <w:sz w:val="24"/>
        </w:rPr>
        <w:t> of International Studies</w:t>
      </w:r>
      <w:r>
        <w:rPr>
          <w:sz w:val="24"/>
        </w:rPr>
        <w:t>, </w:t>
      </w:r>
      <w:r>
        <w:rPr>
          <w:i/>
          <w:sz w:val="24"/>
        </w:rPr>
        <w:t>10</w:t>
      </w:r>
      <w:r>
        <w:rPr>
          <w:sz w:val="24"/>
        </w:rPr>
        <w:t>(4), 154-165.</w:t>
      </w:r>
    </w:p>
    <w:p>
      <w:pPr>
        <w:pStyle w:val="BodyText"/>
        <w:spacing w:before="173"/>
        <w:ind w:left="723"/>
      </w:pPr>
      <w:r>
        <w:rPr/>
        <w:t>Filippou, I., Gozluklu, A., &amp; Rozental, H. (2024). ETF arbitrage and international </w:t>
      </w:r>
      <w:r>
        <w:rPr>
          <w:spacing w:val="-2"/>
        </w:rPr>
        <w:t>diversification.</w:t>
      </w:r>
    </w:p>
    <w:p>
      <w:pPr>
        <w:spacing w:before="29"/>
        <w:ind w:left="708" w:right="0" w:firstLine="0"/>
        <w:jc w:val="left"/>
        <w:rPr>
          <w:sz w:val="24"/>
        </w:rPr>
      </w:pPr>
      <w:r>
        <w:rPr>
          <w:i/>
          <w:sz w:val="24"/>
        </w:rPr>
        <w:t>Journal of Banking &amp; Finance</w:t>
      </w:r>
      <w:r>
        <w:rPr>
          <w:sz w:val="24"/>
        </w:rPr>
        <w:t>, 168, </w:t>
      </w:r>
      <w:r>
        <w:rPr>
          <w:spacing w:val="-2"/>
          <w:sz w:val="24"/>
        </w:rPr>
        <w:t>107274.</w:t>
      </w:r>
    </w:p>
    <w:p>
      <w:pPr>
        <w:spacing w:line="266" w:lineRule="auto" w:before="204"/>
        <w:ind w:left="723" w:right="1191" w:firstLine="0"/>
        <w:jc w:val="left"/>
        <w:rPr>
          <w:sz w:val="24"/>
        </w:rPr>
      </w:pPr>
      <w:r>
        <w:rPr>
          <w:sz w:val="24"/>
        </w:rPr>
        <w:t>Kallinterakis,</w:t>
      </w:r>
      <w:r>
        <w:rPr>
          <w:spacing w:val="-7"/>
          <w:sz w:val="24"/>
        </w:rPr>
        <w:t> </w:t>
      </w:r>
      <w:r>
        <w:rPr>
          <w:sz w:val="24"/>
        </w:rPr>
        <w:t>V.,</w:t>
      </w:r>
      <w:r>
        <w:rPr>
          <w:spacing w:val="-7"/>
          <w:sz w:val="24"/>
        </w:rPr>
        <w:t> </w:t>
      </w:r>
      <w:r>
        <w:rPr>
          <w:sz w:val="24"/>
        </w:rPr>
        <w:t>Liu,</w:t>
      </w:r>
      <w:r>
        <w:rPr>
          <w:spacing w:val="-7"/>
          <w:sz w:val="24"/>
        </w:rPr>
        <w:t> </w:t>
      </w:r>
      <w:r>
        <w:rPr>
          <w:sz w:val="24"/>
        </w:rPr>
        <w:t>F.,</w:t>
      </w:r>
      <w:r>
        <w:rPr>
          <w:spacing w:val="-7"/>
          <w:sz w:val="24"/>
        </w:rPr>
        <w:t> </w:t>
      </w:r>
      <w:r>
        <w:rPr>
          <w:sz w:val="24"/>
        </w:rPr>
        <w:t>Pantelous,</w:t>
      </w:r>
      <w:r>
        <w:rPr>
          <w:spacing w:val="-7"/>
          <w:sz w:val="24"/>
        </w:rPr>
        <w:t> </w:t>
      </w:r>
      <w:r>
        <w:rPr>
          <w:sz w:val="24"/>
        </w:rPr>
        <w:t>A.</w:t>
      </w:r>
      <w:r>
        <w:rPr>
          <w:spacing w:val="-7"/>
          <w:sz w:val="24"/>
        </w:rPr>
        <w:t> </w:t>
      </w:r>
      <w:r>
        <w:rPr>
          <w:sz w:val="24"/>
        </w:rPr>
        <w:t>A.,</w:t>
      </w:r>
      <w:r>
        <w:rPr>
          <w:spacing w:val="-7"/>
          <w:sz w:val="24"/>
        </w:rPr>
        <w:t> </w:t>
      </w:r>
      <w:r>
        <w:rPr>
          <w:sz w:val="24"/>
        </w:rPr>
        <w:t>&amp;</w:t>
      </w:r>
      <w:r>
        <w:rPr>
          <w:spacing w:val="-7"/>
          <w:sz w:val="24"/>
        </w:rPr>
        <w:t> </w:t>
      </w:r>
      <w:r>
        <w:rPr>
          <w:sz w:val="24"/>
        </w:rPr>
        <w:t>Shao,</w:t>
      </w:r>
      <w:r>
        <w:rPr>
          <w:spacing w:val="-7"/>
          <w:sz w:val="24"/>
        </w:rPr>
        <w:t> </w:t>
      </w:r>
      <w:r>
        <w:rPr>
          <w:sz w:val="24"/>
        </w:rPr>
        <w:t>J.</w:t>
      </w:r>
      <w:r>
        <w:rPr>
          <w:spacing w:val="-7"/>
          <w:sz w:val="24"/>
        </w:rPr>
        <w:t> </w:t>
      </w:r>
      <w:r>
        <w:rPr>
          <w:sz w:val="24"/>
        </w:rPr>
        <w:t>(2020).</w:t>
      </w:r>
      <w:r>
        <w:rPr>
          <w:spacing w:val="-7"/>
          <w:sz w:val="24"/>
        </w:rPr>
        <w:t> </w:t>
      </w:r>
      <w:r>
        <w:rPr>
          <w:sz w:val="24"/>
        </w:rPr>
        <w:t>Pricing</w:t>
      </w:r>
      <w:r>
        <w:rPr>
          <w:spacing w:val="-7"/>
          <w:sz w:val="24"/>
        </w:rPr>
        <w:t> </w:t>
      </w:r>
      <w:r>
        <w:rPr>
          <w:sz w:val="24"/>
        </w:rPr>
        <w:t>inefficiencies</w:t>
      </w:r>
      <w:r>
        <w:rPr>
          <w:spacing w:val="-7"/>
          <w:sz w:val="24"/>
        </w:rPr>
        <w:t> </w:t>
      </w:r>
      <w:r>
        <w:rPr>
          <w:sz w:val="24"/>
        </w:rPr>
        <w:t>and</w:t>
      </w:r>
      <w:r>
        <w:rPr>
          <w:spacing w:val="-7"/>
          <w:sz w:val="24"/>
        </w:rPr>
        <w:t> </w:t>
      </w:r>
      <w:r>
        <w:rPr>
          <w:sz w:val="24"/>
        </w:rPr>
        <w:t>feedback trading: Evidence from country ETFs. </w:t>
      </w:r>
      <w:r>
        <w:rPr>
          <w:i/>
          <w:sz w:val="24"/>
        </w:rPr>
        <w:t>International Review of Financial Analysis</w:t>
      </w:r>
      <w:r>
        <w:rPr>
          <w:sz w:val="24"/>
        </w:rPr>
        <w:t>, </w:t>
      </w:r>
      <w:r>
        <w:rPr>
          <w:i/>
          <w:sz w:val="24"/>
        </w:rPr>
        <w:t>70</w:t>
      </w:r>
      <w:r>
        <w:rPr>
          <w:sz w:val="24"/>
        </w:rPr>
        <w:t>, 101498.</w:t>
      </w:r>
    </w:p>
    <w:p>
      <w:pPr>
        <w:pStyle w:val="BodyText"/>
        <w:spacing w:line="266" w:lineRule="auto" w:before="174"/>
        <w:ind w:left="723" w:right="2135" w:firstLine="15"/>
      </w:pPr>
      <w:r>
        <w:rPr/>
        <w:t>Saunders,</w:t>
      </w:r>
      <w:r>
        <w:rPr>
          <w:spacing w:val="-5"/>
        </w:rPr>
        <w:t> </w:t>
      </w:r>
      <w:r>
        <w:rPr/>
        <w:t>K.</w:t>
      </w:r>
      <w:r>
        <w:rPr>
          <w:spacing w:val="-5"/>
        </w:rPr>
        <w:t> </w:t>
      </w:r>
      <w:r>
        <w:rPr/>
        <w:t>T.</w:t>
      </w:r>
      <w:r>
        <w:rPr>
          <w:spacing w:val="-5"/>
        </w:rPr>
        <w:t> </w:t>
      </w:r>
      <w:r>
        <w:rPr/>
        <w:t>(2018).</w:t>
      </w:r>
      <w:r>
        <w:rPr>
          <w:spacing w:val="-5"/>
        </w:rPr>
        <w:t> </w:t>
      </w:r>
      <w:r>
        <w:rPr/>
        <w:t>Analysis</w:t>
      </w:r>
      <w:r>
        <w:rPr>
          <w:spacing w:val="-5"/>
        </w:rPr>
        <w:t> </w:t>
      </w:r>
      <w:r>
        <w:rPr/>
        <w:t>of</w:t>
      </w:r>
      <w:r>
        <w:rPr>
          <w:spacing w:val="-5"/>
        </w:rPr>
        <w:t> </w:t>
      </w:r>
      <w:r>
        <w:rPr/>
        <w:t>international</w:t>
      </w:r>
      <w:r>
        <w:rPr>
          <w:spacing w:val="-5"/>
        </w:rPr>
        <w:t> </w:t>
      </w:r>
      <w:r>
        <w:rPr/>
        <w:t>ETF</w:t>
      </w:r>
      <w:r>
        <w:rPr>
          <w:spacing w:val="-5"/>
        </w:rPr>
        <w:t> </w:t>
      </w:r>
      <w:r>
        <w:rPr/>
        <w:t>tracking</w:t>
      </w:r>
      <w:r>
        <w:rPr>
          <w:spacing w:val="-5"/>
        </w:rPr>
        <w:t> </w:t>
      </w:r>
      <w:r>
        <w:rPr/>
        <w:t>error</w:t>
      </w:r>
      <w:r>
        <w:rPr>
          <w:spacing w:val="-5"/>
        </w:rPr>
        <w:t> </w:t>
      </w:r>
      <w:r>
        <w:rPr/>
        <w:t>in</w:t>
      </w:r>
      <w:r>
        <w:rPr>
          <w:spacing w:val="-5"/>
        </w:rPr>
        <w:t> </w:t>
      </w:r>
      <w:r>
        <w:rPr/>
        <w:t>country-</w:t>
      </w:r>
      <w:r>
        <w:rPr/>
        <w:t>specific funds. </w:t>
      </w:r>
      <w:r>
        <w:rPr>
          <w:i/>
        </w:rPr>
        <w:t>Atlantic Economic Journal</w:t>
      </w:r>
      <w:r>
        <w:rPr/>
        <w:t>, </w:t>
      </w:r>
      <w:r>
        <w:rPr>
          <w:i/>
        </w:rPr>
        <w:t>46</w:t>
      </w:r>
      <w:r>
        <w:rPr/>
        <w:t>(2), 151-160.</w:t>
      </w:r>
    </w:p>
    <w:p>
      <w:pPr>
        <w:pStyle w:val="BodyText"/>
        <w:spacing w:after="0" w:line="266" w:lineRule="auto"/>
        <w:sectPr>
          <w:pgSz w:w="12240" w:h="15840"/>
          <w:pgMar w:header="0" w:footer="707" w:top="640" w:bottom="960" w:left="720" w:right="0"/>
        </w:sectPr>
      </w:pPr>
    </w:p>
    <w:p>
      <w:pPr>
        <w:pStyle w:val="BodyText"/>
        <w:spacing w:before="60"/>
        <w:ind w:left="873"/>
      </w:pPr>
      <w:r>
        <w:rPr/>
        <w:t>Figure 1: ETF </w:t>
      </w:r>
      <w:r>
        <w:rPr>
          <w:spacing w:val="-2"/>
        </w:rPr>
        <w:t>Price</w:t>
      </w:r>
    </w:p>
    <w:p>
      <w:pPr>
        <w:spacing w:line="266" w:lineRule="auto" w:before="232"/>
        <w:ind w:left="873" w:right="1948" w:firstLine="0"/>
        <w:jc w:val="left"/>
        <w:rPr>
          <w:sz w:val="22"/>
        </w:rPr>
      </w:pPr>
      <w:r>
        <w:rPr>
          <w:sz w:val="22"/>
        </w:rPr>
        <w:t>The</w:t>
      </w:r>
      <w:r>
        <w:rPr>
          <w:spacing w:val="-1"/>
          <w:sz w:val="22"/>
        </w:rPr>
        <w:t> </w:t>
      </w:r>
      <w:r>
        <w:rPr>
          <w:sz w:val="22"/>
        </w:rPr>
        <w:t>figure</w:t>
      </w:r>
      <w:r>
        <w:rPr>
          <w:spacing w:val="-1"/>
          <w:sz w:val="22"/>
        </w:rPr>
        <w:t> </w:t>
      </w:r>
      <w:r>
        <w:rPr>
          <w:sz w:val="22"/>
        </w:rPr>
        <w:t>shows</w:t>
      </w:r>
      <w:r>
        <w:rPr>
          <w:spacing w:val="-1"/>
          <w:sz w:val="22"/>
        </w:rPr>
        <w:t> </w:t>
      </w:r>
      <w:r>
        <w:rPr>
          <w:sz w:val="22"/>
        </w:rPr>
        <w:t>the</w:t>
      </w:r>
      <w:r>
        <w:rPr>
          <w:spacing w:val="-1"/>
          <w:sz w:val="22"/>
        </w:rPr>
        <w:t> </w:t>
      </w:r>
      <w:r>
        <w:rPr>
          <w:sz w:val="22"/>
        </w:rPr>
        <w:t>price</w:t>
      </w:r>
      <w:r>
        <w:rPr>
          <w:spacing w:val="-1"/>
          <w:sz w:val="22"/>
        </w:rPr>
        <w:t> </w:t>
      </w:r>
      <w:r>
        <w:rPr>
          <w:sz w:val="22"/>
        </w:rPr>
        <w:t>fluctuations</w:t>
      </w:r>
      <w:r>
        <w:rPr>
          <w:spacing w:val="-1"/>
          <w:sz w:val="22"/>
        </w:rPr>
        <w:t> </w:t>
      </w:r>
      <w:r>
        <w:rPr>
          <w:sz w:val="22"/>
        </w:rPr>
        <w:t>in</w:t>
      </w:r>
      <w:r>
        <w:rPr>
          <w:spacing w:val="-1"/>
          <w:sz w:val="22"/>
        </w:rPr>
        <w:t> </w:t>
      </w:r>
      <w:r>
        <w:rPr>
          <w:sz w:val="22"/>
        </w:rPr>
        <w:t>international</w:t>
      </w:r>
      <w:r>
        <w:rPr>
          <w:spacing w:val="-1"/>
          <w:sz w:val="22"/>
        </w:rPr>
        <w:t> </w:t>
      </w:r>
      <w:r>
        <w:rPr>
          <w:sz w:val="22"/>
        </w:rPr>
        <w:t>ETFs</w:t>
      </w:r>
      <w:r>
        <w:rPr>
          <w:spacing w:val="-1"/>
          <w:sz w:val="22"/>
        </w:rPr>
        <w:t> </w:t>
      </w:r>
      <w:r>
        <w:rPr>
          <w:sz w:val="22"/>
        </w:rPr>
        <w:t>around</w:t>
      </w:r>
      <w:r>
        <w:rPr>
          <w:spacing w:val="-1"/>
          <w:sz w:val="22"/>
        </w:rPr>
        <w:t> </w:t>
      </w:r>
      <w:r>
        <w:rPr>
          <w:sz w:val="22"/>
        </w:rPr>
        <w:t>the</w:t>
      </w:r>
      <w:r>
        <w:rPr>
          <w:spacing w:val="-1"/>
          <w:sz w:val="22"/>
        </w:rPr>
        <w:t> </w:t>
      </w:r>
      <w:r>
        <w:rPr>
          <w:sz w:val="22"/>
        </w:rPr>
        <w:t>April</w:t>
      </w:r>
      <w:r>
        <w:rPr>
          <w:spacing w:val="-1"/>
          <w:sz w:val="22"/>
        </w:rPr>
        <w:t> </w:t>
      </w:r>
      <w:r>
        <w:rPr>
          <w:sz w:val="22"/>
        </w:rPr>
        <w:t>2,</w:t>
      </w:r>
      <w:r>
        <w:rPr>
          <w:spacing w:val="-1"/>
          <w:sz w:val="22"/>
        </w:rPr>
        <w:t> </w:t>
      </w:r>
      <w:r>
        <w:rPr>
          <w:sz w:val="22"/>
        </w:rPr>
        <w:t>2025,</w:t>
      </w:r>
      <w:r>
        <w:rPr>
          <w:spacing w:val="-1"/>
          <w:sz w:val="22"/>
        </w:rPr>
        <w:t> </w:t>
      </w:r>
      <w:r>
        <w:rPr>
          <w:sz w:val="22"/>
        </w:rPr>
        <w:t>tariff </w:t>
      </w:r>
      <w:r>
        <w:rPr>
          <w:spacing w:val="-2"/>
          <w:sz w:val="22"/>
        </w:rPr>
        <w:t>announcements.</w:t>
      </w:r>
    </w:p>
    <w:p>
      <w:pPr>
        <w:pStyle w:val="BodyText"/>
        <w:spacing w:before="11"/>
        <w:rPr>
          <w:sz w:val="6"/>
        </w:rPr>
      </w:pPr>
      <w:r>
        <w:rPr>
          <w:sz w:val="6"/>
        </w:rPr>
        <w:drawing>
          <wp:anchor distT="0" distB="0" distL="0" distR="0" allowOverlap="1" layoutInCell="1" locked="0" behindDoc="1" simplePos="0" relativeHeight="487597056">
            <wp:simplePos x="0" y="0"/>
            <wp:positionH relativeFrom="page">
              <wp:posOffset>1069238</wp:posOffset>
            </wp:positionH>
            <wp:positionV relativeFrom="paragraph">
              <wp:posOffset>66142</wp:posOffset>
            </wp:positionV>
            <wp:extent cx="5524499" cy="3467100"/>
            <wp:effectExtent l="0" t="0" r="0" b="0"/>
            <wp:wrapTopAndBottom/>
            <wp:docPr id="36" name="Image 36"/>
            <wp:cNvGraphicFramePr>
              <a:graphicFrameLocks/>
            </wp:cNvGraphicFramePr>
            <a:graphic>
              <a:graphicData uri="http://schemas.openxmlformats.org/drawingml/2006/picture">
                <pic:pic>
                  <pic:nvPicPr>
                    <pic:cNvPr id="36" name="Image 36"/>
                    <pic:cNvPicPr/>
                  </pic:nvPicPr>
                  <pic:blipFill>
                    <a:blip r:embed="rId151" cstate="print"/>
                    <a:stretch>
                      <a:fillRect/>
                    </a:stretch>
                  </pic:blipFill>
                  <pic:spPr>
                    <a:xfrm>
                      <a:off x="0" y="0"/>
                      <a:ext cx="5524499" cy="3467100"/>
                    </a:xfrm>
                    <a:prstGeom prst="rect">
                      <a:avLst/>
                    </a:prstGeom>
                  </pic:spPr>
                </pic:pic>
              </a:graphicData>
            </a:graphic>
          </wp:anchor>
        </w:drawing>
      </w:r>
      <w:r>
        <w:rPr>
          <w:sz w:val="6"/>
        </w:rPr>
        <w:drawing>
          <wp:anchor distT="0" distB="0" distL="0" distR="0" allowOverlap="1" layoutInCell="1" locked="0" behindDoc="1" simplePos="0" relativeHeight="487597568">
            <wp:simplePos x="0" y="0"/>
            <wp:positionH relativeFrom="page">
              <wp:posOffset>1056751</wp:posOffset>
            </wp:positionH>
            <wp:positionV relativeFrom="paragraph">
              <wp:posOffset>3672747</wp:posOffset>
            </wp:positionV>
            <wp:extent cx="5574536" cy="2923222"/>
            <wp:effectExtent l="0" t="0" r="0" b="0"/>
            <wp:wrapTopAndBottom/>
            <wp:docPr id="37" name="Image 37"/>
            <wp:cNvGraphicFramePr>
              <a:graphicFrameLocks/>
            </wp:cNvGraphicFramePr>
            <a:graphic>
              <a:graphicData uri="http://schemas.openxmlformats.org/drawingml/2006/picture">
                <pic:pic>
                  <pic:nvPicPr>
                    <pic:cNvPr id="37" name="Image 37"/>
                    <pic:cNvPicPr/>
                  </pic:nvPicPr>
                  <pic:blipFill>
                    <a:blip r:embed="rId152" cstate="print"/>
                    <a:stretch>
                      <a:fillRect/>
                    </a:stretch>
                  </pic:blipFill>
                  <pic:spPr>
                    <a:xfrm>
                      <a:off x="0" y="0"/>
                      <a:ext cx="5574536" cy="2923222"/>
                    </a:xfrm>
                    <a:prstGeom prst="rect">
                      <a:avLst/>
                    </a:prstGeom>
                  </pic:spPr>
                </pic:pic>
              </a:graphicData>
            </a:graphic>
          </wp:anchor>
        </w:drawing>
      </w:r>
    </w:p>
    <w:p>
      <w:pPr>
        <w:pStyle w:val="BodyText"/>
        <w:rPr>
          <w:sz w:val="17"/>
        </w:rPr>
      </w:pPr>
    </w:p>
    <w:p>
      <w:pPr>
        <w:pStyle w:val="BodyText"/>
        <w:spacing w:before="80"/>
        <w:ind w:left="873"/>
      </w:pPr>
      <w:r>
        <w:rPr/>
        <w:t>Figure 2: Share </w:t>
      </w:r>
      <w:r>
        <w:rPr>
          <w:spacing w:val="-2"/>
        </w:rPr>
        <w:t>Volume</w:t>
      </w:r>
    </w:p>
    <w:p>
      <w:pPr>
        <w:spacing w:line="266" w:lineRule="auto" w:before="232"/>
        <w:ind w:left="873" w:right="2135" w:firstLine="0"/>
        <w:jc w:val="left"/>
        <w:rPr>
          <w:sz w:val="22"/>
        </w:rPr>
      </w:pPr>
      <w:r>
        <w:rPr>
          <w:sz w:val="22"/>
        </w:rPr>
        <w:t>The</w:t>
      </w:r>
      <w:r>
        <w:rPr>
          <w:spacing w:val="-1"/>
          <w:sz w:val="22"/>
        </w:rPr>
        <w:t> </w:t>
      </w:r>
      <w:r>
        <w:rPr>
          <w:sz w:val="22"/>
        </w:rPr>
        <w:t>figure</w:t>
      </w:r>
      <w:r>
        <w:rPr>
          <w:spacing w:val="-1"/>
          <w:sz w:val="22"/>
        </w:rPr>
        <w:t> </w:t>
      </w:r>
      <w:r>
        <w:rPr>
          <w:sz w:val="22"/>
        </w:rPr>
        <w:t>shows</w:t>
      </w:r>
      <w:r>
        <w:rPr>
          <w:spacing w:val="-1"/>
          <w:sz w:val="22"/>
        </w:rPr>
        <w:t> </w:t>
      </w:r>
      <w:r>
        <w:rPr>
          <w:sz w:val="22"/>
        </w:rPr>
        <w:t>the</w:t>
      </w:r>
      <w:r>
        <w:rPr>
          <w:spacing w:val="-1"/>
          <w:sz w:val="22"/>
        </w:rPr>
        <w:t> </w:t>
      </w:r>
      <w:r>
        <w:rPr>
          <w:sz w:val="22"/>
        </w:rPr>
        <w:t>fluctuations</w:t>
      </w:r>
      <w:r>
        <w:rPr>
          <w:spacing w:val="-1"/>
          <w:sz w:val="22"/>
        </w:rPr>
        <w:t> </w:t>
      </w:r>
      <w:r>
        <w:rPr>
          <w:sz w:val="22"/>
        </w:rPr>
        <w:t>of</w:t>
      </w:r>
      <w:r>
        <w:rPr>
          <w:spacing w:val="-1"/>
          <w:sz w:val="22"/>
        </w:rPr>
        <w:t> </w:t>
      </w:r>
      <w:r>
        <w:rPr>
          <w:sz w:val="22"/>
        </w:rPr>
        <w:t>share</w:t>
      </w:r>
      <w:r>
        <w:rPr>
          <w:spacing w:val="-1"/>
          <w:sz w:val="22"/>
        </w:rPr>
        <w:t> </w:t>
      </w:r>
      <w:r>
        <w:rPr>
          <w:sz w:val="22"/>
        </w:rPr>
        <w:t>volume</w:t>
      </w:r>
      <w:r>
        <w:rPr>
          <w:spacing w:val="-1"/>
          <w:sz w:val="22"/>
        </w:rPr>
        <w:t> </w:t>
      </w:r>
      <w:r>
        <w:rPr>
          <w:sz w:val="22"/>
        </w:rPr>
        <w:t>in</w:t>
      </w:r>
      <w:r>
        <w:rPr>
          <w:spacing w:val="-1"/>
          <w:sz w:val="22"/>
        </w:rPr>
        <w:t> </w:t>
      </w:r>
      <w:r>
        <w:rPr>
          <w:sz w:val="22"/>
        </w:rPr>
        <w:t>international</w:t>
      </w:r>
      <w:r>
        <w:rPr>
          <w:spacing w:val="-1"/>
          <w:sz w:val="22"/>
        </w:rPr>
        <w:t> </w:t>
      </w:r>
      <w:r>
        <w:rPr>
          <w:sz w:val="22"/>
        </w:rPr>
        <w:t>ETFs</w:t>
      </w:r>
      <w:r>
        <w:rPr>
          <w:spacing w:val="-1"/>
          <w:sz w:val="22"/>
        </w:rPr>
        <w:t> </w:t>
      </w:r>
      <w:r>
        <w:rPr>
          <w:sz w:val="22"/>
        </w:rPr>
        <w:t>around</w:t>
      </w:r>
      <w:r>
        <w:rPr>
          <w:spacing w:val="-1"/>
          <w:sz w:val="22"/>
        </w:rPr>
        <w:t> </w:t>
      </w:r>
      <w:r>
        <w:rPr>
          <w:sz w:val="22"/>
        </w:rPr>
        <w:t>the</w:t>
      </w:r>
      <w:r>
        <w:rPr>
          <w:spacing w:val="-1"/>
          <w:sz w:val="22"/>
        </w:rPr>
        <w:t> </w:t>
      </w:r>
      <w:r>
        <w:rPr>
          <w:sz w:val="22"/>
        </w:rPr>
        <w:t>April</w:t>
      </w:r>
      <w:r>
        <w:rPr>
          <w:spacing w:val="-1"/>
          <w:sz w:val="22"/>
        </w:rPr>
        <w:t> </w:t>
      </w:r>
      <w:r>
        <w:rPr>
          <w:sz w:val="22"/>
        </w:rPr>
        <w:t>2, 2025, tariff announcements.</w:t>
      </w:r>
    </w:p>
    <w:p>
      <w:pPr>
        <w:spacing w:after="0" w:line="266" w:lineRule="auto"/>
        <w:jc w:val="left"/>
        <w:rPr>
          <w:sz w:val="22"/>
        </w:rPr>
        <w:sectPr>
          <w:pgSz w:w="12240" w:h="15840"/>
          <w:pgMar w:header="0" w:footer="707" w:top="640" w:bottom="960" w:left="720" w:right="0"/>
        </w:sectPr>
      </w:pPr>
    </w:p>
    <w:p>
      <w:pPr>
        <w:spacing w:line="240" w:lineRule="auto"/>
        <w:ind w:left="948" w:right="0" w:firstLine="0"/>
        <w:rPr>
          <w:sz w:val="20"/>
        </w:rPr>
      </w:pPr>
      <w:r>
        <w:rPr>
          <w:sz w:val="20"/>
        </w:rPr>
        <w:drawing>
          <wp:inline distT="0" distB="0" distL="0" distR="0">
            <wp:extent cx="5443015" cy="3438525"/>
            <wp:effectExtent l="0" t="0" r="0" b="0"/>
            <wp:docPr id="38" name="Image 38"/>
            <wp:cNvGraphicFramePr>
              <a:graphicFrameLocks/>
            </wp:cNvGraphicFramePr>
            <a:graphic>
              <a:graphicData uri="http://schemas.openxmlformats.org/drawingml/2006/picture">
                <pic:pic>
                  <pic:nvPicPr>
                    <pic:cNvPr id="38" name="Image 38"/>
                    <pic:cNvPicPr/>
                  </pic:nvPicPr>
                  <pic:blipFill>
                    <a:blip r:embed="rId153" cstate="print"/>
                    <a:stretch>
                      <a:fillRect/>
                    </a:stretch>
                  </pic:blipFill>
                  <pic:spPr>
                    <a:xfrm>
                      <a:off x="0" y="0"/>
                      <a:ext cx="5443015" cy="3438525"/>
                    </a:xfrm>
                    <a:prstGeom prst="rect">
                      <a:avLst/>
                    </a:prstGeom>
                  </pic:spPr>
                </pic:pic>
              </a:graphicData>
            </a:graphic>
          </wp:inline>
        </w:drawing>
      </w:r>
      <w:r>
        <w:rPr>
          <w:sz w:val="20"/>
        </w:rPr>
      </w:r>
    </w:p>
    <w:p>
      <w:pPr>
        <w:pStyle w:val="BodyText"/>
        <w:spacing w:before="3"/>
        <w:rPr>
          <w:sz w:val="15"/>
        </w:rPr>
      </w:pPr>
      <w:r>
        <w:rPr>
          <w:sz w:val="15"/>
        </w:rPr>
        <w:drawing>
          <wp:anchor distT="0" distB="0" distL="0" distR="0" allowOverlap="1" layoutInCell="1" locked="0" behindDoc="1" simplePos="0" relativeHeight="487598080">
            <wp:simplePos x="0" y="0"/>
            <wp:positionH relativeFrom="page">
              <wp:posOffset>1056703</wp:posOffset>
            </wp:positionH>
            <wp:positionV relativeFrom="paragraph">
              <wp:posOffset>127138</wp:posOffset>
            </wp:positionV>
            <wp:extent cx="5498934" cy="3060287"/>
            <wp:effectExtent l="0" t="0" r="0" b="0"/>
            <wp:wrapTopAndBottom/>
            <wp:docPr id="39" name="Image 39"/>
            <wp:cNvGraphicFramePr>
              <a:graphicFrameLocks/>
            </wp:cNvGraphicFramePr>
            <a:graphic>
              <a:graphicData uri="http://schemas.openxmlformats.org/drawingml/2006/picture">
                <pic:pic>
                  <pic:nvPicPr>
                    <pic:cNvPr id="39" name="Image 39"/>
                    <pic:cNvPicPr/>
                  </pic:nvPicPr>
                  <pic:blipFill>
                    <a:blip r:embed="rId154" cstate="print"/>
                    <a:stretch>
                      <a:fillRect/>
                    </a:stretch>
                  </pic:blipFill>
                  <pic:spPr>
                    <a:xfrm>
                      <a:off x="0" y="0"/>
                      <a:ext cx="5498934" cy="3060287"/>
                    </a:xfrm>
                    <a:prstGeom prst="rect">
                      <a:avLst/>
                    </a:prstGeom>
                  </pic:spPr>
                </pic:pic>
              </a:graphicData>
            </a:graphic>
          </wp:anchor>
        </w:drawing>
      </w:r>
    </w:p>
    <w:p>
      <w:pPr>
        <w:pStyle w:val="BodyText"/>
        <w:spacing w:after="0"/>
        <w:rPr>
          <w:sz w:val="15"/>
        </w:rPr>
        <w:sectPr>
          <w:pgSz w:w="12240" w:h="15840"/>
          <w:pgMar w:header="0" w:footer="707" w:top="780" w:bottom="960" w:left="720" w:right="0"/>
        </w:sectPr>
      </w:pPr>
    </w:p>
    <w:p>
      <w:pPr>
        <w:pStyle w:val="Heading3"/>
        <w:spacing w:line="223" w:lineRule="auto" w:before="50"/>
        <w:ind w:left="3269" w:right="3583" w:hanging="1450"/>
        <w:jc w:val="left"/>
      </w:pPr>
      <w:bookmarkStart w:name="Economic Viability of Proposed 50‑Year M" w:id="78"/>
      <w:bookmarkEnd w:id="78"/>
      <w:r>
        <w:rPr>
          <w:b w:val="0"/>
        </w:rPr>
      </w:r>
      <w:bookmarkStart w:name="h.xhtyagoja829" w:id="79"/>
      <w:bookmarkEnd w:id="79"/>
      <w:r>
        <w:rPr>
          <w:b w:val="0"/>
        </w:rPr>
      </w:r>
      <w:r>
        <w:rPr/>
        <w:t>Economic</w:t>
      </w:r>
      <w:r>
        <w:rPr>
          <w:spacing w:val="-18"/>
        </w:rPr>
        <w:t> </w:t>
      </w:r>
      <w:r>
        <w:rPr/>
        <w:t>Viability</w:t>
      </w:r>
      <w:r>
        <w:rPr>
          <w:spacing w:val="-17"/>
        </w:rPr>
        <w:t> </w:t>
      </w:r>
      <w:r>
        <w:rPr/>
        <w:t>of</w:t>
      </w:r>
      <w:r>
        <w:rPr>
          <w:spacing w:val="-18"/>
        </w:rPr>
        <w:t> </w:t>
      </w:r>
      <w:r>
        <w:rPr/>
        <w:t>Proposed</w:t>
      </w:r>
      <w:r>
        <w:rPr>
          <w:spacing w:val="-17"/>
        </w:rPr>
        <w:t> </w:t>
      </w:r>
      <w:r>
        <w:rPr/>
        <w:t>50</w:t>
      </w:r>
      <w:r>
        <w:rPr>
          <w:rFonts w:ascii="Segoe UI Symbol" w:hAnsi="Segoe UI Symbol"/>
          <w:b w:val="0"/>
        </w:rPr>
        <w:t>‑</w:t>
      </w:r>
      <w:r>
        <w:rPr/>
        <w:t>Year</w:t>
      </w:r>
      <w:r>
        <w:rPr>
          <w:spacing w:val="-18"/>
        </w:rPr>
        <w:t> </w:t>
      </w:r>
      <w:r>
        <w:rPr/>
        <w:t>Mortgages </w:t>
      </w:r>
      <w:bookmarkStart w:name=" in the U.S. Housing Market " w:id="80"/>
      <w:bookmarkEnd w:id="80"/>
      <w:r>
        <w:rPr/>
        <w:t>i</w:t>
      </w:r>
      <w:r>
        <w:rPr/>
        <w:t>n the U.S. Housing Market</w:t>
      </w:r>
    </w:p>
    <w:p>
      <w:pPr>
        <w:pStyle w:val="BodyText"/>
        <w:spacing w:line="253" w:lineRule="exact" w:before="255"/>
        <w:ind w:right="719"/>
        <w:jc w:val="center"/>
      </w:pPr>
      <w:r>
        <w:rPr/>
        <w:t>Kevin </w:t>
      </w:r>
      <w:r>
        <w:rPr>
          <w:spacing w:val="-2"/>
        </w:rPr>
        <w:t>Kilgore</w:t>
      </w:r>
    </w:p>
    <w:p>
      <w:pPr>
        <w:pStyle w:val="BodyText"/>
        <w:spacing w:line="199" w:lineRule="auto" w:before="15"/>
        <w:ind w:left="2809" w:right="3527"/>
        <w:jc w:val="center"/>
      </w:pPr>
      <w:r>
        <w:rPr/>
        <w:t>Associate</w:t>
      </w:r>
      <w:r>
        <w:rPr>
          <w:spacing w:val="-7"/>
        </w:rPr>
        <w:t> </w:t>
      </w:r>
      <w:r>
        <w:rPr/>
        <w:t>Director,</w:t>
      </w:r>
      <w:r>
        <w:rPr>
          <w:spacing w:val="-7"/>
        </w:rPr>
        <w:t> </w:t>
      </w:r>
      <w:r>
        <w:rPr/>
        <w:t>Center</w:t>
      </w:r>
      <w:r>
        <w:rPr>
          <w:spacing w:val="-7"/>
        </w:rPr>
        <w:t> </w:t>
      </w:r>
      <w:r>
        <w:rPr/>
        <w:t>for</w:t>
      </w:r>
      <w:r>
        <w:rPr>
          <w:spacing w:val="-7"/>
        </w:rPr>
        <w:t> </w:t>
      </w:r>
      <w:r>
        <w:rPr/>
        <w:t>the</w:t>
      </w:r>
      <w:r>
        <w:rPr>
          <w:spacing w:val="-7"/>
        </w:rPr>
        <w:t> </w:t>
      </w:r>
      <w:r>
        <w:rPr/>
        <w:t>Study</w:t>
      </w:r>
      <w:r>
        <w:rPr>
          <w:spacing w:val="-7"/>
        </w:rPr>
        <w:t> </w:t>
      </w:r>
      <w:r>
        <w:rPr/>
        <w:t>of</w:t>
      </w:r>
      <w:r>
        <w:rPr>
          <w:spacing w:val="-7"/>
        </w:rPr>
        <w:t> </w:t>
      </w:r>
      <w:r>
        <w:rPr/>
        <w:t>Finance College of Business and Technology</w:t>
      </w:r>
    </w:p>
    <w:p>
      <w:pPr>
        <w:pStyle w:val="BodyText"/>
        <w:spacing w:line="199" w:lineRule="auto" w:before="2"/>
        <w:ind w:left="3865" w:right="4583"/>
        <w:jc w:val="center"/>
      </w:pPr>
      <w:r>
        <w:rPr/>
        <w:t>East</w:t>
      </w:r>
      <w:r>
        <w:rPr>
          <w:spacing w:val="-15"/>
        </w:rPr>
        <w:t> </w:t>
      </w:r>
      <w:r>
        <w:rPr/>
        <w:t>Tennessee</w:t>
      </w:r>
      <w:r>
        <w:rPr>
          <w:spacing w:val="-15"/>
        </w:rPr>
        <w:t> </w:t>
      </w:r>
      <w:r>
        <w:rPr/>
        <w:t>State</w:t>
      </w:r>
      <w:r>
        <w:rPr>
          <w:spacing w:val="-15"/>
        </w:rPr>
        <w:t> </w:t>
      </w:r>
      <w:r>
        <w:rPr/>
        <w:t>University PO Box 70585</w:t>
      </w:r>
    </w:p>
    <w:p>
      <w:pPr>
        <w:pStyle w:val="BodyText"/>
        <w:spacing w:line="199" w:lineRule="auto" w:before="2"/>
        <w:ind w:left="4227" w:right="4945"/>
        <w:jc w:val="center"/>
      </w:pPr>
      <w:r>
        <w:rPr/>
        <w:t>Johnson</w:t>
      </w:r>
      <w:r>
        <w:rPr>
          <w:spacing w:val="-15"/>
        </w:rPr>
        <w:t> </w:t>
      </w:r>
      <w:r>
        <w:rPr/>
        <w:t>City,</w:t>
      </w:r>
      <w:r>
        <w:rPr>
          <w:spacing w:val="-15"/>
        </w:rPr>
        <w:t> </w:t>
      </w:r>
      <w:r>
        <w:rPr/>
        <w:t>TN</w:t>
      </w:r>
      <w:r>
        <w:rPr>
          <w:spacing w:val="-15"/>
        </w:rPr>
        <w:t> </w:t>
      </w:r>
      <w:r>
        <w:rPr/>
        <w:t>37614 </w:t>
      </w:r>
      <w:hyperlink r:id="rId156">
        <w:r>
          <w:rPr>
            <w:color w:val="0000FF"/>
            <w:spacing w:val="-2"/>
            <w:u w:val="thick" w:color="0000FF"/>
          </w:rPr>
          <w:t>kilgorekr@etsu.edu</w:t>
        </w:r>
      </w:hyperlink>
      <w:r>
        <w:rPr>
          <w:color w:val="0000FF"/>
          <w:spacing w:val="-2"/>
          <w:u w:val="none"/>
        </w:rPr>
        <w:t> </w:t>
      </w:r>
      <w:r>
        <w:rPr>
          <w:spacing w:val="-2"/>
          <w:u w:val="none"/>
        </w:rPr>
        <w:t>423.439.5668</w:t>
      </w:r>
    </w:p>
    <w:p>
      <w:pPr>
        <w:pStyle w:val="BodyText"/>
        <w:spacing w:before="238"/>
      </w:pPr>
    </w:p>
    <w:p>
      <w:pPr>
        <w:pStyle w:val="BodyText"/>
        <w:spacing w:line="199" w:lineRule="auto" w:before="1"/>
        <w:ind w:left="3428" w:right="4034" w:firstLine="665"/>
      </w:pPr>
      <w:r>
        <w:rPr/>
        <w:t>William J. Trainor Jr., CFA Director,</w:t>
      </w:r>
      <w:r>
        <w:rPr>
          <w:spacing w:val="-8"/>
        </w:rPr>
        <w:t> </w:t>
      </w:r>
      <w:r>
        <w:rPr/>
        <w:t>Center</w:t>
      </w:r>
      <w:r>
        <w:rPr>
          <w:spacing w:val="-8"/>
        </w:rPr>
        <w:t> </w:t>
      </w:r>
      <w:r>
        <w:rPr/>
        <w:t>for</w:t>
      </w:r>
      <w:r>
        <w:rPr>
          <w:spacing w:val="-8"/>
        </w:rPr>
        <w:t> </w:t>
      </w:r>
      <w:r>
        <w:rPr/>
        <w:t>the</w:t>
      </w:r>
      <w:r>
        <w:rPr>
          <w:spacing w:val="-8"/>
        </w:rPr>
        <w:t> </w:t>
      </w:r>
      <w:r>
        <w:rPr/>
        <w:t>Study</w:t>
      </w:r>
      <w:r>
        <w:rPr>
          <w:spacing w:val="-8"/>
        </w:rPr>
        <w:t> </w:t>
      </w:r>
      <w:r>
        <w:rPr/>
        <w:t>of</w:t>
      </w:r>
      <w:r>
        <w:rPr>
          <w:spacing w:val="-8"/>
        </w:rPr>
        <w:t> </w:t>
      </w:r>
      <w:r>
        <w:rPr/>
        <w:t>Finance</w:t>
      </w:r>
    </w:p>
    <w:p>
      <w:pPr>
        <w:pStyle w:val="BodyText"/>
        <w:spacing w:line="199" w:lineRule="auto" w:before="1"/>
        <w:ind w:left="3512" w:right="4230"/>
        <w:jc w:val="center"/>
      </w:pPr>
      <w:r>
        <w:rPr/>
        <w:t>College</w:t>
      </w:r>
      <w:r>
        <w:rPr>
          <w:spacing w:val="-14"/>
        </w:rPr>
        <w:t> </w:t>
      </w:r>
      <w:r>
        <w:rPr/>
        <w:t>of</w:t>
      </w:r>
      <w:r>
        <w:rPr>
          <w:spacing w:val="-14"/>
        </w:rPr>
        <w:t> </w:t>
      </w:r>
      <w:r>
        <w:rPr/>
        <w:t>Business</w:t>
      </w:r>
      <w:r>
        <w:rPr>
          <w:spacing w:val="-14"/>
        </w:rPr>
        <w:t> </w:t>
      </w:r>
      <w:r>
        <w:rPr/>
        <w:t>and</w:t>
      </w:r>
      <w:r>
        <w:rPr>
          <w:spacing w:val="-14"/>
        </w:rPr>
        <w:t> </w:t>
      </w:r>
      <w:r>
        <w:rPr/>
        <w:t>Technology East Tennessee State University</w:t>
      </w:r>
    </w:p>
    <w:p>
      <w:pPr>
        <w:pStyle w:val="BodyText"/>
        <w:spacing w:line="217" w:lineRule="exact"/>
        <w:ind w:right="719"/>
        <w:jc w:val="center"/>
      </w:pPr>
      <w:r>
        <w:rPr/>
        <w:t>PO Box </w:t>
      </w:r>
      <w:r>
        <w:rPr>
          <w:spacing w:val="-2"/>
        </w:rPr>
        <w:t>70585</w:t>
      </w:r>
    </w:p>
    <w:p>
      <w:pPr>
        <w:pStyle w:val="BodyText"/>
        <w:spacing w:line="199" w:lineRule="auto" w:before="15"/>
        <w:ind w:left="3920" w:right="4638"/>
        <w:jc w:val="center"/>
      </w:pPr>
      <w:r>
        <w:rPr/>
        <w:t>Johnson City, TN 37614 </w:t>
      </w:r>
      <w:hyperlink r:id="rId157">
        <w:r>
          <w:rPr>
            <w:color w:val="0000FF"/>
            <w:spacing w:val="-2"/>
            <w:u w:val="thick" w:color="0000FF"/>
          </w:rPr>
          <w:t>trainor@etsu.edu</w:t>
        </w:r>
      </w:hyperlink>
      <w:r>
        <w:rPr>
          <w:color w:val="0000FF"/>
          <w:spacing w:val="40"/>
          <w:u w:val="none"/>
        </w:rPr>
        <w:t> </w:t>
      </w:r>
      <w:r>
        <w:rPr>
          <w:u w:val="none"/>
        </w:rPr>
        <w:t>423.439.4665</w:t>
      </w:r>
      <w:r>
        <w:rPr>
          <w:spacing w:val="-15"/>
          <w:u w:val="none"/>
        </w:rPr>
        <w:t> </w:t>
      </w:r>
      <w:r>
        <w:rPr>
          <w:u w:val="none"/>
        </w:rPr>
        <w:t>(Contact</w:t>
      </w:r>
      <w:r>
        <w:rPr>
          <w:spacing w:val="-15"/>
          <w:u w:val="none"/>
        </w:rPr>
        <w:t> </w:t>
      </w:r>
      <w:r>
        <w:rPr>
          <w:u w:val="none"/>
        </w:rPr>
        <w:t>author)</w:t>
      </w:r>
    </w:p>
    <w:p>
      <w:pPr>
        <w:pStyle w:val="BodyText"/>
        <w:spacing w:before="195"/>
        <w:ind w:left="720"/>
      </w:pPr>
      <w:r>
        <w:rPr/>
        <w:t>Key words: 50-year mortgage, yield curve, mortgage default rate, credit </w:t>
      </w:r>
      <w:r>
        <w:rPr>
          <w:spacing w:val="-4"/>
        </w:rPr>
        <w:t>risk</w:t>
      </w:r>
    </w:p>
    <w:p>
      <w:pPr>
        <w:pStyle w:val="BodyText"/>
        <w:spacing w:before="66"/>
      </w:pPr>
    </w:p>
    <w:p>
      <w:pPr>
        <w:pStyle w:val="BodyText"/>
        <w:spacing w:line="264" w:lineRule="auto" w:before="1"/>
        <w:ind w:left="693" w:right="1381"/>
      </w:pPr>
      <w:r>
        <w:rPr/>
        <w:t>Median home prices in the U.S. have increased 56% since 2020 to $416,900 which is five times median income, up from 3.5 in 1985, (Conte, 2025). Almost 70% of Federal Housing Administrative (FHA) loans have debt-to-income ratios of 43% which is considered risky, an increase</w:t>
      </w:r>
      <w:r>
        <w:rPr>
          <w:spacing w:val="-4"/>
        </w:rPr>
        <w:t> </w:t>
      </w:r>
      <w:r>
        <w:rPr/>
        <w:t>of</w:t>
      </w:r>
      <w:r>
        <w:rPr>
          <w:spacing w:val="-4"/>
        </w:rPr>
        <w:t> </w:t>
      </w:r>
      <w:r>
        <w:rPr/>
        <w:t>15</w:t>
      </w:r>
      <w:r>
        <w:rPr>
          <w:spacing w:val="-4"/>
        </w:rPr>
        <w:t> </w:t>
      </w:r>
      <w:r>
        <w:rPr/>
        <w:t>percentage</w:t>
      </w:r>
      <w:r>
        <w:rPr>
          <w:spacing w:val="-4"/>
        </w:rPr>
        <w:t> </w:t>
      </w:r>
      <w:r>
        <w:rPr/>
        <w:t>points</w:t>
      </w:r>
      <w:r>
        <w:rPr>
          <w:spacing w:val="-4"/>
        </w:rPr>
        <w:t> </w:t>
      </w:r>
      <w:r>
        <w:rPr/>
        <w:t>just</w:t>
      </w:r>
      <w:r>
        <w:rPr>
          <w:spacing w:val="-4"/>
        </w:rPr>
        <w:t> </w:t>
      </w:r>
      <w:r>
        <w:rPr/>
        <w:t>since</w:t>
      </w:r>
      <w:r>
        <w:rPr>
          <w:spacing w:val="-4"/>
        </w:rPr>
        <w:t> </w:t>
      </w:r>
      <w:r>
        <w:rPr/>
        <w:t>2012,</w:t>
      </w:r>
      <w:r>
        <w:rPr>
          <w:spacing w:val="-4"/>
        </w:rPr>
        <w:t> </w:t>
      </w:r>
      <w:r>
        <w:rPr/>
        <w:t>(WSJ,</w:t>
      </w:r>
      <w:r>
        <w:rPr>
          <w:spacing w:val="-4"/>
        </w:rPr>
        <w:t> </w:t>
      </w:r>
      <w:r>
        <w:rPr/>
        <w:t>2025).</w:t>
      </w:r>
      <w:r>
        <w:rPr>
          <w:spacing w:val="-4"/>
        </w:rPr>
        <w:t> </w:t>
      </w:r>
      <w:r>
        <w:rPr/>
        <w:t>This</w:t>
      </w:r>
      <w:r>
        <w:rPr>
          <w:spacing w:val="-4"/>
        </w:rPr>
        <w:t> </w:t>
      </w:r>
      <w:r>
        <w:rPr/>
        <w:t>increased</w:t>
      </w:r>
      <w:r>
        <w:rPr>
          <w:spacing w:val="-4"/>
        </w:rPr>
        <w:t> </w:t>
      </w:r>
      <w:r>
        <w:rPr/>
        <w:t>unaffordability</w:t>
      </w:r>
      <w:r>
        <w:rPr>
          <w:spacing w:val="-4"/>
        </w:rPr>
        <w:t> </w:t>
      </w:r>
      <w:r>
        <w:rPr/>
        <w:t>has led to policy considerations of reviving 40+ year mortgages which the Federal Housing Finance Agency</w:t>
      </w:r>
      <w:r>
        <w:rPr>
          <w:spacing w:val="-2"/>
        </w:rPr>
        <w:t> </w:t>
      </w:r>
      <w:r>
        <w:rPr/>
        <w:t>(FHFA)</w:t>
      </w:r>
      <w:r>
        <w:rPr>
          <w:spacing w:val="-2"/>
        </w:rPr>
        <w:t> </w:t>
      </w:r>
      <w:r>
        <w:rPr/>
        <w:t>and</w:t>
      </w:r>
      <w:r>
        <w:rPr>
          <w:spacing w:val="-2"/>
        </w:rPr>
        <w:t> </w:t>
      </w:r>
      <w:r>
        <w:rPr/>
        <w:t>Consumer</w:t>
      </w:r>
      <w:r>
        <w:rPr>
          <w:spacing w:val="-2"/>
        </w:rPr>
        <w:t> </w:t>
      </w:r>
      <w:r>
        <w:rPr/>
        <w:t>Financial</w:t>
      </w:r>
      <w:r>
        <w:rPr>
          <w:spacing w:val="-2"/>
        </w:rPr>
        <w:t> </w:t>
      </w:r>
      <w:r>
        <w:rPr/>
        <w:t>Protection</w:t>
      </w:r>
      <w:r>
        <w:rPr>
          <w:spacing w:val="-2"/>
        </w:rPr>
        <w:t> </w:t>
      </w:r>
      <w:r>
        <w:rPr/>
        <w:t>Bureau</w:t>
      </w:r>
      <w:r>
        <w:rPr>
          <w:spacing w:val="-2"/>
        </w:rPr>
        <w:t> </w:t>
      </w:r>
      <w:r>
        <w:rPr/>
        <w:t>(CFPB)</w:t>
      </w:r>
      <w:r>
        <w:rPr>
          <w:spacing w:val="-2"/>
        </w:rPr>
        <w:t> </w:t>
      </w:r>
      <w:r>
        <w:rPr/>
        <w:t>limited</w:t>
      </w:r>
      <w:r>
        <w:rPr>
          <w:spacing w:val="-2"/>
        </w:rPr>
        <w:t> </w:t>
      </w:r>
      <w:r>
        <w:rPr/>
        <w:t>to</w:t>
      </w:r>
      <w:r>
        <w:rPr>
          <w:spacing w:val="-2"/>
        </w:rPr>
        <w:t> </w:t>
      </w:r>
      <w:r>
        <w:rPr/>
        <w:t>30</w:t>
      </w:r>
      <w:r>
        <w:rPr>
          <w:spacing w:val="-2"/>
        </w:rPr>
        <w:t> </w:t>
      </w:r>
      <w:r>
        <w:rPr/>
        <w:t>years</w:t>
      </w:r>
      <w:r>
        <w:rPr>
          <w:spacing w:val="-2"/>
        </w:rPr>
        <w:t> </w:t>
      </w:r>
      <w:r>
        <w:rPr/>
        <w:t>after</w:t>
      </w:r>
      <w:r>
        <w:rPr>
          <w:spacing w:val="-2"/>
        </w:rPr>
        <w:t> </w:t>
      </w:r>
      <w:r>
        <w:rPr/>
        <w:t>the 2008 financial crisis.</w:t>
      </w:r>
    </w:p>
    <w:p>
      <w:pPr>
        <w:pStyle w:val="BodyText"/>
        <w:spacing w:line="264" w:lineRule="auto" w:before="216"/>
        <w:ind w:left="723" w:right="1381"/>
      </w:pPr>
      <w:r>
        <w:rPr/>
        <w:t>Longer amortizations would serve to accommodate the requisite debt-to-income ratios, shoehorning</w:t>
      </w:r>
      <w:r>
        <w:rPr>
          <w:spacing w:val="-6"/>
        </w:rPr>
        <w:t> </w:t>
      </w:r>
      <w:r>
        <w:rPr/>
        <w:t>some</w:t>
      </w:r>
      <w:r>
        <w:rPr>
          <w:spacing w:val="-6"/>
        </w:rPr>
        <w:t> </w:t>
      </w:r>
      <w:r>
        <w:rPr/>
        <w:t>buyers</w:t>
      </w:r>
      <w:r>
        <w:rPr>
          <w:spacing w:val="-6"/>
        </w:rPr>
        <w:t> </w:t>
      </w:r>
      <w:r>
        <w:rPr/>
        <w:t>(at</w:t>
      </w:r>
      <w:r>
        <w:rPr>
          <w:spacing w:val="-6"/>
        </w:rPr>
        <w:t> </w:t>
      </w:r>
      <w:r>
        <w:rPr/>
        <w:t>least</w:t>
      </w:r>
      <w:r>
        <w:rPr>
          <w:spacing w:val="-6"/>
        </w:rPr>
        <w:t> </w:t>
      </w:r>
      <w:r>
        <w:rPr/>
        <w:t>mathematically)</w:t>
      </w:r>
      <w:r>
        <w:rPr>
          <w:spacing w:val="-6"/>
        </w:rPr>
        <w:t> </w:t>
      </w:r>
      <w:r>
        <w:rPr/>
        <w:t>into</w:t>
      </w:r>
      <w:r>
        <w:rPr>
          <w:spacing w:val="-6"/>
        </w:rPr>
        <w:t> </w:t>
      </w:r>
      <w:r>
        <w:rPr/>
        <w:t>payment</w:t>
      </w:r>
      <w:r>
        <w:rPr>
          <w:spacing w:val="-6"/>
        </w:rPr>
        <w:t> </w:t>
      </w:r>
      <w:r>
        <w:rPr/>
        <w:t>affordability.</w:t>
      </w:r>
      <w:r>
        <w:rPr>
          <w:spacing w:val="-6"/>
        </w:rPr>
        <w:t> </w:t>
      </w:r>
      <w:r>
        <w:rPr/>
        <w:t>The</w:t>
      </w:r>
      <w:r>
        <w:rPr>
          <w:spacing w:val="-6"/>
        </w:rPr>
        <w:t> </w:t>
      </w:r>
      <w:r>
        <w:rPr/>
        <w:t>assumption</w:t>
      </w:r>
      <w:r>
        <w:rPr>
          <w:spacing w:val="-6"/>
        </w:rPr>
        <w:t> </w:t>
      </w:r>
      <w:r>
        <w:rPr/>
        <w:t>is that buyers seeking longer amortization have less savings and income flexibility. Principal curtailment is disproportionate in longer amortizing loans, resulting in slower accumulation of equity. This creates higher, long-term leverage, and thus, diminishes refinance capacity. Poor equity position in concert with economic depreciation compounds the risk associated with extending mortgage terms.</w:t>
      </w:r>
    </w:p>
    <w:p>
      <w:pPr>
        <w:pStyle w:val="BodyText"/>
        <w:spacing w:line="264" w:lineRule="auto" w:before="216"/>
        <w:ind w:left="723" w:right="1619"/>
      </w:pPr>
      <w:r>
        <w:rPr/>
        <w:t>Mortgages with lengths of up to 100 years are used in other countries, including Japan and Switzerland.</w:t>
      </w:r>
      <w:r>
        <w:rPr>
          <w:spacing w:val="-2"/>
        </w:rPr>
        <w:t> </w:t>
      </w:r>
      <w:r>
        <w:rPr/>
        <w:t>They</w:t>
      </w:r>
      <w:r>
        <w:rPr>
          <w:spacing w:val="-2"/>
        </w:rPr>
        <w:t> </w:t>
      </w:r>
      <w:r>
        <w:rPr/>
        <w:t>may</w:t>
      </w:r>
      <w:r>
        <w:rPr>
          <w:spacing w:val="-2"/>
        </w:rPr>
        <w:t> </w:t>
      </w:r>
      <w:r>
        <w:rPr/>
        <w:t>be</w:t>
      </w:r>
      <w:r>
        <w:rPr>
          <w:spacing w:val="-2"/>
        </w:rPr>
        <w:t> </w:t>
      </w:r>
      <w:r>
        <w:rPr/>
        <w:t>used</w:t>
      </w:r>
      <w:r>
        <w:rPr>
          <w:spacing w:val="-2"/>
        </w:rPr>
        <w:t> </w:t>
      </w:r>
      <w:r>
        <w:rPr/>
        <w:t>as</w:t>
      </w:r>
      <w:r>
        <w:rPr>
          <w:spacing w:val="-2"/>
        </w:rPr>
        <w:t> </w:t>
      </w:r>
      <w:r>
        <w:rPr/>
        <w:t>part</w:t>
      </w:r>
      <w:r>
        <w:rPr>
          <w:spacing w:val="-2"/>
        </w:rPr>
        <w:t> </w:t>
      </w:r>
      <w:r>
        <w:rPr/>
        <w:t>of</w:t>
      </w:r>
      <w:r>
        <w:rPr>
          <w:spacing w:val="-2"/>
        </w:rPr>
        <w:t> </w:t>
      </w:r>
      <w:r>
        <w:rPr/>
        <w:t>an</w:t>
      </w:r>
      <w:r>
        <w:rPr>
          <w:spacing w:val="-2"/>
        </w:rPr>
        <w:t> </w:t>
      </w:r>
      <w:r>
        <w:rPr/>
        <w:t>estate</w:t>
      </w:r>
      <w:r>
        <w:rPr>
          <w:spacing w:val="-2"/>
        </w:rPr>
        <w:t> </w:t>
      </w:r>
      <w:r>
        <w:rPr/>
        <w:t>or</w:t>
      </w:r>
      <w:r>
        <w:rPr>
          <w:spacing w:val="-2"/>
        </w:rPr>
        <w:t> </w:t>
      </w:r>
      <w:r>
        <w:rPr/>
        <w:t>income</w:t>
      </w:r>
      <w:r>
        <w:rPr>
          <w:spacing w:val="-2"/>
        </w:rPr>
        <w:t> </w:t>
      </w:r>
      <w:r>
        <w:rPr/>
        <w:t>strategy,</w:t>
      </w:r>
      <w:r>
        <w:rPr>
          <w:spacing w:val="-2"/>
        </w:rPr>
        <w:t> </w:t>
      </w:r>
      <w:r>
        <w:rPr/>
        <w:t>much</w:t>
      </w:r>
      <w:r>
        <w:rPr>
          <w:spacing w:val="-2"/>
        </w:rPr>
        <w:t> </w:t>
      </w:r>
      <w:r>
        <w:rPr/>
        <w:t>in</w:t>
      </w:r>
      <w:r>
        <w:rPr>
          <w:spacing w:val="-2"/>
        </w:rPr>
        <w:t> </w:t>
      </w:r>
      <w:r>
        <w:rPr/>
        <w:t>the</w:t>
      </w:r>
      <w:r>
        <w:rPr>
          <w:spacing w:val="-2"/>
        </w:rPr>
        <w:t> </w:t>
      </w:r>
      <w:r>
        <w:rPr/>
        <w:t>same</w:t>
      </w:r>
      <w:r>
        <w:rPr>
          <w:spacing w:val="-2"/>
        </w:rPr>
        <w:t> </w:t>
      </w:r>
      <w:r>
        <w:rPr/>
        <w:t>way</w:t>
      </w:r>
      <w:r>
        <w:rPr>
          <w:spacing w:val="-2"/>
        </w:rPr>
        <w:t> </w:t>
      </w:r>
      <w:r>
        <w:rPr/>
        <w:t>a reverse mortgage is used in this country. A home with a 100-year mortgage and significant equity</w:t>
      </w:r>
      <w:r>
        <w:rPr>
          <w:spacing w:val="-3"/>
        </w:rPr>
        <w:t> </w:t>
      </w:r>
      <w:r>
        <w:rPr/>
        <w:t>can</w:t>
      </w:r>
      <w:r>
        <w:rPr>
          <w:spacing w:val="-3"/>
        </w:rPr>
        <w:t> </w:t>
      </w:r>
      <w:r>
        <w:rPr/>
        <w:t>be</w:t>
      </w:r>
      <w:r>
        <w:rPr>
          <w:spacing w:val="-3"/>
        </w:rPr>
        <w:t> </w:t>
      </w:r>
      <w:r>
        <w:rPr/>
        <w:t>cleared</w:t>
      </w:r>
      <w:r>
        <w:rPr>
          <w:spacing w:val="-3"/>
        </w:rPr>
        <w:t> </w:t>
      </w:r>
      <w:r>
        <w:rPr/>
        <w:t>of</w:t>
      </w:r>
      <w:r>
        <w:rPr>
          <w:spacing w:val="-3"/>
        </w:rPr>
        <w:t> </w:t>
      </w:r>
      <w:r>
        <w:rPr/>
        <w:t>debt</w:t>
      </w:r>
      <w:r>
        <w:rPr>
          <w:spacing w:val="-3"/>
        </w:rPr>
        <w:t> </w:t>
      </w:r>
      <w:r>
        <w:rPr/>
        <w:t>once</w:t>
      </w:r>
      <w:r>
        <w:rPr>
          <w:spacing w:val="-3"/>
        </w:rPr>
        <w:t> </w:t>
      </w:r>
      <w:r>
        <w:rPr/>
        <w:t>it</w:t>
      </w:r>
      <w:r>
        <w:rPr>
          <w:spacing w:val="-3"/>
        </w:rPr>
        <w:t> </w:t>
      </w:r>
      <w:r>
        <w:rPr/>
        <w:t>passes</w:t>
      </w:r>
      <w:r>
        <w:rPr>
          <w:spacing w:val="-3"/>
        </w:rPr>
        <w:t> </w:t>
      </w:r>
      <w:r>
        <w:rPr/>
        <w:t>into</w:t>
      </w:r>
      <w:r>
        <w:rPr>
          <w:spacing w:val="-3"/>
        </w:rPr>
        <w:t> </w:t>
      </w:r>
      <w:r>
        <w:rPr/>
        <w:t>an</w:t>
      </w:r>
      <w:r>
        <w:rPr>
          <w:spacing w:val="-3"/>
        </w:rPr>
        <w:t> </w:t>
      </w:r>
      <w:r>
        <w:rPr/>
        <w:t>estate.</w:t>
      </w:r>
      <w:r>
        <w:rPr>
          <w:spacing w:val="-3"/>
        </w:rPr>
        <w:t> </w:t>
      </w:r>
      <w:r>
        <w:rPr/>
        <w:t>In</w:t>
      </w:r>
      <w:r>
        <w:rPr>
          <w:spacing w:val="-3"/>
        </w:rPr>
        <w:t> </w:t>
      </w:r>
      <w:r>
        <w:rPr/>
        <w:t>countries</w:t>
      </w:r>
      <w:r>
        <w:rPr>
          <w:spacing w:val="-3"/>
        </w:rPr>
        <w:t> </w:t>
      </w:r>
      <w:r>
        <w:rPr/>
        <w:t>like</w:t>
      </w:r>
      <w:r>
        <w:rPr>
          <w:spacing w:val="-3"/>
        </w:rPr>
        <w:t> </w:t>
      </w:r>
      <w:r>
        <w:rPr/>
        <w:t>Japan</w:t>
      </w:r>
      <w:r>
        <w:rPr>
          <w:spacing w:val="-3"/>
        </w:rPr>
        <w:t> </w:t>
      </w:r>
      <w:r>
        <w:rPr/>
        <w:t>with</w:t>
      </w:r>
      <w:r>
        <w:rPr>
          <w:spacing w:val="-3"/>
        </w:rPr>
        <w:t> </w:t>
      </w:r>
      <w:r>
        <w:rPr/>
        <w:t>very</w:t>
      </w:r>
      <w:r>
        <w:rPr>
          <w:spacing w:val="-3"/>
        </w:rPr>
        <w:t> </w:t>
      </w:r>
      <w:r>
        <w:rPr/>
        <w:t>low interest rates a financial strategy of diverting money from mortgage curtailment to equity investments may be warranted. It seems clear, however, that the impetus to promote 50-year mortgages in the United States is driven by payment affordability.</w:t>
      </w:r>
    </w:p>
    <w:p>
      <w:pPr>
        <w:pStyle w:val="BodyText"/>
        <w:spacing w:line="264" w:lineRule="auto" w:before="216"/>
        <w:ind w:left="723" w:right="1724"/>
      </w:pPr>
      <w:r>
        <w:rPr/>
        <w:t>The</w:t>
      </w:r>
      <w:r>
        <w:rPr>
          <w:spacing w:val="-4"/>
        </w:rPr>
        <w:t> </w:t>
      </w:r>
      <w:r>
        <w:rPr/>
        <w:t>creation</w:t>
      </w:r>
      <w:r>
        <w:rPr>
          <w:spacing w:val="-4"/>
        </w:rPr>
        <w:t> </w:t>
      </w:r>
      <w:r>
        <w:rPr/>
        <w:t>of</w:t>
      </w:r>
      <w:r>
        <w:rPr>
          <w:spacing w:val="-4"/>
        </w:rPr>
        <w:t> </w:t>
      </w:r>
      <w:r>
        <w:rPr/>
        <w:t>40-to-50-year</w:t>
      </w:r>
      <w:r>
        <w:rPr>
          <w:spacing w:val="-4"/>
        </w:rPr>
        <w:t> </w:t>
      </w:r>
      <w:r>
        <w:rPr/>
        <w:t>amortizing</w:t>
      </w:r>
      <w:r>
        <w:rPr>
          <w:spacing w:val="-4"/>
        </w:rPr>
        <w:t> </w:t>
      </w:r>
      <w:r>
        <w:rPr/>
        <w:t>home</w:t>
      </w:r>
      <w:r>
        <w:rPr>
          <w:spacing w:val="-4"/>
        </w:rPr>
        <w:t> </w:t>
      </w:r>
      <w:r>
        <w:rPr/>
        <w:t>mortgages</w:t>
      </w:r>
      <w:r>
        <w:rPr>
          <w:spacing w:val="-4"/>
        </w:rPr>
        <w:t> </w:t>
      </w:r>
      <w:r>
        <w:rPr/>
        <w:t>will</w:t>
      </w:r>
      <w:r>
        <w:rPr>
          <w:spacing w:val="-4"/>
        </w:rPr>
        <w:t> </w:t>
      </w:r>
      <w:r>
        <w:rPr/>
        <w:t>necessitate</w:t>
      </w:r>
      <w:r>
        <w:rPr>
          <w:spacing w:val="-4"/>
        </w:rPr>
        <w:t> </w:t>
      </w:r>
      <w:r>
        <w:rPr/>
        <w:t>the</w:t>
      </w:r>
      <w:r>
        <w:rPr>
          <w:spacing w:val="-4"/>
        </w:rPr>
        <w:t> </w:t>
      </w:r>
      <w:r>
        <w:rPr/>
        <w:t>extrapolation</w:t>
      </w:r>
      <w:r>
        <w:rPr>
          <w:spacing w:val="-4"/>
        </w:rPr>
        <w:t> </w:t>
      </w:r>
      <w:r>
        <w:rPr/>
        <w:t>of longer-term pricing models. This will necessarily increase financing rates due to the longer maturity</w:t>
      </w:r>
      <w:r>
        <w:rPr>
          <w:spacing w:val="-1"/>
        </w:rPr>
        <w:t> </w:t>
      </w:r>
      <w:r>
        <w:rPr/>
        <w:t>and</w:t>
      </w:r>
      <w:r>
        <w:rPr>
          <w:spacing w:val="-1"/>
        </w:rPr>
        <w:t> </w:t>
      </w:r>
      <w:r>
        <w:rPr/>
        <w:t>higher</w:t>
      </w:r>
      <w:r>
        <w:rPr>
          <w:spacing w:val="-1"/>
        </w:rPr>
        <w:t> </w:t>
      </w:r>
      <w:r>
        <w:rPr/>
        <w:t>default</w:t>
      </w:r>
      <w:r>
        <w:rPr>
          <w:spacing w:val="-1"/>
        </w:rPr>
        <w:t> </w:t>
      </w:r>
      <w:r>
        <w:rPr/>
        <w:t>risk</w:t>
      </w:r>
      <w:r>
        <w:rPr>
          <w:spacing w:val="-1"/>
        </w:rPr>
        <w:t> </w:t>
      </w:r>
      <w:r>
        <w:rPr/>
        <w:t>as</w:t>
      </w:r>
      <w:r>
        <w:rPr>
          <w:spacing w:val="-1"/>
        </w:rPr>
        <w:t> </w:t>
      </w:r>
      <w:r>
        <w:rPr/>
        <w:t>longer</w:t>
      </w:r>
      <w:r>
        <w:rPr>
          <w:spacing w:val="-1"/>
        </w:rPr>
        <w:t> </w:t>
      </w:r>
      <w:r>
        <w:rPr/>
        <w:t>maturity</w:t>
      </w:r>
      <w:r>
        <w:rPr>
          <w:spacing w:val="-1"/>
        </w:rPr>
        <w:t> </w:t>
      </w:r>
      <w:r>
        <w:rPr/>
        <w:t>loans</w:t>
      </w:r>
      <w:r>
        <w:rPr>
          <w:spacing w:val="-1"/>
        </w:rPr>
        <w:t> </w:t>
      </w:r>
      <w:r>
        <w:rPr/>
        <w:t>are</w:t>
      </w:r>
      <w:r>
        <w:rPr>
          <w:spacing w:val="-1"/>
        </w:rPr>
        <w:t> </w:t>
      </w:r>
      <w:r>
        <w:rPr/>
        <w:t>generally</w:t>
      </w:r>
      <w:r>
        <w:rPr>
          <w:spacing w:val="-1"/>
        </w:rPr>
        <w:t> </w:t>
      </w:r>
      <w:r>
        <w:rPr/>
        <w:t>used</w:t>
      </w:r>
      <w:r>
        <w:rPr>
          <w:spacing w:val="-1"/>
        </w:rPr>
        <w:t> </w:t>
      </w:r>
      <w:r>
        <w:rPr/>
        <w:t>by</w:t>
      </w:r>
      <w:r>
        <w:rPr>
          <w:spacing w:val="-1"/>
        </w:rPr>
        <w:t> </w:t>
      </w:r>
      <w:r>
        <w:rPr/>
        <w:t>borrowers</w:t>
      </w:r>
      <w:r>
        <w:rPr>
          <w:spacing w:val="-1"/>
        </w:rPr>
        <w:t> </w:t>
      </w:r>
      <w:r>
        <w:rPr/>
        <w:t>with lower credit scores. This study reviews the lessons from the international markets that have</w:t>
      </w:r>
    </w:p>
    <w:p>
      <w:pPr>
        <w:pStyle w:val="BodyText"/>
        <w:spacing w:after="0" w:line="264" w:lineRule="auto"/>
        <w:sectPr>
          <w:footerReference w:type="default" r:id="rId155"/>
          <w:pgSz w:w="12240" w:h="15840"/>
          <w:pgMar w:header="0" w:footer="776" w:top="620" w:bottom="960" w:left="720" w:right="0"/>
        </w:sectPr>
      </w:pPr>
    </w:p>
    <w:p>
      <w:pPr>
        <w:pStyle w:val="BodyText"/>
        <w:spacing w:line="264" w:lineRule="auto" w:before="60"/>
        <w:ind w:left="723" w:right="1461"/>
      </w:pPr>
      <w:r>
        <w:rPr/>
        <w:t>extended mortgages and projects possible outcomes if introduced to the U.S. market. Initial results suggest minimal additional affordability, higher default risk like auto loan findings (CFPB,</w:t>
      </w:r>
      <w:r>
        <w:rPr>
          <w:spacing w:val="-3"/>
        </w:rPr>
        <w:t> </w:t>
      </w:r>
      <w:r>
        <w:rPr/>
        <w:t>2017),</w:t>
      </w:r>
      <w:r>
        <w:rPr>
          <w:spacing w:val="-3"/>
        </w:rPr>
        <w:t> </w:t>
      </w:r>
      <w:r>
        <w:rPr/>
        <w:t>negative</w:t>
      </w:r>
      <w:r>
        <w:rPr>
          <w:spacing w:val="-3"/>
        </w:rPr>
        <w:t> </w:t>
      </w:r>
      <w:r>
        <w:rPr/>
        <w:t>equity</w:t>
      </w:r>
      <w:r>
        <w:rPr>
          <w:spacing w:val="-3"/>
        </w:rPr>
        <w:t> </w:t>
      </w:r>
      <w:r>
        <w:rPr/>
        <w:t>risk</w:t>
      </w:r>
      <w:r>
        <w:rPr>
          <w:spacing w:val="-3"/>
        </w:rPr>
        <w:t> </w:t>
      </w:r>
      <w:r>
        <w:rPr/>
        <w:t>during</w:t>
      </w:r>
      <w:r>
        <w:rPr>
          <w:spacing w:val="-3"/>
        </w:rPr>
        <w:t> </w:t>
      </w:r>
      <w:r>
        <w:rPr/>
        <w:t>housing</w:t>
      </w:r>
      <w:r>
        <w:rPr>
          <w:spacing w:val="-3"/>
        </w:rPr>
        <w:t> </w:t>
      </w:r>
      <w:r>
        <w:rPr/>
        <w:t>downturns,</w:t>
      </w:r>
      <w:r>
        <w:rPr>
          <w:spacing w:val="-3"/>
        </w:rPr>
        <w:t> </w:t>
      </w:r>
      <w:r>
        <w:rPr/>
        <w:t>and</w:t>
      </w:r>
      <w:r>
        <w:rPr>
          <w:spacing w:val="-3"/>
        </w:rPr>
        <w:t> </w:t>
      </w:r>
      <w:r>
        <w:rPr/>
        <w:t>similar</w:t>
      </w:r>
      <w:r>
        <w:rPr>
          <w:spacing w:val="-3"/>
        </w:rPr>
        <w:t> </w:t>
      </w:r>
      <w:r>
        <w:rPr/>
        <w:t>to</w:t>
      </w:r>
      <w:r>
        <w:rPr>
          <w:spacing w:val="-3"/>
        </w:rPr>
        <w:t> </w:t>
      </w:r>
      <w:r>
        <w:rPr/>
        <w:t>Japan,</w:t>
      </w:r>
      <w:r>
        <w:rPr>
          <w:spacing w:val="-3"/>
        </w:rPr>
        <w:t> </w:t>
      </w:r>
      <w:r>
        <w:rPr/>
        <w:t>may</w:t>
      </w:r>
      <w:r>
        <w:rPr>
          <w:spacing w:val="-3"/>
        </w:rPr>
        <w:t> </w:t>
      </w:r>
      <w:r>
        <w:rPr/>
        <w:t>end</w:t>
      </w:r>
      <w:r>
        <w:rPr>
          <w:spacing w:val="-3"/>
        </w:rPr>
        <w:t> </w:t>
      </w:r>
      <w:r>
        <w:rPr/>
        <w:t>up being used more as estate planning tools for the affluent rather than creating any significant affordability solution for lower-income households, (Bourassa &amp; Hendershott, 1995).</w:t>
      </w:r>
    </w:p>
    <w:p>
      <w:pPr>
        <w:pStyle w:val="BodyText"/>
        <w:spacing w:after="0" w:line="264" w:lineRule="auto"/>
        <w:sectPr>
          <w:footerReference w:type="default" r:id="rId158"/>
          <w:pgSz w:w="12240" w:h="15840"/>
          <w:pgMar w:header="0" w:footer="768" w:top="640" w:bottom="960" w:left="720" w:right="0"/>
          <w:pgNumType w:start="106"/>
        </w:sectPr>
      </w:pPr>
    </w:p>
    <w:p>
      <w:pPr>
        <w:pStyle w:val="Heading3"/>
        <w:spacing w:line="225" w:lineRule="auto" w:before="82"/>
        <w:ind w:left="1213" w:right="1837"/>
      </w:pPr>
      <w:bookmarkStart w:name="Accelerators at a Crossroads: Navigating" w:id="81"/>
      <w:bookmarkEnd w:id="81"/>
      <w:r>
        <w:rPr>
          <w:b w:val="0"/>
        </w:rPr>
      </w:r>
      <w:bookmarkStart w:name="h.udypjqj4wkak" w:id="82"/>
      <w:bookmarkEnd w:id="82"/>
      <w:r>
        <w:rPr>
          <w:b w:val="0"/>
        </w:rPr>
      </w:r>
      <w:r>
        <w:rPr/>
        <w:t>Accelerators</w:t>
      </w:r>
      <w:r>
        <w:rPr>
          <w:spacing w:val="-10"/>
        </w:rPr>
        <w:t> </w:t>
      </w:r>
      <w:r>
        <w:rPr/>
        <w:t>at</w:t>
      </w:r>
      <w:r>
        <w:rPr>
          <w:spacing w:val="-10"/>
        </w:rPr>
        <w:t> </w:t>
      </w:r>
      <w:r>
        <w:rPr/>
        <w:t>a</w:t>
      </w:r>
      <w:r>
        <w:rPr>
          <w:spacing w:val="-10"/>
        </w:rPr>
        <w:t> </w:t>
      </w:r>
      <w:r>
        <w:rPr/>
        <w:t>Crossroads:</w:t>
      </w:r>
      <w:r>
        <w:rPr>
          <w:spacing w:val="-10"/>
        </w:rPr>
        <w:t> </w:t>
      </w:r>
      <w:r>
        <w:rPr/>
        <w:t>Navigating</w:t>
      </w:r>
      <w:r>
        <w:rPr>
          <w:spacing w:val="-10"/>
        </w:rPr>
        <w:t> </w:t>
      </w:r>
      <w:r>
        <w:rPr/>
        <w:t>the</w:t>
      </w:r>
      <w:r>
        <w:rPr>
          <w:spacing w:val="-10"/>
        </w:rPr>
        <w:t> </w:t>
      </w:r>
      <w:r>
        <w:rPr/>
        <w:t>Tension</w:t>
      </w:r>
      <w:r>
        <w:rPr>
          <w:spacing w:val="-10"/>
        </w:rPr>
        <w:t> </w:t>
      </w:r>
      <w:r>
        <w:rPr/>
        <w:t>Between</w:t>
      </w:r>
      <w:r>
        <w:rPr>
          <w:spacing w:val="-10"/>
        </w:rPr>
        <w:t> </w:t>
      </w:r>
      <w:r>
        <w:rPr/>
        <w:t>Purpose and Profit</w:t>
      </w:r>
    </w:p>
    <w:p>
      <w:pPr>
        <w:pStyle w:val="BodyText"/>
        <w:spacing w:before="292"/>
        <w:ind w:right="710"/>
        <w:jc w:val="center"/>
      </w:pPr>
      <w:r>
        <w:rPr/>
        <w:t>Christine Madonna </w:t>
      </w:r>
      <w:r>
        <w:rPr>
          <w:spacing w:val="-2"/>
        </w:rPr>
        <w:t>Kirkland</w:t>
      </w:r>
    </w:p>
    <w:p>
      <w:pPr>
        <w:pStyle w:val="BodyText"/>
        <w:ind w:left="2448" w:right="3124"/>
        <w:jc w:val="center"/>
      </w:pPr>
      <w:r>
        <w:rPr/>
        <w:t>School</w:t>
      </w:r>
      <w:r>
        <w:rPr>
          <w:spacing w:val="-7"/>
        </w:rPr>
        <w:t> </w:t>
      </w:r>
      <w:r>
        <w:rPr/>
        <w:t>of</w:t>
      </w:r>
      <w:r>
        <w:rPr>
          <w:spacing w:val="-7"/>
        </w:rPr>
        <w:t> </w:t>
      </w:r>
      <w:r>
        <w:rPr/>
        <w:t>Economics,</w:t>
      </w:r>
      <w:r>
        <w:rPr>
          <w:spacing w:val="-7"/>
        </w:rPr>
        <w:t> </w:t>
      </w:r>
      <w:r>
        <w:rPr/>
        <w:t>Management,</w:t>
      </w:r>
      <w:r>
        <w:rPr>
          <w:spacing w:val="-7"/>
        </w:rPr>
        <w:t> </w:t>
      </w:r>
      <w:r>
        <w:rPr/>
        <w:t>and</w:t>
      </w:r>
      <w:r>
        <w:rPr>
          <w:spacing w:val="-7"/>
        </w:rPr>
        <w:t> </w:t>
      </w:r>
      <w:r>
        <w:rPr/>
        <w:t>Project</w:t>
      </w:r>
      <w:r>
        <w:rPr>
          <w:spacing w:val="-7"/>
        </w:rPr>
        <w:t> </w:t>
      </w:r>
      <w:r>
        <w:rPr/>
        <w:t>Management College of Business</w:t>
      </w:r>
    </w:p>
    <w:p>
      <w:pPr>
        <w:pStyle w:val="BodyText"/>
        <w:ind w:left="4023" w:right="4754"/>
        <w:jc w:val="center"/>
      </w:pPr>
      <w:r>
        <w:rPr/>
        <w:t>Western</w:t>
      </w:r>
      <w:r>
        <w:rPr>
          <w:spacing w:val="-15"/>
        </w:rPr>
        <w:t> </w:t>
      </w:r>
      <w:r>
        <w:rPr/>
        <w:t>Carolina</w:t>
      </w:r>
      <w:r>
        <w:rPr>
          <w:spacing w:val="-15"/>
        </w:rPr>
        <w:t> </w:t>
      </w:r>
      <w:r>
        <w:rPr/>
        <w:t>University 1 University Dr</w:t>
      </w:r>
    </w:p>
    <w:p>
      <w:pPr>
        <w:pStyle w:val="BodyText"/>
        <w:ind w:left="3918" w:right="4572" w:hanging="34"/>
        <w:jc w:val="center"/>
      </w:pPr>
      <w:r>
        <w:rPr/>
        <w:t>Cullowhee, NC 28723 </w:t>
      </w:r>
      <w:hyperlink r:id="rId88">
        <w:r>
          <w:rPr>
            <w:spacing w:val="-2"/>
          </w:rPr>
          <w:t>ckirkland@wcu.edu</w:t>
        </w:r>
      </w:hyperlink>
      <w:r>
        <w:rPr>
          <w:spacing w:val="-2"/>
        </w:rPr>
        <w:t> </w:t>
      </w:r>
      <w:r>
        <w:rPr/>
        <w:t>828.227.3009</w:t>
      </w:r>
      <w:r>
        <w:rPr>
          <w:spacing w:val="-15"/>
        </w:rPr>
        <w:t> </w:t>
      </w:r>
      <w:r>
        <w:rPr/>
        <w:t>(Contact</w:t>
      </w:r>
      <w:r>
        <w:rPr>
          <w:spacing w:val="-15"/>
        </w:rPr>
        <w:t> </w:t>
      </w:r>
      <w:r>
        <w:rPr/>
        <w:t>Author)</w:t>
      </w:r>
    </w:p>
    <w:p>
      <w:pPr>
        <w:pStyle w:val="BodyText"/>
        <w:spacing w:before="2"/>
        <w:rPr>
          <w:sz w:val="16"/>
        </w:rPr>
      </w:pPr>
    </w:p>
    <w:p>
      <w:pPr>
        <w:pStyle w:val="BodyText"/>
        <w:spacing w:after="0"/>
        <w:rPr>
          <w:sz w:val="16"/>
        </w:rPr>
        <w:sectPr>
          <w:pgSz w:w="12240" w:h="15840"/>
          <w:pgMar w:header="0" w:footer="768" w:top="620" w:bottom="960" w:left="720" w:right="0"/>
        </w:sectPr>
      </w:pPr>
    </w:p>
    <w:p>
      <w:pPr>
        <w:pStyle w:val="BodyText"/>
        <w:spacing w:before="95"/>
      </w:pPr>
    </w:p>
    <w:p>
      <w:pPr>
        <w:pStyle w:val="BodyText"/>
        <w:spacing w:line="232" w:lineRule="auto"/>
        <w:ind w:left="1554" w:firstLine="250"/>
      </w:pPr>
      <w:r>
        <w:rPr/>
        <w:t>R. Michael Holmes Jr. Department</w:t>
      </w:r>
      <w:r>
        <w:rPr>
          <w:spacing w:val="-15"/>
        </w:rPr>
        <w:t> </w:t>
      </w:r>
      <w:r>
        <w:rPr/>
        <w:t>of</w:t>
      </w:r>
      <w:r>
        <w:rPr>
          <w:spacing w:val="-15"/>
        </w:rPr>
        <w:t> </w:t>
      </w:r>
      <w:r>
        <w:rPr/>
        <w:t>Management</w:t>
      </w:r>
    </w:p>
    <w:p>
      <w:pPr>
        <w:pStyle w:val="BodyText"/>
        <w:ind w:left="1729" w:right="261" w:firstLine="48"/>
        <w:jc w:val="center"/>
      </w:pPr>
      <w:r>
        <w:rPr/>
        <w:t>College of Business Florida</w:t>
      </w:r>
      <w:r>
        <w:rPr>
          <w:spacing w:val="-15"/>
        </w:rPr>
        <w:t> </w:t>
      </w:r>
      <w:r>
        <w:rPr/>
        <w:t>State</w:t>
      </w:r>
      <w:r>
        <w:rPr>
          <w:spacing w:val="-15"/>
        </w:rPr>
        <w:t> </w:t>
      </w:r>
      <w:r>
        <w:rPr/>
        <w:t>University 821 Academic Way</w:t>
      </w:r>
    </w:p>
    <w:p>
      <w:pPr>
        <w:pStyle w:val="BodyText"/>
        <w:ind w:left="1592" w:right="118"/>
        <w:jc w:val="center"/>
      </w:pPr>
      <w:r>
        <w:rPr/>
        <w:t>Tallahassee,</w:t>
      </w:r>
      <w:r>
        <w:rPr>
          <w:spacing w:val="-15"/>
        </w:rPr>
        <w:t> </w:t>
      </w:r>
      <w:r>
        <w:rPr/>
        <w:t>FL</w:t>
      </w:r>
      <w:r>
        <w:rPr>
          <w:spacing w:val="-15"/>
        </w:rPr>
        <w:t> </w:t>
      </w:r>
      <w:r>
        <w:rPr/>
        <w:t>32306 </w:t>
      </w:r>
      <w:hyperlink r:id="rId159">
        <w:r>
          <w:rPr>
            <w:spacing w:val="-2"/>
          </w:rPr>
          <w:t>mholmes@fsu.edu</w:t>
        </w:r>
      </w:hyperlink>
      <w:r>
        <w:rPr>
          <w:spacing w:val="-2"/>
        </w:rPr>
        <w:t> 850.645.9570</w:t>
      </w:r>
    </w:p>
    <w:p>
      <w:pPr>
        <w:pStyle w:val="BodyText"/>
      </w:pPr>
    </w:p>
    <w:p>
      <w:pPr>
        <w:pStyle w:val="BodyText"/>
      </w:pPr>
    </w:p>
    <w:p>
      <w:pPr>
        <w:pStyle w:val="BodyText"/>
      </w:pPr>
    </w:p>
    <w:p>
      <w:pPr>
        <w:pStyle w:val="BodyText"/>
        <w:spacing w:line="228" w:lineRule="auto"/>
        <w:ind w:left="1554" w:right="38" w:hanging="36"/>
        <w:jc w:val="center"/>
      </w:pPr>
      <w:r>
        <w:rPr/>
        <w:t>Horacio E. Rousseau Department</w:t>
      </w:r>
      <w:r>
        <w:rPr>
          <w:spacing w:val="-15"/>
        </w:rPr>
        <w:t> </w:t>
      </w:r>
      <w:r>
        <w:rPr/>
        <w:t>of</w:t>
      </w:r>
      <w:r>
        <w:rPr>
          <w:spacing w:val="-15"/>
        </w:rPr>
        <w:t> </w:t>
      </w:r>
      <w:r>
        <w:rPr/>
        <w:t>Management College of Business</w:t>
      </w:r>
    </w:p>
    <w:p>
      <w:pPr>
        <w:pStyle w:val="BodyText"/>
        <w:spacing w:before="13"/>
        <w:ind w:left="1586" w:right="118"/>
        <w:jc w:val="center"/>
      </w:pPr>
      <w:r>
        <w:rPr/>
        <w:t>Florida</w:t>
      </w:r>
      <w:r>
        <w:rPr>
          <w:spacing w:val="-15"/>
        </w:rPr>
        <w:t> </w:t>
      </w:r>
      <w:r>
        <w:rPr/>
        <w:t>State</w:t>
      </w:r>
      <w:r>
        <w:rPr>
          <w:spacing w:val="-15"/>
        </w:rPr>
        <w:t> </w:t>
      </w:r>
      <w:r>
        <w:rPr/>
        <w:t>University 821 Academic Way</w:t>
      </w:r>
    </w:p>
    <w:p>
      <w:pPr>
        <w:pStyle w:val="BodyText"/>
        <w:ind w:left="1592" w:right="118"/>
        <w:jc w:val="center"/>
      </w:pPr>
      <w:r>
        <w:rPr/>
        <w:t>Tallahassee,</w:t>
      </w:r>
      <w:r>
        <w:rPr>
          <w:spacing w:val="-15"/>
        </w:rPr>
        <w:t> </w:t>
      </w:r>
      <w:r>
        <w:rPr/>
        <w:t>FL</w:t>
      </w:r>
      <w:r>
        <w:rPr>
          <w:spacing w:val="-15"/>
        </w:rPr>
        <w:t> </w:t>
      </w:r>
      <w:r>
        <w:rPr/>
        <w:t>32306 </w:t>
      </w:r>
      <w:hyperlink r:id="rId160">
        <w:r>
          <w:rPr>
            <w:spacing w:val="-2"/>
          </w:rPr>
          <w:t>hrousseau@fsu.edu</w:t>
        </w:r>
      </w:hyperlink>
      <w:r>
        <w:rPr>
          <w:spacing w:val="-2"/>
        </w:rPr>
        <w:t> 850.644.7874</w:t>
      </w:r>
    </w:p>
    <w:p>
      <w:pPr>
        <w:pStyle w:val="BodyText"/>
        <w:spacing w:line="272" w:lineRule="exact" w:before="90"/>
        <w:ind w:left="2197" w:right="2233"/>
        <w:jc w:val="center"/>
      </w:pPr>
      <w:r>
        <w:rPr/>
        <w:br w:type="column"/>
      </w:r>
      <w:r>
        <w:rPr>
          <w:spacing w:val="-6"/>
        </w:rPr>
        <w:t>Yue</w:t>
      </w:r>
      <w:r>
        <w:rPr>
          <w:spacing w:val="-9"/>
        </w:rPr>
        <w:t> </w:t>
      </w:r>
      <w:r>
        <w:rPr>
          <w:spacing w:val="-2"/>
        </w:rPr>
        <w:t>Hillon</w:t>
      </w:r>
    </w:p>
    <w:p>
      <w:pPr>
        <w:pStyle w:val="BodyText"/>
        <w:spacing w:line="232" w:lineRule="auto" w:before="3"/>
        <w:ind w:left="1554" w:right="1639"/>
        <w:jc w:val="center"/>
      </w:pPr>
      <w:r>
        <w:rPr/>
        <w:t>School</w:t>
      </w:r>
      <w:r>
        <w:rPr>
          <w:spacing w:val="-10"/>
        </w:rPr>
        <w:t> </w:t>
      </w:r>
      <w:r>
        <w:rPr/>
        <w:t>of</w:t>
      </w:r>
      <w:r>
        <w:rPr>
          <w:spacing w:val="-10"/>
        </w:rPr>
        <w:t> </w:t>
      </w:r>
      <w:r>
        <w:rPr/>
        <w:t>Economics,</w:t>
      </w:r>
      <w:r>
        <w:rPr>
          <w:spacing w:val="-10"/>
        </w:rPr>
        <w:t> </w:t>
      </w:r>
      <w:r>
        <w:rPr/>
        <w:t>Management,</w:t>
      </w:r>
      <w:r>
        <w:rPr>
          <w:spacing w:val="-10"/>
        </w:rPr>
        <w:t> </w:t>
      </w:r>
      <w:r>
        <w:rPr/>
        <w:t>and Project Management</w:t>
      </w:r>
    </w:p>
    <w:p>
      <w:pPr>
        <w:pStyle w:val="BodyText"/>
        <w:ind w:left="2163" w:right="2183" w:hanging="20"/>
        <w:jc w:val="center"/>
      </w:pPr>
      <w:r>
        <w:rPr/>
        <w:t>College of Business</w:t>
      </w:r>
      <w:r>
        <w:rPr>
          <w:spacing w:val="40"/>
        </w:rPr>
        <w:t> </w:t>
      </w:r>
      <w:r>
        <w:rPr/>
        <w:t>Western</w:t>
      </w:r>
      <w:r>
        <w:rPr>
          <w:spacing w:val="-15"/>
        </w:rPr>
        <w:t> </w:t>
      </w:r>
      <w:r>
        <w:rPr/>
        <w:t>Carolina</w:t>
      </w:r>
      <w:r>
        <w:rPr>
          <w:spacing w:val="-15"/>
        </w:rPr>
        <w:t> </w:t>
      </w:r>
      <w:r>
        <w:rPr/>
        <w:t>University 1 University Dr</w:t>
      </w:r>
    </w:p>
    <w:p>
      <w:pPr>
        <w:pStyle w:val="BodyText"/>
        <w:ind w:left="2197" w:right="2231"/>
        <w:jc w:val="center"/>
      </w:pPr>
      <w:r>
        <w:rPr/>
        <w:t>Cullowhee,</w:t>
      </w:r>
      <w:r>
        <w:rPr>
          <w:spacing w:val="-15"/>
        </w:rPr>
        <w:t> </w:t>
      </w:r>
      <w:r>
        <w:rPr/>
        <w:t>NC</w:t>
      </w:r>
      <w:r>
        <w:rPr>
          <w:spacing w:val="-15"/>
        </w:rPr>
        <w:t> </w:t>
      </w:r>
      <w:r>
        <w:rPr/>
        <w:t>28723 </w:t>
      </w:r>
      <w:hyperlink r:id="rId92">
        <w:r>
          <w:rPr>
            <w:spacing w:val="-2"/>
          </w:rPr>
          <w:t>ycai@wcu.edu</w:t>
        </w:r>
      </w:hyperlink>
      <w:r>
        <w:rPr>
          <w:spacing w:val="-2"/>
        </w:rPr>
        <w:t> 828.227.3588</w:t>
      </w:r>
    </w:p>
    <w:p>
      <w:pPr>
        <w:pStyle w:val="BodyText"/>
        <w:spacing w:before="270"/>
      </w:pPr>
    </w:p>
    <w:p>
      <w:pPr>
        <w:pStyle w:val="BodyText"/>
        <w:spacing w:line="271" w:lineRule="exact"/>
        <w:ind w:left="2208" w:right="2231"/>
        <w:jc w:val="center"/>
      </w:pPr>
      <w:r>
        <w:rPr/>
        <w:t>Lane</w:t>
      </w:r>
      <w:r>
        <w:rPr>
          <w:spacing w:val="-6"/>
        </w:rPr>
        <w:t> </w:t>
      </w:r>
      <w:r>
        <w:rPr/>
        <w:t>Graves</w:t>
      </w:r>
      <w:r>
        <w:rPr>
          <w:spacing w:val="-5"/>
        </w:rPr>
        <w:t> </w:t>
      </w:r>
      <w:r>
        <w:rPr/>
        <w:t>Perry,</w:t>
      </w:r>
      <w:r>
        <w:rPr>
          <w:spacing w:val="-5"/>
        </w:rPr>
        <w:t> III</w:t>
      </w:r>
    </w:p>
    <w:p>
      <w:pPr>
        <w:pStyle w:val="BodyText"/>
        <w:spacing w:line="230" w:lineRule="auto" w:before="4"/>
        <w:ind w:left="1371" w:right="1456"/>
        <w:jc w:val="center"/>
      </w:pPr>
      <w:r>
        <w:rPr/>
        <w:t>School</w:t>
      </w:r>
      <w:r>
        <w:rPr>
          <w:spacing w:val="-13"/>
        </w:rPr>
        <w:t> </w:t>
      </w:r>
      <w:r>
        <w:rPr/>
        <w:t>of</w:t>
      </w:r>
      <w:r>
        <w:rPr>
          <w:spacing w:val="-13"/>
        </w:rPr>
        <w:t> </w:t>
      </w:r>
      <w:r>
        <w:rPr/>
        <w:t>Marketing,</w:t>
      </w:r>
      <w:r>
        <w:rPr>
          <w:spacing w:val="-13"/>
        </w:rPr>
        <w:t> </w:t>
      </w:r>
      <w:r>
        <w:rPr/>
        <w:t>Entrepreneurship, Sport Management and Hospitality and Tourism Management</w:t>
      </w:r>
    </w:p>
    <w:p>
      <w:pPr>
        <w:pStyle w:val="BodyText"/>
        <w:spacing w:before="3"/>
        <w:ind w:left="2163" w:right="2183" w:hanging="20"/>
        <w:jc w:val="center"/>
      </w:pPr>
      <w:r>
        <w:rPr/>
        <w:t>College of Business</w:t>
      </w:r>
      <w:r>
        <w:rPr>
          <w:spacing w:val="40"/>
        </w:rPr>
        <w:t> </w:t>
      </w:r>
      <w:r>
        <w:rPr/>
        <w:t>Western</w:t>
      </w:r>
      <w:r>
        <w:rPr>
          <w:spacing w:val="-15"/>
        </w:rPr>
        <w:t> </w:t>
      </w:r>
      <w:r>
        <w:rPr/>
        <w:t>Carolina</w:t>
      </w:r>
      <w:r>
        <w:rPr>
          <w:spacing w:val="-15"/>
        </w:rPr>
        <w:t> </w:t>
      </w:r>
      <w:r>
        <w:rPr/>
        <w:t>University 1 University Dr</w:t>
      </w:r>
    </w:p>
    <w:p>
      <w:pPr>
        <w:pStyle w:val="BodyText"/>
        <w:ind w:left="2197" w:right="2231"/>
        <w:jc w:val="center"/>
      </w:pPr>
      <w:r>
        <w:rPr/>
        <w:t>Cullowhee,</w:t>
      </w:r>
      <w:r>
        <w:rPr>
          <w:spacing w:val="-15"/>
        </w:rPr>
        <w:t> </w:t>
      </w:r>
      <w:r>
        <w:rPr/>
        <w:t>NC</w:t>
      </w:r>
      <w:r>
        <w:rPr>
          <w:spacing w:val="-15"/>
        </w:rPr>
        <w:t> </w:t>
      </w:r>
      <w:r>
        <w:rPr/>
        <w:t>28723 </w:t>
      </w:r>
      <w:hyperlink r:id="rId161">
        <w:r>
          <w:rPr>
            <w:spacing w:val="-2"/>
          </w:rPr>
          <w:t>laneperry@wcu.edu</w:t>
        </w:r>
      </w:hyperlink>
      <w:r>
        <w:rPr>
          <w:spacing w:val="-2"/>
        </w:rPr>
        <w:t> 828.227.2825</w:t>
      </w:r>
    </w:p>
    <w:p>
      <w:pPr>
        <w:pStyle w:val="BodyText"/>
        <w:spacing w:after="0"/>
        <w:jc w:val="center"/>
        <w:sectPr>
          <w:type w:val="continuous"/>
          <w:pgSz w:w="12240" w:h="15840"/>
          <w:pgMar w:header="0" w:footer="768" w:top="740" w:bottom="280" w:left="720" w:right="0"/>
          <w:cols w:num="2" w:equalWidth="0">
            <w:col w:w="4301" w:space="131"/>
            <w:col w:w="7088"/>
          </w:cols>
        </w:sectPr>
      </w:pPr>
    </w:p>
    <w:p>
      <w:pPr>
        <w:pStyle w:val="BodyText"/>
        <w:spacing w:before="14"/>
      </w:pPr>
    </w:p>
    <w:p>
      <w:pPr>
        <w:pStyle w:val="BodyText"/>
        <w:ind w:left="693"/>
      </w:pPr>
      <w:r>
        <w:rPr/>
        <w:t>Key</w:t>
      </w:r>
      <w:r>
        <w:rPr>
          <w:spacing w:val="-2"/>
        </w:rPr>
        <w:t> </w:t>
      </w:r>
      <w:r>
        <w:rPr/>
        <w:t>words</w:t>
      </w:r>
      <w:r>
        <w:rPr>
          <w:spacing w:val="-2"/>
        </w:rPr>
        <w:t> </w:t>
      </w:r>
      <w:r>
        <w:rPr/>
        <w:t>(3-5):</w:t>
      </w:r>
      <w:r>
        <w:rPr>
          <w:spacing w:val="-2"/>
        </w:rPr>
        <w:t> </w:t>
      </w:r>
      <w:r>
        <w:rPr/>
        <w:t>Accelerators,</w:t>
      </w:r>
      <w:r>
        <w:rPr>
          <w:spacing w:val="-2"/>
        </w:rPr>
        <w:t> </w:t>
      </w:r>
      <w:r>
        <w:rPr/>
        <w:t>institutional</w:t>
      </w:r>
      <w:r>
        <w:rPr>
          <w:spacing w:val="-2"/>
        </w:rPr>
        <w:t> </w:t>
      </w:r>
      <w:r>
        <w:rPr/>
        <w:t>logic,</w:t>
      </w:r>
      <w:r>
        <w:rPr>
          <w:spacing w:val="-2"/>
        </w:rPr>
        <w:t> </w:t>
      </w:r>
      <w:r>
        <w:rPr/>
        <w:t>education,</w:t>
      </w:r>
      <w:r>
        <w:rPr>
          <w:spacing w:val="-2"/>
        </w:rPr>
        <w:t> </w:t>
      </w:r>
      <w:r>
        <w:rPr/>
        <w:t>hybridity,</w:t>
      </w:r>
      <w:r>
        <w:rPr>
          <w:spacing w:val="-2"/>
        </w:rPr>
        <w:t> entrepreneurship</w:t>
      </w:r>
    </w:p>
    <w:p>
      <w:pPr>
        <w:pStyle w:val="Heading4"/>
        <w:spacing w:before="258"/>
      </w:pPr>
      <w:r>
        <w:rPr>
          <w:spacing w:val="-2"/>
        </w:rPr>
        <w:t>Introduction</w:t>
      </w:r>
    </w:p>
    <w:p>
      <w:pPr>
        <w:pStyle w:val="BodyText"/>
        <w:spacing w:line="230" w:lineRule="auto" w:before="228"/>
        <w:ind w:left="723" w:right="1379"/>
        <w:jc w:val="both"/>
      </w:pPr>
      <w:r>
        <w:rPr/>
        <w:t>Accelerators are becoming increasingly common in entrepreneurial ecosystems worldwide, yet their effectiveness remains contested (Hallen, Cohen, &amp; Bingham, 2020; Chan, Patel, &amp; Phan, 2020). Why do some accelerators propel ventures forward while others hinder </w:t>
      </w:r>
      <w:r>
        <w:rPr/>
        <w:t>entrepreneurial venture performance? This paper addresses that question by studying the institutional DNA of accelerators and its consequences for venture success. Accelerators, as specialized forms of entrepreneurial support organizations, assist early-stage ventures by providing education, mentoring, and access to capital (Yang, Kher, &amp; Newbert, 2020; Cohen &amp; Hochberg, 2014). As they expand globally and attract ventures with increasingly hybrid missions (Smith &amp; Besharov, 2019), understanding how their underlying logics interact with founder characteristics and the regional institutional environment is essential (Besharov &amp; Smith, 2025), not only for academic theorizing but also for designing more effective support systems. Drawing</w:t>
      </w:r>
      <w:r>
        <w:rPr>
          <w:spacing w:val="-3"/>
        </w:rPr>
        <w:t> </w:t>
      </w:r>
      <w:r>
        <w:rPr/>
        <w:t>on</w:t>
      </w:r>
      <w:r>
        <w:rPr>
          <w:spacing w:val="-3"/>
        </w:rPr>
        <w:t> </w:t>
      </w:r>
      <w:r>
        <w:rPr/>
        <w:t>institutional</w:t>
      </w:r>
      <w:r>
        <w:rPr>
          <w:spacing w:val="-3"/>
        </w:rPr>
        <w:t> </w:t>
      </w:r>
      <w:r>
        <w:rPr/>
        <w:t>logics theory (Thornton, Ocasio, &amp; Lounsbury, 2012), we conceptualize accelerators as hybrid organizations</w:t>
      </w:r>
      <w:r>
        <w:rPr>
          <w:spacing w:val="14"/>
        </w:rPr>
        <w:t> </w:t>
      </w:r>
      <w:r>
        <w:rPr/>
        <w:t>that</w:t>
      </w:r>
      <w:r>
        <w:rPr>
          <w:spacing w:val="15"/>
        </w:rPr>
        <w:t> </w:t>
      </w:r>
      <w:r>
        <w:rPr/>
        <w:t>embody</w:t>
      </w:r>
      <w:r>
        <w:rPr>
          <w:spacing w:val="14"/>
        </w:rPr>
        <w:t> </w:t>
      </w:r>
      <w:r>
        <w:rPr/>
        <w:t>either</w:t>
      </w:r>
      <w:r>
        <w:rPr>
          <w:spacing w:val="15"/>
        </w:rPr>
        <w:t> </w:t>
      </w:r>
      <w:r>
        <w:rPr/>
        <w:t>a</w:t>
      </w:r>
      <w:r>
        <w:rPr>
          <w:spacing w:val="15"/>
        </w:rPr>
        <w:t> </w:t>
      </w:r>
      <w:r>
        <w:rPr/>
        <w:t>social</w:t>
      </w:r>
      <w:r>
        <w:rPr>
          <w:spacing w:val="14"/>
        </w:rPr>
        <w:t> </w:t>
      </w:r>
      <w:r>
        <w:rPr/>
        <w:t>logic,</w:t>
      </w:r>
      <w:r>
        <w:rPr>
          <w:spacing w:val="15"/>
        </w:rPr>
        <w:t> </w:t>
      </w:r>
      <w:r>
        <w:rPr/>
        <w:t>emphasizing</w:t>
      </w:r>
      <w:r>
        <w:rPr>
          <w:spacing w:val="14"/>
        </w:rPr>
        <w:t> </w:t>
      </w:r>
      <w:r>
        <w:rPr/>
        <w:t>prosocial</w:t>
      </w:r>
      <w:r>
        <w:rPr>
          <w:spacing w:val="15"/>
        </w:rPr>
        <w:t> </w:t>
      </w:r>
      <w:r>
        <w:rPr/>
        <w:t>missions</w:t>
      </w:r>
      <w:r>
        <w:rPr>
          <w:spacing w:val="15"/>
        </w:rPr>
        <w:t> </w:t>
      </w:r>
      <w:r>
        <w:rPr/>
        <w:t>and</w:t>
      </w:r>
      <w:r>
        <w:rPr>
          <w:spacing w:val="14"/>
        </w:rPr>
        <w:t> </w:t>
      </w:r>
      <w:r>
        <w:rPr/>
        <w:t>values,</w:t>
      </w:r>
      <w:r>
        <w:rPr>
          <w:spacing w:val="15"/>
        </w:rPr>
        <w:t> </w:t>
      </w:r>
      <w:r>
        <w:rPr/>
        <w:t>or</w:t>
      </w:r>
      <w:r>
        <w:rPr>
          <w:spacing w:val="15"/>
        </w:rPr>
        <w:t> </w:t>
      </w:r>
      <w:r>
        <w:rPr>
          <w:spacing w:val="-10"/>
        </w:rPr>
        <w:t>a</w:t>
      </w:r>
    </w:p>
    <w:p>
      <w:pPr>
        <w:pStyle w:val="BodyText"/>
        <w:spacing w:after="0" w:line="230" w:lineRule="auto"/>
        <w:jc w:val="both"/>
        <w:sectPr>
          <w:type w:val="continuous"/>
          <w:pgSz w:w="12240" w:h="15840"/>
          <w:pgMar w:header="0" w:footer="768" w:top="740" w:bottom="280" w:left="720" w:right="0"/>
        </w:sectPr>
      </w:pPr>
    </w:p>
    <w:p>
      <w:pPr>
        <w:pStyle w:val="BodyText"/>
        <w:spacing w:before="71"/>
        <w:ind w:left="723"/>
      </w:pPr>
      <w:r>
        <w:rPr/>
        <w:t>market logic, prioritizing financial outcomes and investor </w:t>
      </w:r>
      <w:r>
        <w:rPr>
          <w:spacing w:val="-2"/>
        </w:rPr>
        <w:t>engagement.</w:t>
      </w:r>
    </w:p>
    <w:p>
      <w:pPr>
        <w:pStyle w:val="Heading4"/>
        <w:spacing w:before="246"/>
      </w:pPr>
      <w:r>
        <w:rPr/>
        <w:t>Literature</w:t>
      </w:r>
      <w:r>
        <w:rPr>
          <w:spacing w:val="-5"/>
        </w:rPr>
        <w:t> </w:t>
      </w:r>
      <w:r>
        <w:rPr>
          <w:spacing w:val="-2"/>
        </w:rPr>
        <w:t>Overview</w:t>
      </w:r>
    </w:p>
    <w:p>
      <w:pPr>
        <w:pStyle w:val="BodyText"/>
        <w:spacing w:line="230" w:lineRule="auto" w:before="234"/>
        <w:ind w:left="723" w:right="1378"/>
        <w:jc w:val="both"/>
      </w:pPr>
      <w:r>
        <w:rPr/>
        <w:t>Accelerators take</w:t>
      </w:r>
      <w:r>
        <w:rPr>
          <w:spacing w:val="-6"/>
        </w:rPr>
        <w:t> </w:t>
      </w:r>
      <w:r>
        <w:rPr/>
        <w:t>many</w:t>
      </w:r>
      <w:r>
        <w:rPr>
          <w:spacing w:val="-6"/>
        </w:rPr>
        <w:t> </w:t>
      </w:r>
      <w:r>
        <w:rPr/>
        <w:t>forms:</w:t>
      </w:r>
      <w:r>
        <w:rPr>
          <w:spacing w:val="-6"/>
        </w:rPr>
        <w:t> </w:t>
      </w:r>
      <w:r>
        <w:rPr/>
        <w:t>corporate,</w:t>
      </w:r>
      <w:r>
        <w:rPr>
          <w:spacing w:val="-6"/>
        </w:rPr>
        <w:t> </w:t>
      </w:r>
      <w:r>
        <w:rPr/>
        <w:t>university-based,</w:t>
      </w:r>
      <w:r>
        <w:rPr>
          <w:spacing w:val="-6"/>
        </w:rPr>
        <w:t> </w:t>
      </w:r>
      <w:r>
        <w:rPr/>
        <w:t>government-backed,</w:t>
      </w:r>
      <w:r>
        <w:rPr>
          <w:spacing w:val="-6"/>
        </w:rPr>
        <w:t> </w:t>
      </w:r>
      <w:r>
        <w:rPr/>
        <w:t>and</w:t>
      </w:r>
      <w:r>
        <w:rPr>
          <w:spacing w:val="-6"/>
        </w:rPr>
        <w:t> </w:t>
      </w:r>
      <w:r>
        <w:rPr/>
        <w:t>increasingly, social-impact focused (Kher, Yang, &amp; Newbert, 2023), and these differences raise the</w:t>
      </w:r>
      <w:r>
        <w:rPr>
          <w:spacing w:val="-5"/>
        </w:rPr>
        <w:t> </w:t>
      </w:r>
      <w:r>
        <w:rPr/>
        <w:t>likelihood of institutional hybridity. Additionally, as accelerators operate globally, the regional </w:t>
      </w:r>
      <w:r>
        <w:rPr/>
        <w:t>institutions</w:t>
      </w:r>
      <w:r>
        <w:rPr>
          <w:spacing w:val="40"/>
        </w:rPr>
        <w:t> </w:t>
      </w:r>
      <w:r>
        <w:rPr/>
        <w:t>in which they operate further shape their embedded institutional logics, particularly their social and market orientations. These logics manifest in the resources, activities, and educational structures offered by accelerators (Cohen, Bingham, &amp; Hallen, 2019; Battilana, Obloj, Pache, &amp; Sengul, 2022). We therefore expect that, as institutional logics in organizations affect firm performance, the same orientations in accelerators affect accelerator performance and, subsequently, the performance of participating ventures. Given that human capital can interact with the institutional logics of accelerators to affect venture performance (Sahasranamam, Lall, Nicolopoulou, &amp; Shaw, 2023), we also consider the venture’s lead founder's education as a moderating effect.</w:t>
      </w:r>
    </w:p>
    <w:p>
      <w:pPr>
        <w:pStyle w:val="BodyText"/>
        <w:spacing w:line="230" w:lineRule="auto" w:before="239"/>
        <w:ind w:left="723" w:right="1379"/>
        <w:jc w:val="both"/>
      </w:pPr>
      <w:r>
        <w:rPr/>
        <w:t>Theoretically, this study contributes to the institutional logics literature by demonstrating </w:t>
      </w:r>
      <w:r>
        <w:rPr/>
        <w:t>how organizational-level logics within accelerators shape participating ventures’ outcomes (Wu, Tan, &amp; Wang, 2023). Practically, our results suggest that accelerators should carefully consider their operating logic when designing programs. While accelerators hold promise for supporting ventures, their impact is contingent on the logic they espouse and the education of the founders they serve. By focusing on accelerator-level institutional logics and educational dynamics, this study offers a more nuanced understanding of how entrepreneurial support organizations can foster</w:t>
      </w:r>
      <w:r>
        <w:rPr>
          <w:spacing w:val="40"/>
        </w:rPr>
        <w:t> </w:t>
      </w:r>
      <w:r>
        <w:rPr/>
        <w:t>or hinder venture performance and, in turn, affect the entrepreneurial ecosystem more broadly.</w:t>
      </w:r>
      <w:r>
        <w:rPr>
          <w:spacing w:val="40"/>
        </w:rPr>
        <w:t> </w:t>
      </w:r>
      <w:r>
        <w:rPr/>
        <w:t>This research, therefore, offers a timely contribution to entrepreneurship scholarship, challenging</w:t>
      </w:r>
      <w:r>
        <w:rPr>
          <w:spacing w:val="40"/>
        </w:rPr>
        <w:t> </w:t>
      </w:r>
      <w:r>
        <w:rPr/>
        <w:t>prevailing assumptions and providing actionable insights for practitioners, policymakers, and</w:t>
      </w:r>
      <w:r>
        <w:rPr>
          <w:spacing w:val="40"/>
        </w:rPr>
        <w:t> </w:t>
      </w:r>
      <w:r>
        <w:rPr/>
        <w:t>scholars alike.</w:t>
      </w:r>
    </w:p>
    <w:p>
      <w:pPr>
        <w:pStyle w:val="Heading4"/>
        <w:spacing w:before="270"/>
      </w:pPr>
      <w:r>
        <w:rPr>
          <w:spacing w:val="-2"/>
        </w:rPr>
        <w:t>Methodology</w:t>
      </w:r>
    </w:p>
    <w:p>
      <w:pPr>
        <w:pStyle w:val="BodyText"/>
        <w:spacing w:line="230" w:lineRule="auto" w:before="233"/>
        <w:ind w:left="723" w:right="1379"/>
        <w:jc w:val="both"/>
      </w:pPr>
      <w:r>
        <w:rPr/>
        <w:t>This study adopts a mixed-methods approach. Initially, a multilevel dataset from the </w:t>
      </w:r>
      <w:r>
        <w:rPr/>
        <w:t>Global Accelerator Learning Initiative (GALI) and the World Bank was reviewed. Through this, we analyzed 1,789 hybrid ventures across 284 accelerators operating in diverse regions. Our methodology employs multilevel</w:t>
      </w:r>
      <w:r>
        <w:rPr>
          <w:spacing w:val="-3"/>
        </w:rPr>
        <w:t> </w:t>
      </w:r>
      <w:r>
        <w:rPr/>
        <w:t>modeling</w:t>
      </w:r>
      <w:r>
        <w:rPr>
          <w:spacing w:val="-3"/>
        </w:rPr>
        <w:t> </w:t>
      </w:r>
      <w:r>
        <w:rPr/>
        <w:t>to</w:t>
      </w:r>
      <w:r>
        <w:rPr>
          <w:spacing w:val="-3"/>
        </w:rPr>
        <w:t> </w:t>
      </w:r>
      <w:r>
        <w:rPr/>
        <w:t>account</w:t>
      </w:r>
      <w:r>
        <w:rPr>
          <w:spacing w:val="-3"/>
        </w:rPr>
        <w:t> </w:t>
      </w:r>
      <w:r>
        <w:rPr/>
        <w:t>for</w:t>
      </w:r>
      <w:r>
        <w:rPr>
          <w:spacing w:val="-3"/>
        </w:rPr>
        <w:t> </w:t>
      </w:r>
      <w:r>
        <w:rPr/>
        <w:t>nested</w:t>
      </w:r>
      <w:r>
        <w:rPr>
          <w:spacing w:val="-3"/>
        </w:rPr>
        <w:t> </w:t>
      </w:r>
      <w:r>
        <w:rPr/>
        <w:t>data</w:t>
      </w:r>
      <w:r>
        <w:rPr>
          <w:spacing w:val="-3"/>
        </w:rPr>
        <w:t> </w:t>
      </w:r>
      <w:r>
        <w:rPr/>
        <w:t>structures</w:t>
      </w:r>
      <w:r>
        <w:rPr>
          <w:spacing w:val="-3"/>
        </w:rPr>
        <w:t> </w:t>
      </w:r>
      <w:r>
        <w:rPr/>
        <w:t>and</w:t>
      </w:r>
      <w:r>
        <w:rPr>
          <w:spacing w:val="-3"/>
        </w:rPr>
        <w:t> </w:t>
      </w:r>
      <w:r>
        <w:rPr/>
        <w:t>examines</w:t>
      </w:r>
      <w:r>
        <w:rPr>
          <w:spacing w:val="-3"/>
        </w:rPr>
        <w:t> </w:t>
      </w:r>
      <w:r>
        <w:rPr/>
        <w:t>the effects of accelerator-level logics and founder-level human capital on venture firm performance, measured by revenue one-year post-acceleration. We measured Accelerator Social Logic as an index</w:t>
      </w:r>
      <w:r>
        <w:rPr>
          <w:spacing w:val="27"/>
        </w:rPr>
        <w:t> </w:t>
      </w:r>
      <w:r>
        <w:rPr/>
        <w:t>with two indicators: program sector and program impact focus; Accelerator Market Logic</w:t>
      </w:r>
      <w:r>
        <w:rPr>
          <w:spacing w:val="40"/>
        </w:rPr>
        <w:t> </w:t>
      </w:r>
      <w:r>
        <w:rPr/>
        <w:t>is measured as an index with three indicators: a demo day and two regional indicators of the region's</w:t>
      </w:r>
      <w:r>
        <w:rPr>
          <w:spacing w:val="40"/>
        </w:rPr>
        <w:t> </w:t>
      </w:r>
      <w:r>
        <w:rPr/>
        <w:t>financialization. Finally, we assessed founder human capital through formal education levels.</w:t>
      </w:r>
      <w:r>
        <w:rPr>
          <w:spacing w:val="40"/>
        </w:rPr>
        <w:t> </w:t>
      </w:r>
      <w:r>
        <w:rPr/>
        <w:t>Additionally, we have developed a semi-structured interview protocol and deployed it</w:t>
      </w:r>
      <w:r>
        <w:rPr>
          <w:spacing w:val="-3"/>
        </w:rPr>
        <w:t> </w:t>
      </w:r>
      <w:r>
        <w:rPr/>
        <w:t>to interview</w:t>
      </w:r>
      <w:r>
        <w:rPr>
          <w:spacing w:val="40"/>
        </w:rPr>
        <w:t> </w:t>
      </w:r>
      <w:r>
        <w:rPr/>
        <w:t>accelerator managers and staff to better understand the nuances, differences, and intentionalities</w:t>
      </w:r>
      <w:r>
        <w:rPr>
          <w:spacing w:val="40"/>
        </w:rPr>
        <w:t> </w:t>
      </w:r>
      <w:r>
        <w:rPr/>
        <w:t>between market and social logic in these ecosystems.</w:t>
      </w:r>
    </w:p>
    <w:p>
      <w:pPr>
        <w:pStyle w:val="Heading4"/>
        <w:spacing w:before="244"/>
      </w:pPr>
      <w:r>
        <w:rPr/>
        <w:t>Results and </w:t>
      </w:r>
      <w:r>
        <w:rPr>
          <w:spacing w:val="-2"/>
        </w:rPr>
        <w:t>Implications</w:t>
      </w:r>
    </w:p>
    <w:p>
      <w:pPr>
        <w:pStyle w:val="BodyText"/>
        <w:spacing w:line="230" w:lineRule="auto" w:before="229"/>
        <w:ind w:left="723" w:right="1380"/>
        <w:jc w:val="both"/>
      </w:pPr>
      <w:r>
        <w:rPr/>
        <w:t>Our results indicate that accelerators grounded in social logic enhance performance, </w:t>
      </w:r>
      <w:r>
        <w:rPr/>
        <w:t>suggesting that socially oriented support can fill gaps in human capital. This effect is moderated</w:t>
      </w:r>
      <w:r>
        <w:rPr>
          <w:spacing w:val="-2"/>
        </w:rPr>
        <w:t> </w:t>
      </w:r>
      <w:r>
        <w:rPr/>
        <w:t>by</w:t>
      </w:r>
      <w:r>
        <w:rPr>
          <w:spacing w:val="-2"/>
        </w:rPr>
        <w:t> </w:t>
      </w:r>
      <w:r>
        <w:rPr/>
        <w:t>venture lead founder education: accelerators provide greater benefit to ventures led by founders with lower</w:t>
      </w:r>
      <w:r>
        <w:rPr>
          <w:spacing w:val="40"/>
        </w:rPr>
        <w:t> </w:t>
      </w:r>
      <w:r>
        <w:rPr/>
        <w:t>levels of formal education. This suggests a substitution effect, in which socially oriented accelerators fill critical gaps in knowledge, networks, and legitimacy for less-educated founders (Argote, Beckman, &amp; Epple, 1990; Crook, Todd, Combs, Woehr, &amp;</w:t>
      </w:r>
      <w:r>
        <w:rPr>
          <w:spacing w:val="-8"/>
        </w:rPr>
        <w:t> </w:t>
      </w:r>
      <w:r>
        <w:rPr/>
        <w:t>Ketchen,</w:t>
      </w:r>
      <w:r>
        <w:rPr>
          <w:spacing w:val="-8"/>
        </w:rPr>
        <w:t> </w:t>
      </w:r>
      <w:r>
        <w:rPr/>
        <w:t>2011).</w:t>
      </w:r>
      <w:r>
        <w:rPr>
          <w:spacing w:val="-8"/>
        </w:rPr>
        <w:t> </w:t>
      </w:r>
      <w:r>
        <w:rPr/>
        <w:t>Conversely, accelerators</w:t>
      </w:r>
      <w:r>
        <w:rPr>
          <w:spacing w:val="75"/>
        </w:rPr>
        <w:t> </w:t>
      </w:r>
      <w:r>
        <w:rPr/>
        <w:t>with</w:t>
      </w:r>
      <w:r>
        <w:rPr>
          <w:spacing w:val="60"/>
        </w:rPr>
        <w:t> </w:t>
      </w:r>
      <w:r>
        <w:rPr/>
        <w:t>a</w:t>
      </w:r>
      <w:r>
        <w:rPr>
          <w:spacing w:val="60"/>
        </w:rPr>
        <w:t> </w:t>
      </w:r>
      <w:r>
        <w:rPr/>
        <w:t>market</w:t>
      </w:r>
      <w:r>
        <w:rPr>
          <w:spacing w:val="60"/>
        </w:rPr>
        <w:t> </w:t>
      </w:r>
      <w:r>
        <w:rPr/>
        <w:t>logic</w:t>
      </w:r>
      <w:r>
        <w:rPr>
          <w:spacing w:val="60"/>
        </w:rPr>
        <w:t> </w:t>
      </w:r>
      <w:r>
        <w:rPr/>
        <w:t>consistently</w:t>
      </w:r>
      <w:r>
        <w:rPr>
          <w:spacing w:val="60"/>
        </w:rPr>
        <w:t> </w:t>
      </w:r>
      <w:r>
        <w:rPr/>
        <w:t>harm</w:t>
      </w:r>
      <w:r>
        <w:rPr>
          <w:spacing w:val="60"/>
        </w:rPr>
        <w:t> </w:t>
      </w:r>
      <w:r>
        <w:rPr/>
        <w:t>firm</w:t>
      </w:r>
      <w:r>
        <w:rPr>
          <w:spacing w:val="60"/>
        </w:rPr>
        <w:t> </w:t>
      </w:r>
      <w:r>
        <w:rPr/>
        <w:t>performance,</w:t>
      </w:r>
      <w:r>
        <w:rPr>
          <w:spacing w:val="60"/>
        </w:rPr>
        <w:t> </w:t>
      </w:r>
      <w:r>
        <w:rPr/>
        <w:t>regardless</w:t>
      </w:r>
      <w:r>
        <w:rPr>
          <w:spacing w:val="60"/>
        </w:rPr>
        <w:t> </w:t>
      </w:r>
      <w:r>
        <w:rPr/>
        <w:t>of</w:t>
      </w:r>
      <w:r>
        <w:rPr>
          <w:spacing w:val="60"/>
        </w:rPr>
        <w:t> </w:t>
      </w:r>
      <w:r>
        <w:rPr>
          <w:spacing w:val="-2"/>
        </w:rPr>
        <w:t>founder</w:t>
      </w:r>
    </w:p>
    <w:p>
      <w:pPr>
        <w:pStyle w:val="BodyText"/>
        <w:spacing w:after="0" w:line="230" w:lineRule="auto"/>
        <w:jc w:val="both"/>
        <w:sectPr>
          <w:pgSz w:w="12240" w:h="15840"/>
          <w:pgMar w:header="0" w:footer="768" w:top="620" w:bottom="960" w:left="720" w:right="0"/>
        </w:sectPr>
      </w:pPr>
    </w:p>
    <w:p>
      <w:pPr>
        <w:pStyle w:val="BodyText"/>
        <w:spacing w:line="230" w:lineRule="auto" w:before="80"/>
        <w:ind w:left="723" w:right="1389"/>
        <w:jc w:val="both"/>
      </w:pPr>
      <w:r>
        <w:rPr/>
        <w:t>education. These results underscore the importance</w:t>
      </w:r>
      <w:r>
        <w:rPr>
          <w:spacing w:val="-3"/>
        </w:rPr>
        <w:t> </w:t>
      </w:r>
      <w:r>
        <w:rPr/>
        <w:t>of</w:t>
      </w:r>
      <w:r>
        <w:rPr>
          <w:spacing w:val="-3"/>
        </w:rPr>
        <w:t> </w:t>
      </w:r>
      <w:r>
        <w:rPr/>
        <w:t>aligning</w:t>
      </w:r>
      <w:r>
        <w:rPr>
          <w:spacing w:val="-3"/>
        </w:rPr>
        <w:t> </w:t>
      </w:r>
      <w:r>
        <w:rPr/>
        <w:t>a</w:t>
      </w:r>
      <w:r>
        <w:rPr>
          <w:spacing w:val="-3"/>
        </w:rPr>
        <w:t> </w:t>
      </w:r>
      <w:r>
        <w:rPr/>
        <w:t>social-oriented</w:t>
      </w:r>
      <w:r>
        <w:rPr>
          <w:spacing w:val="-3"/>
        </w:rPr>
        <w:t> </w:t>
      </w:r>
      <w:r>
        <w:rPr/>
        <w:t>accelerator</w:t>
      </w:r>
      <w:r>
        <w:rPr>
          <w:spacing w:val="-3"/>
        </w:rPr>
        <w:t> </w:t>
      </w:r>
      <w:r>
        <w:rPr/>
        <w:t>logic with entrepreneurs' educational needs.</w:t>
      </w:r>
    </w:p>
    <w:p>
      <w:pPr>
        <w:pStyle w:val="BodyText"/>
        <w:spacing w:line="230" w:lineRule="auto" w:before="243"/>
        <w:ind w:left="723" w:right="1380"/>
        <w:jc w:val="both"/>
      </w:pPr>
      <w:r>
        <w:rPr/>
        <w:t>Our findings challenge the assumption that more educated founders always benefit more </w:t>
      </w:r>
      <w:r>
        <w:rPr/>
        <w:t>from accelerator participation, highlighting the nuanced role of education in entrepreneurial support contexts. We control for firm-level logics and find no significant direct or moderating effects. Accelerators with a strong social orientation appear better suited to support ventures led by founders with limited formal education. These accelerators foster knowledge transfer and</w:t>
      </w:r>
      <w:r>
        <w:rPr>
          <w:spacing w:val="40"/>
        </w:rPr>
        <w:t> </w:t>
      </w:r>
      <w:r>
        <w:rPr/>
        <w:t>enhance</w:t>
      </w:r>
      <w:r>
        <w:rPr>
          <w:spacing w:val="40"/>
        </w:rPr>
        <w:t> </w:t>
      </w:r>
      <w:r>
        <w:rPr/>
        <w:t>legitimacy through advocating for social goals (Grimes, Williams, &amp; Zhao, 2019; Cornforth,</w:t>
      </w:r>
      <w:r>
        <w:rPr>
          <w:spacing w:val="40"/>
        </w:rPr>
        <w:t> </w:t>
      </w:r>
      <w:r>
        <w:rPr/>
        <w:t>2014). In contrast, accelerators that prioritize market logic may inadvertently undermine the</w:t>
      </w:r>
      <w:r>
        <w:rPr>
          <w:spacing w:val="40"/>
        </w:rPr>
        <w:t> </w:t>
      </w:r>
      <w:r>
        <w:rPr/>
        <w:t>growing importance of the social goals of participating ventures, particularly by introducing</w:t>
      </w:r>
      <w:r>
        <w:rPr>
          <w:spacing w:val="40"/>
        </w:rPr>
        <w:t> </w:t>
      </w:r>
      <w:r>
        <w:rPr/>
        <w:t>conflicting investor pressures (Castellas, Ormiston,</w:t>
      </w:r>
      <w:r>
        <w:rPr>
          <w:spacing w:val="-6"/>
        </w:rPr>
        <w:t> </w:t>
      </w:r>
      <w:r>
        <w:rPr/>
        <w:t>&amp;</w:t>
      </w:r>
      <w:r>
        <w:rPr>
          <w:spacing w:val="-6"/>
        </w:rPr>
        <w:t> </w:t>
      </w:r>
      <w:r>
        <w:rPr/>
        <w:t>Findlay,</w:t>
      </w:r>
      <w:r>
        <w:rPr>
          <w:spacing w:val="-6"/>
        </w:rPr>
        <w:t> </w:t>
      </w:r>
      <w:r>
        <w:rPr/>
        <w:t>2018;</w:t>
      </w:r>
      <w:r>
        <w:rPr>
          <w:spacing w:val="-6"/>
        </w:rPr>
        <w:t> </w:t>
      </w:r>
      <w:r>
        <w:rPr/>
        <w:t>Young,</w:t>
      </w:r>
      <w:r>
        <w:rPr>
          <w:spacing w:val="-6"/>
        </w:rPr>
        <w:t> </w:t>
      </w:r>
      <w:r>
        <w:rPr/>
        <w:t>Kerlin, Teasdale, &amp;</w:t>
      </w:r>
      <w:r>
        <w:rPr>
          <w:spacing w:val="40"/>
        </w:rPr>
        <w:t> </w:t>
      </w:r>
      <w:r>
        <w:rPr/>
        <w:t>Soh, 2012). For entrepreneurs, the findings underscore the importance of due diligence when</w:t>
      </w:r>
      <w:r>
        <w:rPr>
          <w:spacing w:val="40"/>
        </w:rPr>
        <w:t> </w:t>
      </w:r>
      <w:r>
        <w:rPr/>
        <w:t>selecting an accelerator. Ventures should assess whether an accelerator’s logic aligns with their</w:t>
      </w:r>
      <w:r>
        <w:rPr>
          <w:spacing w:val="40"/>
        </w:rPr>
        <w:t> </w:t>
      </w:r>
      <w:r>
        <w:rPr/>
        <w:t>needs and</w:t>
      </w:r>
      <w:r>
        <w:rPr>
          <w:spacing w:val="-3"/>
        </w:rPr>
        <w:t> </w:t>
      </w:r>
      <w:r>
        <w:rPr/>
        <w:t>capacities,</w:t>
      </w:r>
      <w:r>
        <w:rPr>
          <w:spacing w:val="-3"/>
        </w:rPr>
        <w:t> </w:t>
      </w:r>
      <w:r>
        <w:rPr/>
        <w:t>particularly</w:t>
      </w:r>
      <w:r>
        <w:rPr>
          <w:spacing w:val="-3"/>
        </w:rPr>
        <w:t> </w:t>
      </w:r>
      <w:r>
        <w:rPr/>
        <w:t>in</w:t>
      </w:r>
      <w:r>
        <w:rPr>
          <w:spacing w:val="-3"/>
        </w:rPr>
        <w:t> </w:t>
      </w:r>
      <w:r>
        <w:rPr/>
        <w:t>terms</w:t>
      </w:r>
      <w:r>
        <w:rPr>
          <w:spacing w:val="-3"/>
        </w:rPr>
        <w:t> </w:t>
      </w:r>
      <w:r>
        <w:rPr/>
        <w:t>of</w:t>
      </w:r>
      <w:r>
        <w:rPr>
          <w:spacing w:val="-3"/>
        </w:rPr>
        <w:t> </w:t>
      </w:r>
      <w:r>
        <w:rPr/>
        <w:t>educational</w:t>
      </w:r>
      <w:r>
        <w:rPr>
          <w:spacing w:val="-3"/>
        </w:rPr>
        <w:t> </w:t>
      </w:r>
      <w:r>
        <w:rPr/>
        <w:t>support.</w:t>
      </w:r>
      <w:r>
        <w:rPr>
          <w:spacing w:val="-3"/>
        </w:rPr>
        <w:t> </w:t>
      </w:r>
      <w:r>
        <w:rPr/>
        <w:t>Policymakers and accelerator</w:t>
      </w:r>
      <w:r>
        <w:rPr>
          <w:spacing w:val="40"/>
        </w:rPr>
        <w:t> </w:t>
      </w:r>
      <w:r>
        <w:rPr/>
        <w:t>managers should recognize</w:t>
      </w:r>
      <w:r>
        <w:rPr>
          <w:spacing w:val="-3"/>
        </w:rPr>
        <w:t> </w:t>
      </w:r>
      <w:r>
        <w:rPr/>
        <w:t>that</w:t>
      </w:r>
      <w:r>
        <w:rPr>
          <w:spacing w:val="-3"/>
        </w:rPr>
        <w:t> </w:t>
      </w:r>
      <w:r>
        <w:rPr/>
        <w:t>one-size-fits-all</w:t>
      </w:r>
      <w:r>
        <w:rPr>
          <w:spacing w:val="-3"/>
        </w:rPr>
        <w:t> </w:t>
      </w:r>
      <w:r>
        <w:rPr/>
        <w:t>approaches</w:t>
      </w:r>
      <w:r>
        <w:rPr>
          <w:spacing w:val="-3"/>
        </w:rPr>
        <w:t> </w:t>
      </w:r>
      <w:r>
        <w:rPr/>
        <w:t>may</w:t>
      </w:r>
      <w:r>
        <w:rPr>
          <w:spacing w:val="-3"/>
        </w:rPr>
        <w:t> </w:t>
      </w:r>
      <w:r>
        <w:rPr/>
        <w:t>not</w:t>
      </w:r>
      <w:r>
        <w:rPr>
          <w:spacing w:val="-3"/>
        </w:rPr>
        <w:t> </w:t>
      </w:r>
      <w:r>
        <w:rPr/>
        <w:t>be</w:t>
      </w:r>
      <w:r>
        <w:rPr>
          <w:spacing w:val="-3"/>
        </w:rPr>
        <w:t> </w:t>
      </w:r>
      <w:r>
        <w:rPr/>
        <w:t>practical and that tailoring</w:t>
      </w:r>
      <w:r>
        <w:rPr>
          <w:spacing w:val="40"/>
        </w:rPr>
        <w:t> </w:t>
      </w:r>
      <w:r>
        <w:rPr/>
        <w:t>accelerator programs to founders' backgrounds can enhance outcomes. This research highlights</w:t>
      </w:r>
      <w:r>
        <w:rPr>
          <w:spacing w:val="40"/>
        </w:rPr>
        <w:t> </w:t>
      </w:r>
      <w:r>
        <w:rPr/>
        <w:t>the complex interplay between accelerator logics and entrepreneurial </w:t>
      </w:r>
      <w:r>
        <w:rPr>
          <w:spacing w:val="-2"/>
        </w:rPr>
        <w:t>outcomes.</w:t>
      </w:r>
    </w:p>
    <w:p>
      <w:pPr>
        <w:pStyle w:val="Heading4"/>
        <w:spacing w:before="240"/>
      </w:pPr>
      <w:r>
        <w:rPr>
          <w:spacing w:val="-2"/>
        </w:rPr>
        <w:t>Conclusion</w:t>
      </w:r>
    </w:p>
    <w:p>
      <w:pPr>
        <w:pStyle w:val="BodyText"/>
        <w:spacing w:line="228" w:lineRule="auto" w:before="233"/>
        <w:ind w:left="723" w:right="1381"/>
        <w:jc w:val="both"/>
      </w:pPr>
      <w:r>
        <w:rPr/>
        <w:t>This study demonstrates that the institutional logics embedded within accelerators </w:t>
      </w:r>
      <w:r>
        <w:rPr/>
        <w:t>meaningfully shape the performance of the ventures they support. Our findings indicate that accelerators oriented toward social missions enhance venture outcomes, particularly for founders with lower levels of</w:t>
      </w:r>
      <w:r>
        <w:rPr>
          <w:spacing w:val="40"/>
        </w:rPr>
        <w:t> </w:t>
      </w:r>
      <w:r>
        <w:rPr/>
        <w:t>formal education, by providing knowledge, legitimacy, and support structures that substitute for</w:t>
      </w:r>
      <w:r>
        <w:rPr>
          <w:spacing w:val="40"/>
        </w:rPr>
        <w:t> </w:t>
      </w:r>
      <w:r>
        <w:rPr/>
        <w:t>educational</w:t>
      </w:r>
      <w:r>
        <w:rPr>
          <w:spacing w:val="-3"/>
        </w:rPr>
        <w:t> </w:t>
      </w:r>
      <w:r>
        <w:rPr/>
        <w:t>gaps.</w:t>
      </w:r>
      <w:r>
        <w:rPr>
          <w:spacing w:val="-3"/>
        </w:rPr>
        <w:t> </w:t>
      </w:r>
      <w:r>
        <w:rPr/>
        <w:t>In</w:t>
      </w:r>
      <w:r>
        <w:rPr>
          <w:spacing w:val="-3"/>
        </w:rPr>
        <w:t> </w:t>
      </w:r>
      <w:r>
        <w:rPr/>
        <w:t>contrast,</w:t>
      </w:r>
      <w:r>
        <w:rPr>
          <w:spacing w:val="-3"/>
        </w:rPr>
        <w:t> </w:t>
      </w:r>
      <w:r>
        <w:rPr/>
        <w:t>accelerators</w:t>
      </w:r>
      <w:r>
        <w:rPr>
          <w:spacing w:val="-3"/>
        </w:rPr>
        <w:t> </w:t>
      </w:r>
      <w:r>
        <w:rPr/>
        <w:t>driven</w:t>
      </w:r>
      <w:r>
        <w:rPr>
          <w:spacing w:val="-3"/>
        </w:rPr>
        <w:t> </w:t>
      </w:r>
      <w:r>
        <w:rPr/>
        <w:t>primarily</w:t>
      </w:r>
      <w:r>
        <w:rPr>
          <w:spacing w:val="-3"/>
        </w:rPr>
        <w:t> </w:t>
      </w:r>
      <w:r>
        <w:rPr/>
        <w:t>by</w:t>
      </w:r>
      <w:r>
        <w:rPr>
          <w:spacing w:val="-3"/>
        </w:rPr>
        <w:t> </w:t>
      </w:r>
      <w:r>
        <w:rPr/>
        <w:t>market</w:t>
      </w:r>
      <w:r>
        <w:rPr>
          <w:spacing w:val="-3"/>
        </w:rPr>
        <w:t> </w:t>
      </w:r>
      <w:r>
        <w:rPr/>
        <w:t>logics</w:t>
      </w:r>
      <w:r>
        <w:rPr>
          <w:spacing w:val="-3"/>
        </w:rPr>
        <w:t> </w:t>
      </w:r>
      <w:r>
        <w:rPr/>
        <w:t>tend</w:t>
      </w:r>
      <w:r>
        <w:rPr>
          <w:spacing w:val="-3"/>
        </w:rPr>
        <w:t> </w:t>
      </w:r>
      <w:r>
        <w:rPr/>
        <w:t>to decrease</w:t>
      </w:r>
      <w:r>
        <w:rPr>
          <w:spacing w:val="40"/>
        </w:rPr>
        <w:t> </w:t>
      </w:r>
      <w:r>
        <w:rPr/>
        <w:t>venture performance, suggesting that financially oriented program structures may misalign with</w:t>
      </w:r>
      <w:r>
        <w:rPr>
          <w:spacing w:val="40"/>
        </w:rPr>
        <w:t> </w:t>
      </w:r>
      <w:r>
        <w:rPr/>
        <w:t>the</w:t>
      </w:r>
      <w:r>
        <w:rPr>
          <w:spacing w:val="-3"/>
        </w:rPr>
        <w:t> </w:t>
      </w:r>
      <w:r>
        <w:rPr/>
        <w:t>developmental</w:t>
      </w:r>
      <w:r>
        <w:rPr>
          <w:spacing w:val="-3"/>
        </w:rPr>
        <w:t> </w:t>
      </w:r>
      <w:r>
        <w:rPr/>
        <w:t>needs</w:t>
      </w:r>
      <w:r>
        <w:rPr>
          <w:spacing w:val="-3"/>
        </w:rPr>
        <w:t> </w:t>
      </w:r>
      <w:r>
        <w:rPr/>
        <w:t>of</w:t>
      </w:r>
      <w:r>
        <w:rPr>
          <w:spacing w:val="-3"/>
        </w:rPr>
        <w:t> </w:t>
      </w:r>
      <w:r>
        <w:rPr/>
        <w:t>early-stage</w:t>
      </w:r>
      <w:r>
        <w:rPr>
          <w:spacing w:val="-3"/>
        </w:rPr>
        <w:t> </w:t>
      </w:r>
      <w:r>
        <w:rPr/>
        <w:t>hybrid</w:t>
      </w:r>
      <w:r>
        <w:rPr>
          <w:spacing w:val="-3"/>
        </w:rPr>
        <w:t> </w:t>
      </w:r>
      <w:r>
        <w:rPr/>
        <w:t>ventures.</w:t>
      </w:r>
      <w:r>
        <w:rPr>
          <w:spacing w:val="-3"/>
        </w:rPr>
        <w:t> </w:t>
      </w:r>
      <w:r>
        <w:rPr/>
        <w:t>These</w:t>
      </w:r>
      <w:r>
        <w:rPr>
          <w:spacing w:val="-3"/>
        </w:rPr>
        <w:t> </w:t>
      </w:r>
      <w:r>
        <w:rPr/>
        <w:t>results</w:t>
      </w:r>
      <w:r>
        <w:rPr>
          <w:spacing w:val="-3"/>
        </w:rPr>
        <w:t> </w:t>
      </w:r>
      <w:r>
        <w:rPr/>
        <w:t>highlight</w:t>
      </w:r>
      <w:r>
        <w:rPr>
          <w:spacing w:val="-3"/>
        </w:rPr>
        <w:t> </w:t>
      </w:r>
      <w:r>
        <w:rPr/>
        <w:t>the importance of</w:t>
      </w:r>
      <w:r>
        <w:rPr>
          <w:spacing w:val="40"/>
        </w:rPr>
        <w:t> </w:t>
      </w:r>
      <w:r>
        <w:rPr/>
        <w:t>alignment between accelerator logics and founder characteristics</w:t>
      </w:r>
      <w:r>
        <w:rPr>
          <w:spacing w:val="-3"/>
        </w:rPr>
        <w:t> </w:t>
      </w:r>
      <w:r>
        <w:rPr/>
        <w:t>and</w:t>
      </w:r>
      <w:r>
        <w:rPr>
          <w:spacing w:val="-3"/>
        </w:rPr>
        <w:t> </w:t>
      </w:r>
      <w:r>
        <w:rPr/>
        <w:t>suggest</w:t>
      </w:r>
      <w:r>
        <w:rPr>
          <w:spacing w:val="-3"/>
        </w:rPr>
        <w:t> </w:t>
      </w:r>
      <w:r>
        <w:rPr/>
        <w:t>that entrepreneurs,</w:t>
      </w:r>
      <w:r>
        <w:rPr>
          <w:spacing w:val="40"/>
        </w:rPr>
        <w:t> </w:t>
      </w:r>
      <w:r>
        <w:rPr/>
        <w:t>policymakers, and accelerator designers should be attentive to how institutional orientations shape</w:t>
      </w:r>
      <w:r>
        <w:rPr>
          <w:spacing w:val="40"/>
        </w:rPr>
        <w:t> </w:t>
      </w:r>
      <w:r>
        <w:rPr/>
        <w:t>the value of accelerator participation.</w:t>
      </w:r>
    </w:p>
    <w:p>
      <w:pPr>
        <w:pStyle w:val="BodyText"/>
        <w:spacing w:line="230" w:lineRule="auto" w:before="242"/>
        <w:ind w:left="723" w:right="1378"/>
        <w:jc w:val="both"/>
      </w:pPr>
      <w:r>
        <w:rPr/>
        <w:t>Despite these contributions, this research has limitations that offer opportunities for </w:t>
      </w:r>
      <w:r>
        <w:rPr/>
        <w:t>future inquiry.</w:t>
      </w:r>
      <w:r>
        <w:rPr>
          <w:spacing w:val="80"/>
        </w:rPr>
        <w:t> </w:t>
      </w:r>
      <w:r>
        <w:rPr/>
        <w:t>Our analysis draws on secondary quantitative data, which limits our ability to observe the micro-level processes through which accelerator logics are enacted in practice and how entrepreneurs</w:t>
      </w:r>
      <w:r>
        <w:rPr>
          <w:spacing w:val="40"/>
        </w:rPr>
        <w:t> </w:t>
      </w:r>
      <w:r>
        <w:rPr/>
        <w:t>interpret and respond to them. Additionally, while our global dataset provides breadth, it cannot</w:t>
      </w:r>
      <w:r>
        <w:rPr>
          <w:spacing w:val="40"/>
        </w:rPr>
        <w:t> </w:t>
      </w:r>
      <w:r>
        <w:rPr/>
        <w:t>fully capture the contextual nuances of different regional institutional environments. Future</w:t>
      </w:r>
      <w:r>
        <w:rPr>
          <w:spacing w:val="40"/>
        </w:rPr>
        <w:t> </w:t>
      </w:r>
      <w:r>
        <w:rPr/>
        <w:t>research (phase 2 of this</w:t>
      </w:r>
      <w:r>
        <w:rPr>
          <w:spacing w:val="-2"/>
        </w:rPr>
        <w:t> </w:t>
      </w:r>
      <w:r>
        <w:rPr/>
        <w:t>study)</w:t>
      </w:r>
      <w:r>
        <w:rPr>
          <w:spacing w:val="-2"/>
        </w:rPr>
        <w:t> </w:t>
      </w:r>
      <w:r>
        <w:rPr/>
        <w:t>will</w:t>
      </w:r>
      <w:r>
        <w:rPr>
          <w:spacing w:val="-2"/>
        </w:rPr>
        <w:t> </w:t>
      </w:r>
      <w:r>
        <w:rPr/>
        <w:t>benefit</w:t>
      </w:r>
      <w:r>
        <w:rPr>
          <w:spacing w:val="-2"/>
        </w:rPr>
        <w:t> </w:t>
      </w:r>
      <w:r>
        <w:rPr/>
        <w:t>from</w:t>
      </w:r>
      <w:r>
        <w:rPr>
          <w:spacing w:val="-2"/>
        </w:rPr>
        <w:t> </w:t>
      </w:r>
      <w:r>
        <w:rPr/>
        <w:t>qualitative</w:t>
      </w:r>
      <w:r>
        <w:rPr>
          <w:spacing w:val="-2"/>
        </w:rPr>
        <w:t> </w:t>
      </w:r>
      <w:r>
        <w:rPr/>
        <w:t>work,</w:t>
      </w:r>
      <w:r>
        <w:rPr>
          <w:spacing w:val="-2"/>
        </w:rPr>
        <w:t> </w:t>
      </w:r>
      <w:r>
        <w:rPr/>
        <w:t>such</w:t>
      </w:r>
      <w:r>
        <w:rPr>
          <w:spacing w:val="-2"/>
        </w:rPr>
        <w:t> </w:t>
      </w:r>
      <w:r>
        <w:rPr/>
        <w:t>as interviews with</w:t>
      </w:r>
      <w:r>
        <w:rPr>
          <w:spacing w:val="40"/>
        </w:rPr>
        <w:t> </w:t>
      </w:r>
      <w:r>
        <w:rPr/>
        <w:t>accelerator managers, mentors, and founders, to unpack the mechanisms by which accelerator</w:t>
      </w:r>
      <w:r>
        <w:rPr>
          <w:spacing w:val="40"/>
        </w:rPr>
        <w:t> </w:t>
      </w:r>
      <w:r>
        <w:rPr/>
        <w:t>logics influence learning, decision-making, and resource acquisition. This semi-structured</w:t>
      </w:r>
      <w:r>
        <w:rPr>
          <w:spacing w:val="40"/>
        </w:rPr>
        <w:t> </w:t>
      </w:r>
      <w:r>
        <w:rPr/>
        <w:t>interview framework has been developed, and a phenomenological methodological lens will be</w:t>
      </w:r>
      <w:r>
        <w:rPr>
          <w:spacing w:val="80"/>
        </w:rPr>
        <w:t> </w:t>
      </w:r>
      <w:r>
        <w:rPr/>
        <w:t>adopted. Longitudinal studies could also explore how these dynamics evolve over time and</w:t>
      </w:r>
      <w:r>
        <w:rPr>
          <w:spacing w:val="40"/>
        </w:rPr>
        <w:t> </w:t>
      </w:r>
      <w:r>
        <w:rPr/>
        <w:t>whether the effects of social and market logics persist, fade, or intensify as ventures grow and face</w:t>
      </w:r>
      <w:r>
        <w:rPr>
          <w:spacing w:val="40"/>
        </w:rPr>
        <w:t> </w:t>
      </w:r>
      <w:r>
        <w:rPr/>
        <w:t>new</w:t>
      </w:r>
      <w:r>
        <w:rPr>
          <w:spacing w:val="-3"/>
        </w:rPr>
        <w:t> </w:t>
      </w:r>
      <w:r>
        <w:rPr/>
        <w:t>institutional</w:t>
      </w:r>
      <w:r>
        <w:rPr>
          <w:spacing w:val="-3"/>
        </w:rPr>
        <w:t> </w:t>
      </w:r>
      <w:r>
        <w:rPr/>
        <w:t>pressures.</w:t>
      </w:r>
      <w:r>
        <w:rPr>
          <w:spacing w:val="-3"/>
        </w:rPr>
        <w:t> </w:t>
      </w:r>
      <w:r>
        <w:rPr/>
        <w:t>By</w:t>
      </w:r>
      <w:r>
        <w:rPr>
          <w:spacing w:val="-3"/>
        </w:rPr>
        <w:t> </w:t>
      </w:r>
      <w:r>
        <w:rPr/>
        <w:t>integrating</w:t>
      </w:r>
      <w:r>
        <w:rPr>
          <w:spacing w:val="-3"/>
        </w:rPr>
        <w:t> </w:t>
      </w:r>
      <w:r>
        <w:rPr/>
        <w:t>these</w:t>
      </w:r>
      <w:r>
        <w:rPr>
          <w:spacing w:val="-3"/>
        </w:rPr>
        <w:t> </w:t>
      </w:r>
      <w:r>
        <w:rPr/>
        <w:t>approaches, scholars can continue to build a more</w:t>
      </w:r>
      <w:r>
        <w:rPr>
          <w:spacing w:val="40"/>
        </w:rPr>
        <w:t> </w:t>
      </w:r>
      <w:r>
        <w:rPr/>
        <w:t>comprehensive understanding of how accelerator design choices shape entrepreneurial outcomes</w:t>
      </w:r>
      <w:r>
        <w:rPr>
          <w:spacing w:val="40"/>
        </w:rPr>
        <w:t> </w:t>
      </w:r>
      <w:r>
        <w:rPr/>
        <w:t>in diverse contexts.</w:t>
      </w:r>
    </w:p>
    <w:p>
      <w:pPr>
        <w:pStyle w:val="Heading4"/>
        <w:spacing w:before="244"/>
      </w:pPr>
      <w:r>
        <w:rPr>
          <w:spacing w:val="-2"/>
        </w:rPr>
        <w:t>References</w:t>
      </w:r>
    </w:p>
    <w:p>
      <w:pPr>
        <w:pStyle w:val="BodyText"/>
        <w:spacing w:line="232" w:lineRule="auto" w:before="151"/>
        <w:ind w:left="723" w:right="1381"/>
      </w:pPr>
      <w:r>
        <w:rPr/>
        <w:t>Argote,</w:t>
      </w:r>
      <w:r>
        <w:rPr>
          <w:spacing w:val="-3"/>
        </w:rPr>
        <w:t> </w:t>
      </w:r>
      <w:r>
        <w:rPr/>
        <w:t>L.,</w:t>
      </w:r>
      <w:r>
        <w:rPr>
          <w:spacing w:val="-3"/>
        </w:rPr>
        <w:t> </w:t>
      </w:r>
      <w:r>
        <w:rPr/>
        <w:t>Beckman,</w:t>
      </w:r>
      <w:r>
        <w:rPr>
          <w:spacing w:val="-3"/>
        </w:rPr>
        <w:t> </w:t>
      </w:r>
      <w:r>
        <w:rPr/>
        <w:t>S.</w:t>
      </w:r>
      <w:r>
        <w:rPr>
          <w:spacing w:val="-3"/>
        </w:rPr>
        <w:t> </w:t>
      </w:r>
      <w:r>
        <w:rPr/>
        <w:t>L.,</w:t>
      </w:r>
      <w:r>
        <w:rPr>
          <w:spacing w:val="-3"/>
        </w:rPr>
        <w:t> </w:t>
      </w:r>
      <w:r>
        <w:rPr/>
        <w:t>&amp;</w:t>
      </w:r>
      <w:r>
        <w:rPr>
          <w:spacing w:val="-3"/>
        </w:rPr>
        <w:t> </w:t>
      </w:r>
      <w:r>
        <w:rPr/>
        <w:t>Epple,</w:t>
      </w:r>
      <w:r>
        <w:rPr>
          <w:spacing w:val="-3"/>
        </w:rPr>
        <w:t> </w:t>
      </w:r>
      <w:r>
        <w:rPr/>
        <w:t>D.</w:t>
      </w:r>
      <w:r>
        <w:rPr>
          <w:spacing w:val="-3"/>
        </w:rPr>
        <w:t> </w:t>
      </w:r>
      <w:r>
        <w:rPr/>
        <w:t>(1990).</w:t>
      </w:r>
      <w:r>
        <w:rPr>
          <w:spacing w:val="-3"/>
        </w:rPr>
        <w:t> </w:t>
      </w:r>
      <w:r>
        <w:rPr/>
        <w:t>The</w:t>
      </w:r>
      <w:r>
        <w:rPr>
          <w:spacing w:val="-3"/>
        </w:rPr>
        <w:t> </w:t>
      </w:r>
      <w:r>
        <w:rPr/>
        <w:t>persistence</w:t>
      </w:r>
      <w:r>
        <w:rPr>
          <w:spacing w:val="-3"/>
        </w:rPr>
        <w:t> </w:t>
      </w:r>
      <w:r>
        <w:rPr/>
        <w:t>and</w:t>
      </w:r>
      <w:r>
        <w:rPr>
          <w:spacing w:val="-3"/>
        </w:rPr>
        <w:t> </w:t>
      </w:r>
      <w:r>
        <w:rPr/>
        <w:t>transfer</w:t>
      </w:r>
      <w:r>
        <w:rPr>
          <w:spacing w:val="-3"/>
        </w:rPr>
        <w:t> </w:t>
      </w:r>
      <w:r>
        <w:rPr/>
        <w:t>of</w:t>
      </w:r>
      <w:r>
        <w:rPr>
          <w:spacing w:val="-3"/>
        </w:rPr>
        <w:t> </w:t>
      </w:r>
      <w:r>
        <w:rPr/>
        <w:t>learning</w:t>
      </w:r>
      <w:r>
        <w:rPr>
          <w:spacing w:val="-3"/>
        </w:rPr>
        <w:t> </w:t>
      </w:r>
      <w:r>
        <w:rPr/>
        <w:t>in industrial settings. </w:t>
      </w:r>
      <w:r>
        <w:rPr>
          <w:i/>
        </w:rPr>
        <w:t>Management Science, 36</w:t>
      </w:r>
      <w:r>
        <w:rPr/>
        <w:t>(2), 140–154.</w:t>
      </w:r>
    </w:p>
    <w:p>
      <w:pPr>
        <w:pStyle w:val="BodyText"/>
        <w:spacing w:before="151"/>
        <w:ind w:left="723"/>
      </w:pPr>
      <w:r>
        <w:rPr/>
        <w:t>Battilana,</w:t>
      </w:r>
      <w:r>
        <w:rPr>
          <w:spacing w:val="-2"/>
        </w:rPr>
        <w:t> </w:t>
      </w:r>
      <w:r>
        <w:rPr/>
        <w:t>J.,</w:t>
      </w:r>
      <w:r>
        <w:rPr>
          <w:spacing w:val="-1"/>
        </w:rPr>
        <w:t> </w:t>
      </w:r>
      <w:r>
        <w:rPr/>
        <w:t>Obloj,</w:t>
      </w:r>
      <w:r>
        <w:rPr>
          <w:spacing w:val="-2"/>
        </w:rPr>
        <w:t> </w:t>
      </w:r>
      <w:r>
        <w:rPr/>
        <w:t>T.,</w:t>
      </w:r>
      <w:r>
        <w:rPr>
          <w:spacing w:val="-1"/>
        </w:rPr>
        <w:t> </w:t>
      </w:r>
      <w:r>
        <w:rPr/>
        <w:t>Pache,</w:t>
      </w:r>
      <w:r>
        <w:rPr>
          <w:spacing w:val="-1"/>
        </w:rPr>
        <w:t> </w:t>
      </w:r>
      <w:r>
        <w:rPr/>
        <w:t>A.</w:t>
      </w:r>
      <w:r>
        <w:rPr>
          <w:spacing w:val="-2"/>
        </w:rPr>
        <w:t> </w:t>
      </w:r>
      <w:r>
        <w:rPr/>
        <w:t>C.,</w:t>
      </w:r>
      <w:r>
        <w:rPr>
          <w:spacing w:val="-1"/>
        </w:rPr>
        <w:t> </w:t>
      </w:r>
      <w:r>
        <w:rPr/>
        <w:t>&amp;</w:t>
      </w:r>
      <w:r>
        <w:rPr>
          <w:spacing w:val="-2"/>
        </w:rPr>
        <w:t> </w:t>
      </w:r>
      <w:r>
        <w:rPr/>
        <w:t>Sengul,</w:t>
      </w:r>
      <w:r>
        <w:rPr>
          <w:spacing w:val="-1"/>
        </w:rPr>
        <w:t> </w:t>
      </w:r>
      <w:r>
        <w:rPr/>
        <w:t>M.</w:t>
      </w:r>
      <w:r>
        <w:rPr>
          <w:spacing w:val="-1"/>
        </w:rPr>
        <w:t> </w:t>
      </w:r>
      <w:r>
        <w:rPr/>
        <w:t>(2022).</w:t>
      </w:r>
      <w:r>
        <w:rPr>
          <w:spacing w:val="-2"/>
        </w:rPr>
        <w:t> </w:t>
      </w:r>
      <w:r>
        <w:rPr/>
        <w:t>Beyond</w:t>
      </w:r>
      <w:r>
        <w:rPr>
          <w:spacing w:val="-1"/>
        </w:rPr>
        <w:t> </w:t>
      </w:r>
      <w:r>
        <w:rPr/>
        <w:t>shareholder</w:t>
      </w:r>
      <w:r>
        <w:rPr>
          <w:spacing w:val="-1"/>
        </w:rPr>
        <w:t> </w:t>
      </w:r>
      <w:r>
        <w:rPr>
          <w:spacing w:val="-2"/>
        </w:rPr>
        <w:t>value</w:t>
      </w:r>
    </w:p>
    <w:p>
      <w:pPr>
        <w:pStyle w:val="BodyText"/>
        <w:spacing w:after="0"/>
        <w:sectPr>
          <w:pgSz w:w="12240" w:h="15840"/>
          <w:pgMar w:header="0" w:footer="768" w:top="620" w:bottom="960" w:left="720" w:right="0"/>
        </w:sectPr>
      </w:pPr>
    </w:p>
    <w:p>
      <w:pPr>
        <w:spacing w:line="232" w:lineRule="auto" w:before="80"/>
        <w:ind w:left="708" w:right="1191" w:firstLine="0"/>
        <w:jc w:val="left"/>
        <w:rPr>
          <w:sz w:val="24"/>
        </w:rPr>
      </w:pPr>
      <w:r>
        <w:rPr>
          <w:sz w:val="24"/>
        </w:rPr>
        <w:t>maximization:</w:t>
      </w:r>
      <w:r>
        <w:rPr>
          <w:spacing w:val="-5"/>
          <w:sz w:val="24"/>
        </w:rPr>
        <w:t> </w:t>
      </w:r>
      <w:r>
        <w:rPr>
          <w:sz w:val="24"/>
        </w:rPr>
        <w:t>Accounting</w:t>
      </w:r>
      <w:r>
        <w:rPr>
          <w:spacing w:val="-5"/>
          <w:sz w:val="24"/>
        </w:rPr>
        <w:t> </w:t>
      </w:r>
      <w:r>
        <w:rPr>
          <w:sz w:val="24"/>
        </w:rPr>
        <w:t>for</w:t>
      </w:r>
      <w:r>
        <w:rPr>
          <w:spacing w:val="-5"/>
          <w:sz w:val="24"/>
        </w:rPr>
        <w:t> </w:t>
      </w:r>
      <w:r>
        <w:rPr>
          <w:sz w:val="24"/>
        </w:rPr>
        <w:t>financial/social</w:t>
      </w:r>
      <w:r>
        <w:rPr>
          <w:spacing w:val="-5"/>
          <w:sz w:val="24"/>
        </w:rPr>
        <w:t> </w:t>
      </w:r>
      <w:r>
        <w:rPr>
          <w:sz w:val="24"/>
        </w:rPr>
        <w:t>trade-offs</w:t>
      </w:r>
      <w:r>
        <w:rPr>
          <w:spacing w:val="-5"/>
          <w:sz w:val="24"/>
        </w:rPr>
        <w:t> </w:t>
      </w:r>
      <w:r>
        <w:rPr>
          <w:sz w:val="24"/>
        </w:rPr>
        <w:t>in</w:t>
      </w:r>
      <w:r>
        <w:rPr>
          <w:spacing w:val="-5"/>
          <w:sz w:val="24"/>
        </w:rPr>
        <w:t> </w:t>
      </w:r>
      <w:r>
        <w:rPr>
          <w:sz w:val="24"/>
        </w:rPr>
        <w:t>dual-purpose</w:t>
      </w:r>
      <w:r>
        <w:rPr>
          <w:spacing w:val="-5"/>
          <w:sz w:val="24"/>
        </w:rPr>
        <w:t> </w:t>
      </w:r>
      <w:r>
        <w:rPr>
          <w:sz w:val="24"/>
        </w:rPr>
        <w:t>companies.</w:t>
      </w:r>
      <w:r>
        <w:rPr>
          <w:spacing w:val="-5"/>
          <w:sz w:val="24"/>
        </w:rPr>
        <w:t> </w:t>
      </w:r>
      <w:r>
        <w:rPr>
          <w:i/>
          <w:sz w:val="24"/>
        </w:rPr>
        <w:t>Academy</w:t>
      </w:r>
      <w:r>
        <w:rPr>
          <w:i/>
          <w:spacing w:val="-5"/>
          <w:sz w:val="24"/>
        </w:rPr>
        <w:t> </w:t>
      </w:r>
      <w:r>
        <w:rPr>
          <w:i/>
          <w:sz w:val="24"/>
        </w:rPr>
        <w:t>of</w:t>
      </w:r>
      <w:r>
        <w:rPr>
          <w:i/>
          <w:sz w:val="24"/>
        </w:rPr>
        <w:t> Management Review, 47</w:t>
      </w:r>
      <w:r>
        <w:rPr>
          <w:sz w:val="24"/>
        </w:rPr>
        <w:t>(2), 237-258.</w:t>
      </w:r>
    </w:p>
    <w:p>
      <w:pPr>
        <w:pStyle w:val="BodyText"/>
        <w:spacing w:line="232" w:lineRule="auto" w:before="158"/>
        <w:ind w:left="723" w:right="1619"/>
      </w:pPr>
      <w:r>
        <w:rPr/>
        <w:t>Besharov, M. L., &amp; Smith, W. K. (2014). Multiple institutional logics in organizations: Explaining</w:t>
      </w:r>
      <w:r>
        <w:rPr>
          <w:spacing w:val="-4"/>
        </w:rPr>
        <w:t> </w:t>
      </w:r>
      <w:r>
        <w:rPr/>
        <w:t>their</w:t>
      </w:r>
      <w:r>
        <w:rPr>
          <w:spacing w:val="-4"/>
        </w:rPr>
        <w:t> </w:t>
      </w:r>
      <w:r>
        <w:rPr/>
        <w:t>varied</w:t>
      </w:r>
      <w:r>
        <w:rPr>
          <w:spacing w:val="-4"/>
        </w:rPr>
        <w:t> </w:t>
      </w:r>
      <w:r>
        <w:rPr/>
        <w:t>nature</w:t>
      </w:r>
      <w:r>
        <w:rPr>
          <w:spacing w:val="-4"/>
        </w:rPr>
        <w:t> </w:t>
      </w:r>
      <w:r>
        <w:rPr/>
        <w:t>and</w:t>
      </w:r>
      <w:r>
        <w:rPr>
          <w:spacing w:val="-4"/>
        </w:rPr>
        <w:t> </w:t>
      </w:r>
      <w:r>
        <w:rPr/>
        <w:t>implications.</w:t>
      </w:r>
      <w:r>
        <w:rPr>
          <w:spacing w:val="-4"/>
        </w:rPr>
        <w:t> </w:t>
      </w:r>
      <w:r>
        <w:rPr>
          <w:i/>
        </w:rPr>
        <w:t>Academy</w:t>
      </w:r>
      <w:r>
        <w:rPr>
          <w:i/>
          <w:spacing w:val="-4"/>
        </w:rPr>
        <w:t> </w:t>
      </w:r>
      <w:r>
        <w:rPr>
          <w:i/>
        </w:rPr>
        <w:t>of</w:t>
      </w:r>
      <w:r>
        <w:rPr>
          <w:i/>
          <w:spacing w:val="-4"/>
        </w:rPr>
        <w:t> </w:t>
      </w:r>
      <w:r>
        <w:rPr>
          <w:i/>
        </w:rPr>
        <w:t>Management</w:t>
      </w:r>
      <w:r>
        <w:rPr>
          <w:i/>
          <w:spacing w:val="-4"/>
        </w:rPr>
        <w:t> </w:t>
      </w:r>
      <w:r>
        <w:rPr>
          <w:i/>
        </w:rPr>
        <w:t>Review</w:t>
      </w:r>
      <w:r>
        <w:rPr/>
        <w:t>,</w:t>
      </w:r>
      <w:r>
        <w:rPr>
          <w:spacing w:val="-4"/>
        </w:rPr>
        <w:t> </w:t>
      </w:r>
      <w:r>
        <w:rPr>
          <w:i/>
        </w:rPr>
        <w:t>39</w:t>
      </w:r>
      <w:r>
        <w:rPr/>
        <w:t>(3),</w:t>
      </w:r>
      <w:r>
        <w:rPr>
          <w:spacing w:val="-4"/>
        </w:rPr>
        <w:t> </w:t>
      </w:r>
      <w:r>
        <w:rPr/>
        <w:t>364-</w:t>
      </w:r>
      <w:r>
        <w:rPr>
          <w:spacing w:val="-4"/>
        </w:rPr>
        <w:t>381.</w:t>
      </w:r>
    </w:p>
    <w:p>
      <w:pPr>
        <w:pStyle w:val="BodyText"/>
        <w:spacing w:line="232" w:lineRule="auto" w:before="157"/>
        <w:ind w:left="723" w:right="1638"/>
      </w:pPr>
      <w:r>
        <w:rPr/>
        <w:t>Castellas,</w:t>
      </w:r>
      <w:r>
        <w:rPr>
          <w:spacing w:val="-5"/>
        </w:rPr>
        <w:t> </w:t>
      </w:r>
      <w:r>
        <w:rPr/>
        <w:t>E.,</w:t>
      </w:r>
      <w:r>
        <w:rPr>
          <w:spacing w:val="-5"/>
        </w:rPr>
        <w:t> </w:t>
      </w:r>
      <w:r>
        <w:rPr/>
        <w:t>Ormiston,</w:t>
      </w:r>
      <w:r>
        <w:rPr>
          <w:spacing w:val="-5"/>
        </w:rPr>
        <w:t> </w:t>
      </w:r>
      <w:r>
        <w:rPr/>
        <w:t>J.,</w:t>
      </w:r>
      <w:r>
        <w:rPr>
          <w:spacing w:val="-5"/>
        </w:rPr>
        <w:t> </w:t>
      </w:r>
      <w:r>
        <w:rPr/>
        <w:t>&amp;</w:t>
      </w:r>
      <w:r>
        <w:rPr>
          <w:spacing w:val="-5"/>
        </w:rPr>
        <w:t> </w:t>
      </w:r>
      <w:r>
        <w:rPr/>
        <w:t>Findlay,</w:t>
      </w:r>
      <w:r>
        <w:rPr>
          <w:spacing w:val="-5"/>
        </w:rPr>
        <w:t> </w:t>
      </w:r>
      <w:r>
        <w:rPr/>
        <w:t>S.</w:t>
      </w:r>
      <w:r>
        <w:rPr>
          <w:spacing w:val="-5"/>
        </w:rPr>
        <w:t> </w:t>
      </w:r>
      <w:r>
        <w:rPr/>
        <w:t>(2018).</w:t>
      </w:r>
      <w:r>
        <w:rPr>
          <w:spacing w:val="-5"/>
        </w:rPr>
        <w:t> </w:t>
      </w:r>
      <w:r>
        <w:rPr/>
        <w:t>Financing</w:t>
      </w:r>
      <w:r>
        <w:rPr>
          <w:spacing w:val="-5"/>
        </w:rPr>
        <w:t> </w:t>
      </w:r>
      <w:r>
        <w:rPr/>
        <w:t>social</w:t>
      </w:r>
      <w:r>
        <w:rPr>
          <w:spacing w:val="-5"/>
        </w:rPr>
        <w:t> </w:t>
      </w:r>
      <w:r>
        <w:rPr/>
        <w:t>entrepreneurship:</w:t>
      </w:r>
      <w:r>
        <w:rPr>
          <w:spacing w:val="-5"/>
        </w:rPr>
        <w:t> </w:t>
      </w:r>
      <w:r>
        <w:rPr/>
        <w:t>The</w:t>
      </w:r>
      <w:r>
        <w:rPr>
          <w:spacing w:val="-5"/>
        </w:rPr>
        <w:t> </w:t>
      </w:r>
      <w:r>
        <w:rPr/>
        <w:t>role</w:t>
      </w:r>
      <w:r>
        <w:rPr>
          <w:spacing w:val="-5"/>
        </w:rPr>
        <w:t> </w:t>
      </w:r>
      <w:r>
        <w:rPr/>
        <w:t>of impact investment in shaping social enterprise in Australia. </w:t>
      </w:r>
      <w:r>
        <w:rPr>
          <w:i/>
        </w:rPr>
        <w:t>Social Enterprise Journal, 14</w:t>
      </w:r>
      <w:r>
        <w:rPr/>
        <w:t>(2), </w:t>
      </w:r>
      <w:r>
        <w:rPr>
          <w:spacing w:val="-2"/>
        </w:rPr>
        <w:t>130-155.</w:t>
      </w:r>
    </w:p>
    <w:p>
      <w:pPr>
        <w:pStyle w:val="BodyText"/>
        <w:spacing w:line="230" w:lineRule="auto" w:before="157"/>
        <w:ind w:left="708" w:right="1518" w:firstLine="15"/>
        <w:jc w:val="both"/>
      </w:pPr>
      <w:r>
        <w:rPr/>
        <w:t>Chan, C., Patel, P., &amp; Phan, P. (2020). Do</w:t>
      </w:r>
      <w:r>
        <w:rPr>
          <w:spacing w:val="-7"/>
        </w:rPr>
        <w:t> </w:t>
      </w:r>
      <w:r>
        <w:rPr/>
        <w:t>differences</w:t>
      </w:r>
      <w:r>
        <w:rPr>
          <w:spacing w:val="-7"/>
        </w:rPr>
        <w:t> </w:t>
      </w:r>
      <w:r>
        <w:rPr/>
        <w:t>among</w:t>
      </w:r>
      <w:r>
        <w:rPr>
          <w:spacing w:val="-7"/>
        </w:rPr>
        <w:t> </w:t>
      </w:r>
      <w:r>
        <w:rPr/>
        <w:t>accelerators</w:t>
      </w:r>
      <w:r>
        <w:rPr>
          <w:spacing w:val="-7"/>
        </w:rPr>
        <w:t> </w:t>
      </w:r>
      <w:r>
        <w:rPr/>
        <w:t>explain</w:t>
      </w:r>
      <w:r>
        <w:rPr>
          <w:spacing w:val="-7"/>
        </w:rPr>
        <w:t> </w:t>
      </w:r>
      <w:r>
        <w:rPr/>
        <w:t>differences</w:t>
      </w:r>
      <w:r>
        <w:rPr>
          <w:spacing w:val="-7"/>
        </w:rPr>
        <w:t> </w:t>
      </w:r>
      <w:r>
        <w:rPr/>
        <w:t>in the performance of member ventures?</w:t>
      </w:r>
      <w:r>
        <w:rPr>
          <w:spacing w:val="-3"/>
        </w:rPr>
        <w:t> </w:t>
      </w:r>
      <w:r>
        <w:rPr/>
        <w:t>Evidence</w:t>
      </w:r>
      <w:r>
        <w:rPr>
          <w:spacing w:val="-3"/>
        </w:rPr>
        <w:t> </w:t>
      </w:r>
      <w:r>
        <w:rPr/>
        <w:t>from</w:t>
      </w:r>
      <w:r>
        <w:rPr>
          <w:spacing w:val="-3"/>
        </w:rPr>
        <w:t> </w:t>
      </w:r>
      <w:r>
        <w:rPr/>
        <w:t>117</w:t>
      </w:r>
      <w:r>
        <w:rPr>
          <w:spacing w:val="-3"/>
        </w:rPr>
        <w:t> </w:t>
      </w:r>
      <w:r>
        <w:rPr/>
        <w:t>accelerators</w:t>
      </w:r>
      <w:r>
        <w:rPr>
          <w:spacing w:val="-3"/>
        </w:rPr>
        <w:t> </w:t>
      </w:r>
      <w:r>
        <w:rPr/>
        <w:t>in</w:t>
      </w:r>
      <w:r>
        <w:rPr>
          <w:spacing w:val="-3"/>
        </w:rPr>
        <w:t> </w:t>
      </w:r>
      <w:r>
        <w:rPr/>
        <w:t>22</w:t>
      </w:r>
      <w:r>
        <w:rPr>
          <w:spacing w:val="-3"/>
        </w:rPr>
        <w:t> </w:t>
      </w:r>
      <w:r>
        <w:rPr/>
        <w:t>countries.</w:t>
      </w:r>
      <w:r>
        <w:rPr>
          <w:spacing w:val="-3"/>
        </w:rPr>
        <w:t> </w:t>
      </w:r>
      <w:r>
        <w:rPr>
          <w:i/>
        </w:rPr>
        <w:t>Strategic</w:t>
      </w:r>
      <w:r>
        <w:rPr>
          <w:i/>
        </w:rPr>
        <w:t> Entrepreneurship Journal, 14</w:t>
      </w:r>
      <w:r>
        <w:rPr/>
        <w:t>(2), 224-239.</w:t>
      </w:r>
    </w:p>
    <w:p>
      <w:pPr>
        <w:pStyle w:val="BodyText"/>
        <w:spacing w:line="252" w:lineRule="auto" w:before="189"/>
        <w:ind w:left="723" w:right="1619"/>
        <w:rPr>
          <w:i/>
        </w:rPr>
      </w:pPr>
      <w:r>
        <w:rPr/>
        <w:t>Cohen,</w:t>
      </w:r>
      <w:r>
        <w:rPr>
          <w:spacing w:val="-9"/>
        </w:rPr>
        <w:t> </w:t>
      </w:r>
      <w:r>
        <w:rPr/>
        <w:t>S.</w:t>
      </w:r>
      <w:r>
        <w:rPr>
          <w:spacing w:val="-9"/>
        </w:rPr>
        <w:t> </w:t>
      </w:r>
      <w:r>
        <w:rPr/>
        <w:t>L.,</w:t>
      </w:r>
      <w:r>
        <w:rPr>
          <w:spacing w:val="-9"/>
        </w:rPr>
        <w:t> </w:t>
      </w:r>
      <w:r>
        <w:rPr/>
        <w:t>&amp;</w:t>
      </w:r>
      <w:r>
        <w:rPr>
          <w:spacing w:val="-9"/>
        </w:rPr>
        <w:t> </w:t>
      </w:r>
      <w:r>
        <w:rPr/>
        <w:t>Hochberg,</w:t>
      </w:r>
      <w:r>
        <w:rPr>
          <w:spacing w:val="-9"/>
        </w:rPr>
        <w:t> </w:t>
      </w:r>
      <w:r>
        <w:rPr/>
        <w:t>Y.</w:t>
      </w:r>
      <w:r>
        <w:rPr>
          <w:spacing w:val="-9"/>
        </w:rPr>
        <w:t> </w:t>
      </w:r>
      <w:r>
        <w:rPr/>
        <w:t>V.</w:t>
      </w:r>
      <w:r>
        <w:rPr>
          <w:spacing w:val="-9"/>
        </w:rPr>
        <w:t> </w:t>
      </w:r>
      <w:r>
        <w:rPr/>
        <w:t>(2014).</w:t>
      </w:r>
      <w:r>
        <w:rPr>
          <w:spacing w:val="-9"/>
        </w:rPr>
        <w:t> </w:t>
      </w:r>
      <w:r>
        <w:rPr/>
        <w:t>Accelerating</w:t>
      </w:r>
      <w:r>
        <w:rPr>
          <w:spacing w:val="-9"/>
        </w:rPr>
        <w:t> </w:t>
      </w:r>
      <w:r>
        <w:rPr/>
        <w:t>startups:</w:t>
      </w:r>
      <w:r>
        <w:rPr>
          <w:spacing w:val="-9"/>
        </w:rPr>
        <w:t> </w:t>
      </w:r>
      <w:r>
        <w:rPr/>
        <w:t>The</w:t>
      </w:r>
      <w:r>
        <w:rPr>
          <w:spacing w:val="-9"/>
        </w:rPr>
        <w:t> </w:t>
      </w:r>
      <w:r>
        <w:rPr/>
        <w:t>seed</w:t>
      </w:r>
      <w:r>
        <w:rPr>
          <w:spacing w:val="-9"/>
        </w:rPr>
        <w:t> </w:t>
      </w:r>
      <w:r>
        <w:rPr/>
        <w:t>accelerator phenomenon. </w:t>
      </w:r>
      <w:r>
        <w:rPr>
          <w:i/>
        </w:rPr>
        <w:t>SSRN Electronic Journal.</w:t>
      </w:r>
    </w:p>
    <w:p>
      <w:pPr>
        <w:pStyle w:val="BodyText"/>
        <w:spacing w:line="232" w:lineRule="auto" w:before="266"/>
        <w:ind w:left="723" w:right="1381"/>
      </w:pPr>
      <w:r>
        <w:rPr/>
        <w:t>Cohen,</w:t>
      </w:r>
      <w:r>
        <w:rPr>
          <w:spacing w:val="-3"/>
        </w:rPr>
        <w:t> </w:t>
      </w:r>
      <w:r>
        <w:rPr/>
        <w:t>S.,</w:t>
      </w:r>
      <w:r>
        <w:rPr>
          <w:spacing w:val="-3"/>
        </w:rPr>
        <w:t> </w:t>
      </w:r>
      <w:r>
        <w:rPr/>
        <w:t>Bingham,</w:t>
      </w:r>
      <w:r>
        <w:rPr>
          <w:spacing w:val="-3"/>
        </w:rPr>
        <w:t> </w:t>
      </w:r>
      <w:r>
        <w:rPr/>
        <w:t>C.,</w:t>
      </w:r>
      <w:r>
        <w:rPr>
          <w:spacing w:val="-3"/>
        </w:rPr>
        <w:t> </w:t>
      </w:r>
      <w:r>
        <w:rPr/>
        <w:t>&amp;</w:t>
      </w:r>
      <w:r>
        <w:rPr>
          <w:spacing w:val="-3"/>
        </w:rPr>
        <w:t> </w:t>
      </w:r>
      <w:r>
        <w:rPr/>
        <w:t>Hallen,</w:t>
      </w:r>
      <w:r>
        <w:rPr>
          <w:spacing w:val="-3"/>
        </w:rPr>
        <w:t> </w:t>
      </w:r>
      <w:r>
        <w:rPr/>
        <w:t>B.</w:t>
      </w:r>
      <w:r>
        <w:rPr>
          <w:spacing w:val="-3"/>
        </w:rPr>
        <w:t> </w:t>
      </w:r>
      <w:r>
        <w:rPr/>
        <w:t>(2019).</w:t>
      </w:r>
      <w:r>
        <w:rPr>
          <w:spacing w:val="-3"/>
        </w:rPr>
        <w:t> </w:t>
      </w:r>
      <w:r>
        <w:rPr/>
        <w:t>The</w:t>
      </w:r>
      <w:r>
        <w:rPr>
          <w:spacing w:val="-3"/>
        </w:rPr>
        <w:t> </w:t>
      </w:r>
      <w:r>
        <w:rPr/>
        <w:t>role</w:t>
      </w:r>
      <w:r>
        <w:rPr>
          <w:spacing w:val="-3"/>
        </w:rPr>
        <w:t> </w:t>
      </w:r>
      <w:r>
        <w:rPr/>
        <w:t>of</w:t>
      </w:r>
      <w:r>
        <w:rPr>
          <w:spacing w:val="-3"/>
        </w:rPr>
        <w:t> </w:t>
      </w:r>
      <w:r>
        <w:rPr/>
        <w:t>accelerator</w:t>
      </w:r>
      <w:r>
        <w:rPr>
          <w:spacing w:val="-3"/>
        </w:rPr>
        <w:t> </w:t>
      </w:r>
      <w:r>
        <w:rPr/>
        <w:t>designs</w:t>
      </w:r>
      <w:r>
        <w:rPr>
          <w:spacing w:val="-3"/>
        </w:rPr>
        <w:t> </w:t>
      </w:r>
      <w:r>
        <w:rPr/>
        <w:t>in</w:t>
      </w:r>
      <w:r>
        <w:rPr>
          <w:spacing w:val="-3"/>
        </w:rPr>
        <w:t> </w:t>
      </w:r>
      <w:r>
        <w:rPr/>
        <w:t>mitigating bounded rationality in new ventures. </w:t>
      </w:r>
      <w:r>
        <w:rPr>
          <w:i/>
        </w:rPr>
        <w:t>Administrative Science Quarterly</w:t>
      </w:r>
      <w:r>
        <w:rPr/>
        <w:t>, </w:t>
      </w:r>
      <w:r>
        <w:rPr>
          <w:i/>
        </w:rPr>
        <w:t>64</w:t>
      </w:r>
      <w:r>
        <w:rPr/>
        <w:t>(4), 810-854.</w:t>
      </w:r>
    </w:p>
    <w:p>
      <w:pPr>
        <w:spacing w:line="235" w:lineRule="auto" w:before="160"/>
        <w:ind w:left="708" w:right="1191" w:firstLine="15"/>
        <w:jc w:val="left"/>
        <w:rPr>
          <w:sz w:val="24"/>
        </w:rPr>
      </w:pPr>
      <w:r>
        <w:rPr>
          <w:sz w:val="24"/>
        </w:rPr>
        <w:t>Cornforth,</w:t>
      </w:r>
      <w:r>
        <w:rPr>
          <w:spacing w:val="-4"/>
          <w:sz w:val="24"/>
        </w:rPr>
        <w:t> </w:t>
      </w:r>
      <w:r>
        <w:rPr>
          <w:sz w:val="24"/>
        </w:rPr>
        <w:t>C.</w:t>
      </w:r>
      <w:r>
        <w:rPr>
          <w:spacing w:val="-4"/>
          <w:sz w:val="24"/>
        </w:rPr>
        <w:t> </w:t>
      </w:r>
      <w:r>
        <w:rPr>
          <w:sz w:val="24"/>
        </w:rPr>
        <w:t>(2014).</w:t>
      </w:r>
      <w:r>
        <w:rPr>
          <w:spacing w:val="-4"/>
          <w:sz w:val="24"/>
        </w:rPr>
        <w:t> </w:t>
      </w:r>
      <w:r>
        <w:rPr>
          <w:sz w:val="24"/>
        </w:rPr>
        <w:t>Understanding</w:t>
      </w:r>
      <w:r>
        <w:rPr>
          <w:spacing w:val="-4"/>
          <w:sz w:val="24"/>
        </w:rPr>
        <w:t> </w:t>
      </w:r>
      <w:r>
        <w:rPr>
          <w:sz w:val="24"/>
        </w:rPr>
        <w:t>and</w:t>
      </w:r>
      <w:r>
        <w:rPr>
          <w:spacing w:val="-4"/>
          <w:sz w:val="24"/>
        </w:rPr>
        <w:t> </w:t>
      </w:r>
      <w:r>
        <w:rPr>
          <w:sz w:val="24"/>
        </w:rPr>
        <w:t>combating</w:t>
      </w:r>
      <w:r>
        <w:rPr>
          <w:spacing w:val="-4"/>
          <w:sz w:val="24"/>
        </w:rPr>
        <w:t> </w:t>
      </w:r>
      <w:r>
        <w:rPr>
          <w:sz w:val="24"/>
        </w:rPr>
        <w:t>mission</w:t>
      </w:r>
      <w:r>
        <w:rPr>
          <w:spacing w:val="-4"/>
          <w:sz w:val="24"/>
        </w:rPr>
        <w:t> </w:t>
      </w:r>
      <w:r>
        <w:rPr>
          <w:sz w:val="24"/>
        </w:rPr>
        <w:t>drift</w:t>
      </w:r>
      <w:r>
        <w:rPr>
          <w:spacing w:val="-4"/>
          <w:sz w:val="24"/>
        </w:rPr>
        <w:t> </w:t>
      </w:r>
      <w:r>
        <w:rPr>
          <w:sz w:val="24"/>
        </w:rPr>
        <w:t>in</w:t>
      </w:r>
      <w:r>
        <w:rPr>
          <w:spacing w:val="-4"/>
          <w:sz w:val="24"/>
        </w:rPr>
        <w:t> </w:t>
      </w:r>
      <w:r>
        <w:rPr>
          <w:sz w:val="24"/>
        </w:rPr>
        <w:t>social</w:t>
      </w:r>
      <w:r>
        <w:rPr>
          <w:spacing w:val="-4"/>
          <w:sz w:val="24"/>
        </w:rPr>
        <w:t> </w:t>
      </w:r>
      <w:r>
        <w:rPr>
          <w:sz w:val="24"/>
        </w:rPr>
        <w:t>enterprises.</w:t>
      </w:r>
      <w:r>
        <w:rPr>
          <w:spacing w:val="-4"/>
          <w:sz w:val="24"/>
        </w:rPr>
        <w:t> </w:t>
      </w:r>
      <w:r>
        <w:rPr>
          <w:i/>
          <w:sz w:val="24"/>
        </w:rPr>
        <w:t>Social</w:t>
      </w:r>
      <w:r>
        <w:rPr>
          <w:i/>
          <w:sz w:val="24"/>
        </w:rPr>
        <w:t> Enterprise Journal, 10</w:t>
      </w:r>
      <w:r>
        <w:rPr>
          <w:sz w:val="24"/>
        </w:rPr>
        <w:t>(1), 3-20.</w:t>
      </w:r>
    </w:p>
    <w:p>
      <w:pPr>
        <w:pStyle w:val="BodyText"/>
        <w:spacing w:before="24"/>
      </w:pPr>
    </w:p>
    <w:p>
      <w:pPr>
        <w:pStyle w:val="BodyText"/>
        <w:spacing w:line="252" w:lineRule="auto"/>
        <w:ind w:left="708" w:right="1381" w:firstLine="15"/>
      </w:pPr>
      <w:r>
        <w:rPr/>
        <w:t>Crook, T. R., Todd, S. Y., Combs, J. G., Woehr, D. J., &amp; Ketchen, D. J. (2011). Does human capital</w:t>
      </w:r>
      <w:r>
        <w:rPr>
          <w:spacing w:val="-4"/>
        </w:rPr>
        <w:t> </w:t>
      </w:r>
      <w:r>
        <w:rPr/>
        <w:t>matter?</w:t>
      </w:r>
      <w:r>
        <w:rPr>
          <w:spacing w:val="-4"/>
        </w:rPr>
        <w:t> </w:t>
      </w:r>
      <w:r>
        <w:rPr/>
        <w:t>A</w:t>
      </w:r>
      <w:r>
        <w:rPr>
          <w:spacing w:val="-4"/>
        </w:rPr>
        <w:t> </w:t>
      </w:r>
      <w:r>
        <w:rPr/>
        <w:t>meta-analysis</w:t>
      </w:r>
      <w:r>
        <w:rPr>
          <w:spacing w:val="-4"/>
        </w:rPr>
        <w:t> </w:t>
      </w:r>
      <w:r>
        <w:rPr/>
        <w:t>of</w:t>
      </w:r>
      <w:r>
        <w:rPr>
          <w:spacing w:val="-4"/>
        </w:rPr>
        <w:t> </w:t>
      </w:r>
      <w:r>
        <w:rPr/>
        <w:t>the</w:t>
      </w:r>
      <w:r>
        <w:rPr>
          <w:spacing w:val="-4"/>
        </w:rPr>
        <w:t> </w:t>
      </w:r>
      <w:r>
        <w:rPr/>
        <w:t>relationship</w:t>
      </w:r>
      <w:r>
        <w:rPr>
          <w:spacing w:val="-4"/>
        </w:rPr>
        <w:t> </w:t>
      </w:r>
      <w:r>
        <w:rPr/>
        <w:t>between</w:t>
      </w:r>
      <w:r>
        <w:rPr>
          <w:spacing w:val="-4"/>
        </w:rPr>
        <w:t> </w:t>
      </w:r>
      <w:r>
        <w:rPr/>
        <w:t>human</w:t>
      </w:r>
      <w:r>
        <w:rPr>
          <w:spacing w:val="-4"/>
        </w:rPr>
        <w:t> </w:t>
      </w:r>
      <w:r>
        <w:rPr/>
        <w:t>capital</w:t>
      </w:r>
      <w:r>
        <w:rPr>
          <w:spacing w:val="-4"/>
        </w:rPr>
        <w:t> </w:t>
      </w:r>
      <w:r>
        <w:rPr/>
        <w:t>and</w:t>
      </w:r>
      <w:r>
        <w:rPr>
          <w:spacing w:val="-4"/>
        </w:rPr>
        <w:t> </w:t>
      </w:r>
      <w:r>
        <w:rPr/>
        <w:t>firm</w:t>
      </w:r>
      <w:r>
        <w:rPr>
          <w:spacing w:val="-4"/>
        </w:rPr>
        <w:t> </w:t>
      </w:r>
      <w:r>
        <w:rPr/>
        <w:t>performance. </w:t>
      </w:r>
      <w:r>
        <w:rPr>
          <w:i/>
        </w:rPr>
        <w:t>Journal of Applied Psychology, 96</w:t>
      </w:r>
      <w:r>
        <w:rPr/>
        <w:t>(3), 443–456.</w:t>
      </w:r>
    </w:p>
    <w:p>
      <w:pPr>
        <w:pStyle w:val="BodyText"/>
        <w:spacing w:before="8"/>
      </w:pPr>
    </w:p>
    <w:p>
      <w:pPr>
        <w:pStyle w:val="BodyText"/>
        <w:spacing w:line="252" w:lineRule="auto"/>
        <w:ind w:left="723" w:right="1619"/>
      </w:pPr>
      <w:r>
        <w:rPr/>
        <w:t>Grimes,</w:t>
      </w:r>
      <w:r>
        <w:rPr>
          <w:spacing w:val="-8"/>
        </w:rPr>
        <w:t> </w:t>
      </w:r>
      <w:r>
        <w:rPr/>
        <w:t>M.</w:t>
      </w:r>
      <w:r>
        <w:rPr>
          <w:spacing w:val="-8"/>
        </w:rPr>
        <w:t> </w:t>
      </w:r>
      <w:r>
        <w:rPr/>
        <w:t>G.,</w:t>
      </w:r>
      <w:r>
        <w:rPr>
          <w:spacing w:val="-8"/>
        </w:rPr>
        <w:t> </w:t>
      </w:r>
      <w:r>
        <w:rPr/>
        <w:t>Williams,</w:t>
      </w:r>
      <w:r>
        <w:rPr>
          <w:spacing w:val="-8"/>
        </w:rPr>
        <w:t> </w:t>
      </w:r>
      <w:r>
        <w:rPr/>
        <w:t>T.</w:t>
      </w:r>
      <w:r>
        <w:rPr>
          <w:spacing w:val="-8"/>
        </w:rPr>
        <w:t> </w:t>
      </w:r>
      <w:r>
        <w:rPr/>
        <w:t>A.,</w:t>
      </w:r>
      <w:r>
        <w:rPr>
          <w:spacing w:val="-8"/>
        </w:rPr>
        <w:t> </w:t>
      </w:r>
      <w:r>
        <w:rPr/>
        <w:t>&amp;</w:t>
      </w:r>
      <w:r>
        <w:rPr>
          <w:spacing w:val="-8"/>
        </w:rPr>
        <w:t> </w:t>
      </w:r>
      <w:r>
        <w:rPr/>
        <w:t>Zhao,</w:t>
      </w:r>
      <w:r>
        <w:rPr>
          <w:spacing w:val="-8"/>
        </w:rPr>
        <w:t> </w:t>
      </w:r>
      <w:r>
        <w:rPr/>
        <w:t>E.</w:t>
      </w:r>
      <w:r>
        <w:rPr>
          <w:spacing w:val="-8"/>
        </w:rPr>
        <w:t> </w:t>
      </w:r>
      <w:r>
        <w:rPr/>
        <w:t>Y.</w:t>
      </w:r>
      <w:r>
        <w:rPr>
          <w:spacing w:val="-8"/>
        </w:rPr>
        <w:t> </w:t>
      </w:r>
      <w:r>
        <w:rPr/>
        <w:t>(2019).</w:t>
      </w:r>
      <w:r>
        <w:rPr>
          <w:spacing w:val="-8"/>
        </w:rPr>
        <w:t> </w:t>
      </w:r>
      <w:r>
        <w:rPr/>
        <w:t>Anchors</w:t>
      </w:r>
      <w:r>
        <w:rPr>
          <w:spacing w:val="-8"/>
        </w:rPr>
        <w:t> </w:t>
      </w:r>
      <w:r>
        <w:rPr/>
        <w:t>aweigh:</w:t>
      </w:r>
      <w:r>
        <w:rPr>
          <w:spacing w:val="-8"/>
        </w:rPr>
        <w:t> </w:t>
      </w:r>
      <w:r>
        <w:rPr/>
        <w:t>The</w:t>
      </w:r>
      <w:r>
        <w:rPr>
          <w:spacing w:val="-8"/>
        </w:rPr>
        <w:t> </w:t>
      </w:r>
      <w:r>
        <w:rPr/>
        <w:t>sources,</w:t>
      </w:r>
      <w:r>
        <w:rPr>
          <w:spacing w:val="-8"/>
        </w:rPr>
        <w:t> </w:t>
      </w:r>
      <w:r>
        <w:rPr/>
        <w:t>variety, and challenges of mission drift. </w:t>
      </w:r>
      <w:r>
        <w:rPr>
          <w:i/>
        </w:rPr>
        <w:t>Academy of Management Review</w:t>
      </w:r>
      <w:r>
        <w:rPr/>
        <w:t>, </w:t>
      </w:r>
      <w:r>
        <w:rPr>
          <w:i/>
        </w:rPr>
        <w:t>44</w:t>
      </w:r>
      <w:r>
        <w:rPr/>
        <w:t>(4), 819-845.</w:t>
      </w:r>
    </w:p>
    <w:p>
      <w:pPr>
        <w:pStyle w:val="BodyText"/>
        <w:spacing w:before="8"/>
      </w:pPr>
    </w:p>
    <w:p>
      <w:pPr>
        <w:pStyle w:val="BodyText"/>
        <w:ind w:left="723"/>
      </w:pPr>
      <w:r>
        <w:rPr/>
        <w:t>Hallen, B. L., Cohen, S. L., &amp; Bingham, C. B. (2020). Do accelerators work? If so, </w:t>
      </w:r>
      <w:r>
        <w:rPr>
          <w:spacing w:val="-4"/>
        </w:rPr>
        <w:t>how?</w:t>
      </w:r>
    </w:p>
    <w:p>
      <w:pPr>
        <w:spacing w:before="14"/>
        <w:ind w:left="738" w:right="0" w:firstLine="0"/>
        <w:jc w:val="left"/>
        <w:rPr>
          <w:sz w:val="24"/>
        </w:rPr>
      </w:pPr>
      <w:r>
        <w:rPr>
          <w:i/>
          <w:sz w:val="24"/>
        </w:rPr>
        <w:t>Organization</w:t>
      </w:r>
      <w:r>
        <w:rPr>
          <w:i/>
          <w:spacing w:val="-3"/>
          <w:sz w:val="24"/>
        </w:rPr>
        <w:t> </w:t>
      </w:r>
      <w:r>
        <w:rPr>
          <w:i/>
          <w:sz w:val="24"/>
        </w:rPr>
        <w:t>Science,</w:t>
      </w:r>
      <w:r>
        <w:rPr>
          <w:i/>
          <w:spacing w:val="-3"/>
          <w:sz w:val="24"/>
        </w:rPr>
        <w:t> </w:t>
      </w:r>
      <w:r>
        <w:rPr>
          <w:i/>
          <w:sz w:val="24"/>
        </w:rPr>
        <w:t>31</w:t>
      </w:r>
      <w:r>
        <w:rPr>
          <w:sz w:val="24"/>
        </w:rPr>
        <w:t>(2),</w:t>
      </w:r>
      <w:r>
        <w:rPr>
          <w:spacing w:val="-3"/>
          <w:sz w:val="24"/>
        </w:rPr>
        <w:t> </w:t>
      </w:r>
      <w:r>
        <w:rPr>
          <w:sz w:val="24"/>
        </w:rPr>
        <w:t>378–</w:t>
      </w:r>
      <w:r>
        <w:rPr>
          <w:spacing w:val="-4"/>
          <w:sz w:val="24"/>
        </w:rPr>
        <w:t>414.</w:t>
      </w:r>
    </w:p>
    <w:p>
      <w:pPr>
        <w:pStyle w:val="BodyText"/>
        <w:spacing w:before="26"/>
      </w:pPr>
    </w:p>
    <w:p>
      <w:pPr>
        <w:pStyle w:val="BodyText"/>
        <w:spacing w:line="249" w:lineRule="auto"/>
        <w:ind w:left="708" w:right="1741" w:firstLine="15"/>
      </w:pPr>
      <w:r>
        <w:rPr/>
        <w:t>Kher,</w:t>
      </w:r>
      <w:r>
        <w:rPr>
          <w:spacing w:val="-6"/>
        </w:rPr>
        <w:t> </w:t>
      </w:r>
      <w:r>
        <w:rPr/>
        <w:t>R.,</w:t>
      </w:r>
      <w:r>
        <w:rPr>
          <w:spacing w:val="-6"/>
        </w:rPr>
        <w:t> </w:t>
      </w:r>
      <w:r>
        <w:rPr/>
        <w:t>Yang,</w:t>
      </w:r>
      <w:r>
        <w:rPr>
          <w:spacing w:val="-6"/>
        </w:rPr>
        <w:t> </w:t>
      </w:r>
      <w:r>
        <w:rPr/>
        <w:t>S.,</w:t>
      </w:r>
      <w:r>
        <w:rPr>
          <w:spacing w:val="-6"/>
        </w:rPr>
        <w:t> </w:t>
      </w:r>
      <w:r>
        <w:rPr/>
        <w:t>&amp;</w:t>
      </w:r>
      <w:r>
        <w:rPr>
          <w:spacing w:val="-6"/>
        </w:rPr>
        <w:t> </w:t>
      </w:r>
      <w:r>
        <w:rPr/>
        <w:t>Newbert,</w:t>
      </w:r>
      <w:r>
        <w:rPr>
          <w:spacing w:val="-6"/>
        </w:rPr>
        <w:t> </w:t>
      </w:r>
      <w:r>
        <w:rPr/>
        <w:t>S.</w:t>
      </w:r>
      <w:r>
        <w:rPr>
          <w:spacing w:val="-6"/>
        </w:rPr>
        <w:t> </w:t>
      </w:r>
      <w:r>
        <w:rPr/>
        <w:t>(2022).</w:t>
      </w:r>
      <w:r>
        <w:rPr>
          <w:spacing w:val="-6"/>
        </w:rPr>
        <w:t> </w:t>
      </w:r>
      <w:r>
        <w:rPr/>
        <w:t>Accelerating</w:t>
      </w:r>
      <w:r>
        <w:rPr>
          <w:spacing w:val="-6"/>
        </w:rPr>
        <w:t> </w:t>
      </w:r>
      <w:r>
        <w:rPr/>
        <w:t>emergence:</w:t>
      </w:r>
      <w:r>
        <w:rPr>
          <w:spacing w:val="-6"/>
        </w:rPr>
        <w:t> </w:t>
      </w:r>
      <w:r>
        <w:rPr/>
        <w:t>the</w:t>
      </w:r>
      <w:r>
        <w:rPr>
          <w:spacing w:val="-6"/>
        </w:rPr>
        <w:t> </w:t>
      </w:r>
      <w:r>
        <w:rPr/>
        <w:t>causal</w:t>
      </w:r>
      <w:r>
        <w:rPr>
          <w:spacing w:val="-6"/>
        </w:rPr>
        <w:t> </w:t>
      </w:r>
      <w:r>
        <w:rPr/>
        <w:t>(but</w:t>
      </w:r>
      <w:r>
        <w:rPr>
          <w:spacing w:val="-6"/>
        </w:rPr>
        <w:t> </w:t>
      </w:r>
      <w:r>
        <w:rPr/>
        <w:t>contextual) effect of social impact accelerators on nascent for-profit social ventures. </w:t>
      </w:r>
      <w:r>
        <w:rPr>
          <w:i/>
        </w:rPr>
        <w:t>Small Business</w:t>
      </w:r>
      <w:r>
        <w:rPr>
          <w:i/>
        </w:rPr>
        <w:t> </w:t>
      </w:r>
      <w:r>
        <w:rPr>
          <w:i/>
          <w:spacing w:val="-2"/>
        </w:rPr>
        <w:t>Economics</w:t>
      </w:r>
      <w:r>
        <w:rPr>
          <w:spacing w:val="-2"/>
        </w:rPr>
        <w:t>,1-25.</w:t>
      </w:r>
    </w:p>
    <w:p>
      <w:pPr>
        <w:pStyle w:val="BodyText"/>
        <w:spacing w:before="11"/>
      </w:pPr>
    </w:p>
    <w:p>
      <w:pPr>
        <w:pStyle w:val="BodyText"/>
        <w:spacing w:line="252" w:lineRule="auto"/>
        <w:ind w:left="723" w:right="1487" w:firstLine="15"/>
      </w:pPr>
      <w:r>
        <w:rPr/>
        <w:t>Sahasranamam, S., Lall, S., Nicolopoulou, K., &amp; Shaw, E. (2023). Founding team entrepreneurial</w:t>
      </w:r>
      <w:r>
        <w:rPr>
          <w:spacing w:val="-5"/>
        </w:rPr>
        <w:t> </w:t>
      </w:r>
      <w:r>
        <w:rPr/>
        <w:t>experience,</w:t>
      </w:r>
      <w:r>
        <w:rPr>
          <w:spacing w:val="-5"/>
        </w:rPr>
        <w:t> </w:t>
      </w:r>
      <w:r>
        <w:rPr/>
        <w:t>external</w:t>
      </w:r>
      <w:r>
        <w:rPr>
          <w:spacing w:val="-5"/>
        </w:rPr>
        <w:t> </w:t>
      </w:r>
      <w:r>
        <w:rPr/>
        <w:t>financing</w:t>
      </w:r>
      <w:r>
        <w:rPr>
          <w:spacing w:val="-5"/>
        </w:rPr>
        <w:t> </w:t>
      </w:r>
      <w:r>
        <w:rPr/>
        <w:t>and</w:t>
      </w:r>
      <w:r>
        <w:rPr>
          <w:spacing w:val="-5"/>
        </w:rPr>
        <w:t> </w:t>
      </w:r>
      <w:r>
        <w:rPr/>
        <w:t>social</w:t>
      </w:r>
      <w:r>
        <w:rPr>
          <w:spacing w:val="-5"/>
        </w:rPr>
        <w:t> </w:t>
      </w:r>
      <w:r>
        <w:rPr/>
        <w:t>enterprise</w:t>
      </w:r>
      <w:r>
        <w:rPr>
          <w:spacing w:val="-5"/>
        </w:rPr>
        <w:t> </w:t>
      </w:r>
      <w:r>
        <w:rPr/>
        <w:t>performance.</w:t>
      </w:r>
      <w:r>
        <w:rPr>
          <w:spacing w:val="-5"/>
        </w:rPr>
        <w:t> </w:t>
      </w:r>
      <w:r>
        <w:rPr>
          <w:i/>
        </w:rPr>
        <w:t>British</w:t>
      </w:r>
      <w:r>
        <w:rPr>
          <w:i/>
          <w:spacing w:val="-5"/>
        </w:rPr>
        <w:t> </w:t>
      </w:r>
      <w:r>
        <w:rPr>
          <w:i/>
        </w:rPr>
        <w:t>Journal</w:t>
      </w:r>
      <w:r>
        <w:rPr>
          <w:i/>
        </w:rPr>
        <w:t> of Management</w:t>
      </w:r>
      <w:r>
        <w:rPr/>
        <w:t>.</w:t>
      </w:r>
    </w:p>
    <w:p>
      <w:pPr>
        <w:pStyle w:val="BodyText"/>
        <w:spacing w:before="8"/>
      </w:pPr>
    </w:p>
    <w:p>
      <w:pPr>
        <w:spacing w:line="252" w:lineRule="auto" w:before="0"/>
        <w:ind w:left="738" w:right="1191" w:firstLine="0"/>
        <w:jc w:val="left"/>
        <w:rPr>
          <w:sz w:val="24"/>
        </w:rPr>
      </w:pPr>
      <w:r>
        <w:rPr>
          <w:sz w:val="24"/>
        </w:rPr>
        <w:t>Smith,</w:t>
      </w:r>
      <w:r>
        <w:rPr>
          <w:spacing w:val="-6"/>
          <w:sz w:val="24"/>
        </w:rPr>
        <w:t> </w:t>
      </w:r>
      <w:r>
        <w:rPr>
          <w:sz w:val="24"/>
        </w:rPr>
        <w:t>W.</w:t>
      </w:r>
      <w:r>
        <w:rPr>
          <w:spacing w:val="-6"/>
          <w:sz w:val="24"/>
        </w:rPr>
        <w:t> </w:t>
      </w:r>
      <w:r>
        <w:rPr>
          <w:sz w:val="24"/>
        </w:rPr>
        <w:t>K.,</w:t>
      </w:r>
      <w:r>
        <w:rPr>
          <w:spacing w:val="-6"/>
          <w:sz w:val="24"/>
        </w:rPr>
        <w:t> </w:t>
      </w:r>
      <w:r>
        <w:rPr>
          <w:sz w:val="24"/>
        </w:rPr>
        <w:t>&amp;</w:t>
      </w:r>
      <w:r>
        <w:rPr>
          <w:spacing w:val="-6"/>
          <w:sz w:val="24"/>
        </w:rPr>
        <w:t> </w:t>
      </w:r>
      <w:r>
        <w:rPr>
          <w:sz w:val="24"/>
        </w:rPr>
        <w:t>Besharov,</w:t>
      </w:r>
      <w:r>
        <w:rPr>
          <w:spacing w:val="-6"/>
          <w:sz w:val="24"/>
        </w:rPr>
        <w:t> </w:t>
      </w:r>
      <w:r>
        <w:rPr>
          <w:sz w:val="24"/>
        </w:rPr>
        <w:t>M.</w:t>
      </w:r>
      <w:r>
        <w:rPr>
          <w:spacing w:val="-6"/>
          <w:sz w:val="24"/>
        </w:rPr>
        <w:t> </w:t>
      </w:r>
      <w:r>
        <w:rPr>
          <w:sz w:val="24"/>
        </w:rPr>
        <w:t>L.</w:t>
      </w:r>
      <w:r>
        <w:rPr>
          <w:spacing w:val="-6"/>
          <w:sz w:val="24"/>
        </w:rPr>
        <w:t> </w:t>
      </w:r>
      <w:r>
        <w:rPr>
          <w:sz w:val="24"/>
        </w:rPr>
        <w:t>(2019).</w:t>
      </w:r>
      <w:r>
        <w:rPr>
          <w:spacing w:val="-6"/>
          <w:sz w:val="24"/>
        </w:rPr>
        <w:t> </w:t>
      </w:r>
      <w:r>
        <w:rPr>
          <w:sz w:val="24"/>
        </w:rPr>
        <w:t>Bowing</w:t>
      </w:r>
      <w:r>
        <w:rPr>
          <w:spacing w:val="-6"/>
          <w:sz w:val="24"/>
        </w:rPr>
        <w:t> </w:t>
      </w:r>
      <w:r>
        <w:rPr>
          <w:sz w:val="24"/>
        </w:rPr>
        <w:t>before</w:t>
      </w:r>
      <w:r>
        <w:rPr>
          <w:spacing w:val="-6"/>
          <w:sz w:val="24"/>
        </w:rPr>
        <w:t> </w:t>
      </w:r>
      <w:r>
        <w:rPr>
          <w:sz w:val="24"/>
        </w:rPr>
        <w:t>dual</w:t>
      </w:r>
      <w:r>
        <w:rPr>
          <w:spacing w:val="-6"/>
          <w:sz w:val="24"/>
        </w:rPr>
        <w:t> </w:t>
      </w:r>
      <w:r>
        <w:rPr>
          <w:sz w:val="24"/>
        </w:rPr>
        <w:t>gods:</w:t>
      </w:r>
      <w:r>
        <w:rPr>
          <w:spacing w:val="-6"/>
          <w:sz w:val="24"/>
        </w:rPr>
        <w:t> </w:t>
      </w:r>
      <w:r>
        <w:rPr>
          <w:sz w:val="24"/>
        </w:rPr>
        <w:t>How</w:t>
      </w:r>
      <w:r>
        <w:rPr>
          <w:spacing w:val="-6"/>
          <w:sz w:val="24"/>
        </w:rPr>
        <w:t> </w:t>
      </w:r>
      <w:r>
        <w:rPr>
          <w:sz w:val="24"/>
        </w:rPr>
        <w:t>structured</w:t>
      </w:r>
      <w:r>
        <w:rPr>
          <w:spacing w:val="-6"/>
          <w:sz w:val="24"/>
        </w:rPr>
        <w:t> </w:t>
      </w:r>
      <w:r>
        <w:rPr>
          <w:sz w:val="24"/>
        </w:rPr>
        <w:t>flexibility sustains organizational hybridity. </w:t>
      </w:r>
      <w:r>
        <w:rPr>
          <w:i/>
          <w:sz w:val="24"/>
        </w:rPr>
        <w:t>Administrative Science Quarterly, 64</w:t>
      </w:r>
      <w:r>
        <w:rPr>
          <w:sz w:val="24"/>
        </w:rPr>
        <w:t>(1), 1-44.</w:t>
      </w:r>
    </w:p>
    <w:p>
      <w:pPr>
        <w:pStyle w:val="BodyText"/>
        <w:spacing w:before="12"/>
      </w:pPr>
    </w:p>
    <w:p>
      <w:pPr>
        <w:spacing w:line="252" w:lineRule="auto" w:before="1"/>
        <w:ind w:left="723" w:right="1619" w:firstLine="0"/>
        <w:jc w:val="left"/>
        <w:rPr>
          <w:sz w:val="24"/>
        </w:rPr>
      </w:pPr>
      <w:r>
        <w:rPr>
          <w:sz w:val="24"/>
        </w:rPr>
        <w:t>Thornton,</w:t>
      </w:r>
      <w:r>
        <w:rPr>
          <w:spacing w:val="-8"/>
          <w:sz w:val="24"/>
        </w:rPr>
        <w:t> </w:t>
      </w:r>
      <w:r>
        <w:rPr>
          <w:sz w:val="24"/>
        </w:rPr>
        <w:t>P.</w:t>
      </w:r>
      <w:r>
        <w:rPr>
          <w:spacing w:val="-8"/>
          <w:sz w:val="24"/>
        </w:rPr>
        <w:t> </w:t>
      </w:r>
      <w:r>
        <w:rPr>
          <w:sz w:val="24"/>
        </w:rPr>
        <w:t>H.,</w:t>
      </w:r>
      <w:r>
        <w:rPr>
          <w:spacing w:val="-8"/>
          <w:sz w:val="24"/>
        </w:rPr>
        <w:t> </w:t>
      </w:r>
      <w:r>
        <w:rPr>
          <w:sz w:val="24"/>
        </w:rPr>
        <w:t>Ocasio,</w:t>
      </w:r>
      <w:r>
        <w:rPr>
          <w:spacing w:val="-8"/>
          <w:sz w:val="24"/>
        </w:rPr>
        <w:t> </w:t>
      </w:r>
      <w:r>
        <w:rPr>
          <w:sz w:val="24"/>
        </w:rPr>
        <w:t>W.,</w:t>
      </w:r>
      <w:r>
        <w:rPr>
          <w:spacing w:val="-8"/>
          <w:sz w:val="24"/>
        </w:rPr>
        <w:t> </w:t>
      </w:r>
      <w:r>
        <w:rPr>
          <w:sz w:val="24"/>
        </w:rPr>
        <w:t>&amp;</w:t>
      </w:r>
      <w:r>
        <w:rPr>
          <w:spacing w:val="-8"/>
          <w:sz w:val="24"/>
        </w:rPr>
        <w:t> </w:t>
      </w:r>
      <w:r>
        <w:rPr>
          <w:sz w:val="24"/>
        </w:rPr>
        <w:t>Lounsbury,</w:t>
      </w:r>
      <w:r>
        <w:rPr>
          <w:spacing w:val="-8"/>
          <w:sz w:val="24"/>
        </w:rPr>
        <w:t> </w:t>
      </w:r>
      <w:r>
        <w:rPr>
          <w:sz w:val="24"/>
        </w:rPr>
        <w:t>M.</w:t>
      </w:r>
      <w:r>
        <w:rPr>
          <w:spacing w:val="-8"/>
          <w:sz w:val="24"/>
        </w:rPr>
        <w:t> </w:t>
      </w:r>
      <w:r>
        <w:rPr>
          <w:sz w:val="24"/>
        </w:rPr>
        <w:t>(2012).</w:t>
      </w:r>
      <w:r>
        <w:rPr>
          <w:spacing w:val="-8"/>
          <w:sz w:val="24"/>
        </w:rPr>
        <w:t> </w:t>
      </w:r>
      <w:r>
        <w:rPr>
          <w:i/>
          <w:sz w:val="24"/>
        </w:rPr>
        <w:t>The</w:t>
      </w:r>
      <w:r>
        <w:rPr>
          <w:i/>
          <w:spacing w:val="-8"/>
          <w:sz w:val="24"/>
        </w:rPr>
        <w:t> </w:t>
      </w:r>
      <w:r>
        <w:rPr>
          <w:i/>
          <w:sz w:val="24"/>
        </w:rPr>
        <w:t>institutional</w:t>
      </w:r>
      <w:r>
        <w:rPr>
          <w:i/>
          <w:spacing w:val="-8"/>
          <w:sz w:val="24"/>
        </w:rPr>
        <w:t> </w:t>
      </w:r>
      <w:r>
        <w:rPr>
          <w:i/>
          <w:sz w:val="24"/>
        </w:rPr>
        <w:t>logics</w:t>
      </w:r>
      <w:r>
        <w:rPr>
          <w:i/>
          <w:spacing w:val="-8"/>
          <w:sz w:val="24"/>
        </w:rPr>
        <w:t> </w:t>
      </w:r>
      <w:r>
        <w:rPr>
          <w:i/>
          <w:sz w:val="24"/>
        </w:rPr>
        <w:t>perspective:</w:t>
      </w:r>
      <w:r>
        <w:rPr>
          <w:i/>
          <w:spacing w:val="-8"/>
          <w:sz w:val="24"/>
        </w:rPr>
        <w:t> </w:t>
      </w:r>
      <w:r>
        <w:rPr>
          <w:i/>
          <w:sz w:val="24"/>
        </w:rPr>
        <w:t>A</w:t>
      </w:r>
      <w:r>
        <w:rPr>
          <w:i/>
          <w:sz w:val="24"/>
        </w:rPr>
        <w:t> new approach to culture, structure, and process. </w:t>
      </w:r>
      <w:r>
        <w:rPr>
          <w:sz w:val="24"/>
        </w:rPr>
        <w:t>Oxford University Press.</w:t>
      </w:r>
    </w:p>
    <w:p>
      <w:pPr>
        <w:pStyle w:val="BodyText"/>
        <w:spacing w:before="7"/>
      </w:pPr>
    </w:p>
    <w:p>
      <w:pPr>
        <w:spacing w:line="252" w:lineRule="auto" w:before="0"/>
        <w:ind w:left="723" w:right="1191" w:firstLine="0"/>
        <w:jc w:val="left"/>
        <w:rPr>
          <w:sz w:val="24"/>
        </w:rPr>
      </w:pPr>
      <w:r>
        <w:rPr>
          <w:sz w:val="24"/>
        </w:rPr>
        <w:t>Wu,</w:t>
      </w:r>
      <w:r>
        <w:rPr>
          <w:spacing w:val="-6"/>
          <w:sz w:val="24"/>
        </w:rPr>
        <w:t> </w:t>
      </w:r>
      <w:r>
        <w:rPr>
          <w:sz w:val="24"/>
        </w:rPr>
        <w:t>X.,</w:t>
      </w:r>
      <w:r>
        <w:rPr>
          <w:spacing w:val="-6"/>
          <w:sz w:val="24"/>
        </w:rPr>
        <w:t> </w:t>
      </w:r>
      <w:r>
        <w:rPr>
          <w:sz w:val="24"/>
        </w:rPr>
        <w:t>Tan,</w:t>
      </w:r>
      <w:r>
        <w:rPr>
          <w:spacing w:val="-6"/>
          <w:sz w:val="24"/>
        </w:rPr>
        <w:t> </w:t>
      </w:r>
      <w:r>
        <w:rPr>
          <w:sz w:val="24"/>
        </w:rPr>
        <w:t>X.,</w:t>
      </w:r>
      <w:r>
        <w:rPr>
          <w:spacing w:val="-6"/>
          <w:sz w:val="24"/>
        </w:rPr>
        <w:t> </w:t>
      </w:r>
      <w:r>
        <w:rPr>
          <w:sz w:val="24"/>
        </w:rPr>
        <w:t>&amp;</w:t>
      </w:r>
      <w:r>
        <w:rPr>
          <w:spacing w:val="-6"/>
          <w:sz w:val="24"/>
        </w:rPr>
        <w:t> </w:t>
      </w:r>
      <w:r>
        <w:rPr>
          <w:sz w:val="24"/>
        </w:rPr>
        <w:t>Wang,</w:t>
      </w:r>
      <w:r>
        <w:rPr>
          <w:spacing w:val="-6"/>
          <w:sz w:val="24"/>
        </w:rPr>
        <w:t> </w:t>
      </w:r>
      <w:r>
        <w:rPr>
          <w:sz w:val="24"/>
        </w:rPr>
        <w:t>X.</w:t>
      </w:r>
      <w:r>
        <w:rPr>
          <w:spacing w:val="-6"/>
          <w:sz w:val="24"/>
        </w:rPr>
        <w:t> </w:t>
      </w:r>
      <w:r>
        <w:rPr>
          <w:sz w:val="24"/>
        </w:rPr>
        <w:t>(2023).</w:t>
      </w:r>
      <w:r>
        <w:rPr>
          <w:spacing w:val="-6"/>
          <w:sz w:val="24"/>
        </w:rPr>
        <w:t> </w:t>
      </w:r>
      <w:r>
        <w:rPr>
          <w:sz w:val="24"/>
        </w:rPr>
        <w:t>The</w:t>
      </w:r>
      <w:r>
        <w:rPr>
          <w:spacing w:val="-6"/>
          <w:sz w:val="24"/>
        </w:rPr>
        <w:t> </w:t>
      </w:r>
      <w:r>
        <w:rPr>
          <w:sz w:val="24"/>
        </w:rPr>
        <w:t>institutional</w:t>
      </w:r>
      <w:r>
        <w:rPr>
          <w:spacing w:val="-6"/>
          <w:sz w:val="24"/>
        </w:rPr>
        <w:t> </w:t>
      </w:r>
      <w:r>
        <w:rPr>
          <w:sz w:val="24"/>
        </w:rPr>
        <w:t>logics</w:t>
      </w:r>
      <w:r>
        <w:rPr>
          <w:spacing w:val="-6"/>
          <w:sz w:val="24"/>
        </w:rPr>
        <w:t> </w:t>
      </w:r>
      <w:r>
        <w:rPr>
          <w:sz w:val="24"/>
        </w:rPr>
        <w:t>perspective</w:t>
      </w:r>
      <w:r>
        <w:rPr>
          <w:spacing w:val="-6"/>
          <w:sz w:val="24"/>
        </w:rPr>
        <w:t> </w:t>
      </w:r>
      <w:r>
        <w:rPr>
          <w:sz w:val="24"/>
        </w:rPr>
        <w:t>in</w:t>
      </w:r>
      <w:r>
        <w:rPr>
          <w:spacing w:val="-6"/>
          <w:sz w:val="24"/>
        </w:rPr>
        <w:t> </w:t>
      </w:r>
      <w:r>
        <w:rPr>
          <w:sz w:val="24"/>
        </w:rPr>
        <w:t>management</w:t>
      </w:r>
      <w:r>
        <w:rPr>
          <w:spacing w:val="-6"/>
          <w:sz w:val="24"/>
        </w:rPr>
        <w:t> </w:t>
      </w:r>
      <w:r>
        <w:rPr>
          <w:sz w:val="24"/>
        </w:rPr>
        <w:t>and organizational studies. </w:t>
      </w:r>
      <w:r>
        <w:rPr>
          <w:i/>
          <w:sz w:val="24"/>
        </w:rPr>
        <w:t>Journal of Business Research, 167</w:t>
      </w:r>
      <w:r>
        <w:rPr>
          <w:sz w:val="24"/>
        </w:rPr>
        <w:t>, 114183.</w:t>
      </w:r>
    </w:p>
    <w:p>
      <w:pPr>
        <w:pStyle w:val="BodyText"/>
        <w:spacing w:before="8"/>
      </w:pPr>
    </w:p>
    <w:p>
      <w:pPr>
        <w:pStyle w:val="BodyText"/>
        <w:ind w:left="723"/>
      </w:pPr>
      <w:r>
        <w:rPr/>
        <w:t>Yang,</w:t>
      </w:r>
      <w:r>
        <w:rPr>
          <w:spacing w:val="-3"/>
        </w:rPr>
        <w:t> </w:t>
      </w:r>
      <w:r>
        <w:rPr/>
        <w:t>S.,</w:t>
      </w:r>
      <w:r>
        <w:rPr>
          <w:spacing w:val="-2"/>
        </w:rPr>
        <w:t> </w:t>
      </w:r>
      <w:r>
        <w:rPr/>
        <w:t>Kher,</w:t>
      </w:r>
      <w:r>
        <w:rPr>
          <w:spacing w:val="-2"/>
        </w:rPr>
        <w:t> </w:t>
      </w:r>
      <w:r>
        <w:rPr/>
        <w:t>R.,</w:t>
      </w:r>
      <w:r>
        <w:rPr>
          <w:spacing w:val="-2"/>
        </w:rPr>
        <w:t> </w:t>
      </w:r>
      <w:r>
        <w:rPr/>
        <w:t>&amp;</w:t>
      </w:r>
      <w:r>
        <w:rPr>
          <w:spacing w:val="-2"/>
        </w:rPr>
        <w:t> </w:t>
      </w:r>
      <w:r>
        <w:rPr/>
        <w:t>Newbert,</w:t>
      </w:r>
      <w:r>
        <w:rPr>
          <w:spacing w:val="-3"/>
        </w:rPr>
        <w:t> </w:t>
      </w:r>
      <w:r>
        <w:rPr/>
        <w:t>S.</w:t>
      </w:r>
      <w:r>
        <w:rPr>
          <w:spacing w:val="-2"/>
        </w:rPr>
        <w:t> </w:t>
      </w:r>
      <w:r>
        <w:rPr/>
        <w:t>L.</w:t>
      </w:r>
      <w:r>
        <w:rPr>
          <w:spacing w:val="-2"/>
        </w:rPr>
        <w:t> </w:t>
      </w:r>
      <w:r>
        <w:rPr/>
        <w:t>(2020).</w:t>
      </w:r>
      <w:r>
        <w:rPr>
          <w:spacing w:val="-2"/>
        </w:rPr>
        <w:t> </w:t>
      </w:r>
      <w:r>
        <w:rPr/>
        <w:t>What</w:t>
      </w:r>
      <w:r>
        <w:rPr>
          <w:spacing w:val="-2"/>
        </w:rPr>
        <w:t> </w:t>
      </w:r>
      <w:r>
        <w:rPr/>
        <w:t>signals</w:t>
      </w:r>
      <w:r>
        <w:rPr>
          <w:spacing w:val="-3"/>
        </w:rPr>
        <w:t> </w:t>
      </w:r>
      <w:r>
        <w:rPr/>
        <w:t>matter</w:t>
      </w:r>
      <w:r>
        <w:rPr>
          <w:spacing w:val="-2"/>
        </w:rPr>
        <w:t> </w:t>
      </w:r>
      <w:r>
        <w:rPr/>
        <w:t>for</w:t>
      </w:r>
      <w:r>
        <w:rPr>
          <w:spacing w:val="-2"/>
        </w:rPr>
        <w:t> </w:t>
      </w:r>
      <w:r>
        <w:rPr/>
        <w:t>social</w:t>
      </w:r>
      <w:r>
        <w:rPr>
          <w:spacing w:val="-2"/>
        </w:rPr>
        <w:t> </w:t>
      </w:r>
      <w:r>
        <w:rPr/>
        <w:t>startups?</w:t>
      </w:r>
      <w:r>
        <w:rPr>
          <w:spacing w:val="-2"/>
        </w:rPr>
        <w:t> </w:t>
      </w:r>
      <w:r>
        <w:rPr/>
        <w:t>It</w:t>
      </w:r>
      <w:r>
        <w:rPr>
          <w:spacing w:val="-2"/>
        </w:rPr>
        <w:t> depends:</w:t>
      </w:r>
    </w:p>
    <w:p>
      <w:pPr>
        <w:pStyle w:val="BodyText"/>
        <w:spacing w:after="0"/>
        <w:sectPr>
          <w:pgSz w:w="12240" w:h="15840"/>
          <w:pgMar w:header="0" w:footer="768" w:top="620" w:bottom="960" w:left="720" w:right="0"/>
        </w:sectPr>
      </w:pPr>
    </w:p>
    <w:p>
      <w:pPr>
        <w:spacing w:line="252" w:lineRule="auto" w:before="60"/>
        <w:ind w:left="723" w:right="1604" w:firstLine="0"/>
        <w:jc w:val="both"/>
        <w:rPr>
          <w:sz w:val="24"/>
        </w:rPr>
      </w:pPr>
      <w:r>
        <w:rPr>
          <w:sz w:val="24"/>
        </w:rPr>
        <w:t>The</w:t>
      </w:r>
      <w:r>
        <w:rPr>
          <w:spacing w:val="-4"/>
          <w:sz w:val="24"/>
        </w:rPr>
        <w:t> </w:t>
      </w:r>
      <w:r>
        <w:rPr>
          <w:sz w:val="24"/>
        </w:rPr>
        <w:t>influence</w:t>
      </w:r>
      <w:r>
        <w:rPr>
          <w:spacing w:val="-4"/>
          <w:sz w:val="24"/>
        </w:rPr>
        <w:t> </w:t>
      </w:r>
      <w:r>
        <w:rPr>
          <w:sz w:val="24"/>
        </w:rPr>
        <w:t>of</w:t>
      </w:r>
      <w:r>
        <w:rPr>
          <w:spacing w:val="-4"/>
          <w:sz w:val="24"/>
        </w:rPr>
        <w:t> </w:t>
      </w:r>
      <w:r>
        <w:rPr>
          <w:sz w:val="24"/>
        </w:rPr>
        <w:t>gender</w:t>
      </w:r>
      <w:r>
        <w:rPr>
          <w:spacing w:val="-4"/>
          <w:sz w:val="24"/>
        </w:rPr>
        <w:t> </w:t>
      </w:r>
      <w:r>
        <w:rPr>
          <w:sz w:val="24"/>
        </w:rPr>
        <w:t>role</w:t>
      </w:r>
      <w:r>
        <w:rPr>
          <w:spacing w:val="-4"/>
          <w:sz w:val="24"/>
        </w:rPr>
        <w:t> </w:t>
      </w:r>
      <w:r>
        <w:rPr>
          <w:sz w:val="24"/>
        </w:rPr>
        <w:t>congruity</w:t>
      </w:r>
      <w:r>
        <w:rPr>
          <w:spacing w:val="-4"/>
          <w:sz w:val="24"/>
        </w:rPr>
        <w:t> </w:t>
      </w:r>
      <w:r>
        <w:rPr>
          <w:sz w:val="24"/>
        </w:rPr>
        <w:t>on</w:t>
      </w:r>
      <w:r>
        <w:rPr>
          <w:spacing w:val="-4"/>
          <w:sz w:val="24"/>
        </w:rPr>
        <w:t> </w:t>
      </w:r>
      <w:r>
        <w:rPr>
          <w:sz w:val="24"/>
        </w:rPr>
        <w:t>social</w:t>
      </w:r>
      <w:r>
        <w:rPr>
          <w:spacing w:val="-4"/>
          <w:sz w:val="24"/>
        </w:rPr>
        <w:t> </w:t>
      </w:r>
      <w:r>
        <w:rPr>
          <w:sz w:val="24"/>
        </w:rPr>
        <w:t>impact</w:t>
      </w:r>
      <w:r>
        <w:rPr>
          <w:spacing w:val="-4"/>
          <w:sz w:val="24"/>
        </w:rPr>
        <w:t> </w:t>
      </w:r>
      <w:r>
        <w:rPr>
          <w:sz w:val="24"/>
        </w:rPr>
        <w:t>accelerator</w:t>
      </w:r>
      <w:r>
        <w:rPr>
          <w:spacing w:val="-4"/>
          <w:sz w:val="24"/>
        </w:rPr>
        <w:t> </w:t>
      </w:r>
      <w:r>
        <w:rPr>
          <w:sz w:val="24"/>
        </w:rPr>
        <w:t>selection</w:t>
      </w:r>
      <w:r>
        <w:rPr>
          <w:spacing w:val="-4"/>
          <w:sz w:val="24"/>
        </w:rPr>
        <w:t> </w:t>
      </w:r>
      <w:r>
        <w:rPr>
          <w:sz w:val="24"/>
        </w:rPr>
        <w:t>decisions.</w:t>
      </w:r>
      <w:r>
        <w:rPr>
          <w:spacing w:val="-4"/>
          <w:sz w:val="24"/>
        </w:rPr>
        <w:t> </w:t>
      </w:r>
      <w:r>
        <w:rPr>
          <w:i/>
          <w:sz w:val="24"/>
        </w:rPr>
        <w:t>Journal</w:t>
      </w:r>
      <w:r>
        <w:rPr>
          <w:i/>
          <w:sz w:val="24"/>
        </w:rPr>
        <w:t> of Business Venturing</w:t>
      </w:r>
      <w:r>
        <w:rPr>
          <w:sz w:val="24"/>
        </w:rPr>
        <w:t>, </w:t>
      </w:r>
      <w:r>
        <w:rPr>
          <w:i/>
          <w:sz w:val="24"/>
        </w:rPr>
        <w:t>35</w:t>
      </w:r>
      <w:r>
        <w:rPr>
          <w:sz w:val="24"/>
        </w:rPr>
        <w:t>(2), 105932.</w:t>
      </w:r>
    </w:p>
    <w:p>
      <w:pPr>
        <w:pStyle w:val="BodyText"/>
        <w:spacing w:line="232" w:lineRule="auto" w:before="216"/>
        <w:ind w:left="723" w:right="1529"/>
        <w:jc w:val="both"/>
      </w:pPr>
      <w:r>
        <w:rPr/>
        <w:t>Young,</w:t>
      </w:r>
      <w:r>
        <w:rPr>
          <w:spacing w:val="-5"/>
        </w:rPr>
        <w:t> </w:t>
      </w:r>
      <w:r>
        <w:rPr/>
        <w:t>D.</w:t>
      </w:r>
      <w:r>
        <w:rPr>
          <w:spacing w:val="-5"/>
        </w:rPr>
        <w:t> </w:t>
      </w:r>
      <w:r>
        <w:rPr/>
        <w:t>R.,</w:t>
      </w:r>
      <w:r>
        <w:rPr>
          <w:spacing w:val="-5"/>
        </w:rPr>
        <w:t> </w:t>
      </w:r>
      <w:r>
        <w:rPr/>
        <w:t>Kerlin,</w:t>
      </w:r>
      <w:r>
        <w:rPr>
          <w:spacing w:val="-5"/>
        </w:rPr>
        <w:t> </w:t>
      </w:r>
      <w:r>
        <w:rPr/>
        <w:t>J.</w:t>
      </w:r>
      <w:r>
        <w:rPr>
          <w:spacing w:val="-5"/>
        </w:rPr>
        <w:t> </w:t>
      </w:r>
      <w:r>
        <w:rPr/>
        <w:t>A.,</w:t>
      </w:r>
      <w:r>
        <w:rPr>
          <w:spacing w:val="-5"/>
        </w:rPr>
        <w:t> </w:t>
      </w:r>
      <w:r>
        <w:rPr/>
        <w:t>Teasdale,</w:t>
      </w:r>
      <w:r>
        <w:rPr>
          <w:spacing w:val="-5"/>
        </w:rPr>
        <w:t> </w:t>
      </w:r>
      <w:r>
        <w:rPr/>
        <w:t>S.,</w:t>
      </w:r>
      <w:r>
        <w:rPr>
          <w:spacing w:val="-5"/>
        </w:rPr>
        <w:t> </w:t>
      </w:r>
      <w:r>
        <w:rPr/>
        <w:t>&amp;</w:t>
      </w:r>
      <w:r>
        <w:rPr>
          <w:spacing w:val="-5"/>
        </w:rPr>
        <w:t> </w:t>
      </w:r>
      <w:r>
        <w:rPr/>
        <w:t>Soh,</w:t>
      </w:r>
      <w:r>
        <w:rPr>
          <w:spacing w:val="-5"/>
        </w:rPr>
        <w:t> </w:t>
      </w:r>
      <w:r>
        <w:rPr/>
        <w:t>J.</w:t>
      </w:r>
      <w:r>
        <w:rPr>
          <w:spacing w:val="-5"/>
        </w:rPr>
        <w:t> </w:t>
      </w:r>
      <w:r>
        <w:rPr/>
        <w:t>(2012).</w:t>
      </w:r>
      <w:r>
        <w:rPr>
          <w:spacing w:val="-5"/>
        </w:rPr>
        <w:t> </w:t>
      </w:r>
      <w:r>
        <w:rPr/>
        <w:t>The</w:t>
      </w:r>
      <w:r>
        <w:rPr>
          <w:spacing w:val="-5"/>
        </w:rPr>
        <w:t> </w:t>
      </w:r>
      <w:r>
        <w:rPr/>
        <w:t>dynamics</w:t>
      </w:r>
      <w:r>
        <w:rPr>
          <w:spacing w:val="-5"/>
        </w:rPr>
        <w:t> </w:t>
      </w:r>
      <w:r>
        <w:rPr/>
        <w:t>and</w:t>
      </w:r>
      <w:r>
        <w:rPr>
          <w:spacing w:val="-5"/>
        </w:rPr>
        <w:t> </w:t>
      </w:r>
      <w:r>
        <w:rPr/>
        <w:t>long-term</w:t>
      </w:r>
      <w:r>
        <w:rPr>
          <w:spacing w:val="-5"/>
        </w:rPr>
        <w:t> </w:t>
      </w:r>
      <w:r>
        <w:rPr/>
        <w:t>stability of</w:t>
      </w:r>
      <w:r>
        <w:rPr>
          <w:spacing w:val="-2"/>
        </w:rPr>
        <w:t> </w:t>
      </w:r>
      <w:r>
        <w:rPr/>
        <w:t>social</w:t>
      </w:r>
      <w:r>
        <w:rPr>
          <w:spacing w:val="-2"/>
        </w:rPr>
        <w:t> </w:t>
      </w:r>
      <w:r>
        <w:rPr/>
        <w:t>enterprise.</w:t>
      </w:r>
      <w:r>
        <w:rPr>
          <w:spacing w:val="-2"/>
        </w:rPr>
        <w:t> </w:t>
      </w:r>
      <w:r>
        <w:rPr/>
        <w:t>In</w:t>
      </w:r>
      <w:r>
        <w:rPr>
          <w:spacing w:val="-2"/>
        </w:rPr>
        <w:t> </w:t>
      </w:r>
      <w:r>
        <w:rPr/>
        <w:t>J.</w:t>
      </w:r>
      <w:r>
        <w:rPr>
          <w:spacing w:val="-2"/>
        </w:rPr>
        <w:t> </w:t>
      </w:r>
      <w:r>
        <w:rPr/>
        <w:t>Kickul</w:t>
      </w:r>
      <w:r>
        <w:rPr>
          <w:spacing w:val="-2"/>
        </w:rPr>
        <w:t> </w:t>
      </w:r>
      <w:r>
        <w:rPr/>
        <w:t>&amp;</w:t>
      </w:r>
      <w:r>
        <w:rPr>
          <w:spacing w:val="-2"/>
        </w:rPr>
        <w:t> </w:t>
      </w:r>
      <w:r>
        <w:rPr/>
        <w:t>S.</w:t>
      </w:r>
      <w:r>
        <w:rPr>
          <w:spacing w:val="-2"/>
        </w:rPr>
        <w:t> </w:t>
      </w:r>
      <w:r>
        <w:rPr/>
        <w:t>Bacq</w:t>
      </w:r>
      <w:r>
        <w:rPr>
          <w:spacing w:val="-2"/>
        </w:rPr>
        <w:t> </w:t>
      </w:r>
      <w:r>
        <w:rPr/>
        <w:t>(Eds.),</w:t>
      </w:r>
      <w:r>
        <w:rPr>
          <w:spacing w:val="-2"/>
        </w:rPr>
        <w:t> </w:t>
      </w:r>
      <w:r>
        <w:rPr>
          <w:i/>
        </w:rPr>
        <w:t>Patterns</w:t>
      </w:r>
      <w:r>
        <w:rPr>
          <w:i/>
          <w:spacing w:val="-2"/>
        </w:rPr>
        <w:t> </w:t>
      </w:r>
      <w:r>
        <w:rPr>
          <w:i/>
        </w:rPr>
        <w:t>in</w:t>
      </w:r>
      <w:r>
        <w:rPr>
          <w:i/>
          <w:spacing w:val="-2"/>
        </w:rPr>
        <w:t> </w:t>
      </w:r>
      <w:r>
        <w:rPr>
          <w:i/>
        </w:rPr>
        <w:t>social</w:t>
      </w:r>
      <w:r>
        <w:rPr>
          <w:i/>
          <w:spacing w:val="-2"/>
        </w:rPr>
        <w:t> </w:t>
      </w:r>
      <w:r>
        <w:rPr>
          <w:i/>
        </w:rPr>
        <w:t>entrepreneurship</w:t>
      </w:r>
      <w:r>
        <w:rPr>
          <w:i/>
          <w:spacing w:val="40"/>
        </w:rPr>
        <w:t> </w:t>
      </w:r>
      <w:r>
        <w:rPr>
          <w:i/>
        </w:rPr>
        <w:t>research</w:t>
      </w:r>
      <w:r>
        <w:rPr>
          <w:i/>
        </w:rPr>
        <w:t> </w:t>
      </w:r>
      <w:r>
        <w:rPr/>
        <w:t>(pp. 217–242). Cheltenham: Edward Elgar.</w:t>
      </w:r>
    </w:p>
    <w:p>
      <w:pPr>
        <w:pStyle w:val="BodyText"/>
        <w:spacing w:after="0" w:line="232" w:lineRule="auto"/>
        <w:jc w:val="both"/>
        <w:sectPr>
          <w:pgSz w:w="12240" w:h="15840"/>
          <w:pgMar w:header="0" w:footer="768" w:top="640" w:bottom="960" w:left="720" w:right="0"/>
        </w:sectPr>
      </w:pPr>
    </w:p>
    <w:p>
      <w:pPr>
        <w:pStyle w:val="Heading1"/>
        <w:spacing w:before="62"/>
        <w:ind w:left="4563" w:right="1619" w:hanging="3484"/>
      </w:pPr>
      <w:bookmarkStart w:name="Unpacking the Economy: What “A Long Stra" w:id="83"/>
      <w:bookmarkEnd w:id="83"/>
      <w:r>
        <w:rPr>
          <w:b w:val="0"/>
        </w:rPr>
      </w:r>
      <w:r>
        <w:rPr/>
        <w:t>Unpacking</w:t>
      </w:r>
      <w:r>
        <w:rPr>
          <w:spacing w:val="-5"/>
        </w:rPr>
        <w:t> </w:t>
      </w:r>
      <w:r>
        <w:rPr/>
        <w:t>the</w:t>
      </w:r>
      <w:r>
        <w:rPr>
          <w:spacing w:val="-5"/>
        </w:rPr>
        <w:t> </w:t>
      </w:r>
      <w:r>
        <w:rPr/>
        <w:t>Economy:</w:t>
      </w:r>
      <w:r>
        <w:rPr>
          <w:spacing w:val="-5"/>
        </w:rPr>
        <w:t> </w:t>
      </w:r>
      <w:r>
        <w:rPr/>
        <w:t>What</w:t>
      </w:r>
      <w:r>
        <w:rPr>
          <w:spacing w:val="-5"/>
        </w:rPr>
        <w:t> </w:t>
      </w:r>
      <w:r>
        <w:rPr/>
        <w:t>“A</w:t>
      </w:r>
      <w:r>
        <w:rPr>
          <w:spacing w:val="-5"/>
        </w:rPr>
        <w:t> </w:t>
      </w:r>
      <w:r>
        <w:rPr/>
        <w:t>Long</w:t>
      </w:r>
      <w:r>
        <w:rPr>
          <w:spacing w:val="-5"/>
        </w:rPr>
        <w:t> </w:t>
      </w:r>
      <w:r>
        <w:rPr/>
        <w:t>Strange</w:t>
      </w:r>
      <w:r>
        <w:rPr>
          <w:spacing w:val="-5"/>
        </w:rPr>
        <w:t> </w:t>
      </w:r>
      <w:r>
        <w:rPr/>
        <w:t>Trip</w:t>
      </w:r>
      <w:r>
        <w:rPr>
          <w:spacing w:val="-5"/>
        </w:rPr>
        <w:t> </w:t>
      </w:r>
      <w:r>
        <w:rPr/>
        <w:t>It’s </w:t>
      </w:r>
      <w:bookmarkStart w:name="h.uz02xvq78ejv" w:id="84"/>
      <w:bookmarkEnd w:id="84"/>
      <w:r>
        <w:rPr>
          <w:spacing w:val="-2"/>
        </w:rPr>
        <w:t>B</w:t>
      </w:r>
      <w:r>
        <w:rPr>
          <w:spacing w:val="-2"/>
        </w:rPr>
        <w:t>een?”</w:t>
      </w:r>
    </w:p>
    <w:p>
      <w:pPr>
        <w:pStyle w:val="BodyText"/>
        <w:spacing w:before="293"/>
        <w:ind w:left="3963" w:right="4674" w:hanging="26"/>
        <w:jc w:val="center"/>
      </w:pPr>
      <w:r>
        <w:rPr/>
        <w:t>Robert J. Lahm, Jr., Ph.D. Professor</w:t>
      </w:r>
      <w:r>
        <w:rPr>
          <w:spacing w:val="-15"/>
        </w:rPr>
        <w:t> </w:t>
      </w:r>
      <w:r>
        <w:rPr/>
        <w:t>of</w:t>
      </w:r>
      <w:r>
        <w:rPr>
          <w:spacing w:val="-15"/>
        </w:rPr>
        <w:t> </w:t>
      </w:r>
      <w:r>
        <w:rPr/>
        <w:t>Entrepreneurship College of Business</w:t>
      </w:r>
    </w:p>
    <w:p>
      <w:pPr>
        <w:pStyle w:val="BodyText"/>
        <w:ind w:left="4023" w:right="4754"/>
        <w:jc w:val="center"/>
      </w:pPr>
      <w:r>
        <w:rPr/>
        <w:t>Western</w:t>
      </w:r>
      <w:r>
        <w:rPr>
          <w:spacing w:val="-15"/>
        </w:rPr>
        <w:t> </w:t>
      </w:r>
      <w:r>
        <w:rPr/>
        <w:t>Carolina</w:t>
      </w:r>
      <w:r>
        <w:rPr>
          <w:spacing w:val="-15"/>
        </w:rPr>
        <w:t> </w:t>
      </w:r>
      <w:r>
        <w:rPr/>
        <w:t>University Cullowhee, NC 28723 </w:t>
      </w:r>
      <w:hyperlink r:id="rId162">
        <w:r>
          <w:rPr>
            <w:color w:val="0000FF"/>
            <w:spacing w:val="-2"/>
            <w:u w:val="thick" w:color="0000FF"/>
          </w:rPr>
          <w:t>rjlahm@wcu.edu</w:t>
        </w:r>
      </w:hyperlink>
      <w:r>
        <w:rPr>
          <w:color w:val="0000FF"/>
          <w:spacing w:val="-2"/>
          <w:u w:val="none"/>
        </w:rPr>
        <w:t> </w:t>
      </w:r>
      <w:r>
        <w:rPr>
          <w:spacing w:val="-2"/>
          <w:u w:val="none"/>
        </w:rPr>
        <w:t>828.227.3295</w:t>
      </w:r>
    </w:p>
    <w:p>
      <w:pPr>
        <w:pStyle w:val="BodyText"/>
        <w:ind w:right="684"/>
        <w:jc w:val="center"/>
      </w:pPr>
      <w:r>
        <w:rPr/>
        <w:t>(Contact </w:t>
      </w:r>
      <w:r>
        <w:rPr>
          <w:spacing w:val="-2"/>
        </w:rPr>
        <w:t>Author)</w:t>
      </w:r>
    </w:p>
    <w:p>
      <w:pPr>
        <w:pStyle w:val="BodyText"/>
        <w:spacing w:before="272"/>
        <w:ind w:left="3498" w:right="4034" w:firstLine="645"/>
      </w:pPr>
      <w:r>
        <w:rPr/>
        <w:t>B.B. Penny-Darden, DBA Assistant</w:t>
      </w:r>
      <w:r>
        <w:rPr>
          <w:spacing w:val="-13"/>
        </w:rPr>
        <w:t> </w:t>
      </w:r>
      <w:r>
        <w:rPr/>
        <w:t>Professor</w:t>
      </w:r>
      <w:r>
        <w:rPr>
          <w:spacing w:val="-13"/>
        </w:rPr>
        <w:t> </w:t>
      </w:r>
      <w:r>
        <w:rPr/>
        <w:t>of</w:t>
      </w:r>
      <w:r>
        <w:rPr>
          <w:spacing w:val="-13"/>
        </w:rPr>
        <w:t> </w:t>
      </w:r>
      <w:r>
        <w:rPr/>
        <w:t>Entrepreneurship</w:t>
      </w:r>
    </w:p>
    <w:p>
      <w:pPr>
        <w:pStyle w:val="BodyText"/>
        <w:ind w:left="4023" w:right="4754" w:firstLine="19"/>
        <w:jc w:val="center"/>
      </w:pPr>
      <w:r>
        <w:rPr/>
        <w:t>College of Business Western</w:t>
      </w:r>
      <w:r>
        <w:rPr>
          <w:spacing w:val="-15"/>
        </w:rPr>
        <w:t> </w:t>
      </w:r>
      <w:r>
        <w:rPr/>
        <w:t>Carolina</w:t>
      </w:r>
      <w:r>
        <w:rPr>
          <w:spacing w:val="-15"/>
        </w:rPr>
        <w:t> </w:t>
      </w:r>
      <w:r>
        <w:rPr/>
        <w:t>University Cullowhee, NC 28723 </w:t>
      </w:r>
      <w:hyperlink r:id="rId163">
        <w:r>
          <w:rPr>
            <w:color w:val="0000FF"/>
            <w:spacing w:val="-2"/>
            <w:u w:val="thick" w:color="0000FF"/>
          </w:rPr>
          <w:t>bdarden@wcu.edu</w:t>
        </w:r>
      </w:hyperlink>
    </w:p>
    <w:p>
      <w:pPr>
        <w:pStyle w:val="BodyText"/>
        <w:spacing w:before="10"/>
        <w:rPr>
          <w:sz w:val="15"/>
        </w:rPr>
      </w:pPr>
    </w:p>
    <w:p>
      <w:pPr>
        <w:pStyle w:val="BodyText"/>
        <w:spacing w:after="0"/>
        <w:rPr>
          <w:sz w:val="15"/>
        </w:rPr>
        <w:sectPr>
          <w:pgSz w:w="12240" w:h="15840"/>
          <w:pgMar w:header="0" w:footer="768" w:top="640" w:bottom="960" w:left="720" w:right="0"/>
        </w:sectPr>
      </w:pPr>
    </w:p>
    <w:p>
      <w:pPr>
        <w:pStyle w:val="BodyText"/>
      </w:pPr>
    </w:p>
    <w:p>
      <w:pPr>
        <w:pStyle w:val="BodyText"/>
      </w:pPr>
    </w:p>
    <w:p>
      <w:pPr>
        <w:pStyle w:val="BodyText"/>
      </w:pPr>
    </w:p>
    <w:p>
      <w:pPr>
        <w:pStyle w:val="BodyText"/>
      </w:pPr>
    </w:p>
    <w:p>
      <w:pPr>
        <w:pStyle w:val="BodyText"/>
      </w:pPr>
    </w:p>
    <w:p>
      <w:pPr>
        <w:pStyle w:val="BodyText"/>
      </w:pPr>
    </w:p>
    <w:p>
      <w:pPr>
        <w:pStyle w:val="BodyText"/>
        <w:spacing w:before="89"/>
      </w:pPr>
    </w:p>
    <w:p>
      <w:pPr>
        <w:pStyle w:val="BodyText"/>
        <w:ind w:left="723"/>
      </w:pPr>
      <w:r>
        <w:rPr>
          <w:spacing w:val="-2"/>
        </w:rPr>
        <w:t>Keywords:</w:t>
      </w:r>
    </w:p>
    <w:p>
      <w:pPr>
        <w:pStyle w:val="BodyText"/>
        <w:spacing w:before="90"/>
        <w:ind w:left="723" w:right="3841" w:firstLine="495"/>
      </w:pPr>
      <w:r>
        <w:rPr/>
        <w:br w:type="column"/>
      </w:r>
      <w:r>
        <w:rPr/>
        <w:t>Lane Graves Perry, III, Ph.D. Assistant</w:t>
      </w:r>
      <w:r>
        <w:rPr>
          <w:spacing w:val="-13"/>
        </w:rPr>
        <w:t> </w:t>
      </w:r>
      <w:r>
        <w:rPr/>
        <w:t>Professor</w:t>
      </w:r>
      <w:r>
        <w:rPr>
          <w:spacing w:val="-13"/>
        </w:rPr>
        <w:t> </w:t>
      </w:r>
      <w:r>
        <w:rPr/>
        <w:t>of</w:t>
      </w:r>
      <w:r>
        <w:rPr>
          <w:spacing w:val="-13"/>
        </w:rPr>
        <w:t> </w:t>
      </w:r>
      <w:r>
        <w:rPr/>
        <w:t>Entrepreneurship</w:t>
      </w:r>
    </w:p>
    <w:p>
      <w:pPr>
        <w:pStyle w:val="BodyText"/>
        <w:ind w:left="1248" w:right="4754" w:firstLine="19"/>
        <w:jc w:val="center"/>
      </w:pPr>
      <w:r>
        <w:rPr/>
        <w:t>College of Business Western</w:t>
      </w:r>
      <w:r>
        <w:rPr>
          <w:spacing w:val="-15"/>
        </w:rPr>
        <w:t> </w:t>
      </w:r>
      <w:r>
        <w:rPr/>
        <w:t>Carolina</w:t>
      </w:r>
      <w:r>
        <w:rPr>
          <w:spacing w:val="-15"/>
        </w:rPr>
        <w:t> </w:t>
      </w:r>
      <w:r>
        <w:rPr/>
        <w:t>University Cullowhee, NC 28723 </w:t>
      </w:r>
      <w:hyperlink r:id="rId161">
        <w:r>
          <w:rPr>
            <w:color w:val="0000FF"/>
            <w:spacing w:val="-2"/>
            <w:u w:val="thick" w:color="0000FF"/>
          </w:rPr>
          <w:t>laneperry@wcu.edu</w:t>
        </w:r>
      </w:hyperlink>
      <w:r>
        <w:rPr>
          <w:color w:val="0000FF"/>
          <w:spacing w:val="-2"/>
          <w:u w:val="none"/>
        </w:rPr>
        <w:t> </w:t>
      </w:r>
      <w:r>
        <w:rPr>
          <w:spacing w:val="-2"/>
          <w:u w:val="none"/>
        </w:rPr>
        <w:t>828.227.2643</w:t>
      </w:r>
    </w:p>
    <w:p>
      <w:pPr>
        <w:pStyle w:val="BodyText"/>
        <w:spacing w:after="0"/>
        <w:jc w:val="center"/>
        <w:sectPr>
          <w:type w:val="continuous"/>
          <w:pgSz w:w="12240" w:h="15840"/>
          <w:pgMar w:header="0" w:footer="768" w:top="740" w:bottom="280" w:left="720" w:right="0"/>
          <w:cols w:num="2" w:equalWidth="0">
            <w:col w:w="1818" w:space="957"/>
            <w:col w:w="8745"/>
          </w:cols>
        </w:sectPr>
      </w:pPr>
    </w:p>
    <w:p>
      <w:pPr>
        <w:pStyle w:val="BodyText"/>
        <w:spacing w:line="247" w:lineRule="auto" w:before="157"/>
        <w:ind w:left="723" w:right="1191"/>
      </w:pPr>
      <w:r>
        <w:rPr/>
        <w:t>Post-presidential</w:t>
      </w:r>
      <w:r>
        <w:rPr>
          <w:spacing w:val="-7"/>
        </w:rPr>
        <w:t> </w:t>
      </w:r>
      <w:r>
        <w:rPr/>
        <w:t>installation</w:t>
      </w:r>
      <w:r>
        <w:rPr>
          <w:spacing w:val="-7"/>
        </w:rPr>
        <w:t> </w:t>
      </w:r>
      <w:r>
        <w:rPr/>
        <w:t>economy,</w:t>
      </w:r>
      <w:r>
        <w:rPr>
          <w:spacing w:val="-7"/>
        </w:rPr>
        <w:t> </w:t>
      </w:r>
      <w:r>
        <w:rPr/>
        <w:t>inflation,</w:t>
      </w:r>
      <w:r>
        <w:rPr>
          <w:spacing w:val="-7"/>
        </w:rPr>
        <w:t> </w:t>
      </w:r>
      <w:r>
        <w:rPr/>
        <w:t>recession,</w:t>
      </w:r>
      <w:r>
        <w:rPr>
          <w:spacing w:val="-7"/>
        </w:rPr>
        <w:t> </w:t>
      </w:r>
      <w:r>
        <w:rPr/>
        <w:t>small</w:t>
      </w:r>
      <w:r>
        <w:rPr>
          <w:spacing w:val="-7"/>
        </w:rPr>
        <w:t> </w:t>
      </w:r>
      <w:r>
        <w:rPr/>
        <w:t>business,</w:t>
      </w:r>
      <w:r>
        <w:rPr>
          <w:spacing w:val="-7"/>
        </w:rPr>
        <w:t> </w:t>
      </w:r>
      <w:r>
        <w:rPr/>
        <w:t>jobs,</w:t>
      </w:r>
      <w:r>
        <w:rPr>
          <w:spacing w:val="-7"/>
        </w:rPr>
        <w:t> </w:t>
      </w:r>
      <w:r>
        <w:rPr/>
        <w:t>AI, </w:t>
      </w:r>
      <w:r>
        <w:rPr>
          <w:spacing w:val="-2"/>
        </w:rPr>
        <w:t>entrepreneurship.</w:t>
      </w:r>
    </w:p>
    <w:p>
      <w:pPr>
        <w:pStyle w:val="BodyText"/>
        <w:spacing w:before="1"/>
      </w:pPr>
    </w:p>
    <w:p>
      <w:pPr>
        <w:pStyle w:val="Heading4"/>
        <w:spacing w:before="1"/>
      </w:pPr>
      <w:r>
        <w:rPr>
          <w:spacing w:val="-2"/>
        </w:rPr>
        <w:t>Introduction</w:t>
      </w:r>
    </w:p>
    <w:p>
      <w:pPr>
        <w:pStyle w:val="BodyText"/>
        <w:spacing w:line="247" w:lineRule="auto" w:before="176"/>
        <w:ind w:left="723" w:right="1381"/>
      </w:pPr>
      <w:r>
        <w:rPr/>
        <w:t>The</w:t>
      </w:r>
      <w:r>
        <w:rPr>
          <w:spacing w:val="-3"/>
        </w:rPr>
        <w:t> </w:t>
      </w:r>
      <w:r>
        <w:rPr/>
        <w:t>U.S.</w:t>
      </w:r>
      <w:r>
        <w:rPr>
          <w:spacing w:val="-3"/>
        </w:rPr>
        <w:t> </w:t>
      </w:r>
      <w:r>
        <w:rPr/>
        <w:t>economy</w:t>
      </w:r>
      <w:r>
        <w:rPr>
          <w:spacing w:val="-3"/>
        </w:rPr>
        <w:t> </w:t>
      </w:r>
      <w:r>
        <w:rPr/>
        <w:t>has</w:t>
      </w:r>
      <w:r>
        <w:rPr>
          <w:spacing w:val="-3"/>
        </w:rPr>
        <w:t> </w:t>
      </w:r>
      <w:r>
        <w:rPr/>
        <w:t>seen</w:t>
      </w:r>
      <w:r>
        <w:rPr>
          <w:spacing w:val="-3"/>
        </w:rPr>
        <w:t> </w:t>
      </w:r>
      <w:r>
        <w:rPr/>
        <w:t>inflation,</w:t>
      </w:r>
      <w:r>
        <w:rPr>
          <w:spacing w:val="-3"/>
        </w:rPr>
        <w:t> </w:t>
      </w:r>
      <w:r>
        <w:rPr/>
        <w:t>supply</w:t>
      </w:r>
      <w:r>
        <w:rPr>
          <w:spacing w:val="-3"/>
        </w:rPr>
        <w:t> </w:t>
      </w:r>
      <w:r>
        <w:rPr/>
        <w:t>chain</w:t>
      </w:r>
      <w:r>
        <w:rPr>
          <w:spacing w:val="-3"/>
        </w:rPr>
        <w:t> </w:t>
      </w:r>
      <w:r>
        <w:rPr/>
        <w:t>logistics,</w:t>
      </w:r>
      <w:r>
        <w:rPr>
          <w:spacing w:val="-3"/>
        </w:rPr>
        <w:t> </w:t>
      </w:r>
      <w:r>
        <w:rPr/>
        <w:t>labor</w:t>
      </w:r>
      <w:r>
        <w:rPr>
          <w:spacing w:val="-3"/>
        </w:rPr>
        <w:t> </w:t>
      </w:r>
      <w:r>
        <w:rPr/>
        <w:t>shortages,</w:t>
      </w:r>
      <w:r>
        <w:rPr>
          <w:spacing w:val="-3"/>
        </w:rPr>
        <w:t> </w:t>
      </w:r>
      <w:r>
        <w:rPr/>
        <w:t>rising</w:t>
      </w:r>
      <w:r>
        <w:rPr>
          <w:spacing w:val="-3"/>
        </w:rPr>
        <w:t> </w:t>
      </w:r>
      <w:r>
        <w:rPr/>
        <w:t>debt,</w:t>
      </w:r>
      <w:r>
        <w:rPr>
          <w:spacing w:val="-3"/>
        </w:rPr>
        <w:t> </w:t>
      </w:r>
      <w:r>
        <w:rPr/>
        <w:t>lowered confidence indices, catalyzed initially by the global pandemic, sustained by the response, and at times exacerbated by several compounding factors. With a new administration’s policies, small businesses and consumers are continuing to face an unpredictable economy. This research illuminates current economic conditions with the intention of chronicling and supporting current and future entrepreneurial development.</w:t>
      </w:r>
    </w:p>
    <w:p>
      <w:pPr>
        <w:pStyle w:val="Heading4"/>
        <w:spacing w:before="177"/>
      </w:pPr>
      <w:r>
        <w:rPr/>
        <w:t>Context</w:t>
      </w:r>
      <w:r>
        <w:rPr>
          <w:spacing w:val="-2"/>
        </w:rPr>
        <w:t> </w:t>
      </w:r>
      <w:r>
        <w:rPr/>
        <w:t>&amp;</w:t>
      </w:r>
      <w:r>
        <w:rPr>
          <w:spacing w:val="-2"/>
        </w:rPr>
        <w:t> </w:t>
      </w:r>
      <w:r>
        <w:rPr/>
        <w:t>Literature</w:t>
      </w:r>
      <w:r>
        <w:rPr>
          <w:spacing w:val="-1"/>
        </w:rPr>
        <w:t> </w:t>
      </w:r>
      <w:r>
        <w:rPr>
          <w:spacing w:val="-2"/>
        </w:rPr>
        <w:t>Review</w:t>
      </w:r>
    </w:p>
    <w:p>
      <w:pPr>
        <w:pStyle w:val="BodyText"/>
        <w:spacing w:line="247" w:lineRule="auto" w:before="176"/>
        <w:ind w:left="723" w:right="1381"/>
      </w:pPr>
      <w:r>
        <w:rPr/>
        <w:t>The</w:t>
      </w:r>
      <w:r>
        <w:rPr>
          <w:spacing w:val="-4"/>
        </w:rPr>
        <w:t> </w:t>
      </w:r>
      <w:r>
        <w:rPr/>
        <w:t>COVID-19</w:t>
      </w:r>
      <w:r>
        <w:rPr>
          <w:spacing w:val="-4"/>
        </w:rPr>
        <w:t> </w:t>
      </w:r>
      <w:r>
        <w:rPr/>
        <w:t>pandemic</w:t>
      </w:r>
      <w:r>
        <w:rPr>
          <w:spacing w:val="-4"/>
        </w:rPr>
        <w:t> </w:t>
      </w:r>
      <w:r>
        <w:rPr/>
        <w:t>fundamentally</w:t>
      </w:r>
      <w:r>
        <w:rPr>
          <w:spacing w:val="-4"/>
        </w:rPr>
        <w:t> </w:t>
      </w:r>
      <w:r>
        <w:rPr/>
        <w:t>reshaped</w:t>
      </w:r>
      <w:r>
        <w:rPr>
          <w:spacing w:val="-4"/>
        </w:rPr>
        <w:t> </w:t>
      </w:r>
      <w:r>
        <w:rPr/>
        <w:t>patterns</w:t>
      </w:r>
      <w:r>
        <w:rPr>
          <w:spacing w:val="-4"/>
        </w:rPr>
        <w:t> </w:t>
      </w:r>
      <w:r>
        <w:rPr/>
        <w:t>of</w:t>
      </w:r>
      <w:r>
        <w:rPr>
          <w:spacing w:val="-4"/>
        </w:rPr>
        <w:t> </w:t>
      </w:r>
      <w:r>
        <w:rPr/>
        <w:t>work</w:t>
      </w:r>
      <w:r>
        <w:rPr>
          <w:spacing w:val="-4"/>
        </w:rPr>
        <w:t> </w:t>
      </w:r>
      <w:r>
        <w:rPr/>
        <w:t>as</w:t>
      </w:r>
      <w:r>
        <w:rPr>
          <w:spacing w:val="-4"/>
        </w:rPr>
        <w:t> </w:t>
      </w:r>
      <w:r>
        <w:rPr/>
        <w:t>virtual</w:t>
      </w:r>
      <w:r>
        <w:rPr>
          <w:spacing w:val="-4"/>
        </w:rPr>
        <w:t> </w:t>
      </w:r>
      <w:r>
        <w:rPr/>
        <w:t>workplaces</w:t>
      </w:r>
      <w:r>
        <w:rPr>
          <w:spacing w:val="-4"/>
        </w:rPr>
        <w:t> </w:t>
      </w:r>
      <w:r>
        <w:rPr/>
        <w:t>moved to the forefront, while global supply chain disruptions and labor shortages heightened consumer uncertainty</w:t>
      </w:r>
      <w:r>
        <w:rPr>
          <w:spacing w:val="-3"/>
        </w:rPr>
        <w:t> </w:t>
      </w:r>
      <w:r>
        <w:rPr/>
        <w:t>impacting</w:t>
      </w:r>
      <w:r>
        <w:rPr>
          <w:spacing w:val="-3"/>
        </w:rPr>
        <w:t> </w:t>
      </w:r>
      <w:r>
        <w:rPr/>
        <w:t>small</w:t>
      </w:r>
      <w:r>
        <w:rPr>
          <w:spacing w:val="-3"/>
        </w:rPr>
        <w:t> </w:t>
      </w:r>
      <w:r>
        <w:rPr/>
        <w:t>businesses</w:t>
      </w:r>
      <w:r>
        <w:rPr>
          <w:spacing w:val="-3"/>
        </w:rPr>
        <w:t> </w:t>
      </w:r>
      <w:r>
        <w:rPr/>
        <w:t>(Vohra,</w:t>
      </w:r>
      <w:r>
        <w:rPr>
          <w:spacing w:val="-3"/>
        </w:rPr>
        <w:t> </w:t>
      </w:r>
      <w:r>
        <w:rPr/>
        <w:t>2025).</w:t>
      </w:r>
      <w:r>
        <w:rPr>
          <w:spacing w:val="-3"/>
        </w:rPr>
        <w:t> </w:t>
      </w:r>
      <w:r>
        <w:rPr/>
        <w:t>These</w:t>
      </w:r>
      <w:r>
        <w:rPr>
          <w:spacing w:val="-3"/>
        </w:rPr>
        <w:t> </w:t>
      </w:r>
      <w:r>
        <w:rPr/>
        <w:t>disruptions</w:t>
      </w:r>
      <w:r>
        <w:rPr>
          <w:spacing w:val="-3"/>
        </w:rPr>
        <w:t> </w:t>
      </w:r>
      <w:r>
        <w:rPr/>
        <w:t>have</w:t>
      </w:r>
      <w:r>
        <w:rPr>
          <w:spacing w:val="-3"/>
        </w:rPr>
        <w:t> </w:t>
      </w:r>
      <w:r>
        <w:rPr/>
        <w:t>since</w:t>
      </w:r>
      <w:r>
        <w:rPr>
          <w:spacing w:val="-3"/>
        </w:rPr>
        <w:t> </w:t>
      </w:r>
      <w:r>
        <w:rPr/>
        <w:t>been</w:t>
      </w:r>
      <w:r>
        <w:rPr>
          <w:spacing w:val="-3"/>
        </w:rPr>
        <w:t> </w:t>
      </w:r>
      <w:r>
        <w:rPr/>
        <w:t>at</w:t>
      </w:r>
      <w:r>
        <w:rPr>
          <w:spacing w:val="-3"/>
        </w:rPr>
        <w:t> </w:t>
      </w:r>
      <w:r>
        <w:rPr/>
        <w:t>least in part a catalyst for rapid technological advances including app development, delivery services and telehealth. A key enabler of many technological innovations has been Artificial intelligence (AI) (Tsai et al., 2023). Such advances portend immediate and far-reaching implications on the</w:t>
      </w:r>
    </w:p>
    <w:p>
      <w:pPr>
        <w:pStyle w:val="BodyText"/>
        <w:spacing w:line="247" w:lineRule="auto" w:before="5"/>
        <w:ind w:left="723" w:right="1191"/>
      </w:pPr>
      <w:r>
        <w:rPr/>
        <w:t>U.S.</w:t>
      </w:r>
      <w:r>
        <w:rPr>
          <w:spacing w:val="-6"/>
        </w:rPr>
        <w:t> </w:t>
      </w:r>
      <w:r>
        <w:rPr/>
        <w:t>workforce</w:t>
      </w:r>
      <w:r>
        <w:rPr>
          <w:spacing w:val="-6"/>
        </w:rPr>
        <w:t> </w:t>
      </w:r>
      <w:r>
        <w:rPr/>
        <w:t>(Wadhawan</w:t>
      </w:r>
      <w:r>
        <w:rPr>
          <w:spacing w:val="-6"/>
        </w:rPr>
        <w:t> </w:t>
      </w:r>
      <w:r>
        <w:rPr/>
        <w:t>&amp;</w:t>
      </w:r>
      <w:r>
        <w:rPr>
          <w:spacing w:val="-6"/>
        </w:rPr>
        <w:t> </w:t>
      </w:r>
      <w:r>
        <w:rPr/>
        <w:t>Kaur,</w:t>
      </w:r>
      <w:r>
        <w:rPr>
          <w:spacing w:val="-6"/>
        </w:rPr>
        <w:t> </w:t>
      </w:r>
      <w:r>
        <w:rPr/>
        <w:t>2023),</w:t>
      </w:r>
      <w:r>
        <w:rPr>
          <w:spacing w:val="-6"/>
        </w:rPr>
        <w:t> </w:t>
      </w:r>
      <w:r>
        <w:rPr/>
        <w:t>including</w:t>
      </w:r>
      <w:r>
        <w:rPr>
          <w:spacing w:val="-6"/>
        </w:rPr>
        <w:t> </w:t>
      </w:r>
      <w:r>
        <w:rPr/>
        <w:t>job</w:t>
      </w:r>
      <w:r>
        <w:rPr>
          <w:spacing w:val="-6"/>
        </w:rPr>
        <w:t> </w:t>
      </w:r>
      <w:r>
        <w:rPr/>
        <w:t>loss</w:t>
      </w:r>
      <w:r>
        <w:rPr>
          <w:spacing w:val="-6"/>
        </w:rPr>
        <w:t> </w:t>
      </w:r>
      <w:r>
        <w:rPr/>
        <w:t>for</w:t>
      </w:r>
      <w:r>
        <w:rPr>
          <w:spacing w:val="-6"/>
        </w:rPr>
        <w:t> </w:t>
      </w:r>
      <w:r>
        <w:rPr/>
        <w:t>early-career</w:t>
      </w:r>
      <w:r>
        <w:rPr>
          <w:spacing w:val="-6"/>
        </w:rPr>
        <w:t> </w:t>
      </w:r>
      <w:r>
        <w:rPr/>
        <w:t>individuals (Brynjolfsson et al., 2025).</w:t>
      </w:r>
    </w:p>
    <w:p>
      <w:pPr>
        <w:pStyle w:val="BodyText"/>
        <w:spacing w:after="0" w:line="247" w:lineRule="auto"/>
        <w:sectPr>
          <w:type w:val="continuous"/>
          <w:pgSz w:w="12240" w:h="15840"/>
          <w:pgMar w:header="0" w:footer="768" w:top="740" w:bottom="280" w:left="720" w:right="0"/>
        </w:sectPr>
      </w:pPr>
    </w:p>
    <w:p>
      <w:pPr>
        <w:pStyle w:val="BodyText"/>
        <w:spacing w:line="247" w:lineRule="auto" w:before="60"/>
        <w:ind w:left="723" w:right="1461"/>
      </w:pPr>
      <w:r>
        <w:rPr/>
        <w:t>Of late, AI has emerged as a transformative force (Jiang et al., 2025), affecting individuals as workers and consumers, small business owners and entrepreneurs. This research considers and chronicles current and projected conditions in the economy based on and informed by these observations. Many developments are associated with the adoption of AI, including its influence on labor markets, supply chain management, consumer behavior, business productivity, and innovation. AI is proving to interact with broader economic dynamics such as workforce shortages</w:t>
      </w:r>
      <w:r>
        <w:rPr>
          <w:spacing w:val="-5"/>
        </w:rPr>
        <w:t> </w:t>
      </w:r>
      <w:r>
        <w:rPr/>
        <w:t>and</w:t>
      </w:r>
      <w:r>
        <w:rPr>
          <w:spacing w:val="-5"/>
        </w:rPr>
        <w:t> </w:t>
      </w:r>
      <w:r>
        <w:rPr/>
        <w:t>surpluses,</w:t>
      </w:r>
      <w:r>
        <w:rPr>
          <w:spacing w:val="-5"/>
        </w:rPr>
        <w:t> </w:t>
      </w:r>
      <w:r>
        <w:rPr/>
        <w:t>new</w:t>
      </w:r>
      <w:r>
        <w:rPr>
          <w:spacing w:val="-5"/>
        </w:rPr>
        <w:t> </w:t>
      </w:r>
      <w:r>
        <w:rPr/>
        <w:t>business</w:t>
      </w:r>
      <w:r>
        <w:rPr>
          <w:spacing w:val="-5"/>
        </w:rPr>
        <w:t> </w:t>
      </w:r>
      <w:r>
        <w:rPr/>
        <w:t>formations,</w:t>
      </w:r>
      <w:r>
        <w:rPr>
          <w:spacing w:val="-5"/>
        </w:rPr>
        <w:t> </w:t>
      </w:r>
      <w:r>
        <w:rPr/>
        <w:t>and</w:t>
      </w:r>
      <w:r>
        <w:rPr>
          <w:spacing w:val="-5"/>
        </w:rPr>
        <w:t> </w:t>
      </w:r>
      <w:r>
        <w:rPr/>
        <w:t>shifting</w:t>
      </w:r>
      <w:r>
        <w:rPr>
          <w:spacing w:val="-5"/>
        </w:rPr>
        <w:t> </w:t>
      </w:r>
      <w:r>
        <w:rPr/>
        <w:t>confidence</w:t>
      </w:r>
      <w:r>
        <w:rPr>
          <w:spacing w:val="-5"/>
        </w:rPr>
        <w:t> </w:t>
      </w:r>
      <w:r>
        <w:rPr/>
        <w:t>in</w:t>
      </w:r>
      <w:r>
        <w:rPr>
          <w:spacing w:val="-5"/>
        </w:rPr>
        <w:t> </w:t>
      </w:r>
      <w:r>
        <w:rPr/>
        <w:t>the</w:t>
      </w:r>
      <w:r>
        <w:rPr>
          <w:spacing w:val="-5"/>
        </w:rPr>
        <w:t> </w:t>
      </w:r>
      <w:r>
        <w:rPr/>
        <w:t>U.S.</w:t>
      </w:r>
      <w:r>
        <w:rPr>
          <w:spacing w:val="-5"/>
        </w:rPr>
        <w:t> </w:t>
      </w:r>
      <w:r>
        <w:rPr/>
        <w:t>economy’s future (DeSmith, 2025). These developments must be considered in the context of anticipated regulatory and policy changes. Efforts to document these conditions can serve as a resource for policymakers, entrepreneurs (practitioners and educators), and support ecosystems as they navigate the opportunities and risks of AI in the evolving economy.</w:t>
      </w:r>
    </w:p>
    <w:p>
      <w:pPr>
        <w:spacing w:before="182"/>
        <w:ind w:left="738" w:right="0" w:firstLine="0"/>
        <w:jc w:val="left"/>
        <w:rPr>
          <w:i/>
          <w:sz w:val="24"/>
        </w:rPr>
      </w:pPr>
      <w:r>
        <w:rPr>
          <w:i/>
          <w:sz w:val="24"/>
        </w:rPr>
        <w:t>COVID-19 </w:t>
      </w:r>
      <w:r>
        <w:rPr>
          <w:i/>
          <w:spacing w:val="-2"/>
          <w:sz w:val="24"/>
        </w:rPr>
        <w:t>Impacts</w:t>
      </w:r>
    </w:p>
    <w:p>
      <w:pPr>
        <w:spacing w:line="247" w:lineRule="auto" w:before="176"/>
        <w:ind w:left="723" w:right="1472" w:firstLine="0"/>
        <w:jc w:val="left"/>
        <w:rPr>
          <w:sz w:val="24"/>
        </w:rPr>
      </w:pPr>
      <w:r>
        <w:rPr>
          <w:sz w:val="24"/>
        </w:rPr>
        <w:t>Numerous interdependencies became glaringly apparent in connection with supply chain disruptions.</w:t>
      </w:r>
      <w:r>
        <w:rPr>
          <w:spacing w:val="-3"/>
          <w:sz w:val="24"/>
        </w:rPr>
        <w:t> </w:t>
      </w:r>
      <w:r>
        <w:rPr>
          <w:sz w:val="24"/>
        </w:rPr>
        <w:t>For</w:t>
      </w:r>
      <w:r>
        <w:rPr>
          <w:spacing w:val="-3"/>
          <w:sz w:val="24"/>
        </w:rPr>
        <w:t> </w:t>
      </w:r>
      <w:r>
        <w:rPr>
          <w:sz w:val="24"/>
        </w:rPr>
        <w:t>instance,</w:t>
      </w:r>
      <w:r>
        <w:rPr>
          <w:spacing w:val="-3"/>
          <w:sz w:val="24"/>
        </w:rPr>
        <w:t> </w:t>
      </w:r>
      <w:r>
        <w:rPr>
          <w:sz w:val="24"/>
        </w:rPr>
        <w:t>automobile</w:t>
      </w:r>
      <w:r>
        <w:rPr>
          <w:spacing w:val="-3"/>
          <w:sz w:val="24"/>
        </w:rPr>
        <w:t> </w:t>
      </w:r>
      <w:r>
        <w:rPr>
          <w:sz w:val="24"/>
        </w:rPr>
        <w:t>manufacturing</w:t>
      </w:r>
      <w:r>
        <w:rPr>
          <w:spacing w:val="-3"/>
          <w:sz w:val="24"/>
        </w:rPr>
        <w:t> </w:t>
      </w:r>
      <w:r>
        <w:rPr>
          <w:sz w:val="24"/>
        </w:rPr>
        <w:t>was</w:t>
      </w:r>
      <w:r>
        <w:rPr>
          <w:spacing w:val="-3"/>
          <w:sz w:val="24"/>
        </w:rPr>
        <w:t> </w:t>
      </w:r>
      <w:r>
        <w:rPr>
          <w:sz w:val="24"/>
        </w:rPr>
        <w:t>halted</w:t>
      </w:r>
      <w:r>
        <w:rPr>
          <w:spacing w:val="-3"/>
          <w:sz w:val="24"/>
        </w:rPr>
        <w:t> </w:t>
      </w:r>
      <w:r>
        <w:rPr>
          <w:sz w:val="24"/>
        </w:rPr>
        <w:t>altogether</w:t>
      </w:r>
      <w:r>
        <w:rPr>
          <w:spacing w:val="-3"/>
          <w:sz w:val="24"/>
        </w:rPr>
        <w:t> </w:t>
      </w:r>
      <w:r>
        <w:rPr>
          <w:sz w:val="24"/>
        </w:rPr>
        <w:t>in</w:t>
      </w:r>
      <w:r>
        <w:rPr>
          <w:spacing w:val="-3"/>
          <w:sz w:val="24"/>
        </w:rPr>
        <w:t> </w:t>
      </w:r>
      <w:r>
        <w:rPr>
          <w:sz w:val="24"/>
        </w:rPr>
        <w:t>some</w:t>
      </w:r>
      <w:r>
        <w:rPr>
          <w:spacing w:val="-3"/>
          <w:sz w:val="24"/>
        </w:rPr>
        <w:t> </w:t>
      </w:r>
      <w:r>
        <w:rPr>
          <w:sz w:val="24"/>
        </w:rPr>
        <w:t>cases</w:t>
      </w:r>
      <w:r>
        <w:rPr>
          <w:spacing w:val="-3"/>
          <w:sz w:val="24"/>
        </w:rPr>
        <w:t> </w:t>
      </w:r>
      <w:r>
        <w:rPr>
          <w:sz w:val="24"/>
        </w:rPr>
        <w:t>due</w:t>
      </w:r>
      <w:r>
        <w:rPr>
          <w:spacing w:val="-3"/>
          <w:sz w:val="24"/>
        </w:rPr>
        <w:t> </w:t>
      </w:r>
      <w:r>
        <w:rPr>
          <w:sz w:val="24"/>
        </w:rPr>
        <w:t>to</w:t>
      </w:r>
      <w:r>
        <w:rPr>
          <w:spacing w:val="-3"/>
          <w:sz w:val="24"/>
        </w:rPr>
        <w:t> </w:t>
      </w:r>
      <w:r>
        <w:rPr>
          <w:sz w:val="24"/>
        </w:rPr>
        <w:t>a shortage of computer chips (</w:t>
      </w:r>
      <w:r>
        <w:rPr>
          <w:i/>
          <w:sz w:val="24"/>
        </w:rPr>
        <w:t>Supply chain issues and autos: When will the chip shortage end?</w:t>
      </w:r>
      <w:r>
        <w:rPr>
          <w:sz w:val="24"/>
        </w:rPr>
        <w:t>, 2023).</w:t>
      </w:r>
      <w:r>
        <w:rPr>
          <w:spacing w:val="-2"/>
          <w:sz w:val="24"/>
        </w:rPr>
        <w:t> </w:t>
      </w:r>
      <w:r>
        <w:rPr>
          <w:sz w:val="24"/>
        </w:rPr>
        <w:t>Shortages</w:t>
      </w:r>
      <w:r>
        <w:rPr>
          <w:spacing w:val="-2"/>
          <w:sz w:val="24"/>
        </w:rPr>
        <w:t> </w:t>
      </w:r>
      <w:r>
        <w:rPr>
          <w:sz w:val="24"/>
        </w:rPr>
        <w:t>in</w:t>
      </w:r>
      <w:r>
        <w:rPr>
          <w:spacing w:val="-2"/>
          <w:sz w:val="24"/>
        </w:rPr>
        <w:t> </w:t>
      </w:r>
      <w:r>
        <w:rPr>
          <w:sz w:val="24"/>
        </w:rPr>
        <w:t>numerous</w:t>
      </w:r>
      <w:r>
        <w:rPr>
          <w:spacing w:val="-2"/>
          <w:sz w:val="24"/>
        </w:rPr>
        <w:t> </w:t>
      </w:r>
      <w:r>
        <w:rPr>
          <w:sz w:val="24"/>
        </w:rPr>
        <w:t>consumer</w:t>
      </w:r>
      <w:r>
        <w:rPr>
          <w:spacing w:val="-2"/>
          <w:sz w:val="24"/>
        </w:rPr>
        <w:t> </w:t>
      </w:r>
      <w:r>
        <w:rPr>
          <w:sz w:val="24"/>
        </w:rPr>
        <w:t>goods</w:t>
      </w:r>
      <w:r>
        <w:rPr>
          <w:spacing w:val="-2"/>
          <w:sz w:val="24"/>
        </w:rPr>
        <w:t> </w:t>
      </w:r>
      <w:r>
        <w:rPr>
          <w:sz w:val="24"/>
        </w:rPr>
        <w:t>categories</w:t>
      </w:r>
      <w:r>
        <w:rPr>
          <w:spacing w:val="-2"/>
          <w:sz w:val="24"/>
        </w:rPr>
        <w:t> </w:t>
      </w:r>
      <w:r>
        <w:rPr>
          <w:sz w:val="24"/>
        </w:rPr>
        <w:t>and</w:t>
      </w:r>
      <w:r>
        <w:rPr>
          <w:spacing w:val="-2"/>
          <w:sz w:val="24"/>
        </w:rPr>
        <w:t> </w:t>
      </w:r>
      <w:r>
        <w:rPr>
          <w:sz w:val="24"/>
        </w:rPr>
        <w:t>products</w:t>
      </w:r>
      <w:r>
        <w:rPr>
          <w:spacing w:val="-2"/>
          <w:sz w:val="24"/>
        </w:rPr>
        <w:t> </w:t>
      </w:r>
      <w:r>
        <w:rPr>
          <w:sz w:val="24"/>
        </w:rPr>
        <w:t>used</w:t>
      </w:r>
      <w:r>
        <w:rPr>
          <w:spacing w:val="-2"/>
          <w:sz w:val="24"/>
        </w:rPr>
        <w:t> </w:t>
      </w:r>
      <w:r>
        <w:rPr>
          <w:sz w:val="24"/>
        </w:rPr>
        <w:t>by</w:t>
      </w:r>
      <w:r>
        <w:rPr>
          <w:spacing w:val="-2"/>
          <w:sz w:val="24"/>
        </w:rPr>
        <w:t> </w:t>
      </w:r>
      <w:r>
        <w:rPr>
          <w:sz w:val="24"/>
        </w:rPr>
        <w:t>businesses</w:t>
      </w:r>
      <w:r>
        <w:rPr>
          <w:spacing w:val="-2"/>
          <w:sz w:val="24"/>
        </w:rPr>
        <w:t> </w:t>
      </w:r>
      <w:r>
        <w:rPr>
          <w:sz w:val="24"/>
        </w:rPr>
        <w:t>led</w:t>
      </w:r>
      <w:r>
        <w:rPr>
          <w:spacing w:val="-2"/>
          <w:sz w:val="24"/>
        </w:rPr>
        <w:t> </w:t>
      </w:r>
      <w:r>
        <w:rPr>
          <w:sz w:val="24"/>
        </w:rPr>
        <w:t>to inflation, reaching levels not seen since the early 1980s (</w:t>
      </w:r>
      <w:r>
        <w:rPr>
          <w:i/>
          <w:sz w:val="24"/>
        </w:rPr>
        <w:t>Consumer prices up 9.1 percent over</w:t>
      </w:r>
      <w:r>
        <w:rPr>
          <w:i/>
          <w:spacing w:val="40"/>
          <w:sz w:val="24"/>
        </w:rPr>
        <w:t> </w:t>
      </w:r>
      <w:r>
        <w:rPr>
          <w:i/>
          <w:sz w:val="24"/>
        </w:rPr>
        <w:t>the year ended June 2022, largest increase in 40 years</w:t>
      </w:r>
      <w:r>
        <w:rPr>
          <w:sz w:val="24"/>
        </w:rPr>
        <w:t>, 2022). Fuel price increases at historic levels also contributed to inflationary pressures. In its efforts to bring down inflation, the U.S. Federal Reserve engaged in a series of historically aggressive basis point increases.</w:t>
      </w:r>
    </w:p>
    <w:p>
      <w:pPr>
        <w:pStyle w:val="BodyText"/>
        <w:spacing w:before="16"/>
      </w:pPr>
    </w:p>
    <w:p>
      <w:pPr>
        <w:pStyle w:val="BodyText"/>
        <w:spacing w:line="247" w:lineRule="auto"/>
        <w:ind w:left="723" w:right="1612"/>
        <w:jc w:val="both"/>
      </w:pPr>
      <w:r>
        <w:rPr/>
        <w:t>Concurrently (or arguably consequently), U.S.</w:t>
      </w:r>
      <w:r>
        <w:rPr>
          <w:spacing w:val="-4"/>
        </w:rPr>
        <w:t> </w:t>
      </w:r>
      <w:r>
        <w:rPr/>
        <w:t>consumer-</w:t>
      </w:r>
      <w:r>
        <w:rPr>
          <w:spacing w:val="-4"/>
        </w:rPr>
        <w:t> </w:t>
      </w:r>
      <w:r>
        <w:rPr/>
        <w:t>and</w:t>
      </w:r>
      <w:r>
        <w:rPr>
          <w:spacing w:val="-4"/>
        </w:rPr>
        <w:t> </w:t>
      </w:r>
      <w:r>
        <w:rPr/>
        <w:t>public</w:t>
      </w:r>
      <w:r>
        <w:rPr>
          <w:spacing w:val="-4"/>
        </w:rPr>
        <w:t> </w:t>
      </w:r>
      <w:r>
        <w:rPr/>
        <w:t>debt</w:t>
      </w:r>
      <w:r>
        <w:rPr>
          <w:spacing w:val="-4"/>
        </w:rPr>
        <w:t> </w:t>
      </w:r>
      <w:r>
        <w:rPr/>
        <w:t>rose</w:t>
      </w:r>
      <w:r>
        <w:rPr>
          <w:spacing w:val="-4"/>
        </w:rPr>
        <w:t> </w:t>
      </w:r>
      <w:r>
        <w:rPr/>
        <w:t>to</w:t>
      </w:r>
      <w:r>
        <w:rPr>
          <w:spacing w:val="-4"/>
        </w:rPr>
        <w:t> </w:t>
      </w:r>
      <w:r>
        <w:rPr/>
        <w:t>record</w:t>
      </w:r>
      <w:r>
        <w:rPr>
          <w:spacing w:val="-4"/>
        </w:rPr>
        <w:t> </w:t>
      </w:r>
      <w:r>
        <w:rPr/>
        <w:t>levels. Bank of America, observed a 36%</w:t>
      </w:r>
      <w:r>
        <w:rPr>
          <w:spacing w:val="-4"/>
        </w:rPr>
        <w:t> </w:t>
      </w:r>
      <w:r>
        <w:rPr/>
        <w:t>year-over-year</w:t>
      </w:r>
      <w:r>
        <w:rPr>
          <w:spacing w:val="-4"/>
        </w:rPr>
        <w:t> </w:t>
      </w:r>
      <w:r>
        <w:rPr/>
        <w:t>increase</w:t>
      </w:r>
      <w:r>
        <w:rPr>
          <w:spacing w:val="-4"/>
        </w:rPr>
        <w:t> </w:t>
      </w:r>
      <w:r>
        <w:rPr/>
        <w:t>in</w:t>
      </w:r>
      <w:r>
        <w:rPr>
          <w:spacing w:val="-4"/>
        </w:rPr>
        <w:t> </w:t>
      </w:r>
      <w:r>
        <w:rPr/>
        <w:t>the</w:t>
      </w:r>
      <w:r>
        <w:rPr>
          <w:spacing w:val="-4"/>
        </w:rPr>
        <w:t> </w:t>
      </w:r>
      <w:r>
        <w:rPr/>
        <w:t>number</w:t>
      </w:r>
      <w:r>
        <w:rPr>
          <w:spacing w:val="-4"/>
        </w:rPr>
        <w:t> </w:t>
      </w:r>
      <w:r>
        <w:rPr/>
        <w:t>of</w:t>
      </w:r>
      <w:r>
        <w:rPr>
          <w:spacing w:val="-4"/>
        </w:rPr>
        <w:t> </w:t>
      </w:r>
      <w:r>
        <w:rPr/>
        <w:t>participants</w:t>
      </w:r>
      <w:r>
        <w:rPr>
          <w:spacing w:val="-4"/>
        </w:rPr>
        <w:t> </w:t>
      </w:r>
      <w:r>
        <w:rPr/>
        <w:t>taking hardship withdrawals from their 401(k)s (Anderson, 2023).</w:t>
      </w:r>
    </w:p>
    <w:p>
      <w:pPr>
        <w:spacing w:before="170"/>
        <w:ind w:left="708" w:right="0" w:firstLine="0"/>
        <w:jc w:val="left"/>
        <w:rPr>
          <w:i/>
          <w:sz w:val="24"/>
        </w:rPr>
      </w:pPr>
      <w:r>
        <w:rPr>
          <w:i/>
          <w:sz w:val="24"/>
        </w:rPr>
        <w:t>Present</w:t>
      </w:r>
      <w:r>
        <w:rPr>
          <w:i/>
          <w:spacing w:val="-5"/>
          <w:sz w:val="24"/>
        </w:rPr>
        <w:t> </w:t>
      </w:r>
      <w:r>
        <w:rPr>
          <w:i/>
          <w:sz w:val="24"/>
        </w:rPr>
        <w:t>Economic</w:t>
      </w:r>
      <w:r>
        <w:rPr>
          <w:i/>
          <w:spacing w:val="-4"/>
          <w:sz w:val="24"/>
        </w:rPr>
        <w:t> </w:t>
      </w:r>
      <w:r>
        <w:rPr>
          <w:i/>
          <w:spacing w:val="-2"/>
          <w:sz w:val="24"/>
        </w:rPr>
        <w:t>Conditions</w:t>
      </w:r>
    </w:p>
    <w:p>
      <w:pPr>
        <w:pStyle w:val="BodyText"/>
        <w:spacing w:line="249" w:lineRule="auto" w:before="181"/>
        <w:ind w:left="723" w:right="1453"/>
      </w:pPr>
      <w:r>
        <w:rPr/>
        <w:t>Economic conditions at present in the U.S. exhibit varied signals. Some of these may be viewed as positive signs, such as a strong stock market, reaching record highs (Culp, 2024), while consumer- and public debt levels are concerning. Through December 2025 over 1,206,000 layoffs have been facilitated impacting U.S. workers and this is a year-to-date increase from</w:t>
      </w:r>
      <w:r>
        <w:rPr>
          <w:spacing w:val="40"/>
        </w:rPr>
        <w:t> </w:t>
      </w:r>
      <w:r>
        <w:rPr/>
        <w:t>2024 of 58%, which is the 7</w:t>
      </w:r>
      <w:r>
        <w:rPr>
          <w:vertAlign w:val="superscript"/>
        </w:rPr>
        <w:t>th</w:t>
      </w:r>
      <w:r>
        <w:rPr>
          <w:spacing w:val="-15"/>
          <w:vertAlign w:val="baseline"/>
        </w:rPr>
        <w:t> </w:t>
      </w:r>
      <w:r>
        <w:rPr>
          <w:vertAlign w:val="baseline"/>
        </w:rPr>
        <w:t>highest level since 1989 and the highest since 2020 (Challenger, 2025).</w:t>
      </w:r>
      <w:r>
        <w:rPr>
          <w:spacing w:val="-3"/>
          <w:vertAlign w:val="baseline"/>
        </w:rPr>
        <w:t> </w:t>
      </w:r>
      <w:r>
        <w:rPr>
          <w:vertAlign w:val="baseline"/>
        </w:rPr>
        <w:t>U.S.</w:t>
      </w:r>
      <w:r>
        <w:rPr>
          <w:spacing w:val="-3"/>
          <w:vertAlign w:val="baseline"/>
        </w:rPr>
        <w:t> </w:t>
      </w:r>
      <w:r>
        <w:rPr>
          <w:vertAlign w:val="baseline"/>
        </w:rPr>
        <w:t>businesses</w:t>
      </w:r>
      <w:r>
        <w:rPr>
          <w:spacing w:val="-3"/>
          <w:vertAlign w:val="baseline"/>
        </w:rPr>
        <w:t> </w:t>
      </w:r>
      <w:r>
        <w:rPr>
          <w:vertAlign w:val="baseline"/>
        </w:rPr>
        <w:t>nearly</w:t>
      </w:r>
      <w:r>
        <w:rPr>
          <w:spacing w:val="-3"/>
          <w:vertAlign w:val="baseline"/>
        </w:rPr>
        <w:t> </w:t>
      </w:r>
      <w:r>
        <w:rPr>
          <w:vertAlign w:val="baseline"/>
        </w:rPr>
        <w:t>doubled</w:t>
      </w:r>
      <w:r>
        <w:rPr>
          <w:spacing w:val="-3"/>
          <w:vertAlign w:val="baseline"/>
        </w:rPr>
        <w:t> </w:t>
      </w:r>
      <w:r>
        <w:rPr>
          <w:vertAlign w:val="baseline"/>
        </w:rPr>
        <w:t>layoffs</w:t>
      </w:r>
      <w:r>
        <w:rPr>
          <w:spacing w:val="-3"/>
          <w:vertAlign w:val="baseline"/>
        </w:rPr>
        <w:t> </w:t>
      </w:r>
      <w:r>
        <w:rPr>
          <w:vertAlign w:val="baseline"/>
        </w:rPr>
        <w:t>in</w:t>
      </w:r>
      <w:r>
        <w:rPr>
          <w:spacing w:val="-3"/>
          <w:vertAlign w:val="baseline"/>
        </w:rPr>
        <w:t> </w:t>
      </w:r>
      <w:r>
        <w:rPr>
          <w:vertAlign w:val="baseline"/>
        </w:rPr>
        <w:t>2025</w:t>
      </w:r>
      <w:r>
        <w:rPr>
          <w:spacing w:val="-3"/>
          <w:vertAlign w:val="baseline"/>
        </w:rPr>
        <w:t> </w:t>
      </w:r>
      <w:r>
        <w:rPr>
          <w:vertAlign w:val="baseline"/>
        </w:rPr>
        <w:t>as</w:t>
      </w:r>
      <w:r>
        <w:rPr>
          <w:spacing w:val="-3"/>
          <w:vertAlign w:val="baseline"/>
        </w:rPr>
        <w:t> </w:t>
      </w:r>
      <w:r>
        <w:rPr>
          <w:vertAlign w:val="baseline"/>
        </w:rPr>
        <w:t>compared</w:t>
      </w:r>
      <w:r>
        <w:rPr>
          <w:spacing w:val="-3"/>
          <w:vertAlign w:val="baseline"/>
        </w:rPr>
        <w:t> </w:t>
      </w:r>
      <w:r>
        <w:rPr>
          <w:vertAlign w:val="baseline"/>
        </w:rPr>
        <w:t>to</w:t>
      </w:r>
      <w:r>
        <w:rPr>
          <w:spacing w:val="-3"/>
          <w:vertAlign w:val="baseline"/>
        </w:rPr>
        <w:t> </w:t>
      </w:r>
      <w:r>
        <w:rPr>
          <w:vertAlign w:val="baseline"/>
        </w:rPr>
        <w:t>2024</w:t>
      </w:r>
      <w:r>
        <w:rPr>
          <w:spacing w:val="-3"/>
          <w:vertAlign w:val="baseline"/>
        </w:rPr>
        <w:t> </w:t>
      </w:r>
      <w:r>
        <w:rPr>
          <w:vertAlign w:val="baseline"/>
        </w:rPr>
        <w:t>and</w:t>
      </w:r>
      <w:r>
        <w:rPr>
          <w:spacing w:val="-3"/>
          <w:vertAlign w:val="baseline"/>
        </w:rPr>
        <w:t> </w:t>
      </w:r>
      <w:r>
        <w:rPr>
          <w:vertAlign w:val="baseline"/>
        </w:rPr>
        <w:t>a</w:t>
      </w:r>
      <w:r>
        <w:rPr>
          <w:spacing w:val="-3"/>
          <w:vertAlign w:val="baseline"/>
        </w:rPr>
        <w:t> </w:t>
      </w:r>
      <w:r>
        <w:rPr>
          <w:vertAlign w:val="baseline"/>
        </w:rPr>
        <w:t>key</w:t>
      </w:r>
      <w:r>
        <w:rPr>
          <w:spacing w:val="-3"/>
          <w:vertAlign w:val="baseline"/>
        </w:rPr>
        <w:t> </w:t>
      </w:r>
      <w:r>
        <w:rPr>
          <w:vertAlign w:val="baseline"/>
        </w:rPr>
        <w:t>contributor is impacts associated with AI. Additionally, beginning in the first quarter of 2025, household debt levels reached all-time highs. Notwithstanding this previous record, according to the U.S. Federal Reserve Bank of New York (FED), household debt growth is continuing (</w:t>
      </w:r>
      <w:r>
        <w:rPr>
          <w:i/>
          <w:vertAlign w:val="baseline"/>
        </w:rPr>
        <w:t>Household</w:t>
      </w:r>
      <w:r>
        <w:rPr>
          <w:i/>
          <w:vertAlign w:val="baseline"/>
        </w:rPr>
        <w:t> debt and credit report (Q2 2025)</w:t>
      </w:r>
      <w:r>
        <w:rPr>
          <w:vertAlign w:val="baseline"/>
        </w:rPr>
        <w:t>, 2025). It has now increased by $185 billion and reached</w:t>
      </w:r>
    </w:p>
    <w:p>
      <w:pPr>
        <w:pStyle w:val="BodyText"/>
        <w:spacing w:before="9"/>
        <w:ind w:left="723"/>
      </w:pPr>
      <w:r>
        <w:rPr/>
        <w:t>$18.39 </w:t>
      </w:r>
      <w:r>
        <w:rPr>
          <w:spacing w:val="-2"/>
        </w:rPr>
        <w:t>trillion.</w:t>
      </w:r>
    </w:p>
    <w:p>
      <w:pPr>
        <w:pStyle w:val="BodyText"/>
        <w:spacing w:line="247" w:lineRule="auto" w:before="182"/>
        <w:ind w:left="723" w:right="1431"/>
      </w:pPr>
      <w:r>
        <w:rPr/>
        <w:t>As of the end of September 2025, the U.S. Bureau of Economic Analysis reported Gross Domestic Product at 3.8% (</w:t>
      </w:r>
      <w:r>
        <w:rPr>
          <w:i/>
        </w:rPr>
        <w:t>U.S. International Investment Position, 2nd Quarter 2025</w:t>
      </w:r>
      <w:r>
        <w:rPr/>
        <w:t>, 2025). At the</w:t>
      </w:r>
      <w:r>
        <w:rPr>
          <w:spacing w:val="-3"/>
        </w:rPr>
        <w:t> </w:t>
      </w:r>
      <w:r>
        <w:rPr/>
        <w:t>same</w:t>
      </w:r>
      <w:r>
        <w:rPr>
          <w:spacing w:val="-3"/>
        </w:rPr>
        <w:t> </w:t>
      </w:r>
      <w:r>
        <w:rPr/>
        <w:t>time,</w:t>
      </w:r>
      <w:r>
        <w:rPr>
          <w:spacing w:val="-3"/>
        </w:rPr>
        <w:t> </w:t>
      </w:r>
      <w:r>
        <w:rPr/>
        <w:t>according</w:t>
      </w:r>
      <w:r>
        <w:rPr>
          <w:spacing w:val="-3"/>
        </w:rPr>
        <w:t> </w:t>
      </w:r>
      <w:r>
        <w:rPr/>
        <w:t>to</w:t>
      </w:r>
      <w:r>
        <w:rPr>
          <w:spacing w:val="-3"/>
        </w:rPr>
        <w:t> </w:t>
      </w:r>
      <w:r>
        <w:rPr/>
        <w:t>research</w:t>
      </w:r>
      <w:r>
        <w:rPr>
          <w:spacing w:val="-3"/>
        </w:rPr>
        <w:t> </w:t>
      </w:r>
      <w:r>
        <w:rPr/>
        <w:t>by</w:t>
      </w:r>
      <w:r>
        <w:rPr>
          <w:spacing w:val="-3"/>
        </w:rPr>
        <w:t> </w:t>
      </w:r>
      <w:r>
        <w:rPr/>
        <w:t>MetLife</w:t>
      </w:r>
      <w:r>
        <w:rPr>
          <w:spacing w:val="-3"/>
        </w:rPr>
        <w:t> </w:t>
      </w:r>
      <w:r>
        <w:rPr/>
        <w:t>and</w:t>
      </w:r>
      <w:r>
        <w:rPr>
          <w:spacing w:val="-3"/>
        </w:rPr>
        <w:t> </w:t>
      </w:r>
      <w:r>
        <w:rPr/>
        <w:t>the</w:t>
      </w:r>
      <w:r>
        <w:rPr>
          <w:spacing w:val="-3"/>
        </w:rPr>
        <w:t> </w:t>
      </w:r>
      <w:r>
        <w:rPr/>
        <w:t>U.S.</w:t>
      </w:r>
      <w:r>
        <w:rPr>
          <w:spacing w:val="-3"/>
        </w:rPr>
        <w:t> </w:t>
      </w:r>
      <w:r>
        <w:rPr/>
        <w:t>Chamber</w:t>
      </w:r>
      <w:r>
        <w:rPr>
          <w:spacing w:val="-3"/>
        </w:rPr>
        <w:t> </w:t>
      </w:r>
      <w:r>
        <w:rPr/>
        <w:t>of</w:t>
      </w:r>
      <w:r>
        <w:rPr>
          <w:spacing w:val="-3"/>
        </w:rPr>
        <w:t> </w:t>
      </w:r>
      <w:r>
        <w:rPr/>
        <w:t>Commerce,</w:t>
      </w:r>
      <w:r>
        <w:rPr>
          <w:spacing w:val="-3"/>
        </w:rPr>
        <w:t> </w:t>
      </w:r>
      <w:r>
        <w:rPr/>
        <w:t>continuing inflation remains a top concern among small business owners. It also points to data suggesting that younger business owners are investing in technology: business software (60%); AI (36%); data management and analytics (32%); cybersecurity software (27%) (Swanek, 2025).</w:t>
      </w:r>
    </w:p>
    <w:p>
      <w:pPr>
        <w:spacing w:before="173"/>
        <w:ind w:left="708" w:right="0" w:firstLine="0"/>
        <w:jc w:val="left"/>
        <w:rPr>
          <w:i/>
          <w:sz w:val="24"/>
        </w:rPr>
      </w:pPr>
      <w:r>
        <w:rPr>
          <w:i/>
          <w:sz w:val="24"/>
        </w:rPr>
        <w:t>Future</w:t>
      </w:r>
      <w:r>
        <w:rPr>
          <w:i/>
          <w:spacing w:val="-2"/>
          <w:sz w:val="24"/>
        </w:rPr>
        <w:t> </w:t>
      </w:r>
      <w:r>
        <w:rPr>
          <w:i/>
          <w:sz w:val="24"/>
        </w:rPr>
        <w:t>Possibilities:</w:t>
      </w:r>
      <w:r>
        <w:rPr>
          <w:i/>
          <w:spacing w:val="-1"/>
          <w:sz w:val="24"/>
        </w:rPr>
        <w:t> </w:t>
      </w:r>
      <w:r>
        <w:rPr>
          <w:i/>
          <w:sz w:val="24"/>
        </w:rPr>
        <w:t>Established</w:t>
      </w:r>
      <w:r>
        <w:rPr>
          <w:i/>
          <w:spacing w:val="-2"/>
          <w:sz w:val="24"/>
        </w:rPr>
        <w:t> </w:t>
      </w:r>
      <w:r>
        <w:rPr>
          <w:i/>
          <w:sz w:val="24"/>
        </w:rPr>
        <w:t>Administration</w:t>
      </w:r>
      <w:r>
        <w:rPr>
          <w:i/>
          <w:spacing w:val="-1"/>
          <w:sz w:val="24"/>
        </w:rPr>
        <w:t> </w:t>
      </w:r>
      <w:r>
        <w:rPr>
          <w:i/>
          <w:sz w:val="24"/>
        </w:rPr>
        <w:t>and</w:t>
      </w:r>
      <w:r>
        <w:rPr>
          <w:i/>
          <w:spacing w:val="-2"/>
          <w:sz w:val="24"/>
        </w:rPr>
        <w:t> </w:t>
      </w:r>
      <w:r>
        <w:rPr>
          <w:i/>
          <w:sz w:val="24"/>
        </w:rPr>
        <w:t>Policy</w:t>
      </w:r>
      <w:r>
        <w:rPr>
          <w:i/>
          <w:spacing w:val="-1"/>
          <w:sz w:val="24"/>
        </w:rPr>
        <w:t> </w:t>
      </w:r>
      <w:r>
        <w:rPr>
          <w:i/>
          <w:spacing w:val="-2"/>
          <w:sz w:val="24"/>
        </w:rPr>
        <w:t>Changes</w:t>
      </w:r>
    </w:p>
    <w:p>
      <w:pPr>
        <w:pStyle w:val="BodyText"/>
        <w:spacing w:line="247" w:lineRule="auto" w:before="180"/>
        <w:ind w:left="723" w:right="1583" w:firstLine="15"/>
        <w:jc w:val="both"/>
      </w:pPr>
      <w:r>
        <w:rPr/>
        <w:t>Shifting</w:t>
      </w:r>
      <w:r>
        <w:rPr>
          <w:spacing w:val="-5"/>
        </w:rPr>
        <w:t> </w:t>
      </w:r>
      <w:r>
        <w:rPr/>
        <w:t>policies</w:t>
      </w:r>
      <w:r>
        <w:rPr>
          <w:spacing w:val="-5"/>
        </w:rPr>
        <w:t> </w:t>
      </w:r>
      <w:r>
        <w:rPr/>
        <w:t>(e.g.,</w:t>
      </w:r>
      <w:r>
        <w:rPr>
          <w:spacing w:val="-5"/>
        </w:rPr>
        <w:t> </w:t>
      </w:r>
      <w:r>
        <w:rPr/>
        <w:t>tariffs),</w:t>
      </w:r>
      <w:r>
        <w:rPr>
          <w:spacing w:val="-5"/>
        </w:rPr>
        <w:t> </w:t>
      </w:r>
      <w:r>
        <w:rPr/>
        <w:t>leadership</w:t>
      </w:r>
      <w:r>
        <w:rPr>
          <w:spacing w:val="-5"/>
        </w:rPr>
        <w:t> </w:t>
      </w:r>
      <w:r>
        <w:rPr/>
        <w:t>decisions,</w:t>
      </w:r>
      <w:r>
        <w:rPr>
          <w:spacing w:val="-5"/>
        </w:rPr>
        <w:t> </w:t>
      </w:r>
      <w:r>
        <w:rPr/>
        <w:t>indirectly</w:t>
      </w:r>
      <w:r>
        <w:rPr>
          <w:spacing w:val="-5"/>
        </w:rPr>
        <w:t> </w:t>
      </w:r>
      <w:r>
        <w:rPr/>
        <w:t>inform</w:t>
      </w:r>
      <w:r>
        <w:rPr>
          <w:spacing w:val="-5"/>
        </w:rPr>
        <w:t> </w:t>
      </w:r>
      <w:r>
        <w:rPr/>
        <w:t>the</w:t>
      </w:r>
      <w:r>
        <w:rPr>
          <w:spacing w:val="-5"/>
        </w:rPr>
        <w:t> </w:t>
      </w:r>
      <w:r>
        <w:rPr/>
        <w:t>individual</w:t>
      </w:r>
      <w:r>
        <w:rPr>
          <w:spacing w:val="-5"/>
        </w:rPr>
        <w:t> </w:t>
      </w:r>
      <w:r>
        <w:rPr/>
        <w:t>consumer’s sentiments and behaviors. Analysis by Deloitte has suggested, “Tariff policy has been</w:t>
      </w:r>
    </w:p>
    <w:p>
      <w:pPr>
        <w:pStyle w:val="BodyText"/>
        <w:spacing w:after="0" w:line="247" w:lineRule="auto"/>
        <w:jc w:val="both"/>
        <w:sectPr>
          <w:pgSz w:w="12240" w:h="15840"/>
          <w:pgMar w:header="0" w:footer="768" w:top="640" w:bottom="960" w:left="720" w:right="0"/>
        </w:sectPr>
      </w:pPr>
    </w:p>
    <w:p>
      <w:pPr>
        <w:pStyle w:val="BodyText"/>
        <w:spacing w:line="247" w:lineRule="auto" w:before="60"/>
        <w:ind w:left="723" w:right="1381"/>
      </w:pPr>
      <w:r>
        <w:rPr/>
        <w:t>particularly</w:t>
      </w:r>
      <w:r>
        <w:rPr>
          <w:spacing w:val="-4"/>
        </w:rPr>
        <w:t> </w:t>
      </w:r>
      <w:r>
        <w:rPr/>
        <w:t>difficult</w:t>
      </w:r>
      <w:r>
        <w:rPr>
          <w:spacing w:val="-4"/>
        </w:rPr>
        <w:t> </w:t>
      </w:r>
      <w:r>
        <w:rPr/>
        <w:t>to</w:t>
      </w:r>
      <w:r>
        <w:rPr>
          <w:spacing w:val="-4"/>
        </w:rPr>
        <w:t> </w:t>
      </w:r>
      <w:r>
        <w:rPr/>
        <w:t>nail</w:t>
      </w:r>
      <w:r>
        <w:rPr>
          <w:spacing w:val="-4"/>
        </w:rPr>
        <w:t> </w:t>
      </w:r>
      <w:r>
        <w:rPr/>
        <w:t>down</w:t>
      </w:r>
      <w:r>
        <w:rPr>
          <w:spacing w:val="-4"/>
        </w:rPr>
        <w:t> </w:t>
      </w:r>
      <w:r>
        <w:rPr/>
        <w:t>as</w:t>
      </w:r>
      <w:r>
        <w:rPr>
          <w:spacing w:val="-4"/>
        </w:rPr>
        <w:t> </w:t>
      </w:r>
      <w:r>
        <w:rPr/>
        <w:t>many</w:t>
      </w:r>
      <w:r>
        <w:rPr>
          <w:spacing w:val="-4"/>
        </w:rPr>
        <w:t> </w:t>
      </w:r>
      <w:r>
        <w:rPr/>
        <w:t>tariffs</w:t>
      </w:r>
      <w:r>
        <w:rPr>
          <w:spacing w:val="-4"/>
        </w:rPr>
        <w:t> </w:t>
      </w:r>
      <w:r>
        <w:rPr/>
        <w:t>are</w:t>
      </w:r>
      <w:r>
        <w:rPr>
          <w:spacing w:val="-4"/>
        </w:rPr>
        <w:t> </w:t>
      </w:r>
      <w:r>
        <w:rPr/>
        <w:t>still</w:t>
      </w:r>
      <w:r>
        <w:rPr>
          <w:spacing w:val="-4"/>
        </w:rPr>
        <w:t> </w:t>
      </w:r>
      <w:r>
        <w:rPr/>
        <w:t>being</w:t>
      </w:r>
      <w:r>
        <w:rPr>
          <w:spacing w:val="-4"/>
        </w:rPr>
        <w:t> </w:t>
      </w:r>
      <w:r>
        <w:rPr/>
        <w:t>finalized,</w:t>
      </w:r>
      <w:r>
        <w:rPr>
          <w:spacing w:val="-4"/>
        </w:rPr>
        <w:t> </w:t>
      </w:r>
      <w:r>
        <w:rPr/>
        <w:t>negotiated,</w:t>
      </w:r>
      <w:r>
        <w:rPr>
          <w:spacing w:val="-4"/>
        </w:rPr>
        <w:t> </w:t>
      </w:r>
      <w:r>
        <w:rPr/>
        <w:t>or adjudicated in the courts” (Wolf, 2025).</w:t>
      </w:r>
    </w:p>
    <w:p>
      <w:pPr>
        <w:pStyle w:val="BodyText"/>
        <w:spacing w:line="247" w:lineRule="auto" w:before="170"/>
        <w:ind w:left="723" w:right="1619" w:firstLine="15"/>
      </w:pPr>
      <w:r>
        <w:rPr/>
        <w:t>Several</w:t>
      </w:r>
      <w:r>
        <w:rPr>
          <w:spacing w:val="-3"/>
        </w:rPr>
        <w:t> </w:t>
      </w:r>
      <w:r>
        <w:rPr/>
        <w:t>predictions</w:t>
      </w:r>
      <w:r>
        <w:rPr>
          <w:spacing w:val="-3"/>
        </w:rPr>
        <w:t> </w:t>
      </w:r>
      <w:r>
        <w:rPr/>
        <w:t>on</w:t>
      </w:r>
      <w:r>
        <w:rPr>
          <w:spacing w:val="-3"/>
        </w:rPr>
        <w:t> </w:t>
      </w:r>
      <w:r>
        <w:rPr/>
        <w:t>fully</w:t>
      </w:r>
      <w:r>
        <w:rPr>
          <w:spacing w:val="-3"/>
        </w:rPr>
        <w:t> </w:t>
      </w:r>
      <w:r>
        <w:rPr/>
        <w:t>realized</w:t>
      </w:r>
      <w:r>
        <w:rPr>
          <w:spacing w:val="-3"/>
        </w:rPr>
        <w:t> </w:t>
      </w:r>
      <w:r>
        <w:rPr/>
        <w:t>AI</w:t>
      </w:r>
      <w:r>
        <w:rPr>
          <w:spacing w:val="-3"/>
        </w:rPr>
        <w:t> </w:t>
      </w:r>
      <w:r>
        <w:rPr/>
        <w:t>integration</w:t>
      </w:r>
      <w:r>
        <w:rPr>
          <w:spacing w:val="-3"/>
        </w:rPr>
        <w:t> </w:t>
      </w:r>
      <w:r>
        <w:rPr/>
        <w:t>into</w:t>
      </w:r>
      <w:r>
        <w:rPr>
          <w:spacing w:val="-3"/>
        </w:rPr>
        <w:t> </w:t>
      </w:r>
      <w:r>
        <w:rPr/>
        <w:t>workforce</w:t>
      </w:r>
      <w:r>
        <w:rPr>
          <w:spacing w:val="-3"/>
        </w:rPr>
        <w:t> </w:t>
      </w:r>
      <w:r>
        <w:rPr/>
        <w:t>operations</w:t>
      </w:r>
      <w:r>
        <w:rPr>
          <w:spacing w:val="-3"/>
        </w:rPr>
        <w:t> </w:t>
      </w:r>
      <w:r>
        <w:rPr/>
        <w:t>is</w:t>
      </w:r>
      <w:r>
        <w:rPr>
          <w:spacing w:val="-3"/>
        </w:rPr>
        <w:t> </w:t>
      </w:r>
      <w:r>
        <w:rPr/>
        <w:t>projected</w:t>
      </w:r>
      <w:r>
        <w:rPr>
          <w:spacing w:val="-3"/>
        </w:rPr>
        <w:t> </w:t>
      </w:r>
      <w:r>
        <w:rPr/>
        <w:t>to</w:t>
      </w:r>
      <w:r>
        <w:rPr>
          <w:spacing w:val="-3"/>
        </w:rPr>
        <w:t> </w:t>
      </w:r>
      <w:r>
        <w:rPr/>
        <w:t>be realized by as early 2030 (Ellingrud et al., 2023; Talmage-Rostron, 2025). While automation may displace certain routine, administrative, and white-collar roles, it simultaneously creates opportunities for new jobs in data analysis, machine learning, and human/AI collaboration.</w:t>
      </w:r>
    </w:p>
    <w:p>
      <w:pPr>
        <w:pStyle w:val="BodyText"/>
        <w:spacing w:line="230" w:lineRule="auto" w:before="172"/>
        <w:ind w:left="723" w:right="1379"/>
        <w:jc w:val="both"/>
      </w:pPr>
      <w:r>
        <w:rPr/>
        <w:t>Unpredictability in the U.S. economy has been furthered by shifting economic policies from </w:t>
      </w:r>
      <w:r>
        <w:rPr/>
        <w:t>the change of leadership. The economic changes could have dramatic consequences on the U.S. supply</w:t>
      </w:r>
      <w:r>
        <w:rPr>
          <w:spacing w:val="40"/>
        </w:rPr>
        <w:t> </w:t>
      </w:r>
      <w:r>
        <w:rPr/>
        <w:t>chain (Heise et al., 2024). By increasing military spending, uncertainty grows (Klomp, 2025).</w:t>
      </w:r>
      <w:r>
        <w:rPr>
          <w:spacing w:val="40"/>
        </w:rPr>
        <w:t> </w:t>
      </w:r>
      <w:r>
        <w:rPr/>
        <w:t>Recently the U.S. congress enacted the </w:t>
      </w:r>
      <w:r>
        <w:rPr>
          <w:i/>
        </w:rPr>
        <w:t>Big Beautiful Bill. </w:t>
      </w:r>
      <w:r>
        <w:rPr/>
        <w:t>The Bipartisan Policy Center estimates</w:t>
      </w:r>
      <w:r>
        <w:rPr>
          <w:spacing w:val="40"/>
        </w:rPr>
        <w:t> </w:t>
      </w:r>
      <w:r>
        <w:rPr/>
        <w:t>a cost of $3.4 trillion over the next decade (Loutz, 2025). Finally, the economic uncertainty of the</w:t>
      </w:r>
      <w:r>
        <w:rPr>
          <w:spacing w:val="80"/>
        </w:rPr>
        <w:t> </w:t>
      </w:r>
      <w:r>
        <w:rPr/>
        <w:t>tariffs which the U.S. is imposing on adversaries and allies alike, are continuing to raise the</w:t>
      </w:r>
      <w:r>
        <w:rPr>
          <w:spacing w:val="40"/>
        </w:rPr>
        <w:t> </w:t>
      </w:r>
      <w:r>
        <w:rPr/>
        <w:t>uncertainty globally.</w:t>
      </w:r>
    </w:p>
    <w:p>
      <w:pPr>
        <w:pStyle w:val="BodyText"/>
      </w:pPr>
    </w:p>
    <w:p>
      <w:pPr>
        <w:pStyle w:val="Heading4"/>
        <w:spacing w:before="1"/>
      </w:pPr>
      <w:r>
        <w:rPr>
          <w:spacing w:val="-2"/>
        </w:rPr>
        <w:t>Methodology</w:t>
      </w:r>
    </w:p>
    <w:p>
      <w:pPr>
        <w:pStyle w:val="BodyText"/>
        <w:spacing w:line="247" w:lineRule="auto" w:before="156"/>
        <w:ind w:left="723" w:right="1381"/>
      </w:pPr>
      <w:r>
        <w:rPr/>
        <w:t>This</w:t>
      </w:r>
      <w:r>
        <w:rPr>
          <w:spacing w:val="-3"/>
        </w:rPr>
        <w:t> </w:t>
      </w:r>
      <w:r>
        <w:rPr/>
        <w:t>research</w:t>
      </w:r>
      <w:r>
        <w:rPr>
          <w:spacing w:val="-3"/>
        </w:rPr>
        <w:t> </w:t>
      </w:r>
      <w:r>
        <w:rPr/>
        <w:t>draws</w:t>
      </w:r>
      <w:r>
        <w:rPr>
          <w:spacing w:val="-3"/>
        </w:rPr>
        <w:t> </w:t>
      </w:r>
      <w:r>
        <w:rPr/>
        <w:t>on</w:t>
      </w:r>
      <w:r>
        <w:rPr>
          <w:spacing w:val="-3"/>
        </w:rPr>
        <w:t> </w:t>
      </w:r>
      <w:r>
        <w:rPr/>
        <w:t>an</w:t>
      </w:r>
      <w:r>
        <w:rPr>
          <w:spacing w:val="-3"/>
        </w:rPr>
        <w:t> </w:t>
      </w:r>
      <w:r>
        <w:rPr/>
        <w:t>ongoing</w:t>
      </w:r>
      <w:r>
        <w:rPr>
          <w:spacing w:val="-3"/>
        </w:rPr>
        <w:t> </w:t>
      </w:r>
      <w:r>
        <w:rPr/>
        <w:t>effort</w:t>
      </w:r>
      <w:r>
        <w:rPr>
          <w:spacing w:val="-3"/>
        </w:rPr>
        <w:t> </w:t>
      </w:r>
      <w:r>
        <w:rPr/>
        <w:t>of</w:t>
      </w:r>
      <w:r>
        <w:rPr>
          <w:spacing w:val="-3"/>
        </w:rPr>
        <w:t> </w:t>
      </w:r>
      <w:r>
        <w:rPr/>
        <w:t>developing</w:t>
      </w:r>
      <w:r>
        <w:rPr>
          <w:spacing w:val="-3"/>
        </w:rPr>
        <w:t> </w:t>
      </w:r>
      <w:r>
        <w:rPr/>
        <w:t>several</w:t>
      </w:r>
      <w:r>
        <w:rPr>
          <w:spacing w:val="-3"/>
        </w:rPr>
        <w:t> </w:t>
      </w:r>
      <w:r>
        <w:rPr/>
        <w:t>(local)</w:t>
      </w:r>
      <w:r>
        <w:rPr>
          <w:spacing w:val="-3"/>
        </w:rPr>
        <w:t> </w:t>
      </w:r>
      <w:r>
        <w:rPr/>
        <w:t>databases</w:t>
      </w:r>
      <w:r>
        <w:rPr>
          <w:spacing w:val="-3"/>
        </w:rPr>
        <w:t> </w:t>
      </w:r>
      <w:r>
        <w:rPr/>
        <w:t>from</w:t>
      </w:r>
      <w:r>
        <w:rPr>
          <w:spacing w:val="-3"/>
        </w:rPr>
        <w:t> </w:t>
      </w:r>
      <w:r>
        <w:rPr/>
        <w:t>2019</w:t>
      </w:r>
      <w:r>
        <w:rPr>
          <w:spacing w:val="-3"/>
        </w:rPr>
        <w:t> </w:t>
      </w:r>
      <w:r>
        <w:rPr/>
        <w:t>until early 2026, spanning the entire period which captures uncertain conditions before, during, and post pandemic. In total, 374 artifacts have been curated to inform the present iteration of this </w:t>
      </w:r>
      <w:r>
        <w:rPr>
          <w:spacing w:val="-2"/>
        </w:rPr>
        <w:t>work.</w:t>
      </w:r>
    </w:p>
    <w:p>
      <w:pPr>
        <w:pStyle w:val="BodyText"/>
        <w:spacing w:line="230" w:lineRule="auto" w:before="167"/>
        <w:ind w:left="708" w:right="1379" w:firstLine="15"/>
        <w:jc w:val="both"/>
      </w:pPr>
      <w:r>
        <w:rPr/>
        <w:t>The primary resources that inform this research are library collections such as those from </w:t>
      </w:r>
      <w:r>
        <w:rPr>
          <w:i/>
        </w:rPr>
        <w:t>ABI/INFORM</w:t>
      </w:r>
      <w:r>
        <w:rPr/>
        <w:t>, </w:t>
      </w:r>
      <w:r>
        <w:rPr>
          <w:i/>
        </w:rPr>
        <w:t>Ebsco, </w:t>
      </w:r>
      <w:r>
        <w:rPr/>
        <w:t>and </w:t>
      </w:r>
      <w:r>
        <w:rPr>
          <w:i/>
        </w:rPr>
        <w:t>ProQuest’s Entrepreneurship </w:t>
      </w:r>
      <w:r>
        <w:rPr/>
        <w:t>database, data from government </w:t>
      </w:r>
      <w:r>
        <w:rPr/>
        <w:t>reports, leading consulting firms, and</w:t>
      </w:r>
      <w:r>
        <w:rPr>
          <w:spacing w:val="-4"/>
        </w:rPr>
        <w:t> </w:t>
      </w:r>
      <w:r>
        <w:rPr/>
        <w:t>other</w:t>
      </w:r>
      <w:r>
        <w:rPr>
          <w:spacing w:val="-4"/>
        </w:rPr>
        <w:t> </w:t>
      </w:r>
      <w:r>
        <w:rPr/>
        <w:t>research</w:t>
      </w:r>
      <w:r>
        <w:rPr>
          <w:spacing w:val="-4"/>
        </w:rPr>
        <w:t> </w:t>
      </w:r>
      <w:r>
        <w:rPr/>
        <w:t>organizations</w:t>
      </w:r>
      <w:r>
        <w:rPr>
          <w:spacing w:val="-4"/>
        </w:rPr>
        <w:t> </w:t>
      </w:r>
      <w:r>
        <w:rPr/>
        <w:t>(e.g.,</w:t>
      </w:r>
      <w:r>
        <w:rPr>
          <w:spacing w:val="-4"/>
        </w:rPr>
        <w:t> </w:t>
      </w:r>
      <w:r>
        <w:rPr/>
        <w:t>NFIB</w:t>
      </w:r>
      <w:r>
        <w:rPr>
          <w:spacing w:val="-4"/>
        </w:rPr>
        <w:t> </w:t>
      </w:r>
      <w:r>
        <w:rPr/>
        <w:t>Research).</w:t>
      </w:r>
      <w:r>
        <w:rPr>
          <w:spacing w:val="-4"/>
        </w:rPr>
        <w:t> </w:t>
      </w:r>
      <w:r>
        <w:rPr/>
        <w:t>However,</w:t>
      </w:r>
      <w:r>
        <w:rPr>
          <w:spacing w:val="-4"/>
        </w:rPr>
        <w:t> </w:t>
      </w:r>
      <w:r>
        <w:rPr/>
        <w:t>given the changeable nature of the economy and sometimes rapid fluctuations in consumer behavior, secondary sources, including popular business press content, often serve to inform real-time insights. Of course, such content from popular sources is thoroughly interrogated to discover seminal and authoritative source material. Rabinovich and Cheon (2011) recognized secondary qualitative data artifacts as promising resources for addressing dynamic circumstances (Lahm</w:t>
      </w:r>
      <w:r>
        <w:rPr>
          <w:spacing w:val="-4"/>
        </w:rPr>
        <w:t> </w:t>
      </w:r>
      <w:r>
        <w:rPr/>
        <w:t>Jr. &amp; Perry, 2024). This research has intentions of supporting and encouraging entrepreneurial development, startup creation, and innovation (and adaptation) moving forward.</w:t>
      </w:r>
      <w:r>
        <w:rPr>
          <w:spacing w:val="-3"/>
        </w:rPr>
        <w:t> </w:t>
      </w:r>
      <w:r>
        <w:rPr/>
        <w:t>Knowing</w:t>
      </w:r>
      <w:r>
        <w:rPr>
          <w:spacing w:val="-3"/>
        </w:rPr>
        <w:t> </w:t>
      </w:r>
      <w:r>
        <w:rPr/>
        <w:t>where we are helps determine where we might be going.</w:t>
      </w:r>
    </w:p>
    <w:p>
      <w:pPr>
        <w:pStyle w:val="BodyText"/>
        <w:spacing w:line="247" w:lineRule="auto" w:before="165"/>
        <w:ind w:left="723" w:right="1457"/>
        <w:jc w:val="both"/>
      </w:pPr>
      <w:r>
        <w:rPr/>
        <w:t>Our research considers data and</w:t>
      </w:r>
      <w:r>
        <w:rPr>
          <w:spacing w:val="-3"/>
        </w:rPr>
        <w:t> </w:t>
      </w:r>
      <w:r>
        <w:rPr/>
        <w:t>events</w:t>
      </w:r>
      <w:r>
        <w:rPr>
          <w:spacing w:val="-3"/>
        </w:rPr>
        <w:t> </w:t>
      </w:r>
      <w:r>
        <w:rPr/>
        <w:t>across</w:t>
      </w:r>
      <w:r>
        <w:rPr>
          <w:spacing w:val="-3"/>
        </w:rPr>
        <w:t> </w:t>
      </w:r>
      <w:r>
        <w:rPr/>
        <w:t>a</w:t>
      </w:r>
      <w:r>
        <w:rPr>
          <w:spacing w:val="-3"/>
        </w:rPr>
        <w:t> </w:t>
      </w:r>
      <w:r>
        <w:rPr/>
        <w:t>timeline,</w:t>
      </w:r>
      <w:r>
        <w:rPr>
          <w:spacing w:val="-3"/>
        </w:rPr>
        <w:t> </w:t>
      </w:r>
      <w:r>
        <w:rPr/>
        <w:t>examining</w:t>
      </w:r>
      <w:r>
        <w:rPr>
          <w:spacing w:val="-3"/>
        </w:rPr>
        <w:t> </w:t>
      </w:r>
      <w:r>
        <w:rPr/>
        <w:t>remnant</w:t>
      </w:r>
      <w:r>
        <w:rPr>
          <w:spacing w:val="-3"/>
        </w:rPr>
        <w:t> </w:t>
      </w:r>
      <w:r>
        <w:rPr/>
        <w:t>impacts</w:t>
      </w:r>
      <w:r>
        <w:rPr>
          <w:spacing w:val="-3"/>
        </w:rPr>
        <w:t> </w:t>
      </w:r>
      <w:r>
        <w:rPr/>
        <w:t>of</w:t>
      </w:r>
      <w:r>
        <w:rPr>
          <w:spacing w:val="-3"/>
        </w:rPr>
        <w:t> </w:t>
      </w:r>
      <w:r>
        <w:rPr/>
        <w:t>COVID 19 (e.g., some cases still</w:t>
      </w:r>
      <w:r>
        <w:rPr>
          <w:spacing w:val="-3"/>
        </w:rPr>
        <w:t> </w:t>
      </w:r>
      <w:r>
        <w:rPr/>
        <w:t>occur),</w:t>
      </w:r>
      <w:r>
        <w:rPr>
          <w:spacing w:val="-3"/>
        </w:rPr>
        <w:t> </w:t>
      </w:r>
      <w:r>
        <w:rPr/>
        <w:t>present</w:t>
      </w:r>
      <w:r>
        <w:rPr>
          <w:spacing w:val="-3"/>
        </w:rPr>
        <w:t> </w:t>
      </w:r>
      <w:r>
        <w:rPr/>
        <w:t>economic</w:t>
      </w:r>
      <w:r>
        <w:rPr>
          <w:spacing w:val="-3"/>
        </w:rPr>
        <w:t> </w:t>
      </w:r>
      <w:r>
        <w:rPr/>
        <w:t>conditions,</w:t>
      </w:r>
      <w:r>
        <w:rPr>
          <w:spacing w:val="-3"/>
        </w:rPr>
        <w:t> </w:t>
      </w:r>
      <w:r>
        <w:rPr/>
        <w:t>and</w:t>
      </w:r>
      <w:r>
        <w:rPr>
          <w:spacing w:val="-3"/>
        </w:rPr>
        <w:t> </w:t>
      </w:r>
      <w:r>
        <w:rPr/>
        <w:t>possibilities</w:t>
      </w:r>
      <w:r>
        <w:rPr>
          <w:spacing w:val="-3"/>
        </w:rPr>
        <w:t> </w:t>
      </w:r>
      <w:r>
        <w:rPr/>
        <w:t>in</w:t>
      </w:r>
      <w:r>
        <w:rPr>
          <w:spacing w:val="-3"/>
        </w:rPr>
        <w:t> </w:t>
      </w:r>
      <w:r>
        <w:rPr/>
        <w:t>the</w:t>
      </w:r>
      <w:r>
        <w:rPr>
          <w:spacing w:val="-3"/>
        </w:rPr>
        <w:t> </w:t>
      </w:r>
      <w:r>
        <w:rPr/>
        <w:t>future</w:t>
      </w:r>
      <w:r>
        <w:rPr>
          <w:spacing w:val="-3"/>
        </w:rPr>
        <w:t> </w:t>
      </w:r>
      <w:r>
        <w:rPr/>
        <w:t>with political shifts and anticipated policy changes.</w:t>
      </w:r>
    </w:p>
    <w:p>
      <w:pPr>
        <w:pStyle w:val="Heading4"/>
        <w:spacing w:before="175"/>
      </w:pPr>
      <w:r>
        <w:rPr/>
        <w:t>Audience &amp; </w:t>
      </w:r>
      <w:r>
        <w:rPr>
          <w:spacing w:val="-2"/>
        </w:rPr>
        <w:t>Relevance</w:t>
      </w:r>
    </w:p>
    <w:p>
      <w:pPr>
        <w:pStyle w:val="BodyText"/>
        <w:spacing w:line="230" w:lineRule="auto" w:before="148"/>
        <w:ind w:left="723" w:right="1392"/>
      </w:pPr>
      <w:r>
        <w:rPr/>
        <w:t>This</w:t>
      </w:r>
      <w:r>
        <w:rPr>
          <w:spacing w:val="-2"/>
        </w:rPr>
        <w:t> </w:t>
      </w:r>
      <w:r>
        <w:rPr/>
        <w:t>research</w:t>
      </w:r>
      <w:r>
        <w:rPr>
          <w:spacing w:val="-2"/>
        </w:rPr>
        <w:t> </w:t>
      </w:r>
      <w:r>
        <w:rPr/>
        <w:t>documents</w:t>
      </w:r>
      <w:r>
        <w:rPr>
          <w:spacing w:val="-3"/>
        </w:rPr>
        <w:t> </w:t>
      </w:r>
      <w:r>
        <w:rPr/>
        <w:t>economic</w:t>
      </w:r>
      <w:r>
        <w:rPr>
          <w:spacing w:val="-2"/>
        </w:rPr>
        <w:t> </w:t>
      </w:r>
      <w:r>
        <w:rPr/>
        <w:t>conditions</w:t>
      </w:r>
      <w:r>
        <w:rPr>
          <w:spacing w:val="-2"/>
        </w:rPr>
        <w:t> </w:t>
      </w:r>
      <w:r>
        <w:rPr/>
        <w:t>and</w:t>
      </w:r>
      <w:r>
        <w:rPr>
          <w:spacing w:val="-3"/>
        </w:rPr>
        <w:t> </w:t>
      </w:r>
      <w:r>
        <w:rPr/>
        <w:t>contributors</w:t>
      </w:r>
      <w:r>
        <w:rPr>
          <w:spacing w:val="-2"/>
        </w:rPr>
        <w:t> </w:t>
      </w:r>
      <w:r>
        <w:rPr/>
        <w:t>with</w:t>
      </w:r>
      <w:r>
        <w:rPr>
          <w:spacing w:val="-2"/>
        </w:rPr>
        <w:t> </w:t>
      </w:r>
      <w:r>
        <w:rPr/>
        <w:t>the</w:t>
      </w:r>
      <w:r>
        <w:rPr>
          <w:spacing w:val="-3"/>
        </w:rPr>
        <w:t> </w:t>
      </w:r>
      <w:r>
        <w:rPr/>
        <w:t>purpose</w:t>
      </w:r>
      <w:r>
        <w:rPr>
          <w:spacing w:val="-2"/>
        </w:rPr>
        <w:t> </w:t>
      </w:r>
      <w:r>
        <w:rPr/>
        <w:t>of</w:t>
      </w:r>
      <w:r>
        <w:rPr>
          <w:spacing w:val="-2"/>
        </w:rPr>
        <w:t> </w:t>
      </w:r>
      <w:r>
        <w:rPr/>
        <w:t>inferring</w:t>
      </w:r>
      <w:r>
        <w:rPr>
          <w:spacing w:val="-3"/>
        </w:rPr>
        <w:t> </w:t>
      </w:r>
      <w:r>
        <w:rPr/>
        <w:t>and informing entrepreneurial development, business startup growth, and innovation/adaptation post pandemic.</w:t>
      </w:r>
      <w:r>
        <w:rPr>
          <w:spacing w:val="-3"/>
        </w:rPr>
        <w:t> </w:t>
      </w:r>
      <w:r>
        <w:rPr/>
        <w:t>A</w:t>
      </w:r>
      <w:r>
        <w:rPr>
          <w:spacing w:val="-3"/>
        </w:rPr>
        <w:t> </w:t>
      </w:r>
      <w:r>
        <w:rPr/>
        <w:t>clear</w:t>
      </w:r>
      <w:r>
        <w:rPr>
          <w:spacing w:val="-3"/>
        </w:rPr>
        <w:t> </w:t>
      </w:r>
      <w:r>
        <w:rPr/>
        <w:t>recognition</w:t>
      </w:r>
      <w:r>
        <w:rPr>
          <w:spacing w:val="-3"/>
        </w:rPr>
        <w:t> </w:t>
      </w:r>
      <w:r>
        <w:rPr/>
        <w:t>of</w:t>
      </w:r>
      <w:r>
        <w:rPr>
          <w:spacing w:val="-3"/>
        </w:rPr>
        <w:t> </w:t>
      </w:r>
      <w:r>
        <w:rPr/>
        <w:t>these</w:t>
      </w:r>
      <w:r>
        <w:rPr>
          <w:spacing w:val="-3"/>
        </w:rPr>
        <w:t> </w:t>
      </w:r>
      <w:r>
        <w:rPr/>
        <w:t>contributing</w:t>
      </w:r>
      <w:r>
        <w:rPr>
          <w:spacing w:val="-3"/>
        </w:rPr>
        <w:t> </w:t>
      </w:r>
      <w:r>
        <w:rPr/>
        <w:t>factors</w:t>
      </w:r>
      <w:r>
        <w:rPr>
          <w:spacing w:val="-3"/>
        </w:rPr>
        <w:t> </w:t>
      </w:r>
      <w:r>
        <w:rPr/>
        <w:t>–</w:t>
      </w:r>
      <w:r>
        <w:rPr>
          <w:spacing w:val="-3"/>
        </w:rPr>
        <w:t> </w:t>
      </w:r>
      <w:r>
        <w:rPr/>
        <w:t>and</w:t>
      </w:r>
      <w:r>
        <w:rPr>
          <w:spacing w:val="-3"/>
        </w:rPr>
        <w:t> </w:t>
      </w:r>
      <w:r>
        <w:rPr/>
        <w:t>discerning/framing</w:t>
      </w:r>
      <w:r>
        <w:rPr>
          <w:spacing w:val="-3"/>
        </w:rPr>
        <w:t> </w:t>
      </w:r>
      <w:r>
        <w:rPr/>
        <w:t>how</w:t>
      </w:r>
      <w:r>
        <w:rPr>
          <w:spacing w:val="-3"/>
        </w:rPr>
        <w:t> </w:t>
      </w:r>
      <w:r>
        <w:rPr/>
        <w:t>best</w:t>
      </w:r>
      <w:r>
        <w:rPr>
          <w:spacing w:val="-3"/>
        </w:rPr>
        <w:t> </w:t>
      </w:r>
      <w:r>
        <w:rPr/>
        <w:t>to present them to our students as a textbook case for opportunity recognition (Baron, 2006) – creates</w:t>
      </w:r>
      <w:r>
        <w:rPr>
          <w:spacing w:val="40"/>
        </w:rPr>
        <w:t> </w:t>
      </w:r>
      <w:r>
        <w:rPr/>
        <w:t>relevance for entrepreneurship education. This is framed by three aspects:</w:t>
      </w:r>
    </w:p>
    <w:p>
      <w:pPr>
        <w:pStyle w:val="BodyText"/>
        <w:spacing w:before="37"/>
      </w:pPr>
    </w:p>
    <w:p>
      <w:pPr>
        <w:pStyle w:val="ListParagraph"/>
        <w:numPr>
          <w:ilvl w:val="0"/>
          <w:numId w:val="28"/>
        </w:numPr>
        <w:tabs>
          <w:tab w:pos="1243" w:val="left" w:leader="none"/>
        </w:tabs>
        <w:spacing w:line="240" w:lineRule="auto" w:before="0" w:after="0"/>
        <w:ind w:left="1243" w:right="0" w:hanging="145"/>
        <w:jc w:val="left"/>
        <w:rPr>
          <w:sz w:val="24"/>
        </w:rPr>
      </w:pPr>
      <w:r>
        <w:rPr>
          <w:sz w:val="24"/>
        </w:rPr>
        <w:t>Contextualizing the influence of economic uncertainty on business development </w:t>
      </w:r>
      <w:r>
        <w:rPr>
          <w:spacing w:val="-2"/>
          <w:sz w:val="24"/>
        </w:rPr>
        <w:t>points</w:t>
      </w:r>
    </w:p>
    <w:p>
      <w:pPr>
        <w:pStyle w:val="BodyText"/>
        <w:spacing w:line="249" w:lineRule="auto" w:before="102"/>
        <w:ind w:left="1098" w:right="1619"/>
      </w:pPr>
      <w:r>
        <w:rPr/>
        <w:t>towards</w:t>
      </w:r>
      <w:r>
        <w:rPr>
          <w:spacing w:val="-4"/>
        </w:rPr>
        <w:t> </w:t>
      </w:r>
      <w:r>
        <w:rPr/>
        <w:t>a</w:t>
      </w:r>
      <w:r>
        <w:rPr>
          <w:spacing w:val="-4"/>
        </w:rPr>
        <w:t> </w:t>
      </w:r>
      <w:r>
        <w:rPr/>
        <w:t>living/applied</w:t>
      </w:r>
      <w:r>
        <w:rPr>
          <w:spacing w:val="-4"/>
        </w:rPr>
        <w:t> </w:t>
      </w:r>
      <w:r>
        <w:rPr/>
        <w:t>case</w:t>
      </w:r>
      <w:r>
        <w:rPr>
          <w:spacing w:val="-4"/>
        </w:rPr>
        <w:t> </w:t>
      </w:r>
      <w:r>
        <w:rPr/>
        <w:t>example.</w:t>
      </w:r>
      <w:r>
        <w:rPr>
          <w:spacing w:val="-4"/>
        </w:rPr>
        <w:t> </w:t>
      </w:r>
      <w:r>
        <w:rPr/>
        <w:t>Such</w:t>
      </w:r>
      <w:r>
        <w:rPr>
          <w:spacing w:val="-4"/>
        </w:rPr>
        <w:t> </w:t>
      </w:r>
      <w:r>
        <w:rPr/>
        <w:t>examples</w:t>
      </w:r>
      <w:r>
        <w:rPr>
          <w:spacing w:val="-4"/>
        </w:rPr>
        <w:t> </w:t>
      </w:r>
      <w:r>
        <w:rPr/>
        <w:t>provide</w:t>
      </w:r>
      <w:r>
        <w:rPr>
          <w:spacing w:val="-4"/>
        </w:rPr>
        <w:t> </w:t>
      </w:r>
      <w:r>
        <w:rPr/>
        <w:t>students</w:t>
      </w:r>
      <w:r>
        <w:rPr>
          <w:spacing w:val="-4"/>
        </w:rPr>
        <w:t> </w:t>
      </w:r>
      <w:r>
        <w:rPr/>
        <w:t>and</w:t>
      </w:r>
      <w:r>
        <w:rPr>
          <w:spacing w:val="-4"/>
        </w:rPr>
        <w:t> </w:t>
      </w:r>
      <w:r>
        <w:rPr/>
        <w:t>educators</w:t>
      </w:r>
      <w:r>
        <w:rPr>
          <w:spacing w:val="-4"/>
        </w:rPr>
        <w:t> </w:t>
      </w:r>
      <w:r>
        <w:rPr/>
        <w:t>with an evidence-based understanding of how macroeconomic volatility, inflation, and policy shifts impact consumer behavior and thus entrepreneurial activity. Recognizing the integration and influence of these economic factors is critical to the development of entrepreneurial alertness (Araujo et al., 2023) and opportunity recognition (Davidsson,</w:t>
      </w:r>
    </w:p>
    <w:p>
      <w:pPr>
        <w:pStyle w:val="BodyText"/>
        <w:spacing w:after="0" w:line="249" w:lineRule="auto"/>
        <w:sectPr>
          <w:pgSz w:w="12240" w:h="15840"/>
          <w:pgMar w:header="0" w:footer="768" w:top="640" w:bottom="960" w:left="720" w:right="0"/>
        </w:sectPr>
      </w:pPr>
    </w:p>
    <w:p>
      <w:pPr>
        <w:pStyle w:val="BodyText"/>
        <w:spacing w:before="60"/>
        <w:ind w:left="1098"/>
      </w:pPr>
      <w:r>
        <w:rPr>
          <w:spacing w:val="-2"/>
        </w:rPr>
        <w:t>2015).</w:t>
      </w:r>
    </w:p>
    <w:p>
      <w:pPr>
        <w:pStyle w:val="ListParagraph"/>
        <w:numPr>
          <w:ilvl w:val="0"/>
          <w:numId w:val="28"/>
        </w:numPr>
        <w:tabs>
          <w:tab w:pos="1243" w:val="left" w:leader="none"/>
        </w:tabs>
        <w:spacing w:line="240" w:lineRule="auto" w:before="164" w:after="0"/>
        <w:ind w:left="1243" w:right="0" w:hanging="145"/>
        <w:jc w:val="left"/>
        <w:rPr>
          <w:sz w:val="24"/>
        </w:rPr>
      </w:pPr>
      <w:r>
        <w:rPr>
          <w:sz w:val="24"/>
        </w:rPr>
        <w:t>Recognition</w:t>
      </w:r>
      <w:r>
        <w:rPr>
          <w:spacing w:val="-2"/>
          <w:sz w:val="24"/>
        </w:rPr>
        <w:t> </w:t>
      </w:r>
      <w:r>
        <w:rPr>
          <w:sz w:val="24"/>
        </w:rPr>
        <w:t>of</w:t>
      </w:r>
      <w:r>
        <w:rPr>
          <w:spacing w:val="-1"/>
          <w:sz w:val="24"/>
        </w:rPr>
        <w:t> </w:t>
      </w:r>
      <w:r>
        <w:rPr>
          <w:sz w:val="24"/>
        </w:rPr>
        <w:t>AI</w:t>
      </w:r>
      <w:r>
        <w:rPr>
          <w:spacing w:val="-1"/>
          <w:sz w:val="24"/>
        </w:rPr>
        <w:t> </w:t>
      </w:r>
      <w:r>
        <w:rPr>
          <w:sz w:val="24"/>
        </w:rPr>
        <w:t>and</w:t>
      </w:r>
      <w:r>
        <w:rPr>
          <w:spacing w:val="-2"/>
          <w:sz w:val="24"/>
        </w:rPr>
        <w:t> </w:t>
      </w:r>
      <w:r>
        <w:rPr>
          <w:sz w:val="24"/>
        </w:rPr>
        <w:t>innovation</w:t>
      </w:r>
      <w:r>
        <w:rPr>
          <w:spacing w:val="-1"/>
          <w:sz w:val="24"/>
        </w:rPr>
        <w:t> </w:t>
      </w:r>
      <w:r>
        <w:rPr>
          <w:sz w:val="24"/>
        </w:rPr>
        <w:t>dynamics</w:t>
      </w:r>
      <w:r>
        <w:rPr>
          <w:spacing w:val="-1"/>
          <w:sz w:val="24"/>
        </w:rPr>
        <w:t> </w:t>
      </w:r>
      <w:r>
        <w:rPr>
          <w:sz w:val="24"/>
        </w:rPr>
        <w:t>is</w:t>
      </w:r>
      <w:r>
        <w:rPr>
          <w:spacing w:val="-2"/>
          <w:sz w:val="24"/>
        </w:rPr>
        <w:t> </w:t>
      </w:r>
      <w:r>
        <w:rPr>
          <w:sz w:val="24"/>
        </w:rPr>
        <w:t>critical</w:t>
      </w:r>
      <w:r>
        <w:rPr>
          <w:spacing w:val="-1"/>
          <w:sz w:val="24"/>
        </w:rPr>
        <w:t> </w:t>
      </w:r>
      <w:r>
        <w:rPr>
          <w:sz w:val="24"/>
        </w:rPr>
        <w:t>in</w:t>
      </w:r>
      <w:r>
        <w:rPr>
          <w:spacing w:val="-1"/>
          <w:sz w:val="24"/>
        </w:rPr>
        <w:t> </w:t>
      </w:r>
      <w:r>
        <w:rPr>
          <w:sz w:val="24"/>
        </w:rPr>
        <w:t>the</w:t>
      </w:r>
      <w:r>
        <w:rPr>
          <w:spacing w:val="-2"/>
          <w:sz w:val="24"/>
        </w:rPr>
        <w:t> </w:t>
      </w:r>
      <w:r>
        <w:rPr>
          <w:sz w:val="24"/>
        </w:rPr>
        <w:t>post-COVID</w:t>
      </w:r>
      <w:r>
        <w:rPr>
          <w:spacing w:val="-1"/>
          <w:sz w:val="24"/>
        </w:rPr>
        <w:t> </w:t>
      </w:r>
      <w:r>
        <w:rPr>
          <w:sz w:val="24"/>
        </w:rPr>
        <w:t>economy.</w:t>
      </w:r>
      <w:r>
        <w:rPr>
          <w:spacing w:val="-1"/>
          <w:sz w:val="24"/>
        </w:rPr>
        <w:t> </w:t>
      </w:r>
      <w:r>
        <w:rPr>
          <w:spacing w:val="-4"/>
          <w:sz w:val="24"/>
        </w:rPr>
        <w:t>Much</w:t>
      </w:r>
    </w:p>
    <w:p>
      <w:pPr>
        <w:pStyle w:val="BodyText"/>
        <w:spacing w:line="249" w:lineRule="auto" w:before="103"/>
        <w:ind w:left="1098" w:right="1392"/>
      </w:pPr>
      <w:r>
        <w:rPr/>
        <w:t>of</w:t>
      </w:r>
      <w:r>
        <w:rPr>
          <w:spacing w:val="-3"/>
        </w:rPr>
        <w:t> </w:t>
      </w:r>
      <w:r>
        <w:rPr/>
        <w:t>the</w:t>
      </w:r>
      <w:r>
        <w:rPr>
          <w:spacing w:val="-3"/>
        </w:rPr>
        <w:t> </w:t>
      </w:r>
      <w:r>
        <w:rPr/>
        <w:t>evolution</w:t>
      </w:r>
      <w:r>
        <w:rPr>
          <w:spacing w:val="-3"/>
        </w:rPr>
        <w:t> </w:t>
      </w:r>
      <w:r>
        <w:rPr/>
        <w:t>of</w:t>
      </w:r>
      <w:r>
        <w:rPr>
          <w:spacing w:val="-3"/>
        </w:rPr>
        <w:t> </w:t>
      </w:r>
      <w:r>
        <w:rPr/>
        <w:t>AI</w:t>
      </w:r>
      <w:r>
        <w:rPr>
          <w:spacing w:val="-3"/>
        </w:rPr>
        <w:t> </w:t>
      </w:r>
      <w:r>
        <w:rPr/>
        <w:t>as</w:t>
      </w:r>
      <w:r>
        <w:rPr>
          <w:spacing w:val="-3"/>
        </w:rPr>
        <w:t> </w:t>
      </w:r>
      <w:r>
        <w:rPr/>
        <w:t>a</w:t>
      </w:r>
      <w:r>
        <w:rPr>
          <w:spacing w:val="-3"/>
        </w:rPr>
        <w:t> </w:t>
      </w:r>
      <w:r>
        <w:rPr/>
        <w:t>household</w:t>
      </w:r>
      <w:r>
        <w:rPr>
          <w:spacing w:val="-3"/>
        </w:rPr>
        <w:t> </w:t>
      </w:r>
      <w:r>
        <w:rPr/>
        <w:t>and</w:t>
      </w:r>
      <w:r>
        <w:rPr>
          <w:spacing w:val="-3"/>
        </w:rPr>
        <w:t> </w:t>
      </w:r>
      <w:r>
        <w:rPr/>
        <w:t>boardroom</w:t>
      </w:r>
      <w:r>
        <w:rPr>
          <w:spacing w:val="-3"/>
        </w:rPr>
        <w:t> </w:t>
      </w:r>
      <w:r>
        <w:rPr/>
        <w:t>tool</w:t>
      </w:r>
      <w:r>
        <w:rPr>
          <w:spacing w:val="-3"/>
        </w:rPr>
        <w:t> </w:t>
      </w:r>
      <w:r>
        <w:rPr/>
        <w:t>has</w:t>
      </w:r>
      <w:r>
        <w:rPr>
          <w:spacing w:val="-3"/>
        </w:rPr>
        <w:t> </w:t>
      </w:r>
      <w:r>
        <w:rPr/>
        <w:t>come</w:t>
      </w:r>
      <w:r>
        <w:rPr>
          <w:spacing w:val="-3"/>
        </w:rPr>
        <w:t> </w:t>
      </w:r>
      <w:r>
        <w:rPr/>
        <w:t>in</w:t>
      </w:r>
      <w:r>
        <w:rPr>
          <w:spacing w:val="-3"/>
        </w:rPr>
        <w:t> </w:t>
      </w:r>
      <w:r>
        <w:rPr/>
        <w:t>the</w:t>
      </w:r>
      <w:r>
        <w:rPr>
          <w:spacing w:val="-3"/>
        </w:rPr>
        <w:t> </w:t>
      </w:r>
      <w:r>
        <w:rPr/>
        <w:t>past</w:t>
      </w:r>
      <w:r>
        <w:rPr>
          <w:spacing w:val="-3"/>
        </w:rPr>
        <w:t> </w:t>
      </w:r>
      <w:r>
        <w:rPr/>
        <w:t>few</w:t>
      </w:r>
      <w:r>
        <w:rPr>
          <w:spacing w:val="-3"/>
        </w:rPr>
        <w:t> </w:t>
      </w:r>
      <w:r>
        <w:rPr/>
        <w:t>years.</w:t>
      </w:r>
      <w:r>
        <w:rPr>
          <w:spacing w:val="-3"/>
        </w:rPr>
        <w:t> </w:t>
      </w:r>
      <w:r>
        <w:rPr/>
        <w:t>By first</w:t>
      </w:r>
      <w:r>
        <w:rPr>
          <w:spacing w:val="-3"/>
        </w:rPr>
        <w:t> </w:t>
      </w:r>
      <w:r>
        <w:rPr/>
        <w:t>recognizing</w:t>
      </w:r>
      <w:r>
        <w:rPr>
          <w:spacing w:val="-3"/>
        </w:rPr>
        <w:t> </w:t>
      </w:r>
      <w:r>
        <w:rPr/>
        <w:t>and</w:t>
      </w:r>
      <w:r>
        <w:rPr>
          <w:spacing w:val="-3"/>
        </w:rPr>
        <w:t> </w:t>
      </w:r>
      <w:r>
        <w:rPr/>
        <w:t>then</w:t>
      </w:r>
      <w:r>
        <w:rPr>
          <w:spacing w:val="-3"/>
        </w:rPr>
        <w:t> </w:t>
      </w:r>
      <w:r>
        <w:rPr/>
        <w:t>exploring</w:t>
      </w:r>
      <w:r>
        <w:rPr>
          <w:spacing w:val="-3"/>
        </w:rPr>
        <w:t> </w:t>
      </w:r>
      <w:r>
        <w:rPr/>
        <w:t>AI’s</w:t>
      </w:r>
      <w:r>
        <w:rPr>
          <w:spacing w:val="-3"/>
        </w:rPr>
        <w:t> </w:t>
      </w:r>
      <w:r>
        <w:rPr/>
        <w:t>influence</w:t>
      </w:r>
      <w:r>
        <w:rPr>
          <w:spacing w:val="-3"/>
        </w:rPr>
        <w:t> </w:t>
      </w:r>
      <w:r>
        <w:rPr/>
        <w:t>on</w:t>
      </w:r>
      <w:r>
        <w:rPr>
          <w:spacing w:val="-3"/>
        </w:rPr>
        <w:t> </w:t>
      </w:r>
      <w:r>
        <w:rPr/>
        <w:t>labor</w:t>
      </w:r>
      <w:r>
        <w:rPr>
          <w:spacing w:val="-3"/>
        </w:rPr>
        <w:t> </w:t>
      </w:r>
      <w:r>
        <w:rPr/>
        <w:t>markets,</w:t>
      </w:r>
      <w:r>
        <w:rPr>
          <w:spacing w:val="-3"/>
        </w:rPr>
        <w:t> </w:t>
      </w:r>
      <w:r>
        <w:rPr/>
        <w:t>supply</w:t>
      </w:r>
      <w:r>
        <w:rPr>
          <w:spacing w:val="-3"/>
        </w:rPr>
        <w:t> </w:t>
      </w:r>
      <w:r>
        <w:rPr/>
        <w:t>chains,</w:t>
      </w:r>
      <w:r>
        <w:rPr>
          <w:spacing w:val="-3"/>
        </w:rPr>
        <w:t> </w:t>
      </w:r>
      <w:r>
        <w:rPr/>
        <w:t>and</w:t>
      </w:r>
      <w:r>
        <w:rPr>
          <w:spacing w:val="-3"/>
        </w:rPr>
        <w:t> </w:t>
      </w:r>
      <w:r>
        <w:rPr/>
        <w:t>new venture creation, it supports future entrepreneurs in their awareness of technological disruption as both a challenge and opportunity for innovation (Fossen et al., 2024).</w:t>
      </w:r>
    </w:p>
    <w:p>
      <w:pPr>
        <w:pStyle w:val="ListParagraph"/>
        <w:numPr>
          <w:ilvl w:val="0"/>
          <w:numId w:val="28"/>
        </w:numPr>
        <w:tabs>
          <w:tab w:pos="1243" w:val="left" w:leader="none"/>
        </w:tabs>
        <w:spacing w:line="240" w:lineRule="auto" w:before="149" w:after="0"/>
        <w:ind w:left="1243" w:right="0" w:hanging="145"/>
        <w:jc w:val="left"/>
        <w:rPr>
          <w:sz w:val="24"/>
        </w:rPr>
      </w:pPr>
      <w:r>
        <w:rPr>
          <w:sz w:val="24"/>
        </w:rPr>
        <w:t>Applied research for entrepreneurial decision-making is presented through this </w:t>
      </w:r>
      <w:r>
        <w:rPr>
          <w:spacing w:val="-2"/>
          <w:sz w:val="24"/>
        </w:rPr>
        <w:t>sustained</w:t>
      </w:r>
    </w:p>
    <w:p>
      <w:pPr>
        <w:pStyle w:val="BodyText"/>
        <w:spacing w:line="252" w:lineRule="auto" w:before="109"/>
        <w:ind w:left="1098" w:right="1191"/>
      </w:pPr>
      <w:r>
        <w:rPr/>
        <w:t>study and models how longitudinal, data-driven inquiry can inform adaptive strategy, opportunity</w:t>
      </w:r>
      <w:r>
        <w:rPr>
          <w:spacing w:val="-5"/>
        </w:rPr>
        <w:t> </w:t>
      </w:r>
      <w:r>
        <w:rPr/>
        <w:t>recognition,</w:t>
      </w:r>
      <w:r>
        <w:rPr>
          <w:spacing w:val="-5"/>
        </w:rPr>
        <w:t> </w:t>
      </w:r>
      <w:r>
        <w:rPr/>
        <w:t>and</w:t>
      </w:r>
      <w:r>
        <w:rPr>
          <w:spacing w:val="-5"/>
        </w:rPr>
        <w:t> </w:t>
      </w:r>
      <w:r>
        <w:rPr/>
        <w:t>resilience-building</w:t>
      </w:r>
      <w:r>
        <w:rPr>
          <w:spacing w:val="-5"/>
        </w:rPr>
        <w:t> </w:t>
      </w:r>
      <w:r>
        <w:rPr/>
        <w:t>for</w:t>
      </w:r>
      <w:r>
        <w:rPr>
          <w:spacing w:val="-5"/>
        </w:rPr>
        <w:t> </w:t>
      </w:r>
      <w:r>
        <w:rPr/>
        <w:t>entrepreneurs</w:t>
      </w:r>
      <w:r>
        <w:rPr>
          <w:spacing w:val="-5"/>
        </w:rPr>
        <w:t> </w:t>
      </w:r>
      <w:r>
        <w:rPr/>
        <w:t>navigating</w:t>
      </w:r>
      <w:r>
        <w:rPr>
          <w:spacing w:val="40"/>
        </w:rPr>
        <w:t> </w:t>
      </w:r>
      <w:r>
        <w:rPr/>
        <w:t>unpredictable </w:t>
      </w:r>
      <w:r>
        <w:rPr>
          <w:spacing w:val="-2"/>
        </w:rPr>
        <w:t>environments.</w:t>
      </w:r>
    </w:p>
    <w:p>
      <w:pPr>
        <w:pStyle w:val="BodyText"/>
        <w:spacing w:line="230" w:lineRule="auto" w:before="163"/>
        <w:ind w:left="723" w:right="1380"/>
        <w:jc w:val="both"/>
      </w:pPr>
      <w:r>
        <w:rPr/>
        <w:t>Understanding the influence of economic conditions and opportunities is an imperative </w:t>
      </w:r>
      <w:r>
        <w:rPr/>
        <w:t>of entrepreneurship education. Macro-, meso-, and micro-conditions (entrepreneurial ecosystems at all levels) (Perry &amp; Woolard, 2023; Perry, Woolard, &amp; Altman, 2025) and approach (entrepreneurial response) go hand-in-hand, especially when working to create the future, not predict it (Sarasvathy, 2008). As U.S. small businesses and consumers face an unpredictable economy, entrepreneurship educators must continuously consider the potential problems and opportunities. This line of inquiry and subsequent discussions can inform this opportunistic thinking and recognition.</w:t>
      </w:r>
    </w:p>
    <w:p>
      <w:pPr>
        <w:pStyle w:val="BodyText"/>
        <w:spacing w:before="3"/>
      </w:pPr>
    </w:p>
    <w:p>
      <w:pPr>
        <w:pStyle w:val="Heading4"/>
        <w:jc w:val="both"/>
      </w:pPr>
      <w:r>
        <w:rPr/>
        <w:t>References</w:t>
      </w:r>
      <w:r>
        <w:rPr>
          <w:spacing w:val="-3"/>
        </w:rPr>
        <w:t> </w:t>
      </w:r>
      <w:r>
        <w:rPr/>
        <w:t>&amp;</w:t>
      </w:r>
      <w:r>
        <w:rPr>
          <w:spacing w:val="-2"/>
        </w:rPr>
        <w:t> Bibliography</w:t>
      </w:r>
    </w:p>
    <w:p>
      <w:pPr>
        <w:spacing w:line="230" w:lineRule="auto" w:before="147"/>
        <w:ind w:left="1443" w:right="1798" w:hanging="720"/>
        <w:jc w:val="left"/>
        <w:rPr>
          <w:sz w:val="24"/>
        </w:rPr>
      </w:pPr>
      <w:r>
        <w:rPr>
          <w:sz w:val="24"/>
        </w:rPr>
        <w:t>Anderson,</w:t>
      </w:r>
      <w:r>
        <w:rPr>
          <w:spacing w:val="-4"/>
          <w:sz w:val="24"/>
        </w:rPr>
        <w:t> </w:t>
      </w:r>
      <w:r>
        <w:rPr>
          <w:sz w:val="24"/>
        </w:rPr>
        <w:t>B.</w:t>
      </w:r>
      <w:r>
        <w:rPr>
          <w:spacing w:val="-4"/>
          <w:sz w:val="24"/>
        </w:rPr>
        <w:t> </w:t>
      </w:r>
      <w:r>
        <w:rPr>
          <w:sz w:val="24"/>
        </w:rPr>
        <w:t>(2023,</w:t>
      </w:r>
      <w:r>
        <w:rPr>
          <w:spacing w:val="-4"/>
          <w:sz w:val="24"/>
        </w:rPr>
        <w:t> </w:t>
      </w:r>
      <w:r>
        <w:rPr>
          <w:sz w:val="24"/>
        </w:rPr>
        <w:t>August</w:t>
      </w:r>
      <w:r>
        <w:rPr>
          <w:spacing w:val="-4"/>
          <w:sz w:val="24"/>
        </w:rPr>
        <w:t> </w:t>
      </w:r>
      <w:r>
        <w:rPr>
          <w:sz w:val="24"/>
        </w:rPr>
        <w:t>8).</w:t>
      </w:r>
      <w:r>
        <w:rPr>
          <w:spacing w:val="-4"/>
          <w:sz w:val="24"/>
        </w:rPr>
        <w:t> </w:t>
      </w:r>
      <w:r>
        <w:rPr>
          <w:i/>
          <w:sz w:val="24"/>
        </w:rPr>
        <w:t>401(k)</w:t>
      </w:r>
      <w:r>
        <w:rPr>
          <w:i/>
          <w:spacing w:val="-4"/>
          <w:sz w:val="24"/>
        </w:rPr>
        <w:t> </w:t>
      </w:r>
      <w:r>
        <w:rPr>
          <w:i/>
          <w:sz w:val="24"/>
        </w:rPr>
        <w:t>balances</w:t>
      </w:r>
      <w:r>
        <w:rPr>
          <w:i/>
          <w:spacing w:val="-4"/>
          <w:sz w:val="24"/>
        </w:rPr>
        <w:t> </w:t>
      </w:r>
      <w:r>
        <w:rPr>
          <w:i/>
          <w:sz w:val="24"/>
        </w:rPr>
        <w:t>up</w:t>
      </w:r>
      <w:r>
        <w:rPr>
          <w:i/>
          <w:spacing w:val="-4"/>
          <w:sz w:val="24"/>
        </w:rPr>
        <w:t> </w:t>
      </w:r>
      <w:r>
        <w:rPr>
          <w:i/>
          <w:sz w:val="24"/>
        </w:rPr>
        <w:t>in</w:t>
      </w:r>
      <w:r>
        <w:rPr>
          <w:i/>
          <w:spacing w:val="-4"/>
          <w:sz w:val="24"/>
        </w:rPr>
        <w:t> </w:t>
      </w:r>
      <w:r>
        <w:rPr>
          <w:i/>
          <w:sz w:val="24"/>
        </w:rPr>
        <w:t>2023,</w:t>
      </w:r>
      <w:r>
        <w:rPr>
          <w:i/>
          <w:spacing w:val="-4"/>
          <w:sz w:val="24"/>
        </w:rPr>
        <w:t> </w:t>
      </w:r>
      <w:r>
        <w:rPr>
          <w:i/>
          <w:sz w:val="24"/>
        </w:rPr>
        <w:t>but</w:t>
      </w:r>
      <w:r>
        <w:rPr>
          <w:i/>
          <w:spacing w:val="-4"/>
          <w:sz w:val="24"/>
        </w:rPr>
        <w:t> </w:t>
      </w:r>
      <w:r>
        <w:rPr>
          <w:i/>
          <w:sz w:val="24"/>
        </w:rPr>
        <w:t>so</w:t>
      </w:r>
      <w:r>
        <w:rPr>
          <w:i/>
          <w:spacing w:val="-4"/>
          <w:sz w:val="24"/>
        </w:rPr>
        <w:t> </w:t>
      </w:r>
      <w:r>
        <w:rPr>
          <w:i/>
          <w:sz w:val="24"/>
        </w:rPr>
        <w:t>are</w:t>
      </w:r>
      <w:r>
        <w:rPr>
          <w:i/>
          <w:spacing w:val="-4"/>
          <w:sz w:val="24"/>
        </w:rPr>
        <w:t> </w:t>
      </w:r>
      <w:r>
        <w:rPr>
          <w:i/>
          <w:sz w:val="24"/>
        </w:rPr>
        <w:t>hardship</w:t>
      </w:r>
      <w:r>
        <w:rPr>
          <w:i/>
          <w:spacing w:val="-4"/>
          <w:sz w:val="24"/>
        </w:rPr>
        <w:t> </w:t>
      </w:r>
      <w:r>
        <w:rPr>
          <w:i/>
          <w:sz w:val="24"/>
        </w:rPr>
        <w:t>withdrawals,</w:t>
      </w:r>
      <w:r>
        <w:rPr>
          <w:i/>
          <w:sz w:val="24"/>
        </w:rPr>
        <w:t> loans</w:t>
      </w:r>
      <w:r>
        <w:rPr>
          <w:sz w:val="24"/>
        </w:rPr>
        <w:t>. </w:t>
      </w:r>
      <w:hyperlink r:id="rId164">
        <w:r>
          <w:rPr>
            <w:color w:val="0000FF"/>
            <w:sz w:val="24"/>
            <w:u w:val="thick" w:color="0000FF"/>
          </w:rPr>
          <w:t>https://401kspecialistmag.com/401k-balances-up-in-2023-but-so-are-hardship</w:t>
        </w:r>
      </w:hyperlink>
      <w:r>
        <w:rPr>
          <w:color w:val="0000FF"/>
          <w:sz w:val="24"/>
          <w:u w:val="none"/>
        </w:rPr>
        <w:t> </w:t>
      </w:r>
      <w:r>
        <w:rPr>
          <w:color w:val="0000FF"/>
          <w:spacing w:val="-2"/>
          <w:sz w:val="24"/>
          <w:u w:val="thick" w:color="0000FF"/>
        </w:rPr>
        <w:t>withdrawals-loans/</w:t>
      </w:r>
    </w:p>
    <w:p>
      <w:pPr>
        <w:spacing w:line="230" w:lineRule="auto" w:before="7"/>
        <w:ind w:left="1443" w:right="1385" w:hanging="720"/>
        <w:jc w:val="both"/>
        <w:rPr>
          <w:sz w:val="24"/>
        </w:rPr>
      </w:pPr>
      <w:r>
        <w:rPr>
          <w:sz w:val="24"/>
        </w:rPr>
        <w:t>Araujo, C. F., Karami, M., Tang, J., Roldan, L. B., &amp; dos Santos, J. A. (2023). </w:t>
      </w:r>
      <w:r>
        <w:rPr>
          <w:i/>
          <w:sz w:val="24"/>
        </w:rPr>
        <w:t>Entrepreneurial</w:t>
      </w:r>
      <w:r>
        <w:rPr>
          <w:i/>
          <w:sz w:val="24"/>
        </w:rPr>
        <w:t> alertness: A meta-analysis and empirical review</w:t>
      </w:r>
      <w:r>
        <w:rPr>
          <w:sz w:val="24"/>
        </w:rPr>
        <w:t>. </w:t>
      </w:r>
      <w:r>
        <w:rPr>
          <w:i/>
          <w:sz w:val="24"/>
        </w:rPr>
        <w:t>Journal of Business Venturing Insights,</w:t>
      </w:r>
      <w:r>
        <w:rPr>
          <w:i/>
          <w:sz w:val="24"/>
        </w:rPr>
        <w:t> 19</w:t>
      </w:r>
      <w:r>
        <w:rPr>
          <w:sz w:val="24"/>
        </w:rPr>
        <w:t>, e00394. </w:t>
      </w:r>
      <w:hyperlink r:id="rId165">
        <w:r>
          <w:rPr>
            <w:sz w:val="24"/>
          </w:rPr>
          <w:t>https://doi.org/10.1016/j.jbvi.2023.e00394</w:t>
        </w:r>
      </w:hyperlink>
    </w:p>
    <w:p>
      <w:pPr>
        <w:pStyle w:val="BodyText"/>
        <w:spacing w:line="230" w:lineRule="auto" w:before="1"/>
        <w:ind w:left="1428" w:right="1380" w:hanging="705"/>
        <w:jc w:val="both"/>
      </w:pPr>
      <w:r>
        <w:rPr/>
        <w:t>Baron, R. A. (2006). Opportunity Recognition as Pattern Recognition: How </w:t>
      </w:r>
      <w:r>
        <w:rPr/>
        <w:t>Entrepreneurs "Connect the Dots" to Identify New Business Opportunities. </w:t>
      </w:r>
      <w:r>
        <w:rPr>
          <w:i/>
        </w:rPr>
        <w:t>The Academy of</w:t>
      </w:r>
      <w:r>
        <w:rPr>
          <w:i/>
          <w:spacing w:val="40"/>
        </w:rPr>
        <w:t> </w:t>
      </w:r>
      <w:r>
        <w:rPr>
          <w:i/>
        </w:rPr>
        <w:t>Management</w:t>
      </w:r>
      <w:r>
        <w:rPr>
          <w:i/>
          <w:spacing w:val="40"/>
        </w:rPr>
        <w:t> </w:t>
      </w:r>
      <w:r>
        <w:rPr>
          <w:i/>
        </w:rPr>
        <w:t>Perspectives, 20</w:t>
      </w:r>
      <w:r>
        <w:rPr/>
        <w:t>(1), 104–119. </w:t>
      </w:r>
      <w:hyperlink r:id="rId166">
        <w:r>
          <w:rPr>
            <w:color w:val="0000FF"/>
            <w:u w:val="thick" w:color="0000FF"/>
          </w:rPr>
          <w:t>https://doi.org/10.5465/AMP.2006.19873412</w:t>
        </w:r>
      </w:hyperlink>
    </w:p>
    <w:p>
      <w:pPr>
        <w:spacing w:line="230" w:lineRule="auto" w:before="7"/>
        <w:ind w:left="1428" w:right="1390" w:hanging="705"/>
        <w:jc w:val="both"/>
        <w:rPr>
          <w:sz w:val="24"/>
        </w:rPr>
      </w:pPr>
      <w:r>
        <w:rPr>
          <w:sz w:val="24"/>
        </w:rPr>
        <w:t>Brynjolfsson, E., Chandar, B., &amp; Chen, R. (2025). Canaries in the coal mine? six</w:t>
      </w:r>
      <w:r>
        <w:rPr>
          <w:spacing w:val="-3"/>
          <w:sz w:val="24"/>
        </w:rPr>
        <w:t> </w:t>
      </w:r>
      <w:r>
        <w:rPr>
          <w:sz w:val="24"/>
        </w:rPr>
        <w:t>facts</w:t>
      </w:r>
      <w:r>
        <w:rPr>
          <w:spacing w:val="-3"/>
          <w:sz w:val="24"/>
        </w:rPr>
        <w:t> </w:t>
      </w:r>
      <w:r>
        <w:rPr>
          <w:sz w:val="24"/>
        </w:rPr>
        <w:t>about</w:t>
      </w:r>
      <w:r>
        <w:rPr>
          <w:spacing w:val="-3"/>
          <w:sz w:val="24"/>
        </w:rPr>
        <w:t> </w:t>
      </w:r>
      <w:r>
        <w:rPr>
          <w:sz w:val="24"/>
        </w:rPr>
        <w:t>the recent employment effects of artificial intelligence. </w:t>
      </w:r>
      <w:r>
        <w:rPr>
          <w:i/>
          <w:sz w:val="24"/>
        </w:rPr>
        <w:t>Stanford Digital Economy Lab.</w:t>
      </w:r>
      <w:r>
        <w:rPr>
          <w:i/>
          <w:sz w:val="24"/>
        </w:rPr>
        <w:t> Published August</w:t>
      </w:r>
      <w:r>
        <w:rPr>
          <w:sz w:val="24"/>
        </w:rPr>
        <w:t>.</w:t>
      </w:r>
    </w:p>
    <w:p>
      <w:pPr>
        <w:pStyle w:val="BodyText"/>
        <w:spacing w:line="232" w:lineRule="auto" w:before="2"/>
        <w:ind w:left="1443" w:right="2114" w:hanging="720"/>
      </w:pPr>
      <w:r>
        <w:rPr/>
        <w:t>Challenger,</w:t>
      </w:r>
      <w:r>
        <w:rPr>
          <w:spacing w:val="-12"/>
        </w:rPr>
        <w:t> </w:t>
      </w:r>
      <w:r>
        <w:rPr/>
        <w:t>A.</w:t>
      </w:r>
      <w:r>
        <w:rPr>
          <w:spacing w:val="-12"/>
        </w:rPr>
        <w:t> </w:t>
      </w:r>
      <w:r>
        <w:rPr/>
        <w:t>(2025).</w:t>
      </w:r>
      <w:r>
        <w:rPr>
          <w:spacing w:val="-12"/>
        </w:rPr>
        <w:t> </w:t>
      </w:r>
      <w:r>
        <w:rPr>
          <w:i/>
        </w:rPr>
        <w:t>Challenger</w:t>
      </w:r>
      <w:r>
        <w:rPr>
          <w:i/>
          <w:spacing w:val="-12"/>
        </w:rPr>
        <w:t> </w:t>
      </w:r>
      <w:r>
        <w:rPr>
          <w:i/>
        </w:rPr>
        <w:t>Report:</w:t>
      </w:r>
      <w:r>
        <w:rPr>
          <w:i/>
          <w:spacing w:val="-12"/>
        </w:rPr>
        <w:t> </w:t>
      </w:r>
      <w:r>
        <w:rPr>
          <w:i/>
        </w:rPr>
        <w:t>July</w:t>
      </w:r>
      <w:r>
        <w:rPr>
          <w:i/>
          <w:spacing w:val="-12"/>
        </w:rPr>
        <w:t> </w:t>
      </w:r>
      <w:r>
        <w:rPr>
          <w:i/>
        </w:rPr>
        <w:t>2025</w:t>
      </w:r>
      <w:r>
        <w:rPr/>
        <w:t>.</w:t>
      </w:r>
      <w:r>
        <w:rPr>
          <w:spacing w:val="-12"/>
        </w:rPr>
        <w:t> </w:t>
      </w:r>
      <w:hyperlink r:id="rId167">
        <w:r>
          <w:rPr>
            <w:color w:val="0000FF"/>
            <w:u w:val="thick" w:color="0000FF"/>
          </w:rPr>
          <w:t>https://www.challengergray.com/wp</w:t>
        </w:r>
      </w:hyperlink>
      <w:r>
        <w:rPr>
          <w:color w:val="0000FF"/>
          <w:u w:val="none"/>
        </w:rPr>
        <w:t> </w:t>
      </w:r>
      <w:r>
        <w:rPr>
          <w:color w:val="0000FF"/>
          <w:spacing w:val="-2"/>
          <w:u w:val="thick" w:color="0000FF"/>
        </w:rPr>
        <w:t>content/uploads/2025/07/Challenger-Report-July-2025.pdf</w:t>
      </w:r>
    </w:p>
    <w:p>
      <w:pPr>
        <w:spacing w:line="232" w:lineRule="auto" w:before="1"/>
        <w:ind w:left="1443" w:right="1738" w:hanging="720"/>
        <w:jc w:val="left"/>
        <w:rPr>
          <w:sz w:val="24"/>
        </w:rPr>
      </w:pPr>
      <w:r>
        <w:rPr>
          <w:i/>
          <w:sz w:val="24"/>
        </w:rPr>
        <w:t>Consumer prices up 9.1 percent over the year ended June 2022, largest increase in 40 years</w:t>
      </w:r>
      <w:r>
        <w:rPr>
          <w:sz w:val="24"/>
        </w:rPr>
        <w:t>. (2022). U.S. Bureau of Labor Statistics. </w:t>
      </w:r>
      <w:hyperlink r:id="rId168">
        <w:r>
          <w:rPr>
            <w:color w:val="0000FF"/>
            <w:sz w:val="24"/>
            <w:u w:val="thick" w:color="0000FF"/>
          </w:rPr>
          <w:t>https://www.bls.gov/opub/ted/2022/consumer</w:t>
        </w:r>
      </w:hyperlink>
      <w:r>
        <w:rPr>
          <w:color w:val="0000FF"/>
          <w:sz w:val="24"/>
          <w:u w:val="none"/>
        </w:rPr>
        <w:t> </w:t>
      </w:r>
      <w:r>
        <w:rPr>
          <w:color w:val="0000FF"/>
          <w:spacing w:val="-2"/>
          <w:sz w:val="24"/>
          <w:u w:val="none"/>
        </w:rPr>
        <w:t>p</w:t>
      </w:r>
      <w:r>
        <w:rPr>
          <w:color w:val="0000FF"/>
          <w:spacing w:val="-2"/>
          <w:sz w:val="24"/>
          <w:u w:val="thick" w:color="0000FF"/>
        </w:rPr>
        <w:t>rices-up-9-1-percent-over-the-year-ended-june-2022-largest-increase-in-40-</w:t>
      </w:r>
      <w:r>
        <w:rPr>
          <w:color w:val="0000FF"/>
          <w:spacing w:val="-2"/>
          <w:sz w:val="24"/>
          <w:u w:val="thick" w:color="0000FF"/>
        </w:rPr>
        <w:t>years.htm</w:t>
      </w:r>
    </w:p>
    <w:p>
      <w:pPr>
        <w:spacing w:line="230" w:lineRule="auto" w:before="6"/>
        <w:ind w:left="1443" w:right="2038" w:hanging="720"/>
        <w:jc w:val="left"/>
        <w:rPr>
          <w:sz w:val="24"/>
        </w:rPr>
      </w:pPr>
      <w:r>
        <w:rPr>
          <w:sz w:val="24"/>
        </w:rPr>
        <w:t>Culp, S. (2024, December 31). </w:t>
      </w:r>
      <w:r>
        <w:rPr>
          <w:i/>
          <w:sz w:val="24"/>
        </w:rPr>
        <w:t>Wall Street ends lower, capping a banner year</w:t>
      </w:r>
      <w:r>
        <w:rPr>
          <w:sz w:val="24"/>
        </w:rPr>
        <w:t>. Reuters. </w:t>
      </w:r>
      <w:hyperlink r:id="rId169">
        <w:r>
          <w:rPr>
            <w:color w:val="0000FF"/>
            <w:spacing w:val="-2"/>
            <w:sz w:val="24"/>
            <w:u w:val="thick" w:color="0000FF"/>
          </w:rPr>
          <w:t>https://www.reuters.com/markets/us/ai-boom-fed-rate-cuts-lift-us-stocks-new-</w:t>
        </w:r>
        <w:r>
          <w:rPr>
            <w:color w:val="0000FF"/>
            <w:spacing w:val="-2"/>
            <w:sz w:val="24"/>
            <w:u w:val="thick" w:color="0000FF"/>
          </w:rPr>
          <w:t>highs</w:t>
        </w:r>
      </w:hyperlink>
      <w:r>
        <w:rPr>
          <w:color w:val="0000FF"/>
          <w:spacing w:val="-2"/>
          <w:sz w:val="24"/>
          <w:u w:val="none"/>
        </w:rPr>
        <w:t> </w:t>
      </w:r>
      <w:r>
        <w:rPr>
          <w:color w:val="0000FF"/>
          <w:spacing w:val="-2"/>
          <w:sz w:val="24"/>
          <w:u w:val="thick" w:color="0000FF"/>
        </w:rPr>
        <w:t>2024-2024-12-31</w:t>
      </w:r>
    </w:p>
    <w:p>
      <w:pPr>
        <w:pStyle w:val="BodyText"/>
        <w:spacing w:line="230" w:lineRule="auto" w:before="2"/>
        <w:ind w:left="1443" w:right="1948" w:hanging="720"/>
      </w:pPr>
      <w:r>
        <w:rPr/>
        <w:t>Davidsson,</w:t>
      </w:r>
      <w:r>
        <w:rPr>
          <w:spacing w:val="-7"/>
        </w:rPr>
        <w:t> </w:t>
      </w:r>
      <w:r>
        <w:rPr/>
        <w:t>P.</w:t>
      </w:r>
      <w:r>
        <w:rPr>
          <w:spacing w:val="-7"/>
        </w:rPr>
        <w:t> </w:t>
      </w:r>
      <w:r>
        <w:rPr/>
        <w:t>(2015).</w:t>
      </w:r>
      <w:r>
        <w:rPr>
          <w:spacing w:val="-7"/>
        </w:rPr>
        <w:t> </w:t>
      </w:r>
      <w:r>
        <w:rPr/>
        <w:t>Entrepreneurial</w:t>
      </w:r>
      <w:r>
        <w:rPr>
          <w:spacing w:val="-7"/>
        </w:rPr>
        <w:t> </w:t>
      </w:r>
      <w:r>
        <w:rPr/>
        <w:t>opportunities</w:t>
      </w:r>
      <w:r>
        <w:rPr>
          <w:spacing w:val="-7"/>
        </w:rPr>
        <w:t> </w:t>
      </w:r>
      <w:r>
        <w:rPr/>
        <w:t>and</w:t>
      </w:r>
      <w:r>
        <w:rPr>
          <w:spacing w:val="-7"/>
        </w:rPr>
        <w:t> </w:t>
      </w:r>
      <w:r>
        <w:rPr/>
        <w:t>the</w:t>
      </w:r>
      <w:r>
        <w:rPr>
          <w:spacing w:val="-7"/>
        </w:rPr>
        <w:t> </w:t>
      </w:r>
      <w:r>
        <w:rPr/>
        <w:t>entrepreneurship</w:t>
      </w:r>
      <w:r>
        <w:rPr>
          <w:spacing w:val="-7"/>
        </w:rPr>
        <w:t> </w:t>
      </w:r>
      <w:r>
        <w:rPr/>
        <w:t>nexus:</w:t>
      </w:r>
      <w:r>
        <w:rPr>
          <w:spacing w:val="-7"/>
        </w:rPr>
        <w:t> </w:t>
      </w:r>
      <w:r>
        <w:rPr/>
        <w:t>A</w:t>
      </w:r>
      <w:r>
        <w:rPr>
          <w:spacing w:val="-7"/>
        </w:rPr>
        <w:t> </w:t>
      </w:r>
      <w:r>
        <w:rPr/>
        <w:t>re conceptualization. </w:t>
      </w:r>
      <w:r>
        <w:rPr>
          <w:i/>
        </w:rPr>
        <w:t>Journal of Business Venturing, 30</w:t>
      </w:r>
      <w:r>
        <w:rPr/>
        <w:t>(5), 674-695. </w:t>
      </w:r>
      <w:hyperlink r:id="rId170">
        <w:r>
          <w:rPr>
            <w:spacing w:val="-2"/>
          </w:rPr>
          <w:t>https://doi.org/10.1016/j.jbusvent.2015.01.002</w:t>
        </w:r>
      </w:hyperlink>
    </w:p>
    <w:p>
      <w:pPr>
        <w:spacing w:line="230" w:lineRule="auto" w:before="7"/>
        <w:ind w:left="1443" w:right="1478" w:hanging="720"/>
        <w:jc w:val="left"/>
        <w:rPr>
          <w:sz w:val="24"/>
        </w:rPr>
      </w:pPr>
      <w:r>
        <w:rPr>
          <w:sz w:val="24"/>
        </w:rPr>
        <w:t>DeSmith,</w:t>
      </w:r>
      <w:r>
        <w:rPr>
          <w:spacing w:val="-4"/>
          <w:sz w:val="24"/>
        </w:rPr>
        <w:t> </w:t>
      </w:r>
      <w:r>
        <w:rPr>
          <w:sz w:val="24"/>
        </w:rPr>
        <w:t>C.</w:t>
      </w:r>
      <w:r>
        <w:rPr>
          <w:spacing w:val="-4"/>
          <w:sz w:val="24"/>
        </w:rPr>
        <w:t> </w:t>
      </w:r>
      <w:r>
        <w:rPr>
          <w:sz w:val="24"/>
        </w:rPr>
        <w:t>(2025,</w:t>
      </w:r>
      <w:r>
        <w:rPr>
          <w:spacing w:val="-4"/>
          <w:sz w:val="24"/>
        </w:rPr>
        <w:t> </w:t>
      </w:r>
      <w:r>
        <w:rPr>
          <w:sz w:val="24"/>
        </w:rPr>
        <w:t>February</w:t>
      </w:r>
      <w:r>
        <w:rPr>
          <w:spacing w:val="-4"/>
          <w:sz w:val="24"/>
        </w:rPr>
        <w:t> </w:t>
      </w:r>
      <w:r>
        <w:rPr>
          <w:sz w:val="24"/>
        </w:rPr>
        <w:t>14).</w:t>
      </w:r>
      <w:r>
        <w:rPr>
          <w:spacing w:val="-4"/>
          <w:sz w:val="24"/>
        </w:rPr>
        <w:t> </w:t>
      </w:r>
      <w:r>
        <w:rPr>
          <w:i/>
          <w:sz w:val="24"/>
        </w:rPr>
        <w:t>Is</w:t>
      </w:r>
      <w:r>
        <w:rPr>
          <w:i/>
          <w:spacing w:val="-4"/>
          <w:sz w:val="24"/>
        </w:rPr>
        <w:t> </w:t>
      </w:r>
      <w:r>
        <w:rPr>
          <w:i/>
          <w:sz w:val="24"/>
        </w:rPr>
        <w:t>AI</w:t>
      </w:r>
      <w:r>
        <w:rPr>
          <w:i/>
          <w:spacing w:val="-4"/>
          <w:sz w:val="24"/>
        </w:rPr>
        <w:t> </w:t>
      </w:r>
      <w:r>
        <w:rPr>
          <w:i/>
          <w:sz w:val="24"/>
        </w:rPr>
        <w:t>already</w:t>
      </w:r>
      <w:r>
        <w:rPr>
          <w:i/>
          <w:spacing w:val="-4"/>
          <w:sz w:val="24"/>
        </w:rPr>
        <w:t> </w:t>
      </w:r>
      <w:r>
        <w:rPr>
          <w:i/>
          <w:sz w:val="24"/>
        </w:rPr>
        <w:t>shaking</w:t>
      </w:r>
      <w:r>
        <w:rPr>
          <w:i/>
          <w:spacing w:val="-4"/>
          <w:sz w:val="24"/>
        </w:rPr>
        <w:t> </w:t>
      </w:r>
      <w:r>
        <w:rPr>
          <w:i/>
          <w:sz w:val="24"/>
        </w:rPr>
        <w:t>up</w:t>
      </w:r>
      <w:r>
        <w:rPr>
          <w:i/>
          <w:spacing w:val="-4"/>
          <w:sz w:val="24"/>
        </w:rPr>
        <w:t> </w:t>
      </w:r>
      <w:r>
        <w:rPr>
          <w:i/>
          <w:sz w:val="24"/>
        </w:rPr>
        <w:t>labor</w:t>
      </w:r>
      <w:r>
        <w:rPr>
          <w:i/>
          <w:spacing w:val="-4"/>
          <w:sz w:val="24"/>
        </w:rPr>
        <w:t> </w:t>
      </w:r>
      <w:r>
        <w:rPr>
          <w:i/>
          <w:sz w:val="24"/>
        </w:rPr>
        <w:t>market?</w:t>
      </w:r>
      <w:r>
        <w:rPr>
          <w:i/>
          <w:spacing w:val="-4"/>
          <w:sz w:val="24"/>
        </w:rPr>
        <w:t> </w:t>
      </w:r>
      <w:r>
        <w:rPr>
          <w:sz w:val="24"/>
        </w:rPr>
        <w:t>The</w:t>
      </w:r>
      <w:r>
        <w:rPr>
          <w:spacing w:val="-4"/>
          <w:sz w:val="24"/>
        </w:rPr>
        <w:t> </w:t>
      </w:r>
      <w:r>
        <w:rPr>
          <w:sz w:val="24"/>
        </w:rPr>
        <w:t>Harvard</w:t>
      </w:r>
      <w:r>
        <w:rPr>
          <w:spacing w:val="-4"/>
          <w:sz w:val="24"/>
        </w:rPr>
        <w:t> </w:t>
      </w:r>
      <w:r>
        <w:rPr>
          <w:sz w:val="24"/>
        </w:rPr>
        <w:t>Gazzette. </w:t>
      </w:r>
      <w:hyperlink r:id="rId171">
        <w:r>
          <w:rPr>
            <w:color w:val="0000FF"/>
            <w:spacing w:val="-2"/>
            <w:sz w:val="24"/>
            <w:u w:val="thick" w:color="0000FF"/>
          </w:rPr>
          <w:t>https://news.harvard.edu/gazette/story/2025/02/is-ai-already-shaking-up-labor-market-a</w:t>
        </w:r>
      </w:hyperlink>
    </w:p>
    <w:p>
      <w:pPr>
        <w:pStyle w:val="BodyText"/>
        <w:spacing w:line="262" w:lineRule="exact"/>
        <w:ind w:left="1443"/>
      </w:pPr>
      <w:r>
        <w:rPr>
          <w:color w:val="0000FF"/>
          <w:u w:val="thick" w:color="0000FF"/>
        </w:rPr>
        <w:t>i-artificial-</w:t>
      </w:r>
      <w:r>
        <w:rPr>
          <w:color w:val="0000FF"/>
          <w:spacing w:val="-2"/>
          <w:u w:val="thick" w:color="0000FF"/>
        </w:rPr>
        <w:t>intelligence/</w:t>
      </w:r>
    </w:p>
    <w:p>
      <w:pPr>
        <w:spacing w:line="230" w:lineRule="auto" w:before="5"/>
        <w:ind w:left="1443" w:right="1764" w:hanging="720"/>
        <w:jc w:val="left"/>
        <w:rPr>
          <w:sz w:val="24"/>
        </w:rPr>
      </w:pPr>
      <w:r>
        <w:rPr>
          <w:sz w:val="24"/>
        </w:rPr>
        <w:t>Ellingrud,</w:t>
      </w:r>
      <w:r>
        <w:rPr>
          <w:spacing w:val="-5"/>
          <w:sz w:val="24"/>
        </w:rPr>
        <w:t> </w:t>
      </w:r>
      <w:r>
        <w:rPr>
          <w:sz w:val="24"/>
        </w:rPr>
        <w:t>K.,</w:t>
      </w:r>
      <w:r>
        <w:rPr>
          <w:spacing w:val="-5"/>
          <w:sz w:val="24"/>
        </w:rPr>
        <w:t> </w:t>
      </w:r>
      <w:r>
        <w:rPr>
          <w:sz w:val="24"/>
        </w:rPr>
        <w:t>Sanghvi,</w:t>
      </w:r>
      <w:r>
        <w:rPr>
          <w:spacing w:val="-5"/>
          <w:sz w:val="24"/>
        </w:rPr>
        <w:t> </w:t>
      </w:r>
      <w:r>
        <w:rPr>
          <w:sz w:val="24"/>
        </w:rPr>
        <w:t>S.,</w:t>
      </w:r>
      <w:r>
        <w:rPr>
          <w:spacing w:val="-5"/>
          <w:sz w:val="24"/>
        </w:rPr>
        <w:t> </w:t>
      </w:r>
      <w:r>
        <w:rPr>
          <w:sz w:val="24"/>
        </w:rPr>
        <w:t>Dandona,</w:t>
      </w:r>
      <w:r>
        <w:rPr>
          <w:spacing w:val="-5"/>
          <w:sz w:val="24"/>
        </w:rPr>
        <w:t> </w:t>
      </w:r>
      <w:r>
        <w:rPr>
          <w:sz w:val="24"/>
        </w:rPr>
        <w:t>G.</w:t>
      </w:r>
      <w:r>
        <w:rPr>
          <w:spacing w:val="-5"/>
          <w:sz w:val="24"/>
        </w:rPr>
        <w:t> </w:t>
      </w:r>
      <w:r>
        <w:rPr>
          <w:sz w:val="24"/>
        </w:rPr>
        <w:t>S.,</w:t>
      </w:r>
      <w:r>
        <w:rPr>
          <w:spacing w:val="-5"/>
          <w:sz w:val="24"/>
        </w:rPr>
        <w:t> </w:t>
      </w:r>
      <w:r>
        <w:rPr>
          <w:sz w:val="24"/>
        </w:rPr>
        <w:t>Madgavkar,</w:t>
      </w:r>
      <w:r>
        <w:rPr>
          <w:spacing w:val="-5"/>
          <w:sz w:val="24"/>
        </w:rPr>
        <w:t> </w:t>
      </w:r>
      <w:r>
        <w:rPr>
          <w:sz w:val="24"/>
        </w:rPr>
        <w:t>A.,</w:t>
      </w:r>
      <w:r>
        <w:rPr>
          <w:spacing w:val="-5"/>
          <w:sz w:val="24"/>
        </w:rPr>
        <w:t> </w:t>
      </w:r>
      <w:r>
        <w:rPr>
          <w:sz w:val="24"/>
        </w:rPr>
        <w:t>Chui,</w:t>
      </w:r>
      <w:r>
        <w:rPr>
          <w:spacing w:val="-5"/>
          <w:sz w:val="24"/>
        </w:rPr>
        <w:t> </w:t>
      </w:r>
      <w:r>
        <w:rPr>
          <w:sz w:val="24"/>
        </w:rPr>
        <w:t>M.,</w:t>
      </w:r>
      <w:r>
        <w:rPr>
          <w:spacing w:val="-5"/>
          <w:sz w:val="24"/>
        </w:rPr>
        <w:t> </w:t>
      </w:r>
      <w:r>
        <w:rPr>
          <w:sz w:val="24"/>
        </w:rPr>
        <w:t>White,</w:t>
      </w:r>
      <w:r>
        <w:rPr>
          <w:spacing w:val="-5"/>
          <w:sz w:val="24"/>
        </w:rPr>
        <w:t> </w:t>
      </w:r>
      <w:r>
        <w:rPr>
          <w:sz w:val="24"/>
        </w:rPr>
        <w:t>O.,</w:t>
      </w:r>
      <w:r>
        <w:rPr>
          <w:spacing w:val="-5"/>
          <w:sz w:val="24"/>
        </w:rPr>
        <w:t> </w:t>
      </w:r>
      <w:r>
        <w:rPr>
          <w:sz w:val="24"/>
        </w:rPr>
        <w:t>&amp;</w:t>
      </w:r>
      <w:r>
        <w:rPr>
          <w:spacing w:val="-5"/>
          <w:sz w:val="24"/>
        </w:rPr>
        <w:t> </w:t>
      </w:r>
      <w:r>
        <w:rPr>
          <w:sz w:val="24"/>
        </w:rPr>
        <w:t>Hasebe,</w:t>
      </w:r>
      <w:r>
        <w:rPr>
          <w:spacing w:val="-5"/>
          <w:sz w:val="24"/>
        </w:rPr>
        <w:t> </w:t>
      </w:r>
      <w:r>
        <w:rPr>
          <w:sz w:val="24"/>
        </w:rPr>
        <w:t>P. (2023). </w:t>
      </w:r>
      <w:r>
        <w:rPr>
          <w:i/>
          <w:sz w:val="24"/>
        </w:rPr>
        <w:t>Generative AI and the future of work in America</w:t>
      </w:r>
      <w:r>
        <w:rPr>
          <w:sz w:val="24"/>
        </w:rPr>
        <w:t>. </w:t>
      </w:r>
      <w:hyperlink r:id="rId172">
        <w:r>
          <w:rPr>
            <w:color w:val="0000FF"/>
            <w:spacing w:val="-2"/>
            <w:sz w:val="24"/>
            <w:u w:val="thick" w:color="0000FF"/>
          </w:rPr>
          <w:t>https://www.mckinsey.com/mgi/our-research/generative-ai-and-the-future-of-work-in</w:t>
        </w:r>
      </w:hyperlink>
    </w:p>
    <w:p>
      <w:pPr>
        <w:spacing w:after="0" w:line="230" w:lineRule="auto"/>
        <w:jc w:val="left"/>
        <w:rPr>
          <w:sz w:val="24"/>
        </w:rPr>
        <w:sectPr>
          <w:pgSz w:w="12240" w:h="15840"/>
          <w:pgMar w:header="0" w:footer="768" w:top="640" w:bottom="960" w:left="720" w:right="0"/>
        </w:sectPr>
      </w:pPr>
    </w:p>
    <w:p>
      <w:pPr>
        <w:pStyle w:val="BodyText"/>
        <w:spacing w:line="270" w:lineRule="exact" w:before="72"/>
        <w:ind w:left="1443"/>
      </w:pPr>
      <w:r>
        <w:rPr>
          <w:color w:val="0000FF"/>
          <w:spacing w:val="-2"/>
          <w:u w:val="thick" w:color="0000FF"/>
        </w:rPr>
        <w:t>america</w:t>
      </w:r>
    </w:p>
    <w:p>
      <w:pPr>
        <w:spacing w:line="230" w:lineRule="auto" w:before="3"/>
        <w:ind w:left="1443" w:right="1385" w:hanging="720"/>
        <w:jc w:val="both"/>
        <w:rPr>
          <w:sz w:val="24"/>
        </w:rPr>
      </w:pPr>
      <w:r>
        <w:rPr>
          <w:sz w:val="24"/>
        </w:rPr>
        <w:t>Fossen, F. M., McLemore, T., &amp; Sorgner, A. (2024, June). </w:t>
      </w:r>
      <w:r>
        <w:rPr>
          <w:i/>
          <w:sz w:val="24"/>
        </w:rPr>
        <w:t>Artificial intelligence </w:t>
      </w:r>
      <w:r>
        <w:rPr>
          <w:i/>
          <w:sz w:val="24"/>
        </w:rPr>
        <w:t>and</w:t>
      </w:r>
      <w:r>
        <w:rPr>
          <w:i/>
          <w:sz w:val="24"/>
        </w:rPr>
        <w:t> entrepreneurship </w:t>
      </w:r>
      <w:r>
        <w:rPr>
          <w:sz w:val="24"/>
        </w:rPr>
        <w:t>(IZA Discussion Paper No. 17055). IZA Institute of Labor Economics. </w:t>
      </w:r>
      <w:hyperlink r:id="rId173">
        <w:r>
          <w:rPr>
            <w:color w:val="0000FF"/>
            <w:spacing w:val="-2"/>
            <w:sz w:val="24"/>
            <w:u w:val="thick" w:color="0000FF"/>
          </w:rPr>
          <w:t>https://docs.iza.org/dp17055.pdf</w:t>
        </w:r>
      </w:hyperlink>
    </w:p>
    <w:p>
      <w:pPr>
        <w:spacing w:line="232" w:lineRule="auto" w:before="1"/>
        <w:ind w:left="1443" w:right="1619" w:hanging="720"/>
        <w:jc w:val="left"/>
        <w:rPr>
          <w:sz w:val="24"/>
        </w:rPr>
      </w:pPr>
      <w:r>
        <w:rPr>
          <w:sz w:val="24"/>
        </w:rPr>
        <w:t>Heise,</w:t>
      </w:r>
      <w:r>
        <w:rPr>
          <w:spacing w:val="-6"/>
          <w:sz w:val="24"/>
        </w:rPr>
        <w:t> </w:t>
      </w:r>
      <w:r>
        <w:rPr>
          <w:sz w:val="24"/>
        </w:rPr>
        <w:t>S.,</w:t>
      </w:r>
      <w:r>
        <w:rPr>
          <w:spacing w:val="-6"/>
          <w:sz w:val="24"/>
        </w:rPr>
        <w:t> </w:t>
      </w:r>
      <w:r>
        <w:rPr>
          <w:sz w:val="24"/>
        </w:rPr>
        <w:t>Pierce,</w:t>
      </w:r>
      <w:r>
        <w:rPr>
          <w:spacing w:val="-6"/>
          <w:sz w:val="24"/>
        </w:rPr>
        <w:t> </w:t>
      </w:r>
      <w:r>
        <w:rPr>
          <w:sz w:val="24"/>
        </w:rPr>
        <w:t>J.</w:t>
      </w:r>
      <w:r>
        <w:rPr>
          <w:spacing w:val="-6"/>
          <w:sz w:val="24"/>
        </w:rPr>
        <w:t> </w:t>
      </w:r>
      <w:r>
        <w:rPr>
          <w:sz w:val="24"/>
        </w:rPr>
        <w:t>R.,</w:t>
      </w:r>
      <w:r>
        <w:rPr>
          <w:spacing w:val="-6"/>
          <w:sz w:val="24"/>
        </w:rPr>
        <w:t> </w:t>
      </w:r>
      <w:r>
        <w:rPr>
          <w:sz w:val="24"/>
        </w:rPr>
        <w:t>Schaur,</w:t>
      </w:r>
      <w:r>
        <w:rPr>
          <w:spacing w:val="-6"/>
          <w:sz w:val="24"/>
        </w:rPr>
        <w:t> </w:t>
      </w:r>
      <w:r>
        <w:rPr>
          <w:sz w:val="24"/>
        </w:rPr>
        <w:t>G.,</w:t>
      </w:r>
      <w:r>
        <w:rPr>
          <w:spacing w:val="-6"/>
          <w:sz w:val="24"/>
        </w:rPr>
        <w:t> </w:t>
      </w:r>
      <w:r>
        <w:rPr>
          <w:sz w:val="24"/>
        </w:rPr>
        <w:t>&amp;</w:t>
      </w:r>
      <w:r>
        <w:rPr>
          <w:spacing w:val="-6"/>
          <w:sz w:val="24"/>
        </w:rPr>
        <w:t> </w:t>
      </w:r>
      <w:r>
        <w:rPr>
          <w:sz w:val="24"/>
        </w:rPr>
        <w:t>Schott,</w:t>
      </w:r>
      <w:r>
        <w:rPr>
          <w:spacing w:val="-6"/>
          <w:sz w:val="24"/>
        </w:rPr>
        <w:t> </w:t>
      </w:r>
      <w:r>
        <w:rPr>
          <w:sz w:val="24"/>
        </w:rPr>
        <w:t>P.</w:t>
      </w:r>
      <w:r>
        <w:rPr>
          <w:spacing w:val="-6"/>
          <w:sz w:val="24"/>
        </w:rPr>
        <w:t> </w:t>
      </w:r>
      <w:r>
        <w:rPr>
          <w:sz w:val="24"/>
        </w:rPr>
        <w:t>K.</w:t>
      </w:r>
      <w:r>
        <w:rPr>
          <w:spacing w:val="-6"/>
          <w:sz w:val="24"/>
        </w:rPr>
        <w:t> </w:t>
      </w:r>
      <w:r>
        <w:rPr>
          <w:sz w:val="24"/>
        </w:rPr>
        <w:t>(2024).</w:t>
      </w:r>
      <w:r>
        <w:rPr>
          <w:spacing w:val="-6"/>
          <w:sz w:val="24"/>
        </w:rPr>
        <w:t> </w:t>
      </w:r>
      <w:r>
        <w:rPr>
          <w:i/>
          <w:sz w:val="24"/>
        </w:rPr>
        <w:t>Tariff</w:t>
      </w:r>
      <w:r>
        <w:rPr>
          <w:i/>
          <w:spacing w:val="-6"/>
          <w:sz w:val="24"/>
        </w:rPr>
        <w:t> </w:t>
      </w:r>
      <w:r>
        <w:rPr>
          <w:i/>
          <w:sz w:val="24"/>
        </w:rPr>
        <w:t>rate</w:t>
      </w:r>
      <w:r>
        <w:rPr>
          <w:i/>
          <w:spacing w:val="-6"/>
          <w:sz w:val="24"/>
        </w:rPr>
        <w:t> </w:t>
      </w:r>
      <w:r>
        <w:rPr>
          <w:i/>
          <w:sz w:val="24"/>
        </w:rPr>
        <w:t>uncertainty</w:t>
      </w:r>
      <w:r>
        <w:rPr>
          <w:i/>
          <w:spacing w:val="-6"/>
          <w:sz w:val="24"/>
        </w:rPr>
        <w:t> </w:t>
      </w:r>
      <w:r>
        <w:rPr>
          <w:i/>
          <w:sz w:val="24"/>
        </w:rPr>
        <w:t>and</w:t>
      </w:r>
      <w:r>
        <w:rPr>
          <w:i/>
          <w:spacing w:val="-6"/>
          <w:sz w:val="24"/>
        </w:rPr>
        <w:t> </w:t>
      </w:r>
      <w:r>
        <w:rPr>
          <w:i/>
          <w:sz w:val="24"/>
        </w:rPr>
        <w:t>the</w:t>
      </w:r>
      <w:r>
        <w:rPr>
          <w:i/>
          <w:sz w:val="24"/>
        </w:rPr>
        <w:t> structure</w:t>
      </w:r>
      <w:r>
        <w:rPr>
          <w:i/>
          <w:spacing w:val="40"/>
          <w:sz w:val="24"/>
        </w:rPr>
        <w:t> </w:t>
      </w:r>
      <w:r>
        <w:rPr>
          <w:i/>
          <w:sz w:val="24"/>
        </w:rPr>
        <w:t>of supply chains</w:t>
      </w:r>
      <w:r>
        <w:rPr>
          <w:sz w:val="24"/>
        </w:rPr>
        <w:t>.</w:t>
      </w:r>
    </w:p>
    <w:p>
      <w:pPr>
        <w:spacing w:line="230" w:lineRule="auto" w:before="0"/>
        <w:ind w:left="1443" w:right="1191" w:hanging="735"/>
        <w:jc w:val="left"/>
        <w:rPr>
          <w:sz w:val="24"/>
        </w:rPr>
      </w:pPr>
      <w:r>
        <w:rPr>
          <w:i/>
          <w:sz w:val="24"/>
        </w:rPr>
        <w:t>Household debt and credit report (Q2 2025)</w:t>
      </w:r>
      <w:r>
        <w:rPr>
          <w:sz w:val="24"/>
        </w:rPr>
        <w:t>. (2025). Federal Reserve Bank of New York. </w:t>
      </w:r>
      <w:hyperlink r:id="rId174">
        <w:r>
          <w:rPr>
            <w:color w:val="0000FF"/>
            <w:spacing w:val="-2"/>
            <w:sz w:val="24"/>
            <w:u w:val="thick" w:color="0000FF"/>
          </w:rPr>
          <w:t>https://www.newyorkfed.org/medialibrary/interactives/householdcredit/data/pdf/HHDC_</w:t>
        </w:r>
      </w:hyperlink>
      <w:r>
        <w:rPr>
          <w:color w:val="0000FF"/>
          <w:spacing w:val="-2"/>
          <w:sz w:val="24"/>
          <w:u w:val="none"/>
        </w:rPr>
        <w:t> </w:t>
      </w:r>
      <w:r>
        <w:rPr>
          <w:color w:val="0000FF"/>
          <w:spacing w:val="-2"/>
          <w:sz w:val="24"/>
          <w:u w:val="thick" w:color="0000FF"/>
        </w:rPr>
        <w:t>2025Q2</w:t>
      </w:r>
    </w:p>
    <w:p>
      <w:pPr>
        <w:pStyle w:val="BodyText"/>
        <w:spacing w:line="230" w:lineRule="auto" w:before="6"/>
        <w:ind w:left="1443" w:right="1381" w:hanging="720"/>
      </w:pPr>
      <w:r>
        <w:rPr/>
        <w:t>Jiang, S., Pena, Y., Gines, D., Lang, T., &amp; Hwang, M. (2025). </w:t>
      </w:r>
      <w:r>
        <w:rPr>
          <w:i/>
        </w:rPr>
        <w:t>Artificial Intelligence impact on</w:t>
      </w:r>
      <w:r>
        <w:rPr>
          <w:i/>
        </w:rPr>
        <w:t> labor markets</w:t>
      </w:r>
      <w:r>
        <w:rPr/>
        <w:t>. International Economic Development Council (IEDC). </w:t>
      </w:r>
      <w:hyperlink r:id="rId175">
        <w:r>
          <w:rPr>
            <w:color w:val="0000FF"/>
            <w:spacing w:val="-2"/>
            <w:u w:val="thick" w:color="0000FF"/>
          </w:rPr>
          <w:t>https://www.iedconline.org/clientuploads/EDRP%20Logos/AI_Impact_on_Labor_Marke</w:t>
        </w:r>
      </w:hyperlink>
      <w:r>
        <w:rPr>
          <w:color w:val="0000FF"/>
          <w:spacing w:val="-2"/>
          <w:u w:val="none"/>
        </w:rPr>
        <w:t> </w:t>
      </w:r>
      <w:r>
        <w:rPr>
          <w:color w:val="0000FF"/>
          <w:spacing w:val="-2"/>
          <w:u w:val="thick" w:color="0000FF"/>
        </w:rPr>
        <w:t>ts.pdf</w:t>
      </w:r>
    </w:p>
    <w:p>
      <w:pPr>
        <w:pStyle w:val="BodyText"/>
        <w:spacing w:line="268" w:lineRule="exact"/>
        <w:ind w:left="723"/>
      </w:pPr>
      <w:r>
        <w:rPr/>
        <w:t>Klomp,</w:t>
      </w:r>
      <w:r>
        <w:rPr>
          <w:spacing w:val="-3"/>
        </w:rPr>
        <w:t> </w:t>
      </w:r>
      <w:r>
        <w:rPr/>
        <w:t>J.</w:t>
      </w:r>
      <w:r>
        <w:rPr>
          <w:spacing w:val="-2"/>
        </w:rPr>
        <w:t> </w:t>
      </w:r>
      <w:r>
        <w:rPr/>
        <w:t>(2025).</w:t>
      </w:r>
      <w:r>
        <w:rPr>
          <w:spacing w:val="-2"/>
        </w:rPr>
        <w:t> </w:t>
      </w:r>
      <w:r>
        <w:rPr/>
        <w:t>Trump</w:t>
      </w:r>
      <w:r>
        <w:rPr>
          <w:spacing w:val="-3"/>
        </w:rPr>
        <w:t> </w:t>
      </w:r>
      <w:r>
        <w:rPr/>
        <w:t>tariffs</w:t>
      </w:r>
      <w:r>
        <w:rPr>
          <w:spacing w:val="-2"/>
        </w:rPr>
        <w:t> </w:t>
      </w:r>
      <w:r>
        <w:rPr/>
        <w:t>and</w:t>
      </w:r>
      <w:r>
        <w:rPr>
          <w:spacing w:val="-2"/>
        </w:rPr>
        <w:t> </w:t>
      </w:r>
      <w:r>
        <w:rPr/>
        <w:t>the</w:t>
      </w:r>
      <w:r>
        <w:rPr>
          <w:spacing w:val="-3"/>
        </w:rPr>
        <w:t> </w:t>
      </w:r>
      <w:r>
        <w:rPr/>
        <w:t>US</w:t>
      </w:r>
      <w:r>
        <w:rPr>
          <w:spacing w:val="-2"/>
        </w:rPr>
        <w:t> </w:t>
      </w:r>
      <w:r>
        <w:rPr/>
        <w:t>defense</w:t>
      </w:r>
      <w:r>
        <w:rPr>
          <w:spacing w:val="-2"/>
        </w:rPr>
        <w:t> </w:t>
      </w:r>
      <w:r>
        <w:rPr/>
        <w:t>industry.</w:t>
      </w:r>
      <w:r>
        <w:rPr>
          <w:spacing w:val="-3"/>
        </w:rPr>
        <w:t> </w:t>
      </w:r>
      <w:r>
        <w:rPr>
          <w:i/>
        </w:rPr>
        <w:t>PloS</w:t>
      </w:r>
      <w:r>
        <w:rPr>
          <w:i/>
          <w:spacing w:val="-2"/>
        </w:rPr>
        <w:t> </w:t>
      </w:r>
      <w:r>
        <w:rPr>
          <w:i/>
        </w:rPr>
        <w:t>one</w:t>
      </w:r>
      <w:r>
        <w:rPr/>
        <w:t>,</w:t>
      </w:r>
      <w:r>
        <w:rPr>
          <w:spacing w:val="-2"/>
        </w:rPr>
        <w:t> </w:t>
      </w:r>
      <w:r>
        <w:rPr>
          <w:i/>
        </w:rPr>
        <w:t>20</w:t>
      </w:r>
      <w:r>
        <w:rPr/>
        <w:t>(1),</w:t>
      </w:r>
      <w:r>
        <w:rPr>
          <w:spacing w:val="-2"/>
        </w:rPr>
        <w:t> e0313204.</w:t>
      </w:r>
    </w:p>
    <w:p>
      <w:pPr>
        <w:spacing w:line="230" w:lineRule="auto" w:before="7"/>
        <w:ind w:left="1443" w:right="1381" w:hanging="720"/>
        <w:jc w:val="left"/>
        <w:rPr>
          <w:sz w:val="24"/>
        </w:rPr>
      </w:pPr>
      <w:r>
        <w:rPr>
          <w:sz w:val="24"/>
        </w:rPr>
        <w:t>Lahm</w:t>
      </w:r>
      <w:r>
        <w:rPr>
          <w:spacing w:val="-4"/>
          <w:sz w:val="24"/>
        </w:rPr>
        <w:t> </w:t>
      </w:r>
      <w:r>
        <w:rPr>
          <w:sz w:val="24"/>
        </w:rPr>
        <w:t>Jr.,</w:t>
      </w:r>
      <w:r>
        <w:rPr>
          <w:spacing w:val="-4"/>
          <w:sz w:val="24"/>
        </w:rPr>
        <w:t> </w:t>
      </w:r>
      <w:r>
        <w:rPr>
          <w:sz w:val="24"/>
        </w:rPr>
        <w:t>R.</w:t>
      </w:r>
      <w:r>
        <w:rPr>
          <w:spacing w:val="-4"/>
          <w:sz w:val="24"/>
        </w:rPr>
        <w:t> </w:t>
      </w:r>
      <w:r>
        <w:rPr>
          <w:sz w:val="24"/>
        </w:rPr>
        <w:t>J.,</w:t>
      </w:r>
      <w:r>
        <w:rPr>
          <w:spacing w:val="-4"/>
          <w:sz w:val="24"/>
        </w:rPr>
        <w:t> </w:t>
      </w:r>
      <w:r>
        <w:rPr>
          <w:sz w:val="24"/>
        </w:rPr>
        <w:t>&amp;</w:t>
      </w:r>
      <w:r>
        <w:rPr>
          <w:spacing w:val="-4"/>
          <w:sz w:val="24"/>
        </w:rPr>
        <w:t> </w:t>
      </w:r>
      <w:r>
        <w:rPr>
          <w:sz w:val="24"/>
        </w:rPr>
        <w:t>Perry,</w:t>
      </w:r>
      <w:r>
        <w:rPr>
          <w:spacing w:val="-4"/>
          <w:sz w:val="24"/>
        </w:rPr>
        <w:t> </w:t>
      </w:r>
      <w:r>
        <w:rPr>
          <w:sz w:val="24"/>
        </w:rPr>
        <w:t>L.</w:t>
      </w:r>
      <w:r>
        <w:rPr>
          <w:spacing w:val="-4"/>
          <w:sz w:val="24"/>
        </w:rPr>
        <w:t> </w:t>
      </w:r>
      <w:r>
        <w:rPr>
          <w:sz w:val="24"/>
        </w:rPr>
        <w:t>G.,</w:t>
      </w:r>
      <w:r>
        <w:rPr>
          <w:spacing w:val="-4"/>
          <w:sz w:val="24"/>
        </w:rPr>
        <w:t> </w:t>
      </w:r>
      <w:r>
        <w:rPr>
          <w:sz w:val="24"/>
        </w:rPr>
        <w:t>III.</w:t>
      </w:r>
      <w:r>
        <w:rPr>
          <w:spacing w:val="-4"/>
          <w:sz w:val="24"/>
        </w:rPr>
        <w:t> </w:t>
      </w:r>
      <w:r>
        <w:rPr>
          <w:sz w:val="24"/>
        </w:rPr>
        <w:t>(2024).</w:t>
      </w:r>
      <w:r>
        <w:rPr>
          <w:spacing w:val="-4"/>
          <w:sz w:val="24"/>
        </w:rPr>
        <w:t> </w:t>
      </w:r>
      <w:r>
        <w:rPr>
          <w:sz w:val="24"/>
        </w:rPr>
        <w:t>Small</w:t>
      </w:r>
      <w:r>
        <w:rPr>
          <w:spacing w:val="-4"/>
          <w:sz w:val="24"/>
        </w:rPr>
        <w:t> </w:t>
      </w:r>
      <w:r>
        <w:rPr>
          <w:sz w:val="24"/>
        </w:rPr>
        <w:t>businesses</w:t>
      </w:r>
      <w:r>
        <w:rPr>
          <w:spacing w:val="-4"/>
          <w:sz w:val="24"/>
        </w:rPr>
        <w:t> </w:t>
      </w:r>
      <w:r>
        <w:rPr>
          <w:sz w:val="24"/>
        </w:rPr>
        <w:t>and</w:t>
      </w:r>
      <w:r>
        <w:rPr>
          <w:spacing w:val="-4"/>
          <w:sz w:val="24"/>
        </w:rPr>
        <w:t> </w:t>
      </w:r>
      <w:r>
        <w:rPr>
          <w:sz w:val="24"/>
        </w:rPr>
        <w:t>the</w:t>
      </w:r>
      <w:r>
        <w:rPr>
          <w:spacing w:val="-4"/>
          <w:sz w:val="24"/>
        </w:rPr>
        <w:t> </w:t>
      </w:r>
      <w:r>
        <w:rPr>
          <w:sz w:val="24"/>
        </w:rPr>
        <w:t>economy:</w:t>
      </w:r>
      <w:r>
        <w:rPr>
          <w:spacing w:val="-4"/>
          <w:sz w:val="24"/>
        </w:rPr>
        <w:t> </w:t>
      </w:r>
      <w:r>
        <w:rPr>
          <w:sz w:val="24"/>
        </w:rPr>
        <w:t>A</w:t>
      </w:r>
      <w:r>
        <w:rPr>
          <w:spacing w:val="-4"/>
          <w:sz w:val="24"/>
        </w:rPr>
        <w:t> </w:t>
      </w:r>
      <w:r>
        <w:rPr>
          <w:sz w:val="24"/>
        </w:rPr>
        <w:t>roller</w:t>
      </w:r>
      <w:r>
        <w:rPr>
          <w:spacing w:val="-4"/>
          <w:sz w:val="24"/>
        </w:rPr>
        <w:t> </w:t>
      </w:r>
      <w:r>
        <w:rPr>
          <w:sz w:val="24"/>
        </w:rPr>
        <w:t>coaster ride. </w:t>
      </w:r>
      <w:r>
        <w:rPr>
          <w:i/>
          <w:sz w:val="24"/>
        </w:rPr>
        <w:t>Research in Business and Economics Journal</w:t>
      </w:r>
      <w:r>
        <w:rPr>
          <w:sz w:val="24"/>
        </w:rPr>
        <w:t>, </w:t>
      </w:r>
      <w:r>
        <w:rPr>
          <w:i/>
          <w:sz w:val="24"/>
        </w:rPr>
        <w:t>16</w:t>
      </w:r>
      <w:r>
        <w:rPr>
          <w:sz w:val="24"/>
        </w:rPr>
        <w:t>(July). </w:t>
      </w:r>
      <w:hyperlink r:id="rId176">
        <w:r>
          <w:rPr>
            <w:color w:val="0000FF"/>
            <w:spacing w:val="-2"/>
            <w:sz w:val="24"/>
            <w:u w:val="thick" w:color="0000FF"/>
          </w:rPr>
          <w:t>https://www.aabri.com/manuscripts/243814.pdf</w:t>
        </w:r>
      </w:hyperlink>
    </w:p>
    <w:p>
      <w:pPr>
        <w:spacing w:line="265" w:lineRule="exact" w:before="0"/>
        <w:ind w:left="723" w:right="0" w:firstLine="0"/>
        <w:jc w:val="left"/>
        <w:rPr>
          <w:i/>
          <w:sz w:val="24"/>
        </w:rPr>
      </w:pPr>
      <w:r>
        <w:rPr>
          <w:sz w:val="24"/>
        </w:rPr>
        <w:t>Loutz, A. (2025, July 23, 2025). </w:t>
      </w:r>
      <w:r>
        <w:rPr>
          <w:i/>
          <w:sz w:val="24"/>
        </w:rPr>
        <w:t>What does the Big Beautiful Bill </w:t>
      </w:r>
      <w:r>
        <w:rPr>
          <w:i/>
          <w:spacing w:val="-2"/>
          <w:sz w:val="24"/>
        </w:rPr>
        <w:t>Cost?</w:t>
      </w:r>
    </w:p>
    <w:p>
      <w:pPr>
        <w:pStyle w:val="BodyText"/>
        <w:spacing w:line="237" w:lineRule="auto"/>
        <w:ind w:left="723" w:right="2317" w:firstLine="720"/>
      </w:pPr>
      <w:hyperlink r:id="rId177">
        <w:r>
          <w:rPr>
            <w:color w:val="0000FF"/>
            <w:spacing w:val="-2"/>
            <w:u w:val="thick" w:color="0000FF"/>
          </w:rPr>
          <w:t>https://bipartisanpolicy.org/explainer/what-does-the-one-big-beautiful-bill-cost/</w:t>
        </w:r>
      </w:hyperlink>
      <w:r>
        <w:rPr>
          <w:color w:val="0000FF"/>
          <w:spacing w:val="-2"/>
          <w:u w:val="none"/>
        </w:rPr>
        <w:t> </w:t>
      </w:r>
      <w:r>
        <w:rPr>
          <w:u w:val="none"/>
        </w:rPr>
        <w:t>Perry,</w:t>
      </w:r>
      <w:r>
        <w:rPr>
          <w:spacing w:val="-4"/>
          <w:u w:val="none"/>
        </w:rPr>
        <w:t> </w:t>
      </w:r>
      <w:r>
        <w:rPr>
          <w:u w:val="none"/>
        </w:rPr>
        <w:t>L.</w:t>
      </w:r>
      <w:r>
        <w:rPr>
          <w:spacing w:val="-4"/>
          <w:u w:val="none"/>
        </w:rPr>
        <w:t> </w:t>
      </w:r>
      <w:r>
        <w:rPr>
          <w:u w:val="none"/>
        </w:rPr>
        <w:t>G.,</w:t>
      </w:r>
      <w:r>
        <w:rPr>
          <w:spacing w:val="-3"/>
          <w:u w:val="none"/>
        </w:rPr>
        <w:t> </w:t>
      </w:r>
      <w:r>
        <w:rPr>
          <w:u w:val="none"/>
        </w:rPr>
        <w:t>&amp;</w:t>
      </w:r>
      <w:r>
        <w:rPr>
          <w:spacing w:val="-4"/>
          <w:u w:val="none"/>
        </w:rPr>
        <w:t> </w:t>
      </w:r>
      <w:r>
        <w:rPr>
          <w:u w:val="none"/>
        </w:rPr>
        <w:t>Woolard,</w:t>
      </w:r>
      <w:r>
        <w:rPr>
          <w:spacing w:val="-3"/>
          <w:u w:val="none"/>
        </w:rPr>
        <w:t> </w:t>
      </w:r>
      <w:r>
        <w:rPr>
          <w:u w:val="none"/>
        </w:rPr>
        <w:t>N.</w:t>
      </w:r>
      <w:r>
        <w:rPr>
          <w:spacing w:val="-4"/>
          <w:u w:val="none"/>
        </w:rPr>
        <w:t> </w:t>
      </w:r>
      <w:r>
        <w:rPr>
          <w:u w:val="none"/>
        </w:rPr>
        <w:t>(2023).</w:t>
      </w:r>
      <w:r>
        <w:rPr>
          <w:spacing w:val="-4"/>
          <w:u w:val="none"/>
        </w:rPr>
        <w:t> </w:t>
      </w:r>
      <w:r>
        <w:rPr>
          <w:u w:val="none"/>
        </w:rPr>
        <w:t>Entrepreneurial</w:t>
      </w:r>
      <w:r>
        <w:rPr>
          <w:spacing w:val="-3"/>
          <w:u w:val="none"/>
        </w:rPr>
        <w:t> </w:t>
      </w:r>
      <w:r>
        <w:rPr>
          <w:u w:val="none"/>
        </w:rPr>
        <w:t>micro-ecosystem</w:t>
      </w:r>
      <w:r>
        <w:rPr>
          <w:spacing w:val="-4"/>
          <w:u w:val="none"/>
        </w:rPr>
        <w:t> </w:t>
      </w:r>
      <w:r>
        <w:rPr>
          <w:u w:val="none"/>
        </w:rPr>
        <w:t>development:</w:t>
      </w:r>
      <w:r>
        <w:rPr>
          <w:spacing w:val="-3"/>
          <w:u w:val="none"/>
        </w:rPr>
        <w:t> </w:t>
      </w:r>
      <w:r>
        <w:rPr>
          <w:spacing w:val="-5"/>
          <w:u w:val="none"/>
        </w:rPr>
        <w:t>The</w:t>
      </w:r>
    </w:p>
    <w:p>
      <w:pPr>
        <w:spacing w:line="228" w:lineRule="auto" w:before="0"/>
        <w:ind w:left="1443" w:right="1191" w:firstLine="0"/>
        <w:jc w:val="left"/>
        <w:rPr>
          <w:sz w:val="24"/>
        </w:rPr>
      </w:pPr>
      <w:r>
        <w:rPr>
          <w:sz w:val="24"/>
        </w:rPr>
        <w:t>communality</w:t>
      </w:r>
      <w:r>
        <w:rPr>
          <w:spacing w:val="-4"/>
          <w:sz w:val="24"/>
        </w:rPr>
        <w:t> </w:t>
      </w:r>
      <w:r>
        <w:rPr>
          <w:sz w:val="24"/>
        </w:rPr>
        <w:t>of</w:t>
      </w:r>
      <w:r>
        <w:rPr>
          <w:spacing w:val="-4"/>
          <w:sz w:val="24"/>
        </w:rPr>
        <w:t> </w:t>
      </w:r>
      <w:r>
        <w:rPr>
          <w:sz w:val="24"/>
        </w:rPr>
        <w:t>craft</w:t>
      </w:r>
      <w:r>
        <w:rPr>
          <w:spacing w:val="-4"/>
          <w:sz w:val="24"/>
        </w:rPr>
        <w:t> </w:t>
      </w:r>
      <w:r>
        <w:rPr>
          <w:sz w:val="24"/>
        </w:rPr>
        <w:t>breweries.</w:t>
      </w:r>
      <w:r>
        <w:rPr>
          <w:spacing w:val="-4"/>
          <w:sz w:val="24"/>
        </w:rPr>
        <w:t> </w:t>
      </w:r>
      <w:r>
        <w:rPr>
          <w:i/>
          <w:sz w:val="24"/>
        </w:rPr>
        <w:t>Journal</w:t>
      </w:r>
      <w:r>
        <w:rPr>
          <w:i/>
          <w:spacing w:val="-4"/>
          <w:sz w:val="24"/>
        </w:rPr>
        <w:t> </w:t>
      </w:r>
      <w:r>
        <w:rPr>
          <w:i/>
          <w:sz w:val="24"/>
        </w:rPr>
        <w:t>of</w:t>
      </w:r>
      <w:r>
        <w:rPr>
          <w:i/>
          <w:spacing w:val="-4"/>
          <w:sz w:val="24"/>
        </w:rPr>
        <w:t> </w:t>
      </w:r>
      <w:r>
        <w:rPr>
          <w:i/>
          <w:sz w:val="24"/>
        </w:rPr>
        <w:t>Small</w:t>
      </w:r>
      <w:r>
        <w:rPr>
          <w:i/>
          <w:spacing w:val="-4"/>
          <w:sz w:val="24"/>
        </w:rPr>
        <w:t> </w:t>
      </w:r>
      <w:r>
        <w:rPr>
          <w:i/>
          <w:sz w:val="24"/>
        </w:rPr>
        <w:t>Business</w:t>
      </w:r>
      <w:r>
        <w:rPr>
          <w:i/>
          <w:spacing w:val="-4"/>
          <w:sz w:val="24"/>
        </w:rPr>
        <w:t> </w:t>
      </w:r>
      <w:r>
        <w:rPr>
          <w:i/>
          <w:sz w:val="24"/>
        </w:rPr>
        <w:t>and</w:t>
      </w:r>
      <w:r>
        <w:rPr>
          <w:i/>
          <w:spacing w:val="-4"/>
          <w:sz w:val="24"/>
        </w:rPr>
        <w:t> </w:t>
      </w:r>
      <w:r>
        <w:rPr>
          <w:i/>
          <w:sz w:val="24"/>
        </w:rPr>
        <w:t>Enterprise</w:t>
      </w:r>
      <w:r>
        <w:rPr>
          <w:i/>
          <w:spacing w:val="-4"/>
          <w:sz w:val="24"/>
        </w:rPr>
        <w:t> </w:t>
      </w:r>
      <w:r>
        <w:rPr>
          <w:i/>
          <w:sz w:val="24"/>
        </w:rPr>
        <w:t>Development,</w:t>
      </w:r>
      <w:r>
        <w:rPr>
          <w:i/>
          <w:sz w:val="24"/>
        </w:rPr>
        <w:t> 30</w:t>
      </w:r>
      <w:r>
        <w:rPr>
          <w:sz w:val="24"/>
        </w:rPr>
        <w:t>(4), 714–733. </w:t>
      </w:r>
      <w:hyperlink r:id="rId178">
        <w:r>
          <w:rPr>
            <w:color w:val="0000FF"/>
            <w:sz w:val="24"/>
            <w:u w:val="thick" w:color="0000FF"/>
          </w:rPr>
          <w:t>https://doi.org/10.1108/JSBED-10-2022-0439</w:t>
        </w:r>
      </w:hyperlink>
    </w:p>
    <w:p>
      <w:pPr>
        <w:pStyle w:val="BodyText"/>
        <w:spacing w:line="230" w:lineRule="auto" w:before="4"/>
        <w:ind w:left="1443" w:right="1381" w:hanging="720"/>
      </w:pPr>
      <w:r>
        <w:rPr/>
        <w:t>Perry,</w:t>
      </w:r>
      <w:r>
        <w:rPr>
          <w:spacing w:val="-5"/>
        </w:rPr>
        <w:t> </w:t>
      </w:r>
      <w:r>
        <w:rPr/>
        <w:t>L.</w:t>
      </w:r>
      <w:r>
        <w:rPr>
          <w:spacing w:val="-5"/>
        </w:rPr>
        <w:t> </w:t>
      </w:r>
      <w:r>
        <w:rPr/>
        <w:t>G.,</w:t>
      </w:r>
      <w:r>
        <w:rPr>
          <w:spacing w:val="-5"/>
        </w:rPr>
        <w:t> </w:t>
      </w:r>
      <w:r>
        <w:rPr/>
        <w:t>III,</w:t>
      </w:r>
      <w:r>
        <w:rPr>
          <w:spacing w:val="-5"/>
        </w:rPr>
        <w:t> </w:t>
      </w:r>
      <w:r>
        <w:rPr/>
        <w:t>Woolard,</w:t>
      </w:r>
      <w:r>
        <w:rPr>
          <w:spacing w:val="-5"/>
        </w:rPr>
        <w:t> </w:t>
      </w:r>
      <w:r>
        <w:rPr/>
        <w:t>N.</w:t>
      </w:r>
      <w:r>
        <w:rPr>
          <w:spacing w:val="-5"/>
        </w:rPr>
        <w:t> </w:t>
      </w:r>
      <w:r>
        <w:rPr/>
        <w:t>A.,</w:t>
      </w:r>
      <w:r>
        <w:rPr>
          <w:spacing w:val="-5"/>
        </w:rPr>
        <w:t> </w:t>
      </w:r>
      <w:r>
        <w:rPr/>
        <w:t>&amp;</w:t>
      </w:r>
      <w:r>
        <w:rPr>
          <w:spacing w:val="-5"/>
        </w:rPr>
        <w:t> </w:t>
      </w:r>
      <w:r>
        <w:rPr/>
        <w:t>Altman,</w:t>
      </w:r>
      <w:r>
        <w:rPr>
          <w:spacing w:val="-5"/>
        </w:rPr>
        <w:t> </w:t>
      </w:r>
      <w:r>
        <w:rPr/>
        <w:t>M.</w:t>
      </w:r>
      <w:r>
        <w:rPr>
          <w:spacing w:val="-5"/>
        </w:rPr>
        <w:t> </w:t>
      </w:r>
      <w:r>
        <w:rPr/>
        <w:t>A.</w:t>
      </w:r>
      <w:r>
        <w:rPr>
          <w:spacing w:val="-5"/>
        </w:rPr>
        <w:t> </w:t>
      </w:r>
      <w:r>
        <w:rPr/>
        <w:t>(2025).</w:t>
      </w:r>
      <w:r>
        <w:rPr>
          <w:spacing w:val="-5"/>
        </w:rPr>
        <w:t> </w:t>
      </w:r>
      <w:r>
        <w:rPr/>
        <w:t>Food</w:t>
      </w:r>
      <w:r>
        <w:rPr>
          <w:spacing w:val="-5"/>
        </w:rPr>
        <w:t> </w:t>
      </w:r>
      <w:r>
        <w:rPr/>
        <w:t>halls</w:t>
      </w:r>
      <w:r>
        <w:rPr>
          <w:spacing w:val="-5"/>
        </w:rPr>
        <w:t> </w:t>
      </w:r>
      <w:r>
        <w:rPr/>
        <w:t>as</w:t>
      </w:r>
      <w:r>
        <w:rPr>
          <w:spacing w:val="-5"/>
        </w:rPr>
        <w:t> </w:t>
      </w:r>
      <w:r>
        <w:rPr/>
        <w:t>entrepreneurial</w:t>
      </w:r>
      <w:r>
        <w:rPr>
          <w:spacing w:val="-5"/>
        </w:rPr>
        <w:t> </w:t>
      </w:r>
      <w:r>
        <w:rPr/>
        <w:t>micro ecosystems: Exploring incubation, placemaking, and community impact. </w:t>
      </w:r>
      <w:r>
        <w:rPr>
          <w:i/>
        </w:rPr>
        <w:t>Journal of</w:t>
      </w:r>
      <w:r>
        <w:rPr>
          <w:i/>
        </w:rPr>
        <w:t> Business Venturing Insights, 24</w:t>
      </w:r>
      <w:r>
        <w:rPr/>
        <w:t>, e00553. </w:t>
      </w:r>
      <w:hyperlink r:id="rId179">
        <w:r>
          <w:rPr/>
          <w:t>https://doi.org/10.1016/j.jbvi.2025.e00553</w:t>
        </w:r>
      </w:hyperlink>
    </w:p>
    <w:p>
      <w:pPr>
        <w:pStyle w:val="BodyText"/>
        <w:spacing w:line="230" w:lineRule="auto" w:before="5"/>
        <w:ind w:left="1443" w:right="1387" w:hanging="720"/>
        <w:jc w:val="both"/>
      </w:pPr>
      <w:r>
        <w:rPr/>
        <w:t>Rabinovich, E., &amp; Cheon, S. (2011). Expanding horizons and deepening understanding via </w:t>
      </w:r>
      <w:r>
        <w:rPr/>
        <w:t>the</w:t>
      </w:r>
      <w:r>
        <w:rPr>
          <w:spacing w:val="40"/>
        </w:rPr>
        <w:t> </w:t>
      </w:r>
      <w:r>
        <w:rPr/>
        <w:t>use</w:t>
      </w:r>
      <w:r>
        <w:rPr>
          <w:spacing w:val="40"/>
        </w:rPr>
        <w:t> </w:t>
      </w:r>
      <w:r>
        <w:rPr/>
        <w:t>of secondary data sources. </w:t>
      </w:r>
      <w:r>
        <w:rPr>
          <w:i/>
        </w:rPr>
        <w:t>Journal of Business Logistics</w:t>
      </w:r>
      <w:r>
        <w:rPr/>
        <w:t>, </w:t>
      </w:r>
      <w:r>
        <w:rPr>
          <w:i/>
        </w:rPr>
        <w:t>32</w:t>
      </w:r>
      <w:r>
        <w:rPr/>
        <w:t>(4), 303-316. </w:t>
      </w:r>
      <w:r>
        <w:rPr>
          <w:color w:val="0000FF"/>
          <w:spacing w:val="-2"/>
          <w:u w:val="thick" w:color="0000FF"/>
        </w:rPr>
        <w:t>https://doi.or</w:t>
      </w:r>
      <w:hyperlink r:id="rId180">
        <w:r>
          <w:rPr>
            <w:color w:val="0000FF"/>
            <w:spacing w:val="-2"/>
            <w:u w:val="thick" w:color="0000FF"/>
          </w:rPr>
          <w:t>g/https://doi.org/10.1111/j.0000-0000.2011.01026.x</w:t>
        </w:r>
      </w:hyperlink>
    </w:p>
    <w:p>
      <w:pPr>
        <w:spacing w:line="230" w:lineRule="auto" w:before="6"/>
        <w:ind w:left="1443" w:right="1385" w:hanging="720"/>
        <w:jc w:val="both"/>
        <w:rPr>
          <w:sz w:val="24"/>
        </w:rPr>
      </w:pPr>
      <w:r>
        <w:rPr>
          <w:sz w:val="24"/>
        </w:rPr>
        <w:t>Sarasvathy, S. (2008). Effectuation: Elements of Entrepreneurial Expertise. </w:t>
      </w:r>
      <w:r>
        <w:rPr>
          <w:i/>
          <w:sz w:val="24"/>
        </w:rPr>
        <w:t>Effectuation:</w:t>
      </w:r>
      <w:r>
        <w:rPr>
          <w:i/>
          <w:sz w:val="24"/>
        </w:rPr>
        <w:t> Elements</w:t>
      </w:r>
      <w:r>
        <w:rPr>
          <w:i/>
          <w:spacing w:val="40"/>
          <w:sz w:val="24"/>
        </w:rPr>
        <w:t> </w:t>
      </w:r>
      <w:r>
        <w:rPr>
          <w:i/>
          <w:sz w:val="24"/>
        </w:rPr>
        <w:t>of Entrepreneurial Expertise</w:t>
      </w:r>
      <w:r>
        <w:rPr>
          <w:sz w:val="24"/>
        </w:rPr>
        <w:t>, </w:t>
      </w:r>
      <w:r>
        <w:rPr>
          <w:i/>
          <w:sz w:val="24"/>
        </w:rPr>
        <w:t>243</w:t>
      </w:r>
      <w:r>
        <w:rPr>
          <w:sz w:val="24"/>
        </w:rPr>
        <w:t>. </w:t>
      </w:r>
      <w:hyperlink r:id="rId181">
        <w:r>
          <w:rPr>
            <w:color w:val="1154CC"/>
            <w:sz w:val="24"/>
            <w:u w:val="thick" w:color="1154CC"/>
          </w:rPr>
          <w:t>https://doi.org/10.4337/9781848440197</w:t>
        </w:r>
      </w:hyperlink>
    </w:p>
    <w:p>
      <w:pPr>
        <w:spacing w:line="230" w:lineRule="auto" w:before="8"/>
        <w:ind w:left="1443" w:right="1385" w:hanging="720"/>
        <w:jc w:val="both"/>
        <w:rPr>
          <w:sz w:val="24"/>
        </w:rPr>
      </w:pPr>
      <w:r>
        <w:rPr>
          <w:i/>
          <w:sz w:val="24"/>
        </w:rPr>
        <w:t>Supply chain issues and autos: When will the chip shortage end? </w:t>
      </w:r>
      <w:r>
        <w:rPr>
          <w:sz w:val="24"/>
        </w:rPr>
        <w:t>(2023, April 18). </w:t>
      </w:r>
      <w:r>
        <w:rPr>
          <w:sz w:val="24"/>
        </w:rPr>
        <w:t>JPMorgan Chase &amp; Co. </w:t>
      </w:r>
      <w:hyperlink r:id="rId182">
        <w:r>
          <w:rPr>
            <w:color w:val="0000FF"/>
            <w:sz w:val="24"/>
          </w:rPr>
          <w:t>h</w:t>
        </w:r>
        <w:r>
          <w:rPr>
            <w:color w:val="0000FF"/>
            <w:sz w:val="24"/>
            <w:u w:val="thick" w:color="0000FF"/>
          </w:rPr>
          <w:t>ttps://www.jpmorgan.com/insights/current-events/supply-chain/supply</w:t>
        </w:r>
      </w:hyperlink>
      <w:r>
        <w:rPr>
          <w:color w:val="0000FF"/>
          <w:sz w:val="24"/>
          <w:u w:val="none"/>
        </w:rPr>
        <w:t> </w:t>
      </w:r>
      <w:r>
        <w:rPr>
          <w:color w:val="0000FF"/>
          <w:spacing w:val="-2"/>
          <w:sz w:val="24"/>
          <w:u w:val="thick" w:color="0000FF"/>
        </w:rPr>
        <w:t>chain-chip-shortage</w:t>
      </w:r>
    </w:p>
    <w:p>
      <w:pPr>
        <w:spacing w:line="230" w:lineRule="auto" w:before="6"/>
        <w:ind w:left="1443" w:right="1807" w:hanging="705"/>
        <w:jc w:val="left"/>
        <w:rPr>
          <w:sz w:val="24"/>
        </w:rPr>
      </w:pPr>
      <w:r>
        <w:rPr>
          <w:sz w:val="24"/>
        </w:rPr>
        <w:t>Swanek,</w:t>
      </w:r>
      <w:r>
        <w:rPr>
          <w:spacing w:val="-6"/>
          <w:sz w:val="24"/>
        </w:rPr>
        <w:t> </w:t>
      </w:r>
      <w:r>
        <w:rPr>
          <w:sz w:val="24"/>
        </w:rPr>
        <w:t>T.</w:t>
      </w:r>
      <w:r>
        <w:rPr>
          <w:spacing w:val="-6"/>
          <w:sz w:val="24"/>
        </w:rPr>
        <w:t> </w:t>
      </w:r>
      <w:r>
        <w:rPr>
          <w:sz w:val="24"/>
        </w:rPr>
        <w:t>(2025,</w:t>
      </w:r>
      <w:r>
        <w:rPr>
          <w:spacing w:val="-6"/>
          <w:sz w:val="24"/>
        </w:rPr>
        <w:t> </w:t>
      </w:r>
      <w:r>
        <w:rPr>
          <w:sz w:val="24"/>
        </w:rPr>
        <w:t>Septemeber</w:t>
      </w:r>
      <w:r>
        <w:rPr>
          <w:spacing w:val="-6"/>
          <w:sz w:val="24"/>
        </w:rPr>
        <w:t> </w:t>
      </w:r>
      <w:r>
        <w:rPr>
          <w:sz w:val="24"/>
        </w:rPr>
        <w:t>24).</w:t>
      </w:r>
      <w:r>
        <w:rPr>
          <w:spacing w:val="-6"/>
          <w:sz w:val="24"/>
        </w:rPr>
        <w:t> </w:t>
      </w:r>
      <w:r>
        <w:rPr>
          <w:i/>
          <w:sz w:val="24"/>
        </w:rPr>
        <w:t>Small</w:t>
      </w:r>
      <w:r>
        <w:rPr>
          <w:i/>
          <w:spacing w:val="-6"/>
          <w:sz w:val="24"/>
        </w:rPr>
        <w:t> </w:t>
      </w:r>
      <w:r>
        <w:rPr>
          <w:i/>
          <w:sz w:val="24"/>
        </w:rPr>
        <w:t>businesses</w:t>
      </w:r>
      <w:r>
        <w:rPr>
          <w:i/>
          <w:spacing w:val="-6"/>
          <w:sz w:val="24"/>
        </w:rPr>
        <w:t> </w:t>
      </w:r>
      <w:r>
        <w:rPr>
          <w:i/>
          <w:sz w:val="24"/>
        </w:rPr>
        <w:t>remain</w:t>
      </w:r>
      <w:r>
        <w:rPr>
          <w:i/>
          <w:spacing w:val="-6"/>
          <w:sz w:val="24"/>
        </w:rPr>
        <w:t> </w:t>
      </w:r>
      <w:r>
        <w:rPr>
          <w:i/>
          <w:sz w:val="24"/>
        </w:rPr>
        <w:t>upbeat</w:t>
      </w:r>
      <w:r>
        <w:rPr>
          <w:i/>
          <w:spacing w:val="-6"/>
          <w:sz w:val="24"/>
        </w:rPr>
        <w:t> </w:t>
      </w:r>
      <w:r>
        <w:rPr>
          <w:i/>
          <w:sz w:val="24"/>
        </w:rPr>
        <w:t>despite</w:t>
      </w:r>
      <w:r>
        <w:rPr>
          <w:i/>
          <w:spacing w:val="-6"/>
          <w:sz w:val="24"/>
        </w:rPr>
        <w:t> </w:t>
      </w:r>
      <w:r>
        <w:rPr>
          <w:i/>
          <w:sz w:val="24"/>
        </w:rPr>
        <w:t>challenge</w:t>
      </w:r>
      <w:r>
        <w:rPr>
          <w:i/>
          <w:spacing w:val="-6"/>
          <w:sz w:val="24"/>
        </w:rPr>
        <w:t> </w:t>
      </w:r>
      <w:r>
        <w:rPr>
          <w:i/>
          <w:sz w:val="24"/>
        </w:rPr>
        <w:t>of</w:t>
      </w:r>
      <w:r>
        <w:rPr>
          <w:i/>
          <w:spacing w:val="-6"/>
          <w:sz w:val="24"/>
        </w:rPr>
        <w:t> </w:t>
      </w:r>
      <w:r>
        <w:rPr>
          <w:i/>
          <w:sz w:val="24"/>
        </w:rPr>
        <w:t>high</w:t>
      </w:r>
      <w:r>
        <w:rPr>
          <w:i/>
          <w:sz w:val="24"/>
        </w:rPr>
        <w:t> costs</w:t>
      </w:r>
      <w:r>
        <w:rPr>
          <w:sz w:val="24"/>
        </w:rPr>
        <w:t>. U.S. Chamber of Commerce. </w:t>
      </w:r>
      <w:hyperlink r:id="rId183">
        <w:r>
          <w:rPr>
            <w:color w:val="0000FF"/>
            <w:sz w:val="24"/>
            <w:u w:val="thick" w:color="0000FF"/>
          </w:rPr>
          <w:t>https://www.uschamber.com/economy/small</w:t>
        </w:r>
      </w:hyperlink>
      <w:r>
        <w:rPr>
          <w:color w:val="0000FF"/>
          <w:sz w:val="24"/>
          <w:u w:val="none"/>
        </w:rPr>
        <w:t> </w:t>
      </w:r>
      <w:r>
        <w:rPr>
          <w:color w:val="0000FF"/>
          <w:spacing w:val="-2"/>
          <w:sz w:val="24"/>
          <w:u w:val="none"/>
        </w:rPr>
        <w:t>b</w:t>
      </w:r>
      <w:r>
        <w:rPr>
          <w:color w:val="0000FF"/>
          <w:spacing w:val="-2"/>
          <w:sz w:val="24"/>
          <w:u w:val="thick" w:color="0000FF"/>
        </w:rPr>
        <w:t>usinesses-remain-upbeat-despite-challenge-of-high-costs</w:t>
      </w:r>
    </w:p>
    <w:p>
      <w:pPr>
        <w:pStyle w:val="BodyText"/>
        <w:spacing w:line="272" w:lineRule="exact"/>
        <w:ind w:left="738"/>
      </w:pPr>
      <w:r>
        <w:rPr/>
        <w:t>Talmage-Rostron,</w:t>
      </w:r>
      <w:r>
        <w:rPr>
          <w:spacing w:val="-5"/>
        </w:rPr>
        <w:t> </w:t>
      </w:r>
      <w:r>
        <w:rPr/>
        <w:t>M.</w:t>
      </w:r>
      <w:r>
        <w:rPr>
          <w:spacing w:val="-3"/>
        </w:rPr>
        <w:t> </w:t>
      </w:r>
      <w:r>
        <w:rPr/>
        <w:t>(2025).</w:t>
      </w:r>
      <w:r>
        <w:rPr>
          <w:spacing w:val="-3"/>
        </w:rPr>
        <w:t> </w:t>
      </w:r>
      <w:r>
        <w:rPr/>
        <w:t>How</w:t>
      </w:r>
      <w:r>
        <w:rPr>
          <w:spacing w:val="-3"/>
        </w:rPr>
        <w:t> </w:t>
      </w:r>
      <w:r>
        <w:rPr/>
        <w:t>Articial</w:t>
      </w:r>
      <w:r>
        <w:rPr>
          <w:spacing w:val="-3"/>
        </w:rPr>
        <w:t> </w:t>
      </w:r>
      <w:r>
        <w:rPr/>
        <w:t>Intelligence</w:t>
      </w:r>
      <w:r>
        <w:rPr>
          <w:spacing w:val="-3"/>
        </w:rPr>
        <w:t> </w:t>
      </w:r>
      <w:r>
        <w:rPr/>
        <w:t>Will</w:t>
      </w:r>
      <w:r>
        <w:rPr>
          <w:spacing w:val="-3"/>
        </w:rPr>
        <w:t> </w:t>
      </w:r>
      <w:r>
        <w:rPr/>
        <w:t>Change</w:t>
      </w:r>
      <w:r>
        <w:rPr>
          <w:spacing w:val="-3"/>
        </w:rPr>
        <w:t> </w:t>
      </w:r>
      <w:r>
        <w:rPr/>
        <w:t>The</w:t>
      </w:r>
      <w:r>
        <w:rPr>
          <w:spacing w:val="-3"/>
        </w:rPr>
        <w:t> </w:t>
      </w:r>
      <w:r>
        <w:rPr>
          <w:spacing w:val="-2"/>
        </w:rPr>
        <w:t>World</w:t>
      </w:r>
    </w:p>
    <w:p>
      <w:pPr>
        <w:spacing w:line="230" w:lineRule="auto" w:before="8"/>
        <w:ind w:left="1443" w:right="2030" w:hanging="705"/>
        <w:jc w:val="both"/>
        <w:rPr>
          <w:sz w:val="24"/>
        </w:rPr>
      </w:pPr>
      <w:r>
        <w:rPr>
          <w:sz w:val="24"/>
        </w:rPr>
        <w:t>Tsai,</w:t>
      </w:r>
      <w:r>
        <w:rPr>
          <w:spacing w:val="-4"/>
          <w:sz w:val="24"/>
        </w:rPr>
        <w:t> </w:t>
      </w:r>
      <w:r>
        <w:rPr>
          <w:sz w:val="24"/>
        </w:rPr>
        <w:t>J.,</w:t>
      </w:r>
      <w:r>
        <w:rPr>
          <w:spacing w:val="-4"/>
          <w:sz w:val="24"/>
        </w:rPr>
        <w:t> </w:t>
      </w:r>
      <w:r>
        <w:rPr>
          <w:sz w:val="24"/>
        </w:rPr>
        <w:t>Umucu,</w:t>
      </w:r>
      <w:r>
        <w:rPr>
          <w:spacing w:val="-4"/>
          <w:sz w:val="24"/>
        </w:rPr>
        <w:t> </w:t>
      </w:r>
      <w:r>
        <w:rPr>
          <w:sz w:val="24"/>
        </w:rPr>
        <w:t>E.,</w:t>
      </w:r>
      <w:r>
        <w:rPr>
          <w:spacing w:val="-4"/>
          <w:sz w:val="24"/>
        </w:rPr>
        <w:t> </w:t>
      </w:r>
      <w:r>
        <w:rPr>
          <w:sz w:val="24"/>
        </w:rPr>
        <w:t>&amp;</w:t>
      </w:r>
      <w:r>
        <w:rPr>
          <w:spacing w:val="-4"/>
          <w:sz w:val="24"/>
        </w:rPr>
        <w:t> </w:t>
      </w:r>
      <w:r>
        <w:rPr>
          <w:sz w:val="24"/>
        </w:rPr>
        <w:t>Fish,</w:t>
      </w:r>
      <w:r>
        <w:rPr>
          <w:spacing w:val="-4"/>
          <w:sz w:val="24"/>
        </w:rPr>
        <w:t> </w:t>
      </w:r>
      <w:r>
        <w:rPr>
          <w:sz w:val="24"/>
        </w:rPr>
        <w:t>K.</w:t>
      </w:r>
      <w:r>
        <w:rPr>
          <w:spacing w:val="-4"/>
          <w:sz w:val="24"/>
        </w:rPr>
        <w:t> </w:t>
      </w:r>
      <w:r>
        <w:rPr>
          <w:sz w:val="24"/>
        </w:rPr>
        <w:t>(2023).</w:t>
      </w:r>
      <w:r>
        <w:rPr>
          <w:spacing w:val="-4"/>
          <w:sz w:val="24"/>
        </w:rPr>
        <w:t> </w:t>
      </w:r>
      <w:r>
        <w:rPr>
          <w:sz w:val="24"/>
        </w:rPr>
        <w:t>Job</w:t>
      </w:r>
      <w:r>
        <w:rPr>
          <w:spacing w:val="-4"/>
          <w:sz w:val="24"/>
        </w:rPr>
        <w:t> </w:t>
      </w:r>
      <w:r>
        <w:rPr>
          <w:sz w:val="24"/>
        </w:rPr>
        <w:t>automation</w:t>
      </w:r>
      <w:r>
        <w:rPr>
          <w:spacing w:val="-4"/>
          <w:sz w:val="24"/>
        </w:rPr>
        <w:t> </w:t>
      </w:r>
      <w:r>
        <w:rPr>
          <w:sz w:val="24"/>
        </w:rPr>
        <w:t>and</w:t>
      </w:r>
      <w:r>
        <w:rPr>
          <w:spacing w:val="-4"/>
          <w:sz w:val="24"/>
        </w:rPr>
        <w:t> </w:t>
      </w:r>
      <w:r>
        <w:rPr>
          <w:sz w:val="24"/>
        </w:rPr>
        <w:t>concerns</w:t>
      </w:r>
      <w:r>
        <w:rPr>
          <w:spacing w:val="-4"/>
          <w:sz w:val="24"/>
        </w:rPr>
        <w:t> </w:t>
      </w:r>
      <w:r>
        <w:rPr>
          <w:sz w:val="24"/>
        </w:rPr>
        <w:t>during</w:t>
      </w:r>
      <w:r>
        <w:rPr>
          <w:spacing w:val="-4"/>
          <w:sz w:val="24"/>
        </w:rPr>
        <w:t> </w:t>
      </w:r>
      <w:r>
        <w:rPr>
          <w:sz w:val="24"/>
        </w:rPr>
        <w:t>the</w:t>
      </w:r>
      <w:r>
        <w:rPr>
          <w:spacing w:val="-4"/>
          <w:sz w:val="24"/>
        </w:rPr>
        <w:t> </w:t>
      </w:r>
      <w:r>
        <w:rPr>
          <w:sz w:val="24"/>
        </w:rPr>
        <w:t>COVID-</w:t>
      </w:r>
      <w:r>
        <w:rPr>
          <w:sz w:val="24"/>
        </w:rPr>
        <w:t>19 pandemic among Middle and Low-Income US adults. </w:t>
      </w:r>
      <w:r>
        <w:rPr>
          <w:i/>
          <w:sz w:val="24"/>
        </w:rPr>
        <w:t>Journal of Occupational and</w:t>
      </w:r>
      <w:r>
        <w:rPr>
          <w:i/>
          <w:sz w:val="24"/>
        </w:rPr>
        <w:t> Environmental Medicine</w:t>
      </w:r>
      <w:r>
        <w:rPr>
          <w:sz w:val="24"/>
        </w:rPr>
        <w:t>, </w:t>
      </w:r>
      <w:r>
        <w:rPr>
          <w:i/>
          <w:sz w:val="24"/>
        </w:rPr>
        <w:t>65</w:t>
      </w:r>
      <w:r>
        <w:rPr>
          <w:sz w:val="24"/>
        </w:rPr>
        <w:t>(2), 113-118.</w:t>
      </w:r>
    </w:p>
    <w:p>
      <w:pPr>
        <w:spacing w:line="230" w:lineRule="auto" w:before="1"/>
        <w:ind w:left="1443" w:right="1460" w:hanging="705"/>
        <w:jc w:val="both"/>
        <w:rPr>
          <w:sz w:val="24"/>
        </w:rPr>
      </w:pPr>
      <w:r>
        <w:rPr>
          <w:i/>
          <w:sz w:val="24"/>
        </w:rPr>
        <w:t>U.S.</w:t>
      </w:r>
      <w:r>
        <w:rPr>
          <w:i/>
          <w:spacing w:val="-4"/>
          <w:sz w:val="24"/>
        </w:rPr>
        <w:t> </w:t>
      </w:r>
      <w:r>
        <w:rPr>
          <w:i/>
          <w:sz w:val="24"/>
        </w:rPr>
        <w:t>International</w:t>
      </w:r>
      <w:r>
        <w:rPr>
          <w:i/>
          <w:spacing w:val="-4"/>
          <w:sz w:val="24"/>
        </w:rPr>
        <w:t> </w:t>
      </w:r>
      <w:r>
        <w:rPr>
          <w:i/>
          <w:sz w:val="24"/>
        </w:rPr>
        <w:t>Investment</w:t>
      </w:r>
      <w:r>
        <w:rPr>
          <w:i/>
          <w:spacing w:val="-4"/>
          <w:sz w:val="24"/>
        </w:rPr>
        <w:t> </w:t>
      </w:r>
      <w:r>
        <w:rPr>
          <w:i/>
          <w:sz w:val="24"/>
        </w:rPr>
        <w:t>Position,</w:t>
      </w:r>
      <w:r>
        <w:rPr>
          <w:i/>
          <w:spacing w:val="-4"/>
          <w:sz w:val="24"/>
        </w:rPr>
        <w:t> </w:t>
      </w:r>
      <w:r>
        <w:rPr>
          <w:i/>
          <w:sz w:val="24"/>
        </w:rPr>
        <w:t>2nd</w:t>
      </w:r>
      <w:r>
        <w:rPr>
          <w:i/>
          <w:spacing w:val="-4"/>
          <w:sz w:val="24"/>
        </w:rPr>
        <w:t> </w:t>
      </w:r>
      <w:r>
        <w:rPr>
          <w:i/>
          <w:sz w:val="24"/>
        </w:rPr>
        <w:t>Quarter</w:t>
      </w:r>
      <w:r>
        <w:rPr>
          <w:i/>
          <w:spacing w:val="-4"/>
          <w:sz w:val="24"/>
        </w:rPr>
        <w:t> </w:t>
      </w:r>
      <w:r>
        <w:rPr>
          <w:i/>
          <w:sz w:val="24"/>
        </w:rPr>
        <w:t>2025</w:t>
      </w:r>
      <w:r>
        <w:rPr>
          <w:sz w:val="24"/>
        </w:rPr>
        <w:t>.</w:t>
      </w:r>
      <w:r>
        <w:rPr>
          <w:spacing w:val="-4"/>
          <w:sz w:val="24"/>
        </w:rPr>
        <w:t> </w:t>
      </w:r>
      <w:r>
        <w:rPr>
          <w:sz w:val="24"/>
        </w:rPr>
        <w:t>(2025,</w:t>
      </w:r>
      <w:r>
        <w:rPr>
          <w:spacing w:val="-4"/>
          <w:sz w:val="24"/>
        </w:rPr>
        <w:t> </w:t>
      </w:r>
      <w:r>
        <w:rPr>
          <w:sz w:val="24"/>
        </w:rPr>
        <w:t>September</w:t>
      </w:r>
      <w:r>
        <w:rPr>
          <w:spacing w:val="-4"/>
          <w:sz w:val="24"/>
        </w:rPr>
        <w:t> </w:t>
      </w:r>
      <w:r>
        <w:rPr>
          <w:sz w:val="24"/>
        </w:rPr>
        <w:t>29).</w:t>
      </w:r>
      <w:r>
        <w:rPr>
          <w:spacing w:val="-4"/>
          <w:sz w:val="24"/>
        </w:rPr>
        <w:t> </w:t>
      </w:r>
      <w:r>
        <w:rPr>
          <w:sz w:val="24"/>
        </w:rPr>
        <w:t>U.S.</w:t>
      </w:r>
      <w:r>
        <w:rPr>
          <w:spacing w:val="-4"/>
          <w:sz w:val="24"/>
        </w:rPr>
        <w:t> </w:t>
      </w:r>
      <w:r>
        <w:rPr>
          <w:sz w:val="24"/>
        </w:rPr>
        <w:t>Bureau</w:t>
      </w:r>
      <w:r>
        <w:rPr>
          <w:spacing w:val="-4"/>
          <w:sz w:val="24"/>
        </w:rPr>
        <w:t> </w:t>
      </w:r>
      <w:r>
        <w:rPr>
          <w:sz w:val="24"/>
        </w:rPr>
        <w:t>of Economic Analysis </w:t>
      </w:r>
      <w:hyperlink r:id="rId184">
        <w:r>
          <w:rPr>
            <w:color w:val="0000FF"/>
            <w:sz w:val="24"/>
            <w:u w:val="thick" w:color="0000FF"/>
          </w:rPr>
          <w:t>https://www.bea.gov/news/2025/us-international-investment</w:t>
        </w:r>
      </w:hyperlink>
    </w:p>
    <w:p>
      <w:pPr>
        <w:pStyle w:val="BodyText"/>
        <w:spacing w:line="263" w:lineRule="exact"/>
        <w:ind w:left="1443"/>
      </w:pPr>
      <w:r>
        <w:rPr>
          <w:color w:val="0000FF"/>
          <w:spacing w:val="-2"/>
        </w:rPr>
        <w:t>p</w:t>
      </w:r>
      <w:r>
        <w:rPr>
          <w:color w:val="0000FF"/>
          <w:spacing w:val="-2"/>
          <w:u w:val="thick" w:color="0000FF"/>
        </w:rPr>
        <w:t>osition-2nd-quarter-</w:t>
      </w:r>
      <w:r>
        <w:rPr>
          <w:color w:val="0000FF"/>
          <w:spacing w:val="-4"/>
          <w:u w:val="thick" w:color="0000FF"/>
        </w:rPr>
        <w:t>2025</w:t>
      </w:r>
    </w:p>
    <w:p>
      <w:pPr>
        <w:spacing w:line="228" w:lineRule="auto" w:before="9"/>
        <w:ind w:left="1458" w:right="1191" w:hanging="735"/>
        <w:jc w:val="left"/>
        <w:rPr>
          <w:sz w:val="24"/>
        </w:rPr>
      </w:pPr>
      <w:r>
        <w:rPr>
          <w:sz w:val="24"/>
        </w:rPr>
        <w:t>Vohra,</w:t>
      </w:r>
      <w:r>
        <w:rPr>
          <w:spacing w:val="-6"/>
          <w:sz w:val="24"/>
        </w:rPr>
        <w:t> </w:t>
      </w:r>
      <w:r>
        <w:rPr>
          <w:sz w:val="24"/>
        </w:rPr>
        <w:t>R.</w:t>
      </w:r>
      <w:r>
        <w:rPr>
          <w:spacing w:val="-6"/>
          <w:sz w:val="24"/>
        </w:rPr>
        <w:t> </w:t>
      </w:r>
      <w:r>
        <w:rPr>
          <w:sz w:val="24"/>
        </w:rPr>
        <w:t>(2025).</w:t>
      </w:r>
      <w:r>
        <w:rPr>
          <w:spacing w:val="-6"/>
          <w:sz w:val="24"/>
        </w:rPr>
        <w:t> </w:t>
      </w:r>
      <w:r>
        <w:rPr>
          <w:sz w:val="24"/>
        </w:rPr>
        <w:t>How</w:t>
      </w:r>
      <w:r>
        <w:rPr>
          <w:spacing w:val="-6"/>
          <w:sz w:val="24"/>
        </w:rPr>
        <w:t> </w:t>
      </w:r>
      <w:r>
        <w:rPr>
          <w:sz w:val="24"/>
        </w:rPr>
        <w:t>Do</w:t>
      </w:r>
      <w:r>
        <w:rPr>
          <w:spacing w:val="-6"/>
          <w:sz w:val="24"/>
        </w:rPr>
        <w:t> </w:t>
      </w:r>
      <w:r>
        <w:rPr>
          <w:sz w:val="24"/>
        </w:rPr>
        <w:t>Small</w:t>
      </w:r>
      <w:r>
        <w:rPr>
          <w:spacing w:val="-6"/>
          <w:sz w:val="24"/>
        </w:rPr>
        <w:t> </w:t>
      </w:r>
      <w:r>
        <w:rPr>
          <w:sz w:val="24"/>
        </w:rPr>
        <w:t>Businesses</w:t>
      </w:r>
      <w:r>
        <w:rPr>
          <w:spacing w:val="-6"/>
          <w:sz w:val="24"/>
        </w:rPr>
        <w:t> </w:t>
      </w:r>
      <w:r>
        <w:rPr>
          <w:sz w:val="24"/>
        </w:rPr>
        <w:t>Impact</w:t>
      </w:r>
      <w:r>
        <w:rPr>
          <w:spacing w:val="-6"/>
          <w:sz w:val="24"/>
        </w:rPr>
        <w:t> </w:t>
      </w:r>
      <w:r>
        <w:rPr>
          <w:sz w:val="24"/>
        </w:rPr>
        <w:t>The</w:t>
      </w:r>
      <w:r>
        <w:rPr>
          <w:spacing w:val="-6"/>
          <w:sz w:val="24"/>
        </w:rPr>
        <w:t> </w:t>
      </w:r>
      <w:r>
        <w:rPr>
          <w:sz w:val="24"/>
        </w:rPr>
        <w:t>Economy?</w:t>
      </w:r>
      <w:r>
        <w:rPr>
          <w:spacing w:val="-6"/>
          <w:sz w:val="24"/>
        </w:rPr>
        <w:t> </w:t>
      </w:r>
      <w:r>
        <w:rPr>
          <w:i/>
          <w:sz w:val="24"/>
        </w:rPr>
        <w:t>Business</w:t>
      </w:r>
      <w:r>
        <w:rPr>
          <w:i/>
          <w:spacing w:val="-6"/>
          <w:sz w:val="24"/>
        </w:rPr>
        <w:t> </w:t>
      </w:r>
      <w:r>
        <w:rPr>
          <w:i/>
          <w:sz w:val="24"/>
        </w:rPr>
        <w:t>Management</w:t>
      </w:r>
      <w:r>
        <w:rPr>
          <w:i/>
          <w:spacing w:val="-6"/>
          <w:sz w:val="24"/>
        </w:rPr>
        <w:t> </w:t>
      </w:r>
      <w:r>
        <w:rPr>
          <w:i/>
          <w:sz w:val="24"/>
        </w:rPr>
        <w:t>and</w:t>
      </w:r>
      <w:r>
        <w:rPr>
          <w:i/>
          <w:sz w:val="24"/>
        </w:rPr>
        <w:t> Theory</w:t>
      </w:r>
      <w:r>
        <w:rPr>
          <w:sz w:val="24"/>
        </w:rPr>
        <w:t>, </w:t>
      </w:r>
      <w:r>
        <w:rPr>
          <w:i/>
          <w:sz w:val="24"/>
        </w:rPr>
        <w:t>3</w:t>
      </w:r>
      <w:r>
        <w:rPr>
          <w:sz w:val="24"/>
        </w:rPr>
        <w:t>, 110.</w:t>
      </w:r>
    </w:p>
    <w:p>
      <w:pPr>
        <w:spacing w:line="228" w:lineRule="auto" w:before="10"/>
        <w:ind w:left="1428" w:right="1191" w:hanging="705"/>
        <w:jc w:val="left"/>
        <w:rPr>
          <w:sz w:val="24"/>
        </w:rPr>
      </w:pPr>
      <w:r>
        <w:rPr>
          <w:sz w:val="24"/>
        </w:rPr>
        <w:t>Wadhawan,</w:t>
      </w:r>
      <w:r>
        <w:rPr>
          <w:spacing w:val="-5"/>
          <w:sz w:val="24"/>
        </w:rPr>
        <w:t> </w:t>
      </w:r>
      <w:r>
        <w:rPr>
          <w:sz w:val="24"/>
        </w:rPr>
        <w:t>K.,</w:t>
      </w:r>
      <w:r>
        <w:rPr>
          <w:spacing w:val="-5"/>
          <w:sz w:val="24"/>
        </w:rPr>
        <w:t> </w:t>
      </w:r>
      <w:r>
        <w:rPr>
          <w:sz w:val="24"/>
        </w:rPr>
        <w:t>&amp;</w:t>
      </w:r>
      <w:r>
        <w:rPr>
          <w:spacing w:val="-5"/>
          <w:sz w:val="24"/>
        </w:rPr>
        <w:t> </w:t>
      </w:r>
      <w:r>
        <w:rPr>
          <w:sz w:val="24"/>
        </w:rPr>
        <w:t>Kaur,</w:t>
      </w:r>
      <w:r>
        <w:rPr>
          <w:spacing w:val="-5"/>
          <w:sz w:val="24"/>
        </w:rPr>
        <w:t> </w:t>
      </w:r>
      <w:r>
        <w:rPr>
          <w:sz w:val="24"/>
        </w:rPr>
        <w:t>A.</w:t>
      </w:r>
      <w:r>
        <w:rPr>
          <w:spacing w:val="-5"/>
          <w:sz w:val="24"/>
        </w:rPr>
        <w:t> </w:t>
      </w:r>
      <w:r>
        <w:rPr>
          <w:sz w:val="24"/>
        </w:rPr>
        <w:t>(2023).</w:t>
      </w:r>
      <w:r>
        <w:rPr>
          <w:spacing w:val="-5"/>
          <w:sz w:val="24"/>
        </w:rPr>
        <w:t> </w:t>
      </w:r>
      <w:r>
        <w:rPr>
          <w:sz w:val="24"/>
        </w:rPr>
        <w:t>AI:</w:t>
      </w:r>
      <w:r>
        <w:rPr>
          <w:spacing w:val="-5"/>
          <w:sz w:val="24"/>
        </w:rPr>
        <w:t> </w:t>
      </w:r>
      <w:r>
        <w:rPr>
          <w:sz w:val="24"/>
        </w:rPr>
        <w:t>Job</w:t>
      </w:r>
      <w:r>
        <w:rPr>
          <w:spacing w:val="-5"/>
          <w:sz w:val="24"/>
        </w:rPr>
        <w:t> </w:t>
      </w:r>
      <w:r>
        <w:rPr>
          <w:sz w:val="24"/>
        </w:rPr>
        <w:t>creator</w:t>
      </w:r>
      <w:r>
        <w:rPr>
          <w:spacing w:val="-5"/>
          <w:sz w:val="24"/>
        </w:rPr>
        <w:t> </w:t>
      </w:r>
      <w:r>
        <w:rPr>
          <w:sz w:val="24"/>
        </w:rPr>
        <w:t>or</w:t>
      </w:r>
      <w:r>
        <w:rPr>
          <w:spacing w:val="-5"/>
          <w:sz w:val="24"/>
        </w:rPr>
        <w:t> </w:t>
      </w:r>
      <w:r>
        <w:rPr>
          <w:sz w:val="24"/>
        </w:rPr>
        <w:t>jobless</w:t>
      </w:r>
      <w:r>
        <w:rPr>
          <w:spacing w:val="-5"/>
          <w:sz w:val="24"/>
        </w:rPr>
        <w:t> </w:t>
      </w:r>
      <w:r>
        <w:rPr>
          <w:sz w:val="24"/>
        </w:rPr>
        <w:t>future.</w:t>
      </w:r>
      <w:r>
        <w:rPr>
          <w:spacing w:val="-5"/>
          <w:sz w:val="24"/>
        </w:rPr>
        <w:t> </w:t>
      </w:r>
      <w:r>
        <w:rPr>
          <w:i/>
          <w:sz w:val="24"/>
        </w:rPr>
        <w:t>International</w:t>
      </w:r>
      <w:r>
        <w:rPr>
          <w:i/>
          <w:spacing w:val="-5"/>
          <w:sz w:val="24"/>
        </w:rPr>
        <w:t> </w:t>
      </w:r>
      <w:r>
        <w:rPr>
          <w:i/>
          <w:sz w:val="24"/>
        </w:rPr>
        <w:t>Journal</w:t>
      </w:r>
      <w:r>
        <w:rPr>
          <w:i/>
          <w:spacing w:val="-5"/>
          <w:sz w:val="24"/>
        </w:rPr>
        <w:t> </w:t>
      </w:r>
      <w:r>
        <w:rPr>
          <w:i/>
          <w:sz w:val="24"/>
        </w:rPr>
        <w:t>for</w:t>
      </w:r>
      <w:r>
        <w:rPr>
          <w:i/>
          <w:sz w:val="24"/>
        </w:rPr>
        <w:t> Multidisciplinary Research (IJFMR)</w:t>
      </w:r>
      <w:r>
        <w:rPr>
          <w:sz w:val="24"/>
        </w:rPr>
        <w:t>, </w:t>
      </w:r>
      <w:r>
        <w:rPr>
          <w:i/>
          <w:sz w:val="24"/>
        </w:rPr>
        <w:t>5</w:t>
      </w:r>
      <w:r>
        <w:rPr>
          <w:sz w:val="24"/>
        </w:rPr>
        <w:t>(4), 1-9.</w:t>
      </w:r>
    </w:p>
    <w:p>
      <w:pPr>
        <w:pStyle w:val="BodyText"/>
        <w:spacing w:line="232" w:lineRule="auto"/>
        <w:ind w:left="1443" w:right="1697" w:hanging="720"/>
      </w:pPr>
      <w:r>
        <w:rPr/>
        <w:t>Wolf, M. (2025, September 30). </w:t>
      </w:r>
      <w:r>
        <w:rPr>
          <w:i/>
        </w:rPr>
        <w:t>United States economic forecast</w:t>
      </w:r>
      <w:r>
        <w:rPr/>
        <w:t>. Deloitte Global Economics </w:t>
      </w:r>
      <w:r>
        <w:rPr>
          <w:spacing w:val="-2"/>
        </w:rPr>
        <w:t>Research Center. </w:t>
      </w:r>
      <w:hyperlink r:id="rId185">
        <w:r>
          <w:rPr>
            <w:color w:val="0000FF"/>
            <w:spacing w:val="-2"/>
            <w:u w:val="thick" w:color="0000FF"/>
          </w:rPr>
          <w:t>https://www.deloitte.com/us/en/insights/topics/economy/us-</w:t>
        </w:r>
        <w:r>
          <w:rPr>
            <w:color w:val="0000FF"/>
            <w:spacing w:val="-2"/>
            <w:u w:val="thick" w:color="0000FF"/>
          </w:rPr>
          <w:t>economic</w:t>
        </w:r>
      </w:hyperlink>
      <w:r>
        <w:rPr>
          <w:color w:val="0000FF"/>
          <w:spacing w:val="-2"/>
          <w:u w:val="none"/>
        </w:rPr>
        <w:t> </w:t>
      </w:r>
      <w:r>
        <w:rPr>
          <w:color w:val="0000FF"/>
          <w:spacing w:val="-2"/>
          <w:u w:val="thick" w:color="0000FF"/>
        </w:rPr>
        <w:t>forecast/united-states-outlook-analysis.html</w:t>
      </w:r>
    </w:p>
    <w:p>
      <w:pPr>
        <w:pStyle w:val="BodyText"/>
        <w:spacing w:after="0" w:line="232" w:lineRule="auto"/>
        <w:sectPr>
          <w:pgSz w:w="12240" w:h="15840"/>
          <w:pgMar w:header="0" w:footer="768" w:top="620" w:bottom="960" w:left="720" w:right="0"/>
        </w:sectPr>
      </w:pPr>
    </w:p>
    <w:p>
      <w:pPr>
        <w:pStyle w:val="Heading2"/>
        <w:spacing w:line="247" w:lineRule="auto"/>
        <w:ind w:firstLine="1019"/>
      </w:pPr>
      <w:bookmarkStart w:name="       Body Doubling: Consumers’ Use of " w:id="85"/>
      <w:bookmarkEnd w:id="85"/>
      <w:r>
        <w:rPr>
          <w:b w:val="0"/>
        </w:rPr>
      </w:r>
      <w:r>
        <w:rPr/>
        <w:t>Body Doubling: Consumers’ Use of Virtual Content, Communities,</w:t>
      </w:r>
      <w:r>
        <w:rPr>
          <w:spacing w:val="-19"/>
        </w:rPr>
        <w:t> </w:t>
      </w:r>
      <w:r>
        <w:rPr/>
        <w:t>and</w:t>
      </w:r>
      <w:r>
        <w:rPr>
          <w:spacing w:val="-19"/>
        </w:rPr>
        <w:t> </w:t>
      </w:r>
      <w:r>
        <w:rPr/>
        <w:t>Accountability</w:t>
      </w:r>
      <w:r>
        <w:rPr>
          <w:spacing w:val="-19"/>
        </w:rPr>
        <w:t> </w:t>
      </w:r>
      <w:r>
        <w:rPr/>
        <w:t>Tools</w:t>
      </w:r>
      <w:r>
        <w:rPr>
          <w:spacing w:val="-18"/>
        </w:rPr>
        <w:t> </w:t>
      </w:r>
      <w:r>
        <w:rPr/>
        <w:t>to</w:t>
      </w:r>
      <w:r>
        <w:rPr>
          <w:spacing w:val="-19"/>
        </w:rPr>
        <w:t> </w:t>
      </w:r>
      <w:r>
        <w:rPr/>
        <w:t>Manage</w:t>
      </w:r>
      <w:r>
        <w:rPr>
          <w:spacing w:val="-19"/>
        </w:rPr>
        <w:t> </w:t>
      </w:r>
      <w:r>
        <w:rPr/>
        <w:t>Productivity,</w:t>
      </w:r>
    </w:p>
    <w:p>
      <w:pPr>
        <w:spacing w:line="357" w:lineRule="exact" w:before="0"/>
        <w:ind w:left="2563" w:right="0" w:firstLine="0"/>
        <w:jc w:val="left"/>
        <w:rPr>
          <w:b/>
          <w:sz w:val="30"/>
        </w:rPr>
      </w:pPr>
      <w:bookmarkStart w:name="h.hrzwu7r7824f" w:id="86"/>
      <w:bookmarkEnd w:id="86"/>
      <w:r>
        <w:rPr/>
      </w:r>
      <w:r>
        <w:rPr>
          <w:b/>
          <w:sz w:val="30"/>
        </w:rPr>
        <w:t>Loneliness,</w:t>
      </w:r>
      <w:r>
        <w:rPr>
          <w:b/>
          <w:spacing w:val="-19"/>
          <w:sz w:val="30"/>
        </w:rPr>
        <w:t> </w:t>
      </w:r>
      <w:r>
        <w:rPr>
          <w:b/>
          <w:sz w:val="30"/>
        </w:rPr>
        <w:t>and</w:t>
      </w:r>
      <w:r>
        <w:rPr>
          <w:b/>
          <w:spacing w:val="-19"/>
          <w:sz w:val="30"/>
        </w:rPr>
        <w:t> </w:t>
      </w:r>
      <w:r>
        <w:rPr>
          <w:b/>
          <w:sz w:val="30"/>
        </w:rPr>
        <w:t>Improve</w:t>
      </w:r>
      <w:r>
        <w:rPr>
          <w:b/>
          <w:spacing w:val="-19"/>
          <w:sz w:val="30"/>
        </w:rPr>
        <w:t> </w:t>
      </w:r>
      <w:r>
        <w:rPr>
          <w:b/>
          <w:spacing w:val="-2"/>
          <w:sz w:val="30"/>
        </w:rPr>
        <w:t>Well</w:t>
      </w:r>
      <w:r>
        <w:rPr>
          <w:rFonts w:ascii="Segoe UI Symbol" w:hAnsi="Segoe UI Symbol"/>
          <w:spacing w:val="-2"/>
          <w:sz w:val="30"/>
        </w:rPr>
        <w:t>‑</w:t>
      </w:r>
      <w:r>
        <w:rPr>
          <w:b/>
          <w:spacing w:val="-2"/>
          <w:sz w:val="30"/>
        </w:rPr>
        <w:t>Being</w:t>
      </w:r>
    </w:p>
    <w:p>
      <w:pPr>
        <w:pStyle w:val="BodyText"/>
        <w:spacing w:line="253" w:lineRule="exact" w:before="141"/>
        <w:ind w:right="719"/>
        <w:jc w:val="center"/>
      </w:pPr>
      <w:r>
        <w:rPr/>
        <w:t>Stephanie J. </w:t>
      </w:r>
      <w:r>
        <w:rPr>
          <w:spacing w:val="-2"/>
        </w:rPr>
        <w:t>Lawson</w:t>
      </w:r>
    </w:p>
    <w:p>
      <w:pPr>
        <w:pStyle w:val="BodyText"/>
        <w:spacing w:line="199" w:lineRule="auto" w:before="16"/>
        <w:ind w:left="2707" w:right="3425"/>
        <w:jc w:val="center"/>
      </w:pPr>
      <w:r>
        <w:rPr/>
        <w:t>Department</w:t>
      </w:r>
      <w:r>
        <w:rPr>
          <w:spacing w:val="-7"/>
        </w:rPr>
        <w:t> </w:t>
      </w:r>
      <w:r>
        <w:rPr/>
        <w:t>of</w:t>
      </w:r>
      <w:r>
        <w:rPr>
          <w:spacing w:val="-7"/>
        </w:rPr>
        <w:t> </w:t>
      </w:r>
      <w:r>
        <w:rPr/>
        <w:t>Marketing</w:t>
      </w:r>
      <w:r>
        <w:rPr>
          <w:spacing w:val="-7"/>
        </w:rPr>
        <w:t> </w:t>
      </w:r>
      <w:r>
        <w:rPr/>
        <w:t>&amp;</w:t>
      </w:r>
      <w:r>
        <w:rPr>
          <w:spacing w:val="-7"/>
        </w:rPr>
        <w:t> </w:t>
      </w:r>
      <w:r>
        <w:rPr/>
        <w:t>Supply</w:t>
      </w:r>
      <w:r>
        <w:rPr>
          <w:spacing w:val="-7"/>
        </w:rPr>
        <w:t> </w:t>
      </w:r>
      <w:r>
        <w:rPr/>
        <w:t>Chain</w:t>
      </w:r>
      <w:r>
        <w:rPr>
          <w:spacing w:val="-7"/>
        </w:rPr>
        <w:t> </w:t>
      </w:r>
      <w:r>
        <w:rPr/>
        <w:t>Management Walker College of Business</w:t>
      </w:r>
    </w:p>
    <w:p>
      <w:pPr>
        <w:pStyle w:val="BodyText"/>
        <w:spacing w:line="199" w:lineRule="auto" w:before="1"/>
        <w:ind w:left="3987" w:right="4705"/>
        <w:jc w:val="center"/>
      </w:pPr>
      <w:r>
        <w:rPr/>
        <w:t>Appalachian</w:t>
      </w:r>
      <w:r>
        <w:rPr>
          <w:spacing w:val="-15"/>
        </w:rPr>
        <w:t> </w:t>
      </w:r>
      <w:r>
        <w:rPr/>
        <w:t>State</w:t>
      </w:r>
      <w:r>
        <w:rPr>
          <w:spacing w:val="-15"/>
        </w:rPr>
        <w:t> </w:t>
      </w:r>
      <w:r>
        <w:rPr/>
        <w:t>University 416 Howard Street</w:t>
      </w:r>
    </w:p>
    <w:p>
      <w:pPr>
        <w:pStyle w:val="BodyText"/>
        <w:spacing w:line="199" w:lineRule="auto" w:before="2"/>
        <w:ind w:left="4213" w:right="4931"/>
        <w:jc w:val="center"/>
      </w:pPr>
      <w:r>
        <w:rPr/>
        <w:t>Boone, NC 28608 </w:t>
      </w:r>
      <w:hyperlink r:id="rId187">
        <w:r>
          <w:rPr>
            <w:spacing w:val="-2"/>
          </w:rPr>
          <w:t>lawsonsj1@appstate.edu</w:t>
        </w:r>
      </w:hyperlink>
    </w:p>
    <w:p>
      <w:pPr>
        <w:pStyle w:val="BodyText"/>
        <w:spacing w:line="240" w:lineRule="exact"/>
        <w:ind w:right="719"/>
        <w:jc w:val="center"/>
      </w:pPr>
      <w:r>
        <w:rPr/>
        <w:t>828-262-6195 (Contact </w:t>
      </w:r>
      <w:r>
        <w:rPr>
          <w:spacing w:val="-2"/>
        </w:rPr>
        <w:t>Author)</w:t>
      </w:r>
    </w:p>
    <w:p>
      <w:pPr>
        <w:pStyle w:val="BodyText"/>
        <w:spacing w:line="253" w:lineRule="exact" w:before="225"/>
        <w:ind w:right="719"/>
        <w:jc w:val="center"/>
      </w:pPr>
      <w:r>
        <w:rPr/>
        <w:t>Pia A. </w:t>
      </w:r>
      <w:r>
        <w:rPr>
          <w:spacing w:val="-2"/>
        </w:rPr>
        <w:t>Albinsson</w:t>
      </w:r>
    </w:p>
    <w:p>
      <w:pPr>
        <w:pStyle w:val="BodyText"/>
        <w:spacing w:line="250" w:lineRule="exact"/>
        <w:ind w:right="719"/>
        <w:jc w:val="center"/>
      </w:pPr>
      <w:r>
        <w:rPr/>
        <w:t>Department of Marketing &amp; Supply Chain </w:t>
      </w:r>
      <w:r>
        <w:rPr>
          <w:spacing w:val="-2"/>
        </w:rPr>
        <w:t>Management</w:t>
      </w:r>
    </w:p>
    <w:p>
      <w:pPr>
        <w:pStyle w:val="BodyText"/>
        <w:spacing w:line="232" w:lineRule="auto" w:before="4"/>
        <w:ind w:left="3987" w:right="4705"/>
        <w:jc w:val="center"/>
      </w:pPr>
      <w:r>
        <w:rPr/>
        <w:t>Walker College of Business Appalachian</w:t>
      </w:r>
      <w:r>
        <w:rPr>
          <w:spacing w:val="-15"/>
        </w:rPr>
        <w:t> </w:t>
      </w:r>
      <w:r>
        <w:rPr/>
        <w:t>State</w:t>
      </w:r>
      <w:r>
        <w:rPr>
          <w:spacing w:val="-15"/>
        </w:rPr>
        <w:t> </w:t>
      </w:r>
      <w:r>
        <w:rPr/>
        <w:t>University 416 Howard Street</w:t>
      </w:r>
    </w:p>
    <w:p>
      <w:pPr>
        <w:pStyle w:val="BodyText"/>
        <w:spacing w:line="232" w:lineRule="auto"/>
        <w:ind w:left="4126" w:right="4844"/>
        <w:jc w:val="center"/>
      </w:pPr>
      <w:r>
        <w:rPr/>
        <w:t>Boone, NC 28608 </w:t>
      </w:r>
      <w:hyperlink r:id="rId8">
        <w:r>
          <w:rPr>
            <w:spacing w:val="-2"/>
          </w:rPr>
          <w:t>albinssonpa@appstate.edu</w:t>
        </w:r>
      </w:hyperlink>
      <w:r>
        <w:rPr>
          <w:spacing w:val="-2"/>
        </w:rPr>
        <w:t> 828-262-6197</w:t>
      </w:r>
    </w:p>
    <w:p>
      <w:pPr>
        <w:pStyle w:val="BodyText"/>
        <w:spacing w:before="29"/>
      </w:pPr>
    </w:p>
    <w:p>
      <w:pPr>
        <w:pStyle w:val="BodyText"/>
        <w:spacing w:line="273" w:lineRule="exact" w:before="1"/>
        <w:ind w:right="719"/>
        <w:jc w:val="center"/>
      </w:pPr>
      <w:r>
        <w:rPr/>
        <w:t>Merlyn A. </w:t>
      </w:r>
      <w:r>
        <w:rPr>
          <w:spacing w:val="-2"/>
        </w:rPr>
        <w:t>Griffiths</w:t>
      </w:r>
    </w:p>
    <w:p>
      <w:pPr>
        <w:pStyle w:val="BodyText"/>
        <w:spacing w:line="199" w:lineRule="auto" w:before="34"/>
        <w:ind w:left="2172" w:right="2830"/>
        <w:jc w:val="center"/>
      </w:pPr>
      <w:r>
        <w:rPr/>
        <w:t>Department</w:t>
      </w:r>
      <w:r>
        <w:rPr>
          <w:spacing w:val="-9"/>
        </w:rPr>
        <w:t> </w:t>
      </w:r>
      <w:r>
        <w:rPr/>
        <w:t>of</w:t>
      </w:r>
      <w:r>
        <w:rPr>
          <w:spacing w:val="-9"/>
        </w:rPr>
        <w:t> </w:t>
      </w:r>
      <w:r>
        <w:rPr/>
        <w:t>Marketing,</w:t>
      </w:r>
      <w:r>
        <w:rPr>
          <w:spacing w:val="-9"/>
        </w:rPr>
        <w:t> </w:t>
      </w:r>
      <w:r>
        <w:rPr/>
        <w:t>Entrepreneurship,</w:t>
      </w:r>
      <w:r>
        <w:rPr>
          <w:spacing w:val="-9"/>
        </w:rPr>
        <w:t> </w:t>
      </w:r>
      <w:r>
        <w:rPr/>
        <w:t>Hospitality</w:t>
      </w:r>
      <w:r>
        <w:rPr>
          <w:spacing w:val="-9"/>
        </w:rPr>
        <w:t> </w:t>
      </w:r>
      <w:r>
        <w:rPr/>
        <w:t>&amp;</w:t>
      </w:r>
      <w:r>
        <w:rPr>
          <w:spacing w:val="-9"/>
        </w:rPr>
        <w:t> </w:t>
      </w:r>
      <w:r>
        <w:rPr/>
        <w:t>Tourism Bryan School of Business and Economics</w:t>
      </w:r>
    </w:p>
    <w:p>
      <w:pPr>
        <w:pStyle w:val="BodyText"/>
        <w:spacing w:line="216" w:lineRule="exact"/>
        <w:ind w:right="719"/>
        <w:jc w:val="center"/>
      </w:pPr>
      <w:r>
        <w:rPr/>
        <w:t>University of North Carolina </w:t>
      </w:r>
      <w:r>
        <w:rPr>
          <w:spacing w:val="-2"/>
        </w:rPr>
        <w:t>Greensboro</w:t>
      </w:r>
    </w:p>
    <w:p>
      <w:pPr>
        <w:pStyle w:val="BodyText"/>
        <w:spacing w:line="230" w:lineRule="exact"/>
        <w:ind w:left="4609"/>
      </w:pPr>
      <w:r>
        <w:rPr/>
        <w:t>P.</w:t>
      </w:r>
      <w:r>
        <w:rPr>
          <w:spacing w:val="-9"/>
        </w:rPr>
        <w:t> </w:t>
      </w:r>
      <w:r>
        <w:rPr/>
        <w:t>O.</w:t>
      </w:r>
      <w:r>
        <w:rPr>
          <w:spacing w:val="-9"/>
        </w:rPr>
        <w:t> </w:t>
      </w:r>
      <w:r>
        <w:rPr/>
        <w:t>Box</w:t>
      </w:r>
      <w:r>
        <w:rPr>
          <w:spacing w:val="-9"/>
        </w:rPr>
        <w:t> </w:t>
      </w:r>
      <w:r>
        <w:rPr>
          <w:spacing w:val="-2"/>
        </w:rPr>
        <w:t>26165</w:t>
      </w:r>
    </w:p>
    <w:p>
      <w:pPr>
        <w:pStyle w:val="BodyText"/>
        <w:spacing w:line="199" w:lineRule="auto" w:before="15"/>
        <w:ind w:left="4003" w:right="4721"/>
        <w:jc w:val="center"/>
      </w:pPr>
      <w:r>
        <w:rPr/>
        <w:t>Greensboro,</w:t>
      </w:r>
      <w:r>
        <w:rPr>
          <w:spacing w:val="-15"/>
        </w:rPr>
        <w:t> </w:t>
      </w:r>
      <w:r>
        <w:rPr/>
        <w:t>NC</w:t>
      </w:r>
      <w:r>
        <w:rPr>
          <w:spacing w:val="-15"/>
        </w:rPr>
        <w:t> </w:t>
      </w:r>
      <w:r>
        <w:rPr/>
        <w:t>27402-</w:t>
      </w:r>
      <w:r>
        <w:rPr/>
        <w:t>6165 </w:t>
      </w:r>
      <w:r>
        <w:rPr>
          <w:spacing w:val="-2"/>
        </w:rPr>
        <w:t>Phone:336-334-4472</w:t>
      </w:r>
    </w:p>
    <w:p>
      <w:pPr>
        <w:pStyle w:val="BodyText"/>
        <w:spacing w:line="239" w:lineRule="exact"/>
        <w:ind w:right="719"/>
        <w:jc w:val="center"/>
      </w:pPr>
      <w:hyperlink r:id="rId188">
        <w:r>
          <w:rPr>
            <w:spacing w:val="-2"/>
          </w:rPr>
          <w:t>magriff3@uncg.edu</w:t>
        </w:r>
      </w:hyperlink>
    </w:p>
    <w:p>
      <w:pPr>
        <w:pStyle w:val="BodyText"/>
        <w:spacing w:before="269"/>
        <w:ind w:left="4508"/>
      </w:pPr>
      <w:r>
        <w:rPr/>
        <w:t>B.</w:t>
      </w:r>
      <w:r>
        <w:rPr>
          <w:spacing w:val="-13"/>
        </w:rPr>
        <w:t> </w:t>
      </w:r>
      <w:r>
        <w:rPr/>
        <w:t>Yasanthi</w:t>
      </w:r>
      <w:r>
        <w:rPr>
          <w:spacing w:val="-12"/>
        </w:rPr>
        <w:t> </w:t>
      </w:r>
      <w:r>
        <w:rPr>
          <w:spacing w:val="-2"/>
        </w:rPr>
        <w:t>Perera</w:t>
      </w:r>
    </w:p>
    <w:p>
      <w:pPr>
        <w:pStyle w:val="BodyText"/>
        <w:spacing w:line="264" w:lineRule="auto" w:before="28"/>
        <w:ind w:left="736" w:right="1454"/>
        <w:jc w:val="center"/>
      </w:pPr>
      <w:r>
        <w:rPr/>
        <w:t>Department</w:t>
      </w:r>
      <w:r>
        <w:rPr>
          <w:spacing w:val="-6"/>
        </w:rPr>
        <w:t> </w:t>
      </w:r>
      <w:r>
        <w:rPr/>
        <w:t>of</w:t>
      </w:r>
      <w:r>
        <w:rPr>
          <w:spacing w:val="-6"/>
        </w:rPr>
        <w:t> </w:t>
      </w:r>
      <w:r>
        <w:rPr/>
        <w:t>Organizational</w:t>
      </w:r>
      <w:r>
        <w:rPr>
          <w:spacing w:val="-6"/>
        </w:rPr>
        <w:t> </w:t>
      </w:r>
      <w:r>
        <w:rPr/>
        <w:t>Behaviour,</w:t>
      </w:r>
      <w:r>
        <w:rPr>
          <w:spacing w:val="-6"/>
        </w:rPr>
        <w:t> </w:t>
      </w:r>
      <w:r>
        <w:rPr/>
        <w:t>HRM,</w:t>
      </w:r>
      <w:r>
        <w:rPr>
          <w:spacing w:val="-6"/>
        </w:rPr>
        <w:t> </w:t>
      </w:r>
      <w:r>
        <w:rPr/>
        <w:t>Entrepreneurship</w:t>
      </w:r>
      <w:r>
        <w:rPr>
          <w:spacing w:val="-6"/>
        </w:rPr>
        <w:t> </w:t>
      </w:r>
      <w:r>
        <w:rPr/>
        <w:t>and</w:t>
      </w:r>
      <w:r>
        <w:rPr>
          <w:spacing w:val="-6"/>
        </w:rPr>
        <w:t> </w:t>
      </w:r>
      <w:r>
        <w:rPr/>
        <w:t>Ethics</w:t>
      </w:r>
      <w:r>
        <w:rPr>
          <w:spacing w:val="40"/>
        </w:rPr>
        <w:t> </w:t>
      </w:r>
      <w:r>
        <w:rPr/>
        <w:t>Goodman</w:t>
      </w:r>
      <w:r>
        <w:rPr>
          <w:spacing w:val="-6"/>
        </w:rPr>
        <w:t> </w:t>
      </w:r>
      <w:r>
        <w:rPr/>
        <w:t>School of Business</w:t>
      </w:r>
    </w:p>
    <w:p>
      <w:pPr>
        <w:pStyle w:val="BodyText"/>
        <w:spacing w:line="248" w:lineRule="exact"/>
        <w:ind w:right="719"/>
        <w:jc w:val="center"/>
      </w:pPr>
      <w:r>
        <w:rPr/>
        <w:t>Brock </w:t>
      </w:r>
      <w:r>
        <w:rPr>
          <w:spacing w:val="-2"/>
        </w:rPr>
        <w:t>University</w:t>
      </w:r>
    </w:p>
    <w:p>
      <w:pPr>
        <w:pStyle w:val="BodyText"/>
        <w:spacing w:line="268" w:lineRule="exact"/>
        <w:ind w:right="719"/>
        <w:jc w:val="center"/>
      </w:pPr>
      <w:r>
        <w:rPr/>
        <w:t>1812 Sir Isaac Brock </w:t>
      </w:r>
      <w:r>
        <w:rPr>
          <w:spacing w:val="-5"/>
        </w:rPr>
        <w:t>Way</w:t>
      </w:r>
    </w:p>
    <w:p>
      <w:pPr>
        <w:pStyle w:val="BodyText"/>
        <w:spacing w:line="232" w:lineRule="auto" w:before="3"/>
        <w:ind w:left="3606" w:right="4324"/>
        <w:jc w:val="center"/>
      </w:pPr>
      <w:r>
        <w:rPr/>
        <w:t>St.</w:t>
      </w:r>
      <w:r>
        <w:rPr>
          <w:spacing w:val="-8"/>
        </w:rPr>
        <w:t> </w:t>
      </w:r>
      <w:r>
        <w:rPr/>
        <w:t>Catharines,</w:t>
      </w:r>
      <w:r>
        <w:rPr>
          <w:spacing w:val="-8"/>
        </w:rPr>
        <w:t> </w:t>
      </w:r>
      <w:r>
        <w:rPr/>
        <w:t>ON,</w:t>
      </w:r>
      <w:r>
        <w:rPr>
          <w:spacing w:val="-8"/>
        </w:rPr>
        <w:t> </w:t>
      </w:r>
      <w:r>
        <w:rPr/>
        <w:t>L2S</w:t>
      </w:r>
      <w:r>
        <w:rPr>
          <w:spacing w:val="-8"/>
        </w:rPr>
        <w:t> </w:t>
      </w:r>
      <w:r>
        <w:rPr/>
        <w:t>3A1</w:t>
      </w:r>
      <w:r>
        <w:rPr>
          <w:spacing w:val="-8"/>
        </w:rPr>
        <w:t> </w:t>
      </w:r>
      <w:r>
        <w:rPr/>
        <w:t>Canada Phone: +1-905-688-5550, ext. 6703</w:t>
      </w:r>
    </w:p>
    <w:p>
      <w:pPr>
        <w:pStyle w:val="BodyText"/>
        <w:spacing w:line="267" w:lineRule="exact"/>
        <w:ind w:right="719"/>
        <w:jc w:val="center"/>
      </w:pPr>
      <w:hyperlink r:id="rId189">
        <w:r>
          <w:rPr>
            <w:spacing w:val="-2"/>
          </w:rPr>
          <w:t>bperera@brocku.ca</w:t>
        </w:r>
      </w:hyperlink>
    </w:p>
    <w:p>
      <w:pPr>
        <w:pStyle w:val="BodyText"/>
        <w:spacing w:before="33"/>
      </w:pPr>
    </w:p>
    <w:p>
      <w:pPr>
        <w:spacing w:before="1"/>
        <w:ind w:left="720" w:right="0" w:firstLine="0"/>
        <w:jc w:val="left"/>
        <w:rPr>
          <w:sz w:val="22"/>
        </w:rPr>
      </w:pPr>
      <w:r>
        <w:rPr>
          <w:sz w:val="24"/>
        </w:rPr>
        <w:t>Key</w:t>
      </w:r>
      <w:r>
        <w:rPr>
          <w:spacing w:val="-7"/>
          <w:sz w:val="24"/>
        </w:rPr>
        <w:t> </w:t>
      </w:r>
      <w:r>
        <w:rPr>
          <w:sz w:val="24"/>
        </w:rPr>
        <w:t>words:</w:t>
      </w:r>
      <w:r>
        <w:rPr>
          <w:spacing w:val="-5"/>
          <w:sz w:val="24"/>
        </w:rPr>
        <w:t> </w:t>
      </w:r>
      <w:r>
        <w:rPr>
          <w:sz w:val="22"/>
        </w:rPr>
        <w:t>Body</w:t>
      </w:r>
      <w:r>
        <w:rPr>
          <w:spacing w:val="-4"/>
          <w:sz w:val="22"/>
        </w:rPr>
        <w:t> </w:t>
      </w:r>
      <w:r>
        <w:rPr>
          <w:sz w:val="22"/>
        </w:rPr>
        <w:t>Doubling,</w:t>
      </w:r>
      <w:r>
        <w:rPr>
          <w:spacing w:val="-5"/>
          <w:sz w:val="22"/>
        </w:rPr>
        <w:t> </w:t>
      </w:r>
      <w:r>
        <w:rPr>
          <w:sz w:val="22"/>
        </w:rPr>
        <w:t>Productivity,</w:t>
      </w:r>
      <w:r>
        <w:rPr>
          <w:spacing w:val="-4"/>
          <w:sz w:val="22"/>
        </w:rPr>
        <w:t> </w:t>
      </w:r>
      <w:r>
        <w:rPr>
          <w:sz w:val="22"/>
        </w:rPr>
        <w:t>Consumer</w:t>
      </w:r>
      <w:r>
        <w:rPr>
          <w:spacing w:val="-4"/>
          <w:sz w:val="22"/>
        </w:rPr>
        <w:t> </w:t>
      </w:r>
      <w:r>
        <w:rPr>
          <w:sz w:val="22"/>
        </w:rPr>
        <w:t>Wellbeing,</w:t>
      </w:r>
      <w:r>
        <w:rPr>
          <w:spacing w:val="-5"/>
          <w:sz w:val="22"/>
        </w:rPr>
        <w:t> </w:t>
      </w:r>
      <w:r>
        <w:rPr>
          <w:sz w:val="22"/>
        </w:rPr>
        <w:t>Loneliness,</w:t>
      </w:r>
      <w:r>
        <w:rPr>
          <w:spacing w:val="-4"/>
          <w:sz w:val="22"/>
        </w:rPr>
        <w:t> </w:t>
      </w:r>
      <w:r>
        <w:rPr>
          <w:sz w:val="22"/>
        </w:rPr>
        <w:t>Experience</w:t>
      </w:r>
      <w:r>
        <w:rPr>
          <w:spacing w:val="-4"/>
          <w:sz w:val="22"/>
        </w:rPr>
        <w:t> </w:t>
      </w:r>
      <w:r>
        <w:rPr>
          <w:spacing w:val="-2"/>
          <w:sz w:val="22"/>
        </w:rPr>
        <w:t>Economy</w:t>
      </w:r>
    </w:p>
    <w:p>
      <w:pPr>
        <w:pStyle w:val="BodyText"/>
        <w:spacing w:before="14"/>
        <w:rPr>
          <w:sz w:val="22"/>
        </w:rPr>
      </w:pPr>
    </w:p>
    <w:p>
      <w:pPr>
        <w:pStyle w:val="Heading4"/>
        <w:ind w:left="693"/>
      </w:pPr>
      <w:r>
        <w:rPr>
          <w:spacing w:val="-2"/>
        </w:rPr>
        <w:t>Introduction</w:t>
      </w:r>
    </w:p>
    <w:p>
      <w:pPr>
        <w:pStyle w:val="BodyText"/>
        <w:spacing w:line="264" w:lineRule="auto"/>
        <w:ind w:left="723" w:right="1379"/>
        <w:jc w:val="both"/>
      </w:pPr>
      <w:r>
        <w:rPr/>
        <w:t>To many</w:t>
      </w:r>
      <w:r>
        <w:rPr>
          <w:spacing w:val="-4"/>
        </w:rPr>
        <w:t> </w:t>
      </w:r>
      <w:r>
        <w:rPr/>
        <w:t>consumers,</w:t>
      </w:r>
      <w:r>
        <w:rPr>
          <w:spacing w:val="-4"/>
        </w:rPr>
        <w:t> </w:t>
      </w:r>
      <w:r>
        <w:rPr/>
        <w:t>the</w:t>
      </w:r>
      <w:r>
        <w:rPr>
          <w:spacing w:val="-4"/>
        </w:rPr>
        <w:t> </w:t>
      </w:r>
      <w:r>
        <w:rPr/>
        <w:t>idea</w:t>
      </w:r>
      <w:r>
        <w:rPr>
          <w:spacing w:val="-4"/>
        </w:rPr>
        <w:t> </w:t>
      </w:r>
      <w:r>
        <w:rPr/>
        <w:t>of</w:t>
      </w:r>
      <w:r>
        <w:rPr>
          <w:spacing w:val="-4"/>
        </w:rPr>
        <w:t> </w:t>
      </w:r>
      <w:r>
        <w:rPr/>
        <w:t>completing</w:t>
      </w:r>
      <w:r>
        <w:rPr>
          <w:spacing w:val="-4"/>
        </w:rPr>
        <w:t> </w:t>
      </w:r>
      <w:r>
        <w:rPr/>
        <w:t>complex</w:t>
      </w:r>
      <w:r>
        <w:rPr>
          <w:spacing w:val="-4"/>
        </w:rPr>
        <w:t> </w:t>
      </w:r>
      <w:r>
        <w:rPr/>
        <w:t>or</w:t>
      </w:r>
      <w:r>
        <w:rPr>
          <w:spacing w:val="-4"/>
        </w:rPr>
        <w:t> </w:t>
      </w:r>
      <w:r>
        <w:rPr/>
        <w:t>even</w:t>
      </w:r>
      <w:r>
        <w:rPr>
          <w:spacing w:val="-4"/>
        </w:rPr>
        <w:t> </w:t>
      </w:r>
      <w:r>
        <w:rPr/>
        <w:t>mundane</w:t>
      </w:r>
      <w:r>
        <w:rPr>
          <w:spacing w:val="-4"/>
        </w:rPr>
        <w:t> </w:t>
      </w:r>
      <w:r>
        <w:rPr/>
        <w:t>tasks</w:t>
      </w:r>
      <w:r>
        <w:rPr>
          <w:spacing w:val="-4"/>
        </w:rPr>
        <w:t> </w:t>
      </w:r>
      <w:r>
        <w:rPr/>
        <w:t>can</w:t>
      </w:r>
      <w:r>
        <w:rPr>
          <w:spacing w:val="-4"/>
        </w:rPr>
        <w:t> </w:t>
      </w:r>
      <w:r>
        <w:rPr/>
        <w:t>feel</w:t>
      </w:r>
      <w:r>
        <w:rPr>
          <w:spacing w:val="-4"/>
        </w:rPr>
        <w:t> </w:t>
      </w:r>
      <w:r>
        <w:rPr/>
        <w:t>challenging. Owing to time poverty, work from home culture, loneliness or executive function issues, more and</w:t>
      </w:r>
      <w:r>
        <w:rPr>
          <w:spacing w:val="40"/>
        </w:rPr>
        <w:t> </w:t>
      </w:r>
      <w:r>
        <w:rPr/>
        <w:t>more consumers are utilizing Body Doubling to hold themselves accountable, boost productivity,</w:t>
      </w:r>
      <w:r>
        <w:rPr>
          <w:spacing w:val="40"/>
        </w:rPr>
        <w:t> </w:t>
      </w:r>
      <w:r>
        <w:rPr/>
        <w:t>and improve well-being. Body Doubling, is defined as “the practice of leveraging another person’s</w:t>
      </w:r>
      <w:r>
        <w:rPr>
          <w:spacing w:val="40"/>
        </w:rPr>
        <w:t> </w:t>
      </w:r>
      <w:r>
        <w:rPr/>
        <w:t>social presence to increase focus, motivation, and sustained engagement in tasks” (e.g., Sanders,</w:t>
      </w:r>
      <w:r>
        <w:rPr>
          <w:spacing w:val="40"/>
        </w:rPr>
        <w:t> </w:t>
      </w:r>
      <w:r>
        <w:rPr/>
        <w:t>2024, as cited in Ara et al.</w:t>
      </w:r>
      <w:r>
        <w:rPr>
          <w:spacing w:val="-2"/>
        </w:rPr>
        <w:t> </w:t>
      </w:r>
      <w:r>
        <w:rPr/>
        <w:t>2025,</w:t>
      </w:r>
      <w:r>
        <w:rPr>
          <w:spacing w:val="-2"/>
        </w:rPr>
        <w:t> </w:t>
      </w:r>
      <w:r>
        <w:rPr/>
        <w:t>p.</w:t>
      </w:r>
      <w:r>
        <w:rPr>
          <w:spacing w:val="-2"/>
        </w:rPr>
        <w:t> </w:t>
      </w:r>
      <w:r>
        <w:rPr/>
        <w:t>1).</w:t>
      </w:r>
      <w:r>
        <w:rPr>
          <w:spacing w:val="-2"/>
        </w:rPr>
        <w:t> </w:t>
      </w:r>
      <w:r>
        <w:rPr/>
        <w:t>In</w:t>
      </w:r>
      <w:r>
        <w:rPr>
          <w:spacing w:val="-2"/>
        </w:rPr>
        <w:t> </w:t>
      </w:r>
      <w:r>
        <w:rPr/>
        <w:t>other</w:t>
      </w:r>
      <w:r>
        <w:rPr>
          <w:spacing w:val="-2"/>
        </w:rPr>
        <w:t> </w:t>
      </w:r>
      <w:r>
        <w:rPr/>
        <w:t>words,</w:t>
      </w:r>
      <w:r>
        <w:rPr>
          <w:spacing w:val="-2"/>
        </w:rPr>
        <w:t> </w:t>
      </w:r>
      <w:r>
        <w:rPr/>
        <w:t>Body</w:t>
      </w:r>
      <w:r>
        <w:rPr>
          <w:spacing w:val="-2"/>
        </w:rPr>
        <w:t> </w:t>
      </w:r>
      <w:r>
        <w:rPr/>
        <w:t>Doubling</w:t>
      </w:r>
      <w:r>
        <w:rPr>
          <w:spacing w:val="-2"/>
        </w:rPr>
        <w:t> </w:t>
      </w:r>
      <w:r>
        <w:rPr/>
        <w:t>is</w:t>
      </w:r>
      <w:r>
        <w:rPr>
          <w:spacing w:val="-2"/>
        </w:rPr>
        <w:t> </w:t>
      </w:r>
      <w:r>
        <w:rPr/>
        <w:t>a technique where another</w:t>
      </w:r>
      <w:r>
        <w:rPr>
          <w:spacing w:val="80"/>
        </w:rPr>
        <w:t> </w:t>
      </w:r>
      <w:r>
        <w:rPr/>
        <w:t>person, either physically present or connected virtually, works</w:t>
      </w:r>
      <w:r>
        <w:rPr>
          <w:spacing w:val="40"/>
        </w:rPr>
        <w:t> </w:t>
      </w:r>
      <w:r>
        <w:rPr/>
        <w:t>alongside you to help increase focus</w:t>
      </w:r>
      <w:r>
        <w:rPr>
          <w:spacing w:val="40"/>
        </w:rPr>
        <w:t> </w:t>
      </w:r>
      <w:r>
        <w:rPr/>
        <w:t>and productivity. It’s a productivity approach in which the presence</w:t>
      </w:r>
      <w:r>
        <w:rPr>
          <w:spacing w:val="60"/>
        </w:rPr>
        <w:t> </w:t>
      </w:r>
      <w:r>
        <w:rPr/>
        <w:t>of</w:t>
      </w:r>
      <w:r>
        <w:rPr>
          <w:spacing w:val="60"/>
        </w:rPr>
        <w:t> </w:t>
      </w:r>
      <w:r>
        <w:rPr/>
        <w:t>someone</w:t>
      </w:r>
      <w:r>
        <w:rPr>
          <w:spacing w:val="60"/>
        </w:rPr>
        <w:t> </w:t>
      </w:r>
      <w:r>
        <w:rPr/>
        <w:t>else</w:t>
      </w:r>
      <w:r>
        <w:rPr>
          <w:spacing w:val="60"/>
        </w:rPr>
        <w:t> </w:t>
      </w:r>
      <w:r>
        <w:rPr/>
        <w:t>working</w:t>
      </w:r>
      <w:r>
        <w:rPr>
          <w:spacing w:val="60"/>
        </w:rPr>
        <w:t>  </w:t>
      </w:r>
      <w:r>
        <w:rPr/>
        <w:t>nearby</w:t>
      </w:r>
      <w:r>
        <w:rPr>
          <w:spacing w:val="60"/>
        </w:rPr>
        <w:t> </w:t>
      </w:r>
      <w:r>
        <w:rPr/>
        <w:t>can</w:t>
      </w:r>
      <w:r>
        <w:rPr>
          <w:spacing w:val="45"/>
        </w:rPr>
        <w:t> </w:t>
      </w:r>
      <w:r>
        <w:rPr/>
        <w:t>make</w:t>
      </w:r>
      <w:r>
        <w:rPr>
          <w:spacing w:val="45"/>
        </w:rPr>
        <w:t> </w:t>
      </w:r>
      <w:r>
        <w:rPr/>
        <w:t>it</w:t>
      </w:r>
      <w:r>
        <w:rPr>
          <w:spacing w:val="45"/>
        </w:rPr>
        <w:t> </w:t>
      </w:r>
      <w:r>
        <w:rPr/>
        <w:t>easier</w:t>
      </w:r>
      <w:r>
        <w:rPr>
          <w:spacing w:val="45"/>
        </w:rPr>
        <w:t> </w:t>
      </w:r>
      <w:r>
        <w:rPr/>
        <w:t>to</w:t>
      </w:r>
      <w:r>
        <w:rPr>
          <w:spacing w:val="45"/>
        </w:rPr>
        <w:t> </w:t>
      </w:r>
      <w:r>
        <w:rPr/>
        <w:t>complete</w:t>
      </w:r>
      <w:r>
        <w:rPr>
          <w:spacing w:val="45"/>
        </w:rPr>
        <w:t> </w:t>
      </w:r>
      <w:r>
        <w:rPr/>
        <w:t>tasks</w:t>
      </w:r>
      <w:r>
        <w:rPr>
          <w:spacing w:val="45"/>
        </w:rPr>
        <w:t> </w:t>
      </w:r>
      <w:r>
        <w:rPr/>
        <w:t>that</w:t>
      </w:r>
      <w:r>
        <w:rPr>
          <w:spacing w:val="45"/>
        </w:rPr>
        <w:t> </w:t>
      </w:r>
      <w:r>
        <w:rPr>
          <w:spacing w:val="-2"/>
        </w:rPr>
        <w:t>might</w:t>
      </w:r>
    </w:p>
    <w:p>
      <w:pPr>
        <w:pStyle w:val="BodyText"/>
        <w:spacing w:after="0" w:line="264" w:lineRule="auto"/>
        <w:jc w:val="both"/>
        <w:sectPr>
          <w:footerReference w:type="default" r:id="rId186"/>
          <w:pgSz w:w="12240" w:h="15840"/>
          <w:pgMar w:header="0" w:footer="776" w:top="640" w:bottom="960" w:left="720" w:right="0"/>
        </w:sectPr>
      </w:pPr>
    </w:p>
    <w:p>
      <w:pPr>
        <w:pStyle w:val="BodyText"/>
        <w:spacing w:line="264" w:lineRule="auto" w:before="60"/>
        <w:ind w:left="723" w:right="1380"/>
        <w:jc w:val="both"/>
      </w:pPr>
      <w:r>
        <w:rPr/>
        <w:t>otherwise feel difficult or</w:t>
      </w:r>
      <w:r>
        <w:rPr>
          <w:spacing w:val="-3"/>
        </w:rPr>
        <w:t> </w:t>
      </w:r>
      <w:r>
        <w:rPr/>
        <w:t>overwhelming</w:t>
      </w:r>
      <w:r>
        <w:rPr>
          <w:spacing w:val="40"/>
        </w:rPr>
        <w:t> </w:t>
      </w:r>
      <w:r>
        <w:rPr/>
        <w:t>(Healthline.com</w:t>
      </w:r>
      <w:r>
        <w:rPr>
          <w:spacing w:val="-3"/>
        </w:rPr>
        <w:t> </w:t>
      </w:r>
      <w:r>
        <w:rPr/>
        <w:t>2025).</w:t>
      </w:r>
      <w:r>
        <w:rPr>
          <w:spacing w:val="-3"/>
        </w:rPr>
        <w:t> </w:t>
      </w:r>
      <w:r>
        <w:rPr/>
        <w:t>Experts</w:t>
      </w:r>
      <w:r>
        <w:rPr>
          <w:spacing w:val="-3"/>
        </w:rPr>
        <w:t> </w:t>
      </w:r>
      <w:r>
        <w:rPr/>
        <w:t>suggest</w:t>
      </w:r>
      <w:r>
        <w:rPr>
          <w:spacing w:val="-3"/>
        </w:rPr>
        <w:t> </w:t>
      </w:r>
      <w:r>
        <w:rPr/>
        <w:t>Body</w:t>
      </w:r>
      <w:r>
        <w:rPr>
          <w:spacing w:val="-3"/>
        </w:rPr>
        <w:t> </w:t>
      </w:r>
      <w:r>
        <w:rPr/>
        <w:t>Doubling can serve in several ways to aid consumers</w:t>
      </w:r>
      <w:r>
        <w:rPr>
          <w:spacing w:val="40"/>
        </w:rPr>
        <w:t> </w:t>
      </w:r>
      <w:r>
        <w:rPr/>
        <w:t>including</w:t>
      </w:r>
      <w:r>
        <w:rPr>
          <w:spacing w:val="-4"/>
        </w:rPr>
        <w:t> </w:t>
      </w:r>
      <w:r>
        <w:rPr/>
        <w:t>acting</w:t>
      </w:r>
      <w:r>
        <w:rPr>
          <w:spacing w:val="-4"/>
        </w:rPr>
        <w:t> </w:t>
      </w:r>
      <w:r>
        <w:rPr/>
        <w:t>as</w:t>
      </w:r>
      <w:r>
        <w:rPr>
          <w:spacing w:val="-4"/>
        </w:rPr>
        <w:t> </w:t>
      </w:r>
      <w:r>
        <w:rPr/>
        <w:t>an</w:t>
      </w:r>
      <w:r>
        <w:rPr>
          <w:spacing w:val="-4"/>
        </w:rPr>
        <w:t> </w:t>
      </w:r>
      <w:r>
        <w:rPr/>
        <w:t>anchor,</w:t>
      </w:r>
      <w:r>
        <w:rPr>
          <w:spacing w:val="-4"/>
        </w:rPr>
        <w:t> </w:t>
      </w:r>
      <w:r>
        <w:rPr/>
        <w:t>providing</w:t>
      </w:r>
      <w:r>
        <w:rPr>
          <w:spacing w:val="-4"/>
        </w:rPr>
        <w:t> </w:t>
      </w:r>
      <w:r>
        <w:rPr/>
        <w:t>a</w:t>
      </w:r>
      <w:r>
        <w:rPr>
          <w:spacing w:val="-4"/>
        </w:rPr>
        <w:t> </w:t>
      </w:r>
      <w:r>
        <w:rPr/>
        <w:t>boundary, and mirroring a model of control and focus</w:t>
      </w:r>
      <w:r>
        <w:rPr>
          <w:spacing w:val="40"/>
        </w:rPr>
        <w:t> </w:t>
      </w:r>
      <w:r>
        <w:rPr/>
        <w:t>(Anderson, n.d.). While it originated as a psychological strategy in ADHD and neurodivergent</w:t>
      </w:r>
      <w:r>
        <w:rPr>
          <w:spacing w:val="80"/>
        </w:rPr>
        <w:t> </w:t>
      </w:r>
      <w:r>
        <w:rPr/>
        <w:t>communities, it has expanded to the broader public (Ara et al. 2025). The popularity of this</w:t>
      </w:r>
      <w:r>
        <w:rPr>
          <w:spacing w:val="40"/>
        </w:rPr>
        <w:t> </w:t>
      </w:r>
      <w:r>
        <w:rPr/>
        <w:t>approach is evident in the success of ‘Work with Me’, ‘Clean with Me’, and ‘Study with Me’</w:t>
      </w:r>
      <w:r>
        <w:rPr>
          <w:spacing w:val="40"/>
        </w:rPr>
        <w:t> </w:t>
      </w:r>
      <w:r>
        <w:rPr/>
        <w:t>YouTube channels, social media accounts, podcasts and paid subscription-based platforms.</w:t>
      </w:r>
    </w:p>
    <w:p>
      <w:pPr>
        <w:pStyle w:val="BodyText"/>
        <w:spacing w:line="264" w:lineRule="auto" w:before="4"/>
        <w:ind w:left="723" w:right="1379"/>
        <w:jc w:val="both"/>
      </w:pPr>
      <w:r>
        <w:rPr/>
        <w:t>A study of this phenomenon is justified because while social media and digital platforms are frequently criticized for increasing loneliness and diminishing self-worth, body doubling tools offer a contrasting, positive narrative for digital engagement that enhances psychological </w:t>
      </w:r>
      <w:r>
        <w:rPr/>
        <w:t>well being and life satisfaction (Coplan, Crocker, Landin, &amp; Stenn, 2021). Using netnographic and ethnographic methods, this study explores how consumers utilize virtual content and accountability tools. Specifically, this research is needed to articulate the core theoretical mechanisms behind this trend - determining whether body doubling represents a new form of social consumption, parasocial accountability, or digitally mediated co-presence. The purpose of this research is to explore</w:t>
      </w:r>
      <w:r>
        <w:rPr>
          <w:spacing w:val="-2"/>
        </w:rPr>
        <w:t> </w:t>
      </w:r>
      <w:r>
        <w:rPr/>
        <w:t>the</w:t>
      </w:r>
      <w:r>
        <w:rPr>
          <w:spacing w:val="-2"/>
        </w:rPr>
        <w:t> </w:t>
      </w:r>
      <w:r>
        <w:rPr/>
        <w:t>range</w:t>
      </w:r>
      <w:r>
        <w:rPr>
          <w:spacing w:val="-2"/>
        </w:rPr>
        <w:t> </w:t>
      </w:r>
      <w:r>
        <w:rPr/>
        <w:t>of</w:t>
      </w:r>
      <w:r>
        <w:rPr>
          <w:spacing w:val="-2"/>
        </w:rPr>
        <w:t> </w:t>
      </w:r>
      <w:r>
        <w:rPr/>
        <w:t>experiences</w:t>
      </w:r>
      <w:r>
        <w:rPr>
          <w:spacing w:val="-2"/>
        </w:rPr>
        <w:t> </w:t>
      </w:r>
      <w:r>
        <w:rPr/>
        <w:t>consumers</w:t>
      </w:r>
      <w:r>
        <w:rPr>
          <w:spacing w:val="-2"/>
        </w:rPr>
        <w:t> </w:t>
      </w:r>
      <w:r>
        <w:rPr/>
        <w:t>engage</w:t>
      </w:r>
      <w:r>
        <w:rPr>
          <w:spacing w:val="-2"/>
        </w:rPr>
        <w:t> </w:t>
      </w:r>
      <w:r>
        <w:rPr/>
        <w:t>in</w:t>
      </w:r>
      <w:r>
        <w:rPr>
          <w:spacing w:val="-2"/>
        </w:rPr>
        <w:t> </w:t>
      </w:r>
      <w:r>
        <w:rPr/>
        <w:t>to</w:t>
      </w:r>
      <w:r>
        <w:rPr>
          <w:spacing w:val="-2"/>
        </w:rPr>
        <w:t> </w:t>
      </w:r>
      <w:r>
        <w:rPr/>
        <w:t>increase</w:t>
      </w:r>
      <w:r>
        <w:rPr>
          <w:spacing w:val="-2"/>
        </w:rPr>
        <w:t> </w:t>
      </w:r>
      <w:r>
        <w:rPr/>
        <w:t>their</w:t>
      </w:r>
      <w:r>
        <w:rPr>
          <w:spacing w:val="-2"/>
        </w:rPr>
        <w:t> </w:t>
      </w:r>
      <w:r>
        <w:rPr/>
        <w:t>real</w:t>
      </w:r>
      <w:r>
        <w:rPr>
          <w:spacing w:val="-2"/>
        </w:rPr>
        <w:t> </w:t>
      </w:r>
      <w:r>
        <w:rPr/>
        <w:t>and perceived focus, productivity and well-being. Drawing on Social Facilitation Theory (Geen and Gange 1977), we aim to answer the following guiding two-part research question:</w:t>
      </w:r>
    </w:p>
    <w:p>
      <w:pPr>
        <w:pStyle w:val="ListParagraph"/>
        <w:numPr>
          <w:ilvl w:val="0"/>
          <w:numId w:val="29"/>
        </w:numPr>
        <w:tabs>
          <w:tab w:pos="1012" w:val="left" w:leader="none"/>
        </w:tabs>
        <w:spacing w:line="264" w:lineRule="auto" w:before="4" w:after="0"/>
        <w:ind w:left="723" w:right="2132" w:firstLine="30"/>
        <w:jc w:val="both"/>
        <w:rPr>
          <w:sz w:val="24"/>
        </w:rPr>
      </w:pPr>
      <w:r>
        <w:rPr>
          <w:sz w:val="24"/>
        </w:rPr>
        <w:t>How</w:t>
      </w:r>
      <w:r>
        <w:rPr>
          <w:spacing w:val="-3"/>
          <w:sz w:val="24"/>
        </w:rPr>
        <w:t> </w:t>
      </w:r>
      <w:r>
        <w:rPr>
          <w:sz w:val="24"/>
        </w:rPr>
        <w:t>do</w:t>
      </w:r>
      <w:r>
        <w:rPr>
          <w:spacing w:val="-4"/>
          <w:sz w:val="24"/>
        </w:rPr>
        <w:t> </w:t>
      </w:r>
      <w:r>
        <w:rPr>
          <w:sz w:val="24"/>
        </w:rPr>
        <w:t>consumers</w:t>
      </w:r>
      <w:r>
        <w:rPr>
          <w:spacing w:val="-3"/>
          <w:sz w:val="24"/>
        </w:rPr>
        <w:t> </w:t>
      </w:r>
      <w:r>
        <w:rPr>
          <w:sz w:val="24"/>
        </w:rPr>
        <w:t>utilize</w:t>
      </w:r>
      <w:r>
        <w:rPr>
          <w:spacing w:val="-4"/>
          <w:sz w:val="24"/>
        </w:rPr>
        <w:t> </w:t>
      </w:r>
      <w:r>
        <w:rPr>
          <w:sz w:val="24"/>
        </w:rPr>
        <w:t>digital</w:t>
      </w:r>
      <w:r>
        <w:rPr>
          <w:spacing w:val="-3"/>
          <w:sz w:val="24"/>
        </w:rPr>
        <w:t> </w:t>
      </w:r>
      <w:r>
        <w:rPr>
          <w:sz w:val="24"/>
        </w:rPr>
        <w:t>body</w:t>
      </w:r>
      <w:r>
        <w:rPr>
          <w:spacing w:val="-4"/>
          <w:sz w:val="24"/>
        </w:rPr>
        <w:t> </w:t>
      </w:r>
      <w:r>
        <w:rPr>
          <w:sz w:val="24"/>
        </w:rPr>
        <w:t>doubling</w:t>
      </w:r>
      <w:r>
        <w:rPr>
          <w:spacing w:val="-3"/>
          <w:sz w:val="24"/>
        </w:rPr>
        <w:t> </w:t>
      </w:r>
      <w:r>
        <w:rPr>
          <w:sz w:val="24"/>
        </w:rPr>
        <w:t>platforms</w:t>
      </w:r>
      <w:r>
        <w:rPr>
          <w:spacing w:val="-4"/>
          <w:sz w:val="24"/>
        </w:rPr>
        <w:t> </w:t>
      </w:r>
      <w:r>
        <w:rPr>
          <w:sz w:val="24"/>
        </w:rPr>
        <w:t>and</w:t>
      </w:r>
      <w:r>
        <w:rPr>
          <w:spacing w:val="-3"/>
          <w:sz w:val="24"/>
        </w:rPr>
        <w:t> </w:t>
      </w:r>
      <w:r>
        <w:rPr>
          <w:sz w:val="24"/>
        </w:rPr>
        <w:t>communities</w:t>
      </w:r>
      <w:r>
        <w:rPr>
          <w:spacing w:val="-4"/>
          <w:sz w:val="24"/>
        </w:rPr>
        <w:t> </w:t>
      </w:r>
      <w:r>
        <w:rPr>
          <w:sz w:val="24"/>
        </w:rPr>
        <w:t>as</w:t>
      </w:r>
      <w:r>
        <w:rPr>
          <w:spacing w:val="-3"/>
          <w:sz w:val="24"/>
        </w:rPr>
        <w:t> </w:t>
      </w:r>
      <w:r>
        <w:rPr>
          <w:sz w:val="24"/>
        </w:rPr>
        <w:t>a</w:t>
      </w:r>
      <w:r>
        <w:rPr>
          <w:spacing w:val="-4"/>
          <w:sz w:val="24"/>
        </w:rPr>
        <w:t> </w:t>
      </w:r>
      <w:r>
        <w:rPr>
          <w:sz w:val="24"/>
        </w:rPr>
        <w:t>social preservation coping tool, and</w:t>
      </w:r>
    </w:p>
    <w:p>
      <w:pPr>
        <w:pStyle w:val="ListParagraph"/>
        <w:numPr>
          <w:ilvl w:val="0"/>
          <w:numId w:val="29"/>
        </w:numPr>
        <w:tabs>
          <w:tab w:pos="982" w:val="left" w:leader="none"/>
        </w:tabs>
        <w:spacing w:line="264" w:lineRule="auto" w:before="0" w:after="0"/>
        <w:ind w:left="723" w:right="2069" w:firstLine="0"/>
        <w:jc w:val="both"/>
        <w:rPr>
          <w:sz w:val="24"/>
        </w:rPr>
      </w:pPr>
      <w:r>
        <w:rPr>
          <w:sz w:val="24"/>
        </w:rPr>
        <w:t>does</w:t>
      </w:r>
      <w:r>
        <w:rPr>
          <w:spacing w:val="-4"/>
          <w:sz w:val="24"/>
        </w:rPr>
        <w:t> </w:t>
      </w:r>
      <w:r>
        <w:rPr>
          <w:sz w:val="24"/>
        </w:rPr>
        <w:t>this</w:t>
      </w:r>
      <w:r>
        <w:rPr>
          <w:spacing w:val="-4"/>
          <w:sz w:val="24"/>
        </w:rPr>
        <w:t> </w:t>
      </w:r>
      <w:r>
        <w:rPr>
          <w:sz w:val="24"/>
        </w:rPr>
        <w:t>phenomenon</w:t>
      </w:r>
      <w:r>
        <w:rPr>
          <w:spacing w:val="-4"/>
          <w:sz w:val="24"/>
        </w:rPr>
        <w:t> </w:t>
      </w:r>
      <w:r>
        <w:rPr>
          <w:sz w:val="24"/>
        </w:rPr>
        <w:t>primarily</w:t>
      </w:r>
      <w:r>
        <w:rPr>
          <w:spacing w:val="-4"/>
          <w:sz w:val="24"/>
        </w:rPr>
        <w:t> </w:t>
      </w:r>
      <w:r>
        <w:rPr>
          <w:sz w:val="24"/>
        </w:rPr>
        <w:t>represent</w:t>
      </w:r>
      <w:r>
        <w:rPr>
          <w:spacing w:val="-4"/>
          <w:sz w:val="24"/>
        </w:rPr>
        <w:t> </w:t>
      </w:r>
      <w:r>
        <w:rPr>
          <w:sz w:val="24"/>
        </w:rPr>
        <w:t>a</w:t>
      </w:r>
      <w:r>
        <w:rPr>
          <w:spacing w:val="-4"/>
          <w:sz w:val="24"/>
        </w:rPr>
        <w:t> </w:t>
      </w:r>
      <w:r>
        <w:rPr>
          <w:sz w:val="24"/>
        </w:rPr>
        <w:t>new</w:t>
      </w:r>
      <w:r>
        <w:rPr>
          <w:spacing w:val="-4"/>
          <w:sz w:val="24"/>
        </w:rPr>
        <w:t> </w:t>
      </w:r>
      <w:r>
        <w:rPr>
          <w:sz w:val="24"/>
        </w:rPr>
        <w:t>form</w:t>
      </w:r>
      <w:r>
        <w:rPr>
          <w:spacing w:val="-4"/>
          <w:sz w:val="24"/>
        </w:rPr>
        <w:t> </w:t>
      </w:r>
      <w:r>
        <w:rPr>
          <w:sz w:val="24"/>
        </w:rPr>
        <w:t>of</w:t>
      </w:r>
      <w:r>
        <w:rPr>
          <w:spacing w:val="-4"/>
          <w:sz w:val="24"/>
        </w:rPr>
        <w:t> </w:t>
      </w:r>
      <w:r>
        <w:rPr>
          <w:sz w:val="24"/>
        </w:rPr>
        <w:t>social</w:t>
      </w:r>
      <w:r>
        <w:rPr>
          <w:spacing w:val="-4"/>
          <w:sz w:val="24"/>
        </w:rPr>
        <w:t> </w:t>
      </w:r>
      <w:r>
        <w:rPr>
          <w:sz w:val="24"/>
        </w:rPr>
        <w:t>consumption,</w:t>
      </w:r>
      <w:r>
        <w:rPr>
          <w:spacing w:val="-4"/>
          <w:sz w:val="24"/>
        </w:rPr>
        <w:t> </w:t>
      </w:r>
      <w:r>
        <w:rPr>
          <w:sz w:val="24"/>
        </w:rPr>
        <w:t>parasocial accountability, or digitally mediated co-presence?</w:t>
      </w:r>
    </w:p>
    <w:p>
      <w:pPr>
        <w:pStyle w:val="Heading4"/>
        <w:spacing w:before="276"/>
        <w:jc w:val="both"/>
      </w:pPr>
      <w:r>
        <w:rPr/>
        <w:t>Literature</w:t>
      </w:r>
      <w:r>
        <w:rPr>
          <w:spacing w:val="-5"/>
        </w:rPr>
        <w:t> </w:t>
      </w:r>
      <w:r>
        <w:rPr>
          <w:spacing w:val="-2"/>
        </w:rPr>
        <w:t>Overview</w:t>
      </w:r>
    </w:p>
    <w:p>
      <w:pPr>
        <w:pStyle w:val="BodyText"/>
        <w:spacing w:line="264" w:lineRule="auto"/>
        <w:ind w:left="723" w:right="1379"/>
        <w:jc w:val="both"/>
      </w:pPr>
      <w:r>
        <w:rPr/>
        <w:t>Body Doubling can be synchronous or asynchronous and range from consuming media </w:t>
      </w:r>
      <w:r>
        <w:rPr/>
        <w:t>focused on productivity without taking actual action to utilizing productivity tools to maintain focus and complete tasks. Research related to Body Doubling exists in the field of psychology and is primarily focused on individuals with ADHD/ADD or neurodivergence which refers to, “variations in the human brain regarding sociability, learning, attention, mood, and other mental functions in a non-pathological sense” (Coplan, et al., 2021, p. 21). While consumers with ADHD/ADD may be more likely to be drawn to these coping mechanisms, research has yet to determine whether the effectiveness of Body Doubling is limited to these specific populations.</w:t>
      </w:r>
    </w:p>
    <w:p>
      <w:pPr>
        <w:pStyle w:val="BodyText"/>
        <w:spacing w:line="264" w:lineRule="auto" w:before="4"/>
        <w:ind w:left="723" w:right="1379"/>
        <w:jc w:val="both"/>
      </w:pPr>
      <w:r>
        <w:rPr/>
        <w:t>The rise of Body Doubling may address the growing global issue of loneliness, which was exacerbated by the COVID-19 pandemic (Fumagalli, Shrum and Lowrey, 2022). The adverse effects of loneliness are associated with several negative health outcomes including depression, heart disease, and a higher risk of Alzheimer’s Disease diagnosis (Hawkley &amp; Cacioppo, 2010). Human</w:t>
      </w:r>
      <w:r>
        <w:rPr>
          <w:spacing w:val="25"/>
        </w:rPr>
        <w:t> </w:t>
      </w:r>
      <w:r>
        <w:rPr/>
        <w:t>beings are inherently social with a need to belong (Baumeister &amp; Leary, 2017). In </w:t>
      </w:r>
      <w:r>
        <w:rPr/>
        <w:t>order to</w:t>
      </w:r>
      <w:r>
        <w:rPr>
          <w:spacing w:val="40"/>
        </w:rPr>
        <w:t> </w:t>
      </w:r>
      <w:r>
        <w:rPr/>
        <w:t>alleviate</w:t>
      </w:r>
      <w:r>
        <w:rPr>
          <w:spacing w:val="-3"/>
        </w:rPr>
        <w:t> </w:t>
      </w:r>
      <w:r>
        <w:rPr/>
        <w:t>issues</w:t>
      </w:r>
      <w:r>
        <w:rPr>
          <w:spacing w:val="-3"/>
        </w:rPr>
        <w:t> </w:t>
      </w:r>
      <w:r>
        <w:rPr/>
        <w:t>related</w:t>
      </w:r>
      <w:r>
        <w:rPr>
          <w:spacing w:val="-3"/>
        </w:rPr>
        <w:t> </w:t>
      </w:r>
      <w:r>
        <w:rPr/>
        <w:t>to</w:t>
      </w:r>
      <w:r>
        <w:rPr>
          <w:spacing w:val="-3"/>
        </w:rPr>
        <w:t> </w:t>
      </w:r>
      <w:r>
        <w:rPr/>
        <w:t>belongingness</w:t>
      </w:r>
      <w:r>
        <w:rPr>
          <w:spacing w:val="-3"/>
        </w:rPr>
        <w:t> </w:t>
      </w:r>
      <w:r>
        <w:rPr/>
        <w:t>and</w:t>
      </w:r>
      <w:r>
        <w:rPr>
          <w:spacing w:val="-3"/>
        </w:rPr>
        <w:t> </w:t>
      </w:r>
      <w:r>
        <w:rPr/>
        <w:t>loneliness,</w:t>
      </w:r>
      <w:r>
        <w:rPr>
          <w:spacing w:val="-3"/>
        </w:rPr>
        <w:t> </w:t>
      </w:r>
      <w:r>
        <w:rPr/>
        <w:t>consumers</w:t>
      </w:r>
      <w:r>
        <w:rPr>
          <w:spacing w:val="-3"/>
        </w:rPr>
        <w:t> </w:t>
      </w:r>
      <w:r>
        <w:rPr/>
        <w:t>utilize</w:t>
      </w:r>
      <w:r>
        <w:rPr>
          <w:spacing w:val="-3"/>
        </w:rPr>
        <w:t> </w:t>
      </w:r>
      <w:r>
        <w:rPr/>
        <w:t>coping</w:t>
      </w:r>
      <w:r>
        <w:rPr>
          <w:spacing w:val="-3"/>
        </w:rPr>
        <w:t> </w:t>
      </w:r>
      <w:r>
        <w:rPr/>
        <w:t>mechanisms, often through consumption,</w:t>
      </w:r>
      <w:r>
        <w:rPr>
          <w:spacing w:val="-4"/>
        </w:rPr>
        <w:t> </w:t>
      </w:r>
      <w:r>
        <w:rPr/>
        <w:t>with</w:t>
      </w:r>
      <w:r>
        <w:rPr>
          <w:spacing w:val="-4"/>
        </w:rPr>
        <w:t> </w:t>
      </w:r>
      <w:r>
        <w:rPr/>
        <w:t>either</w:t>
      </w:r>
      <w:r>
        <w:rPr>
          <w:spacing w:val="-4"/>
        </w:rPr>
        <w:t> </w:t>
      </w:r>
      <w:r>
        <w:rPr/>
        <w:t>social</w:t>
      </w:r>
      <w:r>
        <w:rPr>
          <w:spacing w:val="-4"/>
        </w:rPr>
        <w:t> </w:t>
      </w:r>
      <w:r>
        <w:rPr/>
        <w:t>connection</w:t>
      </w:r>
      <w:r>
        <w:rPr>
          <w:spacing w:val="-4"/>
        </w:rPr>
        <w:t> </w:t>
      </w:r>
      <w:r>
        <w:rPr/>
        <w:t>or</w:t>
      </w:r>
      <w:r>
        <w:rPr>
          <w:spacing w:val="-4"/>
        </w:rPr>
        <w:t> </w:t>
      </w:r>
      <w:r>
        <w:rPr/>
        <w:t>social-preservation</w:t>
      </w:r>
      <w:r>
        <w:rPr>
          <w:spacing w:val="-4"/>
        </w:rPr>
        <w:t> </w:t>
      </w:r>
      <w:r>
        <w:rPr/>
        <w:t>motives</w:t>
      </w:r>
      <w:r>
        <w:rPr>
          <w:spacing w:val="-4"/>
        </w:rPr>
        <w:t> </w:t>
      </w:r>
      <w:r>
        <w:rPr/>
        <w:t>(Mandel, Rucker, Levav, &amp; Galinsky, 2017;</w:t>
      </w:r>
      <w:r>
        <w:rPr>
          <w:spacing w:val="-5"/>
        </w:rPr>
        <w:t> </w:t>
      </w:r>
      <w:r>
        <w:rPr/>
        <w:t>Rucker</w:t>
      </w:r>
      <w:r>
        <w:rPr>
          <w:spacing w:val="-5"/>
        </w:rPr>
        <w:t> </w:t>
      </w:r>
      <w:r>
        <w:rPr/>
        <w:t>&amp;</w:t>
      </w:r>
      <w:r>
        <w:rPr>
          <w:spacing w:val="-5"/>
        </w:rPr>
        <w:t> </w:t>
      </w:r>
      <w:r>
        <w:rPr/>
        <w:t>Cannon,</w:t>
      </w:r>
      <w:r>
        <w:rPr>
          <w:spacing w:val="-5"/>
        </w:rPr>
        <w:t> </w:t>
      </w:r>
      <w:r>
        <w:rPr/>
        <w:t>2019).</w:t>
      </w:r>
      <w:r>
        <w:rPr>
          <w:spacing w:val="-5"/>
        </w:rPr>
        <w:t> </w:t>
      </w:r>
      <w:r>
        <w:rPr/>
        <w:t>Research</w:t>
      </w:r>
      <w:r>
        <w:rPr>
          <w:spacing w:val="-5"/>
        </w:rPr>
        <w:t> </w:t>
      </w:r>
      <w:r>
        <w:rPr/>
        <w:t>also</w:t>
      </w:r>
      <w:r>
        <w:rPr>
          <w:spacing w:val="-5"/>
        </w:rPr>
        <w:t> </w:t>
      </w:r>
      <w:r>
        <w:rPr/>
        <w:t>suggests</w:t>
      </w:r>
      <w:r>
        <w:rPr>
          <w:spacing w:val="-5"/>
        </w:rPr>
        <w:t> </w:t>
      </w:r>
      <w:r>
        <w:rPr/>
        <w:t>belonging</w:t>
      </w:r>
      <w:r>
        <w:rPr>
          <w:spacing w:val="-5"/>
        </w:rPr>
        <w:t> </w:t>
      </w:r>
      <w:r>
        <w:rPr/>
        <w:t>to brand communities can reduce consumer loneliness (Snyder &amp; Newman, 2019), and Body Doubling may similarly function as a coping mechanism for loneliness borne out of work from home culture and negative impacts of social media isolation.</w:t>
      </w:r>
    </w:p>
    <w:p>
      <w:pPr>
        <w:pStyle w:val="BodyText"/>
        <w:spacing w:before="6"/>
      </w:pPr>
    </w:p>
    <w:p>
      <w:pPr>
        <w:pStyle w:val="Heading4"/>
      </w:pPr>
      <w:r>
        <w:rPr>
          <w:spacing w:val="-2"/>
        </w:rPr>
        <w:t>Method</w:t>
      </w:r>
    </w:p>
    <w:p>
      <w:pPr>
        <w:pStyle w:val="BodyText"/>
        <w:spacing w:line="264" w:lineRule="auto"/>
        <w:ind w:left="723" w:right="1377"/>
      </w:pPr>
      <w:r>
        <w:rPr/>
        <w:t>Using</w:t>
      </w:r>
      <w:r>
        <w:rPr>
          <w:spacing w:val="40"/>
        </w:rPr>
        <w:t> </w:t>
      </w:r>
      <w:r>
        <w:rPr/>
        <w:t>netnographic</w:t>
      </w:r>
      <w:r>
        <w:rPr>
          <w:spacing w:val="27"/>
        </w:rPr>
        <w:t> </w:t>
      </w:r>
      <w:r>
        <w:rPr/>
        <w:t>and</w:t>
      </w:r>
      <w:r>
        <w:rPr>
          <w:spacing w:val="27"/>
        </w:rPr>
        <w:t> </w:t>
      </w:r>
      <w:r>
        <w:rPr/>
        <w:t>ethnographic</w:t>
      </w:r>
      <w:r>
        <w:rPr>
          <w:spacing w:val="27"/>
        </w:rPr>
        <w:t> </w:t>
      </w:r>
      <w:r>
        <w:rPr/>
        <w:t>data,</w:t>
      </w:r>
      <w:r>
        <w:rPr>
          <w:spacing w:val="27"/>
        </w:rPr>
        <w:t> </w:t>
      </w:r>
      <w:r>
        <w:rPr/>
        <w:t>this</w:t>
      </w:r>
      <w:r>
        <w:rPr>
          <w:spacing w:val="27"/>
        </w:rPr>
        <w:t> </w:t>
      </w:r>
      <w:r>
        <w:rPr/>
        <w:t>study</w:t>
      </w:r>
      <w:r>
        <w:rPr>
          <w:spacing w:val="27"/>
        </w:rPr>
        <w:t> </w:t>
      </w:r>
      <w:r>
        <w:rPr/>
        <w:t>uses</w:t>
      </w:r>
      <w:r>
        <w:rPr>
          <w:spacing w:val="27"/>
        </w:rPr>
        <w:t> </w:t>
      </w:r>
      <w:r>
        <w:rPr/>
        <w:t>thematic</w:t>
      </w:r>
      <w:r>
        <w:rPr>
          <w:spacing w:val="27"/>
        </w:rPr>
        <w:t> </w:t>
      </w:r>
      <w:r>
        <w:rPr/>
        <w:t>analysis</w:t>
      </w:r>
      <w:r>
        <w:rPr>
          <w:spacing w:val="27"/>
        </w:rPr>
        <w:t> </w:t>
      </w:r>
      <w:r>
        <w:rPr/>
        <w:t>(Braun</w:t>
      </w:r>
      <w:r>
        <w:rPr>
          <w:spacing w:val="27"/>
        </w:rPr>
        <w:t> </w:t>
      </w:r>
      <w:r>
        <w:rPr/>
        <w:t>&amp;</w:t>
      </w:r>
      <w:r>
        <w:rPr>
          <w:spacing w:val="27"/>
        </w:rPr>
        <w:t> </w:t>
      </w:r>
      <w:r>
        <w:rPr/>
        <w:t>Clarke, 2006)</w:t>
      </w:r>
      <w:r>
        <w:rPr>
          <w:spacing w:val="75"/>
        </w:rPr>
        <w:t> </w:t>
      </w:r>
      <w:r>
        <w:rPr/>
        <w:t>of</w:t>
      </w:r>
      <w:r>
        <w:rPr>
          <w:spacing w:val="75"/>
        </w:rPr>
        <w:t> </w:t>
      </w:r>
      <w:r>
        <w:rPr/>
        <w:t>social</w:t>
      </w:r>
      <w:r>
        <w:rPr>
          <w:spacing w:val="75"/>
        </w:rPr>
        <w:t> </w:t>
      </w:r>
      <w:r>
        <w:rPr/>
        <w:t>media</w:t>
      </w:r>
      <w:r>
        <w:rPr>
          <w:spacing w:val="75"/>
        </w:rPr>
        <w:t> </w:t>
      </w:r>
      <w:r>
        <w:rPr/>
        <w:t>posts</w:t>
      </w:r>
      <w:r>
        <w:rPr>
          <w:spacing w:val="75"/>
        </w:rPr>
        <w:t> </w:t>
      </w:r>
      <w:r>
        <w:rPr/>
        <w:t>and</w:t>
      </w:r>
      <w:r>
        <w:rPr>
          <w:spacing w:val="75"/>
        </w:rPr>
        <w:t> </w:t>
      </w:r>
      <w:r>
        <w:rPr/>
        <w:t>comments</w:t>
      </w:r>
      <w:r>
        <w:rPr>
          <w:spacing w:val="75"/>
        </w:rPr>
        <w:t> </w:t>
      </w:r>
      <w:r>
        <w:rPr/>
        <w:t>by</w:t>
      </w:r>
      <w:r>
        <w:rPr>
          <w:spacing w:val="75"/>
        </w:rPr>
        <w:t> </w:t>
      </w:r>
      <w:r>
        <w:rPr/>
        <w:t>consumers</w:t>
      </w:r>
      <w:r>
        <w:rPr>
          <w:spacing w:val="75"/>
        </w:rPr>
        <w:t> </w:t>
      </w:r>
      <w:r>
        <w:rPr/>
        <w:t>who</w:t>
      </w:r>
      <w:r>
        <w:rPr>
          <w:spacing w:val="75"/>
        </w:rPr>
        <w:t> </w:t>
      </w:r>
      <w:r>
        <w:rPr/>
        <w:t>engage</w:t>
      </w:r>
      <w:r>
        <w:rPr>
          <w:spacing w:val="60"/>
        </w:rPr>
        <w:t> </w:t>
      </w:r>
      <w:r>
        <w:rPr/>
        <w:t>in</w:t>
      </w:r>
      <w:r>
        <w:rPr>
          <w:spacing w:val="60"/>
        </w:rPr>
        <w:t> </w:t>
      </w:r>
      <w:r>
        <w:rPr/>
        <w:t>Body</w:t>
      </w:r>
      <w:r>
        <w:rPr>
          <w:spacing w:val="60"/>
        </w:rPr>
        <w:t> </w:t>
      </w:r>
      <w:r>
        <w:rPr>
          <w:spacing w:val="-2"/>
        </w:rPr>
        <w:t>Doubling</w:t>
      </w:r>
    </w:p>
    <w:p>
      <w:pPr>
        <w:pStyle w:val="BodyText"/>
        <w:spacing w:after="0" w:line="264" w:lineRule="auto"/>
        <w:sectPr>
          <w:footerReference w:type="default" r:id="rId190"/>
          <w:pgSz w:w="12240" w:h="15840"/>
          <w:pgMar w:header="0" w:footer="712" w:top="640" w:bottom="900" w:left="720" w:right="0"/>
          <w:pgNumType w:start="118"/>
        </w:sectPr>
      </w:pPr>
    </w:p>
    <w:p>
      <w:pPr>
        <w:pStyle w:val="BodyText"/>
        <w:spacing w:before="60"/>
        <w:ind w:left="723"/>
        <w:jc w:val="both"/>
      </w:pPr>
      <w:r>
        <w:rPr/>
        <w:t>practices.</w:t>
      </w:r>
      <w:r>
        <w:rPr>
          <w:spacing w:val="60"/>
        </w:rPr>
        <w:t> </w:t>
      </w:r>
      <w:r>
        <w:rPr/>
        <w:t>Our analytical focus was on perceived productivity and well-</w:t>
      </w:r>
      <w:r>
        <w:rPr>
          <w:spacing w:val="-2"/>
        </w:rPr>
        <w:t>being.</w:t>
      </w:r>
    </w:p>
    <w:p>
      <w:pPr>
        <w:pStyle w:val="BodyText"/>
        <w:spacing w:before="28"/>
      </w:pPr>
    </w:p>
    <w:p>
      <w:pPr>
        <w:pStyle w:val="Heading4"/>
        <w:jc w:val="both"/>
      </w:pPr>
      <w:r>
        <w:rPr/>
        <w:t>Results and </w:t>
      </w:r>
      <w:r>
        <w:rPr>
          <w:spacing w:val="-2"/>
        </w:rPr>
        <w:t>Implications</w:t>
      </w:r>
    </w:p>
    <w:p>
      <w:pPr>
        <w:pStyle w:val="BodyText"/>
        <w:spacing w:line="264" w:lineRule="auto"/>
        <w:ind w:left="723" w:right="1378"/>
        <w:jc w:val="both"/>
      </w:pPr>
      <w:r>
        <w:rPr/>
        <w:t>Implications of this research are both theoretical and practical. Theoretically, the </w:t>
      </w:r>
      <w:r>
        <w:rPr/>
        <w:t>experience economy continues to expand in its scope and purpose with Body Doubling being an area rich with</w:t>
      </w:r>
      <w:r>
        <w:rPr>
          <w:spacing w:val="40"/>
        </w:rPr>
        <w:t> </w:t>
      </w:r>
      <w:r>
        <w:rPr/>
        <w:t>opportunity to understand consumer user experiences and the benefits and drawbacks of those</w:t>
      </w:r>
      <w:r>
        <w:rPr>
          <w:spacing w:val="80"/>
        </w:rPr>
        <w:t> </w:t>
      </w:r>
      <w:r>
        <w:rPr/>
        <w:t>experiences. Practically, businesses would benefit from understanding how to better support their</w:t>
      </w:r>
      <w:r>
        <w:rPr>
          <w:spacing w:val="40"/>
        </w:rPr>
        <w:t> </w:t>
      </w:r>
      <w:r>
        <w:rPr/>
        <w:t>employees’ well-being and productivity. Additionally, firms would benefit from understanding</w:t>
      </w:r>
      <w:r>
        <w:rPr>
          <w:spacing w:val="40"/>
        </w:rPr>
        <w:t> </w:t>
      </w:r>
      <w:r>
        <w:rPr/>
        <w:t>what characteristics of these Body Doubling experiences lead to higher levels of consumer</w:t>
      </w:r>
      <w:r>
        <w:rPr>
          <w:spacing w:val="40"/>
        </w:rPr>
        <w:t> </w:t>
      </w:r>
      <w:r>
        <w:rPr/>
        <w:t>satisfaction, perceived efficacy and productivity.</w:t>
      </w:r>
    </w:p>
    <w:p>
      <w:pPr>
        <w:pStyle w:val="BodyText"/>
        <w:spacing w:before="4"/>
      </w:pPr>
    </w:p>
    <w:p>
      <w:pPr>
        <w:pStyle w:val="Heading4"/>
      </w:pPr>
      <w:r>
        <w:rPr>
          <w:spacing w:val="-2"/>
        </w:rPr>
        <w:t>Conclusion</w:t>
      </w:r>
    </w:p>
    <w:p>
      <w:pPr>
        <w:pStyle w:val="BodyText"/>
        <w:spacing w:line="264" w:lineRule="auto" w:before="1"/>
        <w:ind w:left="723" w:right="1381"/>
      </w:pPr>
      <w:r>
        <w:rPr/>
        <w:t>Our preliminary findings expand existing literature on the experience economy, collaborative consumption,</w:t>
      </w:r>
      <w:r>
        <w:rPr>
          <w:spacing w:val="-4"/>
        </w:rPr>
        <w:t> </w:t>
      </w:r>
      <w:r>
        <w:rPr/>
        <w:t>and</w:t>
      </w:r>
      <w:r>
        <w:rPr>
          <w:spacing w:val="-4"/>
        </w:rPr>
        <w:t> </w:t>
      </w:r>
      <w:r>
        <w:rPr/>
        <w:t>brand</w:t>
      </w:r>
      <w:r>
        <w:rPr>
          <w:spacing w:val="-4"/>
        </w:rPr>
        <w:t> </w:t>
      </w:r>
      <w:r>
        <w:rPr/>
        <w:t>communities</w:t>
      </w:r>
      <w:r>
        <w:rPr>
          <w:spacing w:val="-4"/>
        </w:rPr>
        <w:t> </w:t>
      </w:r>
      <w:r>
        <w:rPr/>
        <w:t>by</w:t>
      </w:r>
      <w:r>
        <w:rPr>
          <w:spacing w:val="-4"/>
        </w:rPr>
        <w:t> </w:t>
      </w:r>
      <w:r>
        <w:rPr/>
        <w:t>positioning</w:t>
      </w:r>
      <w:r>
        <w:rPr>
          <w:spacing w:val="-4"/>
        </w:rPr>
        <w:t> </w:t>
      </w:r>
      <w:r>
        <w:rPr/>
        <w:t>Body</w:t>
      </w:r>
      <w:r>
        <w:rPr>
          <w:spacing w:val="-4"/>
        </w:rPr>
        <w:t> </w:t>
      </w:r>
      <w:r>
        <w:rPr/>
        <w:t>Doubling</w:t>
      </w:r>
      <w:r>
        <w:rPr>
          <w:spacing w:val="-4"/>
        </w:rPr>
        <w:t> </w:t>
      </w:r>
      <w:r>
        <w:rPr/>
        <w:t>as</w:t>
      </w:r>
      <w:r>
        <w:rPr>
          <w:spacing w:val="-4"/>
        </w:rPr>
        <w:t> </w:t>
      </w:r>
      <w:r>
        <w:rPr/>
        <w:t>a</w:t>
      </w:r>
      <w:r>
        <w:rPr>
          <w:spacing w:val="-4"/>
        </w:rPr>
        <w:t> </w:t>
      </w:r>
      <w:r>
        <w:rPr/>
        <w:t>consumer-driven,</w:t>
      </w:r>
      <w:r>
        <w:rPr>
          <w:spacing w:val="-4"/>
        </w:rPr>
        <w:t> </w:t>
      </w:r>
      <w:r>
        <w:rPr/>
        <w:t>social preservation coping tool. It addresses existing theoretical gaps by providing clear conceptual differentiation between synchronous versus asynchronous engagement, passive consumption versus active participation, and the distinct consumer motives of seeking productivity versus alleviating loneliness. In terms of informing workplace wellness practices, the study will inform workplace wellness programs and consumer satisfaction strategies. By understanding how digital body doubling counters isolation, organizations can better support remote workers who struggle with blurred work-life boundaries and professional loneliness. Finally, the findings will provide actionable insights for developers and tech companies, identifying clear business opportunities to design better, more effective productivity tools and collaborative platforms that foster genuine human connection and accountability.</w:t>
      </w:r>
    </w:p>
    <w:p>
      <w:pPr>
        <w:pStyle w:val="BodyText"/>
        <w:spacing w:before="12"/>
      </w:pPr>
    </w:p>
    <w:p>
      <w:pPr>
        <w:pStyle w:val="Heading4"/>
      </w:pPr>
      <w:r>
        <w:rPr>
          <w:spacing w:val="-2"/>
        </w:rPr>
        <w:t>References</w:t>
      </w:r>
    </w:p>
    <w:p>
      <w:pPr>
        <w:pStyle w:val="BodyText"/>
        <w:spacing w:before="80"/>
        <w:rPr>
          <w:b/>
        </w:rPr>
      </w:pPr>
    </w:p>
    <w:p>
      <w:pPr>
        <w:pStyle w:val="BodyText"/>
        <w:spacing w:line="271" w:lineRule="auto"/>
        <w:ind w:left="723"/>
      </w:pPr>
      <w:r>
        <w:rPr/>
        <w:t>Anderson,</w:t>
      </w:r>
      <w:r>
        <w:rPr>
          <w:spacing w:val="-6"/>
        </w:rPr>
        <w:t> </w:t>
      </w:r>
      <w:r>
        <w:rPr/>
        <w:t>Linda</w:t>
      </w:r>
      <w:r>
        <w:rPr>
          <w:spacing w:val="-6"/>
        </w:rPr>
        <w:t> </w:t>
      </w:r>
      <w:r>
        <w:rPr/>
        <w:t>S.,</w:t>
      </w:r>
      <w:r>
        <w:rPr>
          <w:spacing w:val="-6"/>
        </w:rPr>
        <w:t> </w:t>
      </w:r>
      <w:r>
        <w:rPr/>
        <w:t>“The</w:t>
      </w:r>
      <w:r>
        <w:rPr>
          <w:spacing w:val="-6"/>
        </w:rPr>
        <w:t> </w:t>
      </w:r>
      <w:r>
        <w:rPr/>
        <w:t>Body</w:t>
      </w:r>
      <w:r>
        <w:rPr>
          <w:spacing w:val="-6"/>
        </w:rPr>
        <w:t> </w:t>
      </w:r>
      <w:r>
        <w:rPr/>
        <w:t>Double”</w:t>
      </w:r>
      <w:r>
        <w:rPr>
          <w:spacing w:val="-6"/>
        </w:rPr>
        <w:t> </w:t>
      </w:r>
      <w:r>
        <w:rPr/>
        <w:t>(n.d.)</w:t>
      </w:r>
      <w:r>
        <w:rPr>
          <w:spacing w:val="-6"/>
        </w:rPr>
        <w:t> </w:t>
      </w:r>
      <w:r>
        <w:rPr/>
        <w:t>SelfGrowth.com. </w:t>
      </w:r>
      <w:hyperlink r:id="rId191">
        <w:r>
          <w:rPr>
            <w:color w:val="1154CC"/>
            <w:spacing w:val="-2"/>
            <w:u w:val="thick" w:color="1154CC"/>
          </w:rPr>
          <w:t>https://www.selfgrowth.com/articles/The_Body_Double.html</w:t>
        </w:r>
      </w:hyperlink>
    </w:p>
    <w:p>
      <w:pPr>
        <w:pStyle w:val="BodyText"/>
        <w:spacing w:before="44"/>
      </w:pPr>
    </w:p>
    <w:p>
      <w:pPr>
        <w:pStyle w:val="BodyText"/>
        <w:spacing w:line="264" w:lineRule="auto" w:before="1"/>
        <w:ind w:left="723" w:right="1619"/>
      </w:pPr>
      <w:r>
        <w:rPr>
          <w:color w:val="212121"/>
        </w:rPr>
        <w:t>Ara,</w:t>
      </w:r>
      <w:r>
        <w:rPr>
          <w:color w:val="212121"/>
          <w:spacing w:val="-9"/>
        </w:rPr>
        <w:t> </w:t>
      </w:r>
      <w:r>
        <w:rPr>
          <w:color w:val="212121"/>
        </w:rPr>
        <w:t>Z.,</w:t>
      </w:r>
      <w:r>
        <w:rPr>
          <w:color w:val="212121"/>
          <w:spacing w:val="-9"/>
        </w:rPr>
        <w:t> </w:t>
      </w:r>
      <w:r>
        <w:rPr>
          <w:color w:val="212121"/>
        </w:rPr>
        <w:t>Rahim,</w:t>
      </w:r>
      <w:r>
        <w:rPr>
          <w:color w:val="212121"/>
          <w:spacing w:val="-9"/>
        </w:rPr>
        <w:t> </w:t>
      </w:r>
      <w:r>
        <w:rPr>
          <w:color w:val="212121"/>
        </w:rPr>
        <w:t>I.</w:t>
      </w:r>
      <w:r>
        <w:rPr>
          <w:color w:val="212121"/>
          <w:spacing w:val="-9"/>
        </w:rPr>
        <w:t> </w:t>
      </w:r>
      <w:r>
        <w:rPr>
          <w:color w:val="212121"/>
        </w:rPr>
        <w:t>B.,</w:t>
      </w:r>
      <w:r>
        <w:rPr>
          <w:color w:val="212121"/>
          <w:spacing w:val="-9"/>
        </w:rPr>
        <w:t> </w:t>
      </w:r>
      <w:r>
        <w:rPr>
          <w:color w:val="212121"/>
        </w:rPr>
        <w:t>Zhou,</w:t>
      </w:r>
      <w:r>
        <w:rPr>
          <w:color w:val="212121"/>
          <w:spacing w:val="-9"/>
        </w:rPr>
        <w:t> </w:t>
      </w:r>
      <w:r>
        <w:rPr>
          <w:color w:val="212121"/>
        </w:rPr>
        <w:t>P.,</w:t>
      </w:r>
      <w:r>
        <w:rPr>
          <w:color w:val="212121"/>
          <w:spacing w:val="-9"/>
        </w:rPr>
        <w:t> </w:t>
      </w:r>
      <w:r>
        <w:rPr>
          <w:color w:val="212121"/>
        </w:rPr>
        <w:t>Yu,</w:t>
      </w:r>
      <w:r>
        <w:rPr>
          <w:color w:val="212121"/>
          <w:spacing w:val="-9"/>
        </w:rPr>
        <w:t> </w:t>
      </w:r>
      <w:r>
        <w:rPr>
          <w:color w:val="212121"/>
        </w:rPr>
        <w:t>L.,</w:t>
      </w:r>
      <w:r>
        <w:rPr>
          <w:color w:val="212121"/>
          <w:spacing w:val="-9"/>
        </w:rPr>
        <w:t> </w:t>
      </w:r>
      <w:r>
        <w:rPr>
          <w:color w:val="212121"/>
        </w:rPr>
        <w:t>Esmaeili,</w:t>
      </w:r>
      <w:r>
        <w:rPr>
          <w:color w:val="212121"/>
          <w:spacing w:val="-9"/>
        </w:rPr>
        <w:t> </w:t>
      </w:r>
      <w:r>
        <w:rPr>
          <w:color w:val="212121"/>
        </w:rPr>
        <w:t>B.,</w:t>
      </w:r>
      <w:r>
        <w:rPr>
          <w:color w:val="212121"/>
          <w:spacing w:val="-9"/>
        </w:rPr>
        <w:t> </w:t>
      </w:r>
      <w:r>
        <w:rPr>
          <w:color w:val="212121"/>
        </w:rPr>
        <w:t>Yu,</w:t>
      </w:r>
      <w:r>
        <w:rPr>
          <w:color w:val="212121"/>
          <w:spacing w:val="-9"/>
        </w:rPr>
        <w:t> </w:t>
      </w:r>
      <w:r>
        <w:rPr>
          <w:color w:val="212121"/>
        </w:rPr>
        <w:t>L.</w:t>
      </w:r>
      <w:r>
        <w:rPr>
          <w:color w:val="212121"/>
          <w:spacing w:val="-9"/>
        </w:rPr>
        <w:t> </w:t>
      </w:r>
      <w:r>
        <w:rPr>
          <w:color w:val="212121"/>
        </w:rPr>
        <w:t>F.,</w:t>
      </w:r>
      <w:r>
        <w:rPr>
          <w:color w:val="212121"/>
          <w:spacing w:val="-9"/>
        </w:rPr>
        <w:t> </w:t>
      </w:r>
      <w:r>
        <w:rPr>
          <w:color w:val="212121"/>
        </w:rPr>
        <w:t>&amp;</w:t>
      </w:r>
      <w:r>
        <w:rPr>
          <w:color w:val="212121"/>
          <w:spacing w:val="-9"/>
        </w:rPr>
        <w:t> </w:t>
      </w:r>
      <w:r>
        <w:rPr>
          <w:color w:val="212121"/>
        </w:rPr>
        <w:t>Hong,</w:t>
      </w:r>
      <w:r>
        <w:rPr>
          <w:color w:val="212121"/>
          <w:spacing w:val="-9"/>
        </w:rPr>
        <w:t> </w:t>
      </w:r>
      <w:r>
        <w:rPr>
          <w:color w:val="212121"/>
        </w:rPr>
        <w:t>S.</w:t>
      </w:r>
      <w:r>
        <w:rPr>
          <w:color w:val="212121"/>
          <w:spacing w:val="-9"/>
        </w:rPr>
        <w:t> </w:t>
      </w:r>
      <w:r>
        <w:rPr>
          <w:color w:val="212121"/>
        </w:rPr>
        <w:t>R.</w:t>
      </w:r>
      <w:r>
        <w:rPr>
          <w:color w:val="212121"/>
          <w:spacing w:val="-9"/>
        </w:rPr>
        <w:t> </w:t>
      </w:r>
      <w:r>
        <w:rPr>
          <w:color w:val="212121"/>
        </w:rPr>
        <w:t>(2025).</w:t>
      </w:r>
      <w:r>
        <w:rPr>
          <w:color w:val="212121"/>
          <w:spacing w:val="-9"/>
        </w:rPr>
        <w:t> </w:t>
      </w:r>
      <w:r>
        <w:rPr>
          <w:color w:val="212121"/>
        </w:rPr>
        <w:t>You</w:t>
      </w:r>
      <w:r>
        <w:rPr>
          <w:color w:val="212121"/>
          <w:spacing w:val="-9"/>
        </w:rPr>
        <w:t> </w:t>
      </w:r>
      <w:r>
        <w:rPr>
          <w:color w:val="212121"/>
        </w:rPr>
        <w:t>Are Not Alone: Designing Body Doubling for ADHD in Virtual Reality. </w:t>
      </w:r>
      <w:r>
        <w:rPr>
          <w:i/>
          <w:color w:val="212121"/>
        </w:rPr>
        <w:t>arXiv preprint</w:t>
      </w:r>
      <w:r>
        <w:rPr>
          <w:i/>
          <w:color w:val="212121"/>
        </w:rPr>
        <w:t> </w:t>
      </w:r>
      <w:r>
        <w:rPr>
          <w:i/>
          <w:color w:val="212121"/>
          <w:spacing w:val="-2"/>
        </w:rPr>
        <w:t>arXiv:2509.12153</w:t>
      </w:r>
      <w:r>
        <w:rPr>
          <w:color w:val="212121"/>
          <w:spacing w:val="-2"/>
        </w:rPr>
        <w:t>.</w:t>
      </w:r>
    </w:p>
    <w:p>
      <w:pPr>
        <w:pStyle w:val="BodyText"/>
        <w:spacing w:before="55"/>
      </w:pPr>
    </w:p>
    <w:p>
      <w:pPr>
        <w:pStyle w:val="BodyText"/>
        <w:spacing w:line="266" w:lineRule="auto"/>
        <w:ind w:left="723" w:right="1864"/>
      </w:pPr>
      <w:r>
        <w:rPr/>
        <w:t>Arruda,</w:t>
      </w:r>
      <w:r>
        <w:rPr>
          <w:spacing w:val="-2"/>
        </w:rPr>
        <w:t> </w:t>
      </w:r>
      <w:r>
        <w:rPr/>
        <w:t>W.</w:t>
      </w:r>
      <w:r>
        <w:rPr>
          <w:spacing w:val="-2"/>
        </w:rPr>
        <w:t> </w:t>
      </w:r>
      <w:r>
        <w:rPr/>
        <w:t>(2025).</w:t>
      </w:r>
      <w:r>
        <w:rPr>
          <w:spacing w:val="-2"/>
        </w:rPr>
        <w:t> </w:t>
      </w:r>
      <w:r>
        <w:rPr/>
        <w:t>Body</w:t>
      </w:r>
      <w:r>
        <w:rPr>
          <w:spacing w:val="-2"/>
        </w:rPr>
        <w:t> </w:t>
      </w:r>
      <w:r>
        <w:rPr/>
        <w:t>Doubling</w:t>
      </w:r>
      <w:r>
        <w:rPr>
          <w:spacing w:val="-2"/>
        </w:rPr>
        <w:t> </w:t>
      </w:r>
      <w:r>
        <w:rPr/>
        <w:t>-</w:t>
      </w:r>
      <w:r>
        <w:rPr>
          <w:spacing w:val="-2"/>
        </w:rPr>
        <w:t> </w:t>
      </w:r>
      <w:r>
        <w:rPr/>
        <w:t>The</w:t>
      </w:r>
      <w:r>
        <w:rPr>
          <w:spacing w:val="-2"/>
        </w:rPr>
        <w:t> </w:t>
      </w:r>
      <w:r>
        <w:rPr/>
        <w:t>Productivity</w:t>
      </w:r>
      <w:r>
        <w:rPr>
          <w:spacing w:val="-2"/>
        </w:rPr>
        <w:t> </w:t>
      </w:r>
      <w:r>
        <w:rPr/>
        <w:t>Hack</w:t>
      </w:r>
      <w:r>
        <w:rPr>
          <w:spacing w:val="-2"/>
        </w:rPr>
        <w:t> </w:t>
      </w:r>
      <w:r>
        <w:rPr/>
        <w:t>You</w:t>
      </w:r>
      <w:r>
        <w:rPr>
          <w:spacing w:val="-2"/>
        </w:rPr>
        <w:t> </w:t>
      </w:r>
      <w:r>
        <w:rPr/>
        <w:t>Didn’t</w:t>
      </w:r>
      <w:r>
        <w:rPr>
          <w:spacing w:val="-2"/>
        </w:rPr>
        <w:t> </w:t>
      </w:r>
      <w:r>
        <w:rPr/>
        <w:t>Know</w:t>
      </w:r>
      <w:r>
        <w:rPr>
          <w:spacing w:val="-2"/>
        </w:rPr>
        <w:t> </w:t>
      </w:r>
      <w:r>
        <w:rPr/>
        <w:t>You</w:t>
      </w:r>
      <w:r>
        <w:rPr>
          <w:spacing w:val="-2"/>
        </w:rPr>
        <w:t> </w:t>
      </w:r>
      <w:r>
        <w:rPr/>
        <w:t>Needed. Forbes, April 28, 2025. Available at: </w:t>
      </w:r>
      <w:hyperlink r:id="rId192">
        <w:r>
          <w:rPr>
            <w:color w:val="1154CC"/>
            <w:spacing w:val="-2"/>
            <w:u w:val="thick" w:color="1154CC"/>
          </w:rPr>
          <w:t>https://www.forbes.com/sites/williamarruda/2025/04/28/body-doublingthe-productivity-</w:t>
        </w:r>
        <w:r>
          <w:rPr>
            <w:color w:val="1154CC"/>
            <w:spacing w:val="-2"/>
            <w:u w:val="thick" w:color="1154CC"/>
          </w:rPr>
          <w:t>hack</w:t>
        </w:r>
      </w:hyperlink>
      <w:r>
        <w:rPr>
          <w:color w:val="1154CC"/>
          <w:spacing w:val="-2"/>
          <w:u w:val="none"/>
        </w:rPr>
        <w:t> </w:t>
      </w:r>
      <w:r>
        <w:rPr>
          <w:color w:val="1154CC"/>
          <w:u w:val="thick" w:color="1154CC"/>
        </w:rPr>
        <w:t>you-didnt-know-you-needed/</w:t>
      </w:r>
      <w:r>
        <w:rPr>
          <w:color w:val="1154CC"/>
          <w:u w:val="none"/>
        </w:rPr>
        <w:t> </w:t>
      </w:r>
      <w:r>
        <w:rPr>
          <w:u w:val="none"/>
        </w:rPr>
        <w:t>(Retrieved November 15, 2025)</w:t>
      </w:r>
    </w:p>
    <w:p>
      <w:pPr>
        <w:pStyle w:val="BodyText"/>
        <w:spacing w:before="57"/>
      </w:pPr>
    </w:p>
    <w:p>
      <w:pPr>
        <w:pStyle w:val="BodyText"/>
        <w:spacing w:line="264" w:lineRule="auto" w:before="1"/>
        <w:ind w:left="723" w:right="1619"/>
      </w:pPr>
      <w:r>
        <w:rPr/>
        <w:t>Baumeister,</w:t>
      </w:r>
      <w:r>
        <w:rPr>
          <w:spacing w:val="-6"/>
        </w:rPr>
        <w:t> </w:t>
      </w:r>
      <w:r>
        <w:rPr/>
        <w:t>R.</w:t>
      </w:r>
      <w:r>
        <w:rPr>
          <w:spacing w:val="-6"/>
        </w:rPr>
        <w:t> </w:t>
      </w:r>
      <w:r>
        <w:rPr/>
        <w:t>F.,</w:t>
      </w:r>
      <w:r>
        <w:rPr>
          <w:spacing w:val="-6"/>
        </w:rPr>
        <w:t> </w:t>
      </w:r>
      <w:r>
        <w:rPr/>
        <w:t>&amp;</w:t>
      </w:r>
      <w:r>
        <w:rPr>
          <w:spacing w:val="-6"/>
        </w:rPr>
        <w:t> </w:t>
      </w:r>
      <w:r>
        <w:rPr/>
        <w:t>Leary,</w:t>
      </w:r>
      <w:r>
        <w:rPr>
          <w:spacing w:val="-6"/>
        </w:rPr>
        <w:t> </w:t>
      </w:r>
      <w:r>
        <w:rPr/>
        <w:t>M.</w:t>
      </w:r>
      <w:r>
        <w:rPr>
          <w:spacing w:val="-6"/>
        </w:rPr>
        <w:t> </w:t>
      </w:r>
      <w:r>
        <w:rPr/>
        <w:t>R.</w:t>
      </w:r>
      <w:r>
        <w:rPr>
          <w:spacing w:val="-6"/>
        </w:rPr>
        <w:t> </w:t>
      </w:r>
      <w:r>
        <w:rPr/>
        <w:t>(2017).</w:t>
      </w:r>
      <w:r>
        <w:rPr>
          <w:spacing w:val="-6"/>
        </w:rPr>
        <w:t> </w:t>
      </w:r>
      <w:r>
        <w:rPr/>
        <w:t>The</w:t>
      </w:r>
      <w:r>
        <w:rPr>
          <w:spacing w:val="-6"/>
        </w:rPr>
        <w:t> </w:t>
      </w:r>
      <w:r>
        <w:rPr/>
        <w:t>need</w:t>
      </w:r>
      <w:r>
        <w:rPr>
          <w:spacing w:val="-6"/>
        </w:rPr>
        <w:t> </w:t>
      </w:r>
      <w:r>
        <w:rPr/>
        <w:t>to</w:t>
      </w:r>
      <w:r>
        <w:rPr>
          <w:spacing w:val="-6"/>
        </w:rPr>
        <w:t> </w:t>
      </w:r>
      <w:r>
        <w:rPr/>
        <w:t>belong:</w:t>
      </w:r>
      <w:r>
        <w:rPr>
          <w:spacing w:val="-6"/>
        </w:rPr>
        <w:t> </w:t>
      </w:r>
      <w:r>
        <w:rPr/>
        <w:t>Desire</w:t>
      </w:r>
      <w:r>
        <w:rPr>
          <w:spacing w:val="-6"/>
        </w:rPr>
        <w:t> </w:t>
      </w:r>
      <w:r>
        <w:rPr/>
        <w:t>for</w:t>
      </w:r>
      <w:r>
        <w:rPr>
          <w:spacing w:val="-6"/>
        </w:rPr>
        <w:t> </w:t>
      </w:r>
      <w:r>
        <w:rPr/>
        <w:t>interpersonal attachments as a fundamental human motivation. Interpersonal development, 57-89.</w:t>
      </w:r>
    </w:p>
    <w:p>
      <w:pPr>
        <w:pStyle w:val="BodyText"/>
        <w:spacing w:before="53"/>
      </w:pPr>
    </w:p>
    <w:p>
      <w:pPr>
        <w:spacing w:line="266" w:lineRule="auto" w:before="0"/>
        <w:ind w:left="693" w:right="1191" w:firstLine="30"/>
        <w:jc w:val="left"/>
        <w:rPr>
          <w:sz w:val="24"/>
        </w:rPr>
      </w:pPr>
      <w:r>
        <w:rPr>
          <w:sz w:val="24"/>
        </w:rPr>
        <w:t>Braun,</w:t>
      </w:r>
      <w:r>
        <w:rPr>
          <w:spacing w:val="-11"/>
          <w:sz w:val="24"/>
        </w:rPr>
        <w:t> </w:t>
      </w:r>
      <w:r>
        <w:rPr>
          <w:sz w:val="24"/>
        </w:rPr>
        <w:t>V.,</w:t>
      </w:r>
      <w:r>
        <w:rPr>
          <w:spacing w:val="-11"/>
          <w:sz w:val="24"/>
        </w:rPr>
        <w:t> </w:t>
      </w:r>
      <w:r>
        <w:rPr>
          <w:sz w:val="24"/>
        </w:rPr>
        <w:t>&amp;</w:t>
      </w:r>
      <w:r>
        <w:rPr>
          <w:spacing w:val="-11"/>
          <w:sz w:val="24"/>
        </w:rPr>
        <w:t> </w:t>
      </w:r>
      <w:r>
        <w:rPr>
          <w:sz w:val="24"/>
        </w:rPr>
        <w:t>Clarke,</w:t>
      </w:r>
      <w:r>
        <w:rPr>
          <w:spacing w:val="-11"/>
          <w:sz w:val="24"/>
        </w:rPr>
        <w:t> </w:t>
      </w:r>
      <w:r>
        <w:rPr>
          <w:sz w:val="24"/>
        </w:rPr>
        <w:t>V.</w:t>
      </w:r>
      <w:r>
        <w:rPr>
          <w:spacing w:val="-11"/>
          <w:sz w:val="24"/>
        </w:rPr>
        <w:t> </w:t>
      </w:r>
      <w:r>
        <w:rPr>
          <w:sz w:val="24"/>
        </w:rPr>
        <w:t>(2006).</w:t>
      </w:r>
      <w:r>
        <w:rPr>
          <w:spacing w:val="-11"/>
          <w:sz w:val="24"/>
        </w:rPr>
        <w:t> </w:t>
      </w:r>
      <w:r>
        <w:rPr>
          <w:sz w:val="24"/>
        </w:rPr>
        <w:t>Using</w:t>
      </w:r>
      <w:r>
        <w:rPr>
          <w:spacing w:val="-11"/>
          <w:sz w:val="24"/>
        </w:rPr>
        <w:t> </w:t>
      </w:r>
      <w:r>
        <w:rPr>
          <w:sz w:val="24"/>
        </w:rPr>
        <w:t>thematic</w:t>
      </w:r>
      <w:r>
        <w:rPr>
          <w:spacing w:val="-11"/>
          <w:sz w:val="24"/>
        </w:rPr>
        <w:t> </w:t>
      </w:r>
      <w:r>
        <w:rPr>
          <w:sz w:val="24"/>
        </w:rPr>
        <w:t>analysis</w:t>
      </w:r>
      <w:r>
        <w:rPr>
          <w:spacing w:val="-11"/>
          <w:sz w:val="24"/>
        </w:rPr>
        <w:t> </w:t>
      </w:r>
      <w:r>
        <w:rPr>
          <w:sz w:val="24"/>
        </w:rPr>
        <w:t>in</w:t>
      </w:r>
      <w:r>
        <w:rPr>
          <w:spacing w:val="-11"/>
          <w:sz w:val="24"/>
        </w:rPr>
        <w:t> </w:t>
      </w:r>
      <w:r>
        <w:rPr>
          <w:sz w:val="24"/>
        </w:rPr>
        <w:t>psychology.</w:t>
      </w:r>
      <w:r>
        <w:rPr>
          <w:spacing w:val="-11"/>
          <w:sz w:val="24"/>
        </w:rPr>
        <w:t> </w:t>
      </w:r>
      <w:r>
        <w:rPr>
          <w:i/>
          <w:sz w:val="24"/>
        </w:rPr>
        <w:t>Qualitative</w:t>
      </w:r>
      <w:r>
        <w:rPr>
          <w:i/>
          <w:spacing w:val="-11"/>
          <w:sz w:val="24"/>
        </w:rPr>
        <w:t> </w:t>
      </w:r>
      <w:r>
        <w:rPr>
          <w:i/>
          <w:sz w:val="24"/>
        </w:rPr>
        <w:t>research</w:t>
      </w:r>
      <w:r>
        <w:rPr>
          <w:i/>
          <w:spacing w:val="-11"/>
          <w:sz w:val="24"/>
        </w:rPr>
        <w:t> </w:t>
      </w:r>
      <w:r>
        <w:rPr>
          <w:i/>
          <w:sz w:val="24"/>
        </w:rPr>
        <w:t>in</w:t>
      </w:r>
      <w:r>
        <w:rPr>
          <w:i/>
          <w:sz w:val="24"/>
        </w:rPr>
        <w:t> psychology</w:t>
      </w:r>
      <w:r>
        <w:rPr>
          <w:sz w:val="24"/>
        </w:rPr>
        <w:t>, </w:t>
      </w:r>
      <w:r>
        <w:rPr>
          <w:i/>
          <w:sz w:val="24"/>
        </w:rPr>
        <w:t>3</w:t>
      </w:r>
      <w:r>
        <w:rPr>
          <w:sz w:val="24"/>
        </w:rPr>
        <w:t>(2), 77-101.</w:t>
      </w:r>
    </w:p>
    <w:p>
      <w:pPr>
        <w:pStyle w:val="BodyText"/>
        <w:spacing w:before="50"/>
      </w:pPr>
    </w:p>
    <w:p>
      <w:pPr>
        <w:pStyle w:val="BodyText"/>
        <w:spacing w:before="1"/>
        <w:ind w:left="723"/>
      </w:pPr>
      <w:r>
        <w:rPr/>
        <w:t>Coplan,</w:t>
      </w:r>
      <w:r>
        <w:rPr>
          <w:spacing w:val="-3"/>
        </w:rPr>
        <w:t> </w:t>
      </w:r>
      <w:r>
        <w:rPr/>
        <w:t>J.,</w:t>
      </w:r>
      <w:r>
        <w:rPr>
          <w:spacing w:val="-2"/>
        </w:rPr>
        <w:t> </w:t>
      </w:r>
      <w:r>
        <w:rPr/>
        <w:t>Crocker,</w:t>
      </w:r>
      <w:r>
        <w:rPr>
          <w:spacing w:val="-2"/>
        </w:rPr>
        <w:t> </w:t>
      </w:r>
      <w:r>
        <w:rPr/>
        <w:t>L.,</w:t>
      </w:r>
      <w:r>
        <w:rPr>
          <w:spacing w:val="-3"/>
        </w:rPr>
        <w:t> </w:t>
      </w:r>
      <w:r>
        <w:rPr/>
        <w:t>Landin,</w:t>
      </w:r>
      <w:r>
        <w:rPr>
          <w:spacing w:val="-2"/>
        </w:rPr>
        <w:t> </w:t>
      </w:r>
      <w:r>
        <w:rPr/>
        <w:t>J.,</w:t>
      </w:r>
      <w:r>
        <w:rPr>
          <w:spacing w:val="-2"/>
        </w:rPr>
        <w:t> </w:t>
      </w:r>
      <w:r>
        <w:rPr/>
        <w:t>&amp;</w:t>
      </w:r>
      <w:r>
        <w:rPr>
          <w:spacing w:val="-3"/>
        </w:rPr>
        <w:t> </w:t>
      </w:r>
      <w:r>
        <w:rPr/>
        <w:t>Stenn,</w:t>
      </w:r>
      <w:r>
        <w:rPr>
          <w:spacing w:val="-2"/>
        </w:rPr>
        <w:t> </w:t>
      </w:r>
      <w:r>
        <w:rPr/>
        <w:t>T.</w:t>
      </w:r>
      <w:r>
        <w:rPr>
          <w:spacing w:val="-2"/>
        </w:rPr>
        <w:t> </w:t>
      </w:r>
      <w:r>
        <w:rPr/>
        <w:t>(2021).</w:t>
      </w:r>
      <w:r>
        <w:rPr>
          <w:spacing w:val="-3"/>
        </w:rPr>
        <w:t> </w:t>
      </w:r>
      <w:r>
        <w:rPr/>
        <w:t>Building</w:t>
      </w:r>
      <w:r>
        <w:rPr>
          <w:spacing w:val="-2"/>
        </w:rPr>
        <w:t> </w:t>
      </w:r>
      <w:r>
        <w:rPr/>
        <w:t>supportive,</w:t>
      </w:r>
      <w:r>
        <w:rPr>
          <w:spacing w:val="-2"/>
        </w:rPr>
        <w:t> inclusive</w:t>
      </w:r>
    </w:p>
    <w:p>
      <w:pPr>
        <w:pStyle w:val="BodyText"/>
        <w:spacing w:after="0"/>
        <w:sectPr>
          <w:pgSz w:w="12240" w:h="15840"/>
          <w:pgMar w:header="0" w:footer="712" w:top="640" w:bottom="960" w:left="720" w:right="0"/>
        </w:sectPr>
      </w:pPr>
    </w:p>
    <w:p>
      <w:pPr>
        <w:pStyle w:val="BodyText"/>
        <w:spacing w:line="264" w:lineRule="auto" w:before="60"/>
        <w:ind w:left="723" w:right="1623"/>
      </w:pPr>
      <w:r>
        <w:rPr/>
        <w:t>workplaces</w:t>
      </w:r>
      <w:r>
        <w:rPr>
          <w:spacing w:val="-7"/>
        </w:rPr>
        <w:t> </w:t>
      </w:r>
      <w:r>
        <w:rPr/>
        <w:t>where</w:t>
      </w:r>
      <w:r>
        <w:rPr>
          <w:spacing w:val="-7"/>
        </w:rPr>
        <w:t> </w:t>
      </w:r>
      <w:r>
        <w:rPr/>
        <w:t>neurodivergent</w:t>
      </w:r>
      <w:r>
        <w:rPr>
          <w:spacing w:val="-7"/>
        </w:rPr>
        <w:t> </w:t>
      </w:r>
      <w:r>
        <w:rPr/>
        <w:t>thinkers</w:t>
      </w:r>
      <w:r>
        <w:rPr>
          <w:spacing w:val="-7"/>
        </w:rPr>
        <w:t> </w:t>
      </w:r>
      <w:r>
        <w:rPr/>
        <w:t>thrive:</w:t>
      </w:r>
      <w:r>
        <w:rPr>
          <w:spacing w:val="-7"/>
        </w:rPr>
        <w:t> </w:t>
      </w:r>
      <w:r>
        <w:rPr/>
        <w:t>Approaches</w:t>
      </w:r>
      <w:r>
        <w:rPr>
          <w:spacing w:val="-7"/>
        </w:rPr>
        <w:t> </w:t>
      </w:r>
      <w:r>
        <w:rPr/>
        <w:t>in</w:t>
      </w:r>
      <w:r>
        <w:rPr>
          <w:spacing w:val="-7"/>
        </w:rPr>
        <w:t> </w:t>
      </w:r>
      <w:r>
        <w:rPr/>
        <w:t>managing</w:t>
      </w:r>
      <w:r>
        <w:rPr>
          <w:spacing w:val="-7"/>
        </w:rPr>
        <w:t> </w:t>
      </w:r>
      <w:r>
        <w:rPr/>
        <w:t>diversity,</w:t>
      </w:r>
      <w:r>
        <w:rPr>
          <w:spacing w:val="-7"/>
        </w:rPr>
        <w:t> </w:t>
      </w:r>
      <w:r>
        <w:rPr/>
        <w:t>inclusion, and building entrepreneurship in the workplace. SAM Advanced Management Journal, 86(1),21- 30.</w:t>
      </w:r>
    </w:p>
    <w:p>
      <w:pPr>
        <w:pStyle w:val="BodyText"/>
        <w:spacing w:before="55"/>
      </w:pPr>
    </w:p>
    <w:p>
      <w:pPr>
        <w:pStyle w:val="BodyText"/>
        <w:spacing w:line="266" w:lineRule="auto"/>
        <w:ind w:left="738" w:right="1619" w:hanging="15"/>
      </w:pPr>
      <w:r>
        <w:rPr/>
        <w:t>Fumagalli,</w:t>
      </w:r>
      <w:r>
        <w:rPr>
          <w:spacing w:val="-6"/>
        </w:rPr>
        <w:t> </w:t>
      </w:r>
      <w:r>
        <w:rPr/>
        <w:t>E.,</w:t>
      </w:r>
      <w:r>
        <w:rPr>
          <w:spacing w:val="-6"/>
        </w:rPr>
        <w:t> </w:t>
      </w:r>
      <w:r>
        <w:rPr/>
        <w:t>Shrum,</w:t>
      </w:r>
      <w:r>
        <w:rPr>
          <w:spacing w:val="-6"/>
        </w:rPr>
        <w:t> </w:t>
      </w:r>
      <w:r>
        <w:rPr/>
        <w:t>L.</w:t>
      </w:r>
      <w:r>
        <w:rPr>
          <w:spacing w:val="-6"/>
        </w:rPr>
        <w:t> </w:t>
      </w:r>
      <w:r>
        <w:rPr/>
        <w:t>J.,</w:t>
      </w:r>
      <w:r>
        <w:rPr>
          <w:spacing w:val="-6"/>
        </w:rPr>
        <w:t> </w:t>
      </w:r>
      <w:r>
        <w:rPr/>
        <w:t>&amp;</w:t>
      </w:r>
      <w:r>
        <w:rPr>
          <w:spacing w:val="-6"/>
        </w:rPr>
        <w:t> </w:t>
      </w:r>
      <w:r>
        <w:rPr/>
        <w:t>Lowrey,</w:t>
      </w:r>
      <w:r>
        <w:rPr>
          <w:spacing w:val="-6"/>
        </w:rPr>
        <w:t> </w:t>
      </w:r>
      <w:r>
        <w:rPr/>
        <w:t>T.</w:t>
      </w:r>
      <w:r>
        <w:rPr>
          <w:spacing w:val="-6"/>
        </w:rPr>
        <w:t> </w:t>
      </w:r>
      <w:r>
        <w:rPr/>
        <w:t>M.</w:t>
      </w:r>
      <w:r>
        <w:rPr>
          <w:spacing w:val="-6"/>
        </w:rPr>
        <w:t> </w:t>
      </w:r>
      <w:r>
        <w:rPr/>
        <w:t>(2022).</w:t>
      </w:r>
      <w:r>
        <w:rPr>
          <w:spacing w:val="-6"/>
        </w:rPr>
        <w:t> </w:t>
      </w:r>
      <w:r>
        <w:rPr/>
        <w:t>Consuming</w:t>
      </w:r>
      <w:r>
        <w:rPr>
          <w:spacing w:val="-6"/>
        </w:rPr>
        <w:t> </w:t>
      </w:r>
      <w:r>
        <w:rPr/>
        <w:t>in</w:t>
      </w:r>
      <w:r>
        <w:rPr>
          <w:spacing w:val="-6"/>
        </w:rPr>
        <w:t> </w:t>
      </w:r>
      <w:r>
        <w:rPr/>
        <w:t>response</w:t>
      </w:r>
      <w:r>
        <w:rPr>
          <w:spacing w:val="-6"/>
        </w:rPr>
        <w:t> </w:t>
      </w:r>
      <w:r>
        <w:rPr/>
        <w:t>to</w:t>
      </w:r>
      <w:r>
        <w:rPr>
          <w:spacing w:val="-6"/>
        </w:rPr>
        <w:t> </w:t>
      </w:r>
      <w:r>
        <w:rPr/>
        <w:t>loneliness: Bright</w:t>
      </w:r>
      <w:r>
        <w:rPr>
          <w:spacing w:val="40"/>
        </w:rPr>
        <w:t> </w:t>
      </w:r>
      <w:r>
        <w:rPr/>
        <w:t>side and dark side effects. </w:t>
      </w:r>
      <w:r>
        <w:rPr>
          <w:i/>
        </w:rPr>
        <w:t>Current Opinion in Psychology</w:t>
      </w:r>
      <w:r>
        <w:rPr/>
        <w:t>, </w:t>
      </w:r>
      <w:r>
        <w:rPr>
          <w:i/>
        </w:rPr>
        <w:t>46</w:t>
      </w:r>
      <w:r>
        <w:rPr/>
        <w:t>, 101329.</w:t>
      </w:r>
    </w:p>
    <w:p>
      <w:pPr>
        <w:pStyle w:val="BodyText"/>
        <w:spacing w:before="51"/>
      </w:pPr>
    </w:p>
    <w:p>
      <w:pPr>
        <w:pStyle w:val="BodyText"/>
        <w:spacing w:line="264" w:lineRule="auto"/>
        <w:ind w:left="723" w:right="1619"/>
      </w:pPr>
      <w:r>
        <w:rPr>
          <w:color w:val="212121"/>
        </w:rPr>
        <w:t>Geen,</w:t>
      </w:r>
      <w:r>
        <w:rPr>
          <w:color w:val="212121"/>
          <w:spacing w:val="-4"/>
        </w:rPr>
        <w:t> </w:t>
      </w:r>
      <w:r>
        <w:rPr>
          <w:color w:val="212121"/>
        </w:rPr>
        <w:t>R.</w:t>
      </w:r>
      <w:r>
        <w:rPr>
          <w:color w:val="212121"/>
          <w:spacing w:val="-4"/>
        </w:rPr>
        <w:t> </w:t>
      </w:r>
      <w:r>
        <w:rPr>
          <w:color w:val="212121"/>
        </w:rPr>
        <w:t>G.,</w:t>
      </w:r>
      <w:r>
        <w:rPr>
          <w:color w:val="212121"/>
          <w:spacing w:val="-4"/>
        </w:rPr>
        <w:t> </w:t>
      </w:r>
      <w:r>
        <w:rPr>
          <w:color w:val="212121"/>
        </w:rPr>
        <w:t>&amp;</w:t>
      </w:r>
      <w:r>
        <w:rPr>
          <w:color w:val="212121"/>
          <w:spacing w:val="-4"/>
        </w:rPr>
        <w:t> </w:t>
      </w:r>
      <w:r>
        <w:rPr>
          <w:color w:val="212121"/>
        </w:rPr>
        <w:t>Gange,</w:t>
      </w:r>
      <w:r>
        <w:rPr>
          <w:color w:val="212121"/>
          <w:spacing w:val="-4"/>
        </w:rPr>
        <w:t> </w:t>
      </w:r>
      <w:r>
        <w:rPr>
          <w:color w:val="212121"/>
        </w:rPr>
        <w:t>J.</w:t>
      </w:r>
      <w:r>
        <w:rPr>
          <w:color w:val="212121"/>
          <w:spacing w:val="-4"/>
        </w:rPr>
        <w:t> </w:t>
      </w:r>
      <w:r>
        <w:rPr>
          <w:color w:val="212121"/>
        </w:rPr>
        <w:t>J.</w:t>
      </w:r>
      <w:r>
        <w:rPr>
          <w:color w:val="212121"/>
          <w:spacing w:val="-4"/>
        </w:rPr>
        <w:t> </w:t>
      </w:r>
      <w:r>
        <w:rPr>
          <w:color w:val="212121"/>
        </w:rPr>
        <w:t>(1977).</w:t>
      </w:r>
      <w:r>
        <w:rPr>
          <w:color w:val="212121"/>
          <w:spacing w:val="-4"/>
        </w:rPr>
        <w:t> </w:t>
      </w:r>
      <w:r>
        <w:rPr>
          <w:color w:val="212121"/>
        </w:rPr>
        <w:t>Drive</w:t>
      </w:r>
      <w:r>
        <w:rPr>
          <w:color w:val="212121"/>
          <w:spacing w:val="-4"/>
        </w:rPr>
        <w:t> </w:t>
      </w:r>
      <w:r>
        <w:rPr>
          <w:color w:val="212121"/>
        </w:rPr>
        <w:t>theory</w:t>
      </w:r>
      <w:r>
        <w:rPr>
          <w:color w:val="212121"/>
          <w:spacing w:val="-4"/>
        </w:rPr>
        <w:t> </w:t>
      </w:r>
      <w:r>
        <w:rPr>
          <w:color w:val="212121"/>
        </w:rPr>
        <w:t>of</w:t>
      </w:r>
      <w:r>
        <w:rPr>
          <w:color w:val="212121"/>
          <w:spacing w:val="-4"/>
        </w:rPr>
        <w:t> </w:t>
      </w:r>
      <w:r>
        <w:rPr>
          <w:color w:val="212121"/>
        </w:rPr>
        <w:t>social</w:t>
      </w:r>
      <w:r>
        <w:rPr>
          <w:color w:val="212121"/>
          <w:spacing w:val="-4"/>
        </w:rPr>
        <w:t> </w:t>
      </w:r>
      <w:r>
        <w:rPr>
          <w:color w:val="212121"/>
        </w:rPr>
        <w:t>facilitation:</w:t>
      </w:r>
      <w:r>
        <w:rPr>
          <w:color w:val="212121"/>
          <w:spacing w:val="-4"/>
        </w:rPr>
        <w:t> </w:t>
      </w:r>
      <w:r>
        <w:rPr>
          <w:color w:val="212121"/>
        </w:rPr>
        <w:t>Twelve</w:t>
      </w:r>
      <w:r>
        <w:rPr>
          <w:color w:val="212121"/>
          <w:spacing w:val="-4"/>
        </w:rPr>
        <w:t> </w:t>
      </w:r>
      <w:r>
        <w:rPr>
          <w:color w:val="212121"/>
        </w:rPr>
        <w:t>years</w:t>
      </w:r>
      <w:r>
        <w:rPr>
          <w:color w:val="212121"/>
          <w:spacing w:val="-4"/>
        </w:rPr>
        <w:t> </w:t>
      </w:r>
      <w:r>
        <w:rPr>
          <w:color w:val="212121"/>
        </w:rPr>
        <w:t>of</w:t>
      </w:r>
      <w:r>
        <w:rPr>
          <w:color w:val="212121"/>
          <w:spacing w:val="-4"/>
        </w:rPr>
        <w:t> </w:t>
      </w:r>
      <w:r>
        <w:rPr>
          <w:color w:val="212121"/>
        </w:rPr>
        <w:t>theory and research. </w:t>
      </w:r>
      <w:r>
        <w:rPr>
          <w:i/>
          <w:color w:val="212121"/>
        </w:rPr>
        <w:t>Psychological Bulletin</w:t>
      </w:r>
      <w:r>
        <w:rPr>
          <w:color w:val="212121"/>
        </w:rPr>
        <w:t>, </w:t>
      </w:r>
      <w:r>
        <w:rPr>
          <w:i/>
          <w:color w:val="212121"/>
        </w:rPr>
        <w:t>84</w:t>
      </w:r>
      <w:r>
        <w:rPr>
          <w:color w:val="212121"/>
        </w:rPr>
        <w:t>(6), 1267.</w:t>
      </w:r>
    </w:p>
    <w:p>
      <w:pPr>
        <w:pStyle w:val="BodyText"/>
        <w:spacing w:before="27"/>
      </w:pPr>
    </w:p>
    <w:p>
      <w:pPr>
        <w:pStyle w:val="BodyText"/>
        <w:spacing w:line="264" w:lineRule="auto"/>
        <w:ind w:left="723" w:right="1619"/>
      </w:pPr>
      <w:r>
        <w:rPr/>
        <w:t>Hawkley, L. C., &amp; Cacioppo, J. T. (2010). Loneliness matters: A theoretical and empirical review</w:t>
      </w:r>
      <w:r>
        <w:rPr>
          <w:spacing w:val="-4"/>
        </w:rPr>
        <w:t> </w:t>
      </w:r>
      <w:r>
        <w:rPr/>
        <w:t>of</w:t>
      </w:r>
      <w:r>
        <w:rPr>
          <w:spacing w:val="-4"/>
        </w:rPr>
        <w:t> </w:t>
      </w:r>
      <w:r>
        <w:rPr/>
        <w:t>consequences</w:t>
      </w:r>
      <w:r>
        <w:rPr>
          <w:spacing w:val="-4"/>
        </w:rPr>
        <w:t> </w:t>
      </w:r>
      <w:r>
        <w:rPr/>
        <w:t>and</w:t>
      </w:r>
      <w:r>
        <w:rPr>
          <w:spacing w:val="-4"/>
        </w:rPr>
        <w:t> </w:t>
      </w:r>
      <w:r>
        <w:rPr/>
        <w:t>mechanisms.</w:t>
      </w:r>
      <w:r>
        <w:rPr>
          <w:spacing w:val="-4"/>
        </w:rPr>
        <w:t> </w:t>
      </w:r>
      <w:r>
        <w:rPr/>
        <w:t>Annals</w:t>
      </w:r>
      <w:r>
        <w:rPr>
          <w:spacing w:val="-4"/>
        </w:rPr>
        <w:t> </w:t>
      </w:r>
      <w:r>
        <w:rPr/>
        <w:t>of</w:t>
      </w:r>
      <w:r>
        <w:rPr>
          <w:spacing w:val="-4"/>
        </w:rPr>
        <w:t> </w:t>
      </w:r>
      <w:r>
        <w:rPr/>
        <w:t>Behavioral</w:t>
      </w:r>
      <w:r>
        <w:rPr>
          <w:spacing w:val="-4"/>
        </w:rPr>
        <w:t> </w:t>
      </w:r>
      <w:r>
        <w:rPr/>
        <w:t>Medicine:</w:t>
      </w:r>
      <w:r>
        <w:rPr>
          <w:spacing w:val="-4"/>
        </w:rPr>
        <w:t> </w:t>
      </w:r>
      <w:r>
        <w:rPr/>
        <w:t>A</w:t>
      </w:r>
      <w:r>
        <w:rPr>
          <w:spacing w:val="-4"/>
        </w:rPr>
        <w:t> </w:t>
      </w:r>
      <w:r>
        <w:rPr/>
        <w:t>Publication</w:t>
      </w:r>
      <w:r>
        <w:rPr>
          <w:spacing w:val="-4"/>
        </w:rPr>
        <w:t> </w:t>
      </w:r>
      <w:r>
        <w:rPr/>
        <w:t>of</w:t>
      </w:r>
      <w:r>
        <w:rPr>
          <w:spacing w:val="-4"/>
        </w:rPr>
        <w:t> </w:t>
      </w:r>
      <w:r>
        <w:rPr/>
        <w:t>the Society of Behavioral Medicine, 40(2), 218–227.</w:t>
      </w:r>
    </w:p>
    <w:p>
      <w:pPr>
        <w:pStyle w:val="BodyText"/>
        <w:spacing w:before="56"/>
      </w:pPr>
    </w:p>
    <w:p>
      <w:pPr>
        <w:pStyle w:val="BodyText"/>
        <w:ind w:left="723"/>
      </w:pPr>
      <w:r>
        <w:rPr>
          <w:color w:val="1154CC"/>
          <w:u w:val="thick" w:color="1154CC"/>
        </w:rPr>
        <w:t>Healthline.com</w:t>
      </w:r>
      <w:r>
        <w:rPr>
          <w:color w:val="1154CC"/>
          <w:u w:val="none"/>
        </w:rPr>
        <w:t> </w:t>
      </w:r>
      <w:r>
        <w:rPr>
          <w:color w:val="231F20"/>
          <w:u w:val="none"/>
        </w:rPr>
        <w:t>What Is Body Doubling for ADHD? March 28, </w:t>
      </w:r>
      <w:r>
        <w:rPr>
          <w:color w:val="231F20"/>
          <w:spacing w:val="-4"/>
          <w:u w:val="none"/>
        </w:rPr>
        <w:t>2025</w:t>
      </w:r>
    </w:p>
    <w:p>
      <w:pPr>
        <w:pStyle w:val="BodyText"/>
        <w:spacing w:line="264" w:lineRule="auto" w:before="17"/>
        <w:ind w:left="723" w:right="1381"/>
      </w:pPr>
      <w:r>
        <w:rPr>
          <w:color w:val="212121"/>
        </w:rPr>
        <w:t>Available</w:t>
      </w:r>
      <w:r>
        <w:rPr>
          <w:color w:val="212121"/>
          <w:spacing w:val="-15"/>
        </w:rPr>
        <w:t> </w:t>
      </w:r>
      <w:r>
        <w:rPr>
          <w:color w:val="212121"/>
        </w:rPr>
        <w:t>at:</w:t>
      </w:r>
      <w:r>
        <w:rPr>
          <w:color w:val="212121"/>
          <w:spacing w:val="-15"/>
        </w:rPr>
        <w:t> </w:t>
      </w:r>
      <w:hyperlink r:id="rId193">
        <w:r>
          <w:rPr>
            <w:color w:val="1154CC"/>
            <w:u w:val="thick" w:color="1154CC"/>
          </w:rPr>
          <w:t>https://www.healthline.com/health/adhd/body-double-adhd</w:t>
        </w:r>
      </w:hyperlink>
      <w:r>
        <w:rPr>
          <w:color w:val="1154CC"/>
          <w:spacing w:val="-15"/>
          <w:u w:val="none"/>
        </w:rPr>
        <w:t> </w:t>
      </w:r>
      <w:r>
        <w:rPr>
          <w:color w:val="212121"/>
          <w:u w:val="none"/>
        </w:rPr>
        <w:t>(Retrieved</w:t>
      </w:r>
      <w:r>
        <w:rPr>
          <w:color w:val="212121"/>
          <w:spacing w:val="-15"/>
          <w:u w:val="none"/>
        </w:rPr>
        <w:t> </w:t>
      </w:r>
      <w:r>
        <w:rPr>
          <w:color w:val="212121"/>
          <w:u w:val="none"/>
        </w:rPr>
        <w:t>April</w:t>
      </w:r>
      <w:r>
        <w:rPr>
          <w:color w:val="212121"/>
          <w:spacing w:val="-15"/>
          <w:u w:val="none"/>
        </w:rPr>
        <w:t> </w:t>
      </w:r>
      <w:r>
        <w:rPr>
          <w:color w:val="212121"/>
          <w:u w:val="none"/>
        </w:rPr>
        <w:t>10, </w:t>
      </w:r>
      <w:r>
        <w:rPr>
          <w:color w:val="212121"/>
          <w:spacing w:val="-2"/>
          <w:u w:val="none"/>
        </w:rPr>
        <w:t>2026).</w:t>
      </w:r>
    </w:p>
    <w:p>
      <w:pPr>
        <w:pStyle w:val="BodyText"/>
        <w:spacing w:before="56"/>
      </w:pPr>
    </w:p>
    <w:p>
      <w:pPr>
        <w:pStyle w:val="BodyText"/>
        <w:spacing w:line="264" w:lineRule="auto"/>
        <w:ind w:left="723" w:right="1191"/>
      </w:pPr>
      <w:r>
        <w:rPr/>
        <w:t>Mandel,</w:t>
      </w:r>
      <w:r>
        <w:rPr>
          <w:spacing w:val="-6"/>
        </w:rPr>
        <w:t> </w:t>
      </w:r>
      <w:r>
        <w:rPr/>
        <w:t>N.,</w:t>
      </w:r>
      <w:r>
        <w:rPr>
          <w:spacing w:val="-6"/>
        </w:rPr>
        <w:t> </w:t>
      </w:r>
      <w:r>
        <w:rPr/>
        <w:t>Rucker,</w:t>
      </w:r>
      <w:r>
        <w:rPr>
          <w:spacing w:val="-6"/>
        </w:rPr>
        <w:t> </w:t>
      </w:r>
      <w:r>
        <w:rPr/>
        <w:t>D.</w:t>
      </w:r>
      <w:r>
        <w:rPr>
          <w:spacing w:val="-6"/>
        </w:rPr>
        <w:t> </w:t>
      </w:r>
      <w:r>
        <w:rPr/>
        <w:t>D.,</w:t>
      </w:r>
      <w:r>
        <w:rPr>
          <w:spacing w:val="-6"/>
        </w:rPr>
        <w:t> </w:t>
      </w:r>
      <w:r>
        <w:rPr/>
        <w:t>Levav,</w:t>
      </w:r>
      <w:r>
        <w:rPr>
          <w:spacing w:val="-6"/>
        </w:rPr>
        <w:t> </w:t>
      </w:r>
      <w:r>
        <w:rPr/>
        <w:t>J.,</w:t>
      </w:r>
      <w:r>
        <w:rPr>
          <w:spacing w:val="-6"/>
        </w:rPr>
        <w:t> </w:t>
      </w:r>
      <w:r>
        <w:rPr/>
        <w:t>&amp;</w:t>
      </w:r>
      <w:r>
        <w:rPr>
          <w:spacing w:val="-6"/>
        </w:rPr>
        <w:t> </w:t>
      </w:r>
      <w:r>
        <w:rPr/>
        <w:t>Galinsky,</w:t>
      </w:r>
      <w:r>
        <w:rPr>
          <w:spacing w:val="-6"/>
        </w:rPr>
        <w:t> </w:t>
      </w:r>
      <w:r>
        <w:rPr/>
        <w:t>A.</w:t>
      </w:r>
      <w:r>
        <w:rPr>
          <w:spacing w:val="-6"/>
        </w:rPr>
        <w:t> </w:t>
      </w:r>
      <w:r>
        <w:rPr/>
        <w:t>D.</w:t>
      </w:r>
      <w:r>
        <w:rPr>
          <w:spacing w:val="-6"/>
        </w:rPr>
        <w:t> </w:t>
      </w:r>
      <w:r>
        <w:rPr/>
        <w:t>(2017).</w:t>
      </w:r>
      <w:r>
        <w:rPr>
          <w:spacing w:val="-6"/>
        </w:rPr>
        <w:t> </w:t>
      </w:r>
      <w:r>
        <w:rPr/>
        <w:t>The</w:t>
      </w:r>
      <w:r>
        <w:rPr>
          <w:spacing w:val="-6"/>
        </w:rPr>
        <w:t> </w:t>
      </w:r>
      <w:r>
        <w:rPr/>
        <w:t>compensatory</w:t>
      </w:r>
      <w:r>
        <w:rPr>
          <w:spacing w:val="-6"/>
        </w:rPr>
        <w:t> </w:t>
      </w:r>
      <w:r>
        <w:rPr/>
        <w:t>consumer behavior model: How self-discrepancies drive consumer behavior. Journal of Consumer Psychology, 27, 133–146.</w:t>
      </w:r>
    </w:p>
    <w:p>
      <w:pPr>
        <w:pStyle w:val="BodyText"/>
        <w:spacing w:before="56"/>
      </w:pPr>
    </w:p>
    <w:p>
      <w:pPr>
        <w:pStyle w:val="BodyText"/>
        <w:spacing w:line="264" w:lineRule="auto"/>
        <w:ind w:left="723" w:right="1191"/>
      </w:pPr>
      <w:r>
        <w:rPr/>
        <w:t>Rucker,</w:t>
      </w:r>
      <w:r>
        <w:rPr>
          <w:spacing w:val="-4"/>
        </w:rPr>
        <w:t> </w:t>
      </w:r>
      <w:r>
        <w:rPr/>
        <w:t>D.</w:t>
      </w:r>
      <w:r>
        <w:rPr>
          <w:spacing w:val="-4"/>
        </w:rPr>
        <w:t> </w:t>
      </w:r>
      <w:r>
        <w:rPr/>
        <w:t>D.,</w:t>
      </w:r>
      <w:r>
        <w:rPr>
          <w:spacing w:val="-4"/>
        </w:rPr>
        <w:t> </w:t>
      </w:r>
      <w:r>
        <w:rPr/>
        <w:t>&amp;</w:t>
      </w:r>
      <w:r>
        <w:rPr>
          <w:spacing w:val="-4"/>
        </w:rPr>
        <w:t> </w:t>
      </w:r>
      <w:r>
        <w:rPr/>
        <w:t>Cannon,</w:t>
      </w:r>
      <w:r>
        <w:rPr>
          <w:spacing w:val="-4"/>
        </w:rPr>
        <w:t> </w:t>
      </w:r>
      <w:r>
        <w:rPr/>
        <w:t>C.</w:t>
      </w:r>
      <w:r>
        <w:rPr>
          <w:spacing w:val="-4"/>
        </w:rPr>
        <w:t> </w:t>
      </w:r>
      <w:r>
        <w:rPr/>
        <w:t>(2019).</w:t>
      </w:r>
      <w:r>
        <w:rPr>
          <w:spacing w:val="-4"/>
        </w:rPr>
        <w:t> </w:t>
      </w:r>
      <w:r>
        <w:rPr/>
        <w:t>Identity</w:t>
      </w:r>
      <w:r>
        <w:rPr>
          <w:spacing w:val="-4"/>
        </w:rPr>
        <w:t> </w:t>
      </w:r>
      <w:r>
        <w:rPr/>
        <w:t>and</w:t>
      </w:r>
      <w:r>
        <w:rPr>
          <w:spacing w:val="-4"/>
        </w:rPr>
        <w:t> </w:t>
      </w:r>
      <w:r>
        <w:rPr/>
        <w:t>compensatory</w:t>
      </w:r>
      <w:r>
        <w:rPr>
          <w:spacing w:val="-4"/>
        </w:rPr>
        <w:t> </w:t>
      </w:r>
      <w:r>
        <w:rPr/>
        <w:t>consumption.</w:t>
      </w:r>
      <w:r>
        <w:rPr>
          <w:spacing w:val="-4"/>
        </w:rPr>
        <w:t> </w:t>
      </w:r>
      <w:r>
        <w:rPr/>
        <w:t>In</w:t>
      </w:r>
      <w:r>
        <w:rPr>
          <w:spacing w:val="-4"/>
        </w:rPr>
        <w:t> </w:t>
      </w:r>
      <w:r>
        <w:rPr/>
        <w:t>A.</w:t>
      </w:r>
      <w:r>
        <w:rPr>
          <w:spacing w:val="-4"/>
        </w:rPr>
        <w:t> </w:t>
      </w:r>
      <w:r>
        <w:rPr/>
        <w:t>Reed</w:t>
      </w:r>
      <w:r>
        <w:rPr>
          <w:spacing w:val="-4"/>
        </w:rPr>
        <w:t> </w:t>
      </w:r>
      <w:r>
        <w:rPr/>
        <w:t>&amp;</w:t>
      </w:r>
      <w:r>
        <w:rPr>
          <w:spacing w:val="-4"/>
        </w:rPr>
        <w:t> </w:t>
      </w:r>
      <w:r>
        <w:rPr/>
        <w:t>M. Forehand (Eds.), Handbook of research on identity theory in marketing (pp. 186–198). Edward Elgar Publishing.</w:t>
      </w:r>
    </w:p>
    <w:p>
      <w:pPr>
        <w:pStyle w:val="BodyText"/>
        <w:spacing w:before="55"/>
      </w:pPr>
    </w:p>
    <w:p>
      <w:pPr>
        <w:pStyle w:val="BodyText"/>
        <w:spacing w:line="264" w:lineRule="auto"/>
        <w:ind w:left="723" w:right="1191" w:firstLine="15"/>
      </w:pPr>
      <w:r>
        <w:rPr/>
        <w:t>Sanders,</w:t>
      </w:r>
      <w:r>
        <w:rPr>
          <w:spacing w:val="-9"/>
        </w:rPr>
        <w:t> </w:t>
      </w:r>
      <w:r>
        <w:rPr/>
        <w:t>A.M.F.</w:t>
      </w:r>
      <w:r>
        <w:rPr>
          <w:spacing w:val="-9"/>
        </w:rPr>
        <w:t> </w:t>
      </w:r>
      <w:r>
        <w:rPr/>
        <w:t>2024.</w:t>
      </w:r>
      <w:r>
        <w:rPr>
          <w:spacing w:val="-9"/>
        </w:rPr>
        <w:t> </w:t>
      </w:r>
      <w:r>
        <w:rPr/>
        <w:t>Editor’s</w:t>
      </w:r>
      <w:r>
        <w:rPr>
          <w:spacing w:val="-9"/>
        </w:rPr>
        <w:t> </w:t>
      </w:r>
      <w:r>
        <w:rPr/>
        <w:t>Column:</w:t>
      </w:r>
      <w:r>
        <w:rPr>
          <w:spacing w:val="-9"/>
        </w:rPr>
        <w:t> </w:t>
      </w:r>
      <w:r>
        <w:rPr/>
        <w:t>ADHDing,</w:t>
      </w:r>
      <w:r>
        <w:rPr>
          <w:spacing w:val="-9"/>
        </w:rPr>
        <w:t> </w:t>
      </w:r>
      <w:r>
        <w:rPr/>
        <w:t>One</w:t>
      </w:r>
      <w:r>
        <w:rPr>
          <w:spacing w:val="-9"/>
        </w:rPr>
        <w:t> </w:t>
      </w:r>
      <w:r>
        <w:rPr/>
        <w:t>Year</w:t>
      </w:r>
      <w:r>
        <w:rPr>
          <w:spacing w:val="-9"/>
        </w:rPr>
        <w:t> </w:t>
      </w:r>
      <w:r>
        <w:rPr/>
        <w:t>Later.</w:t>
      </w:r>
      <w:r>
        <w:rPr>
          <w:spacing w:val="-9"/>
        </w:rPr>
        <w:t> </w:t>
      </w:r>
      <w:r>
        <w:rPr/>
        <w:t>TIP:</w:t>
      </w:r>
      <w:r>
        <w:rPr>
          <w:spacing w:val="-9"/>
        </w:rPr>
        <w:t> </w:t>
      </w:r>
      <w:r>
        <w:rPr/>
        <w:t>The</w:t>
      </w:r>
      <w:r>
        <w:rPr>
          <w:spacing w:val="-9"/>
        </w:rPr>
        <w:t> </w:t>
      </w:r>
      <w:r>
        <w:rPr/>
        <w:t>Industrial Organizational Psychologist 62, 1 (2024).</w:t>
      </w:r>
    </w:p>
    <w:p>
      <w:pPr>
        <w:pStyle w:val="BodyText"/>
        <w:spacing w:before="54"/>
      </w:pPr>
    </w:p>
    <w:p>
      <w:pPr>
        <w:spacing w:line="266" w:lineRule="auto" w:before="0"/>
        <w:ind w:left="723" w:right="1381" w:firstLine="15"/>
        <w:jc w:val="left"/>
        <w:rPr>
          <w:sz w:val="24"/>
        </w:rPr>
      </w:pPr>
      <w:r>
        <w:rPr>
          <w:color w:val="212121"/>
          <w:sz w:val="24"/>
        </w:rPr>
        <w:t>Snyder,</w:t>
      </w:r>
      <w:r>
        <w:rPr>
          <w:color w:val="212121"/>
          <w:spacing w:val="-7"/>
          <w:sz w:val="24"/>
        </w:rPr>
        <w:t> </w:t>
      </w:r>
      <w:r>
        <w:rPr>
          <w:color w:val="212121"/>
          <w:sz w:val="24"/>
        </w:rPr>
        <w:t>D.</w:t>
      </w:r>
      <w:r>
        <w:rPr>
          <w:color w:val="212121"/>
          <w:spacing w:val="-7"/>
          <w:sz w:val="24"/>
        </w:rPr>
        <w:t> </w:t>
      </w:r>
      <w:r>
        <w:rPr>
          <w:color w:val="212121"/>
          <w:sz w:val="24"/>
        </w:rPr>
        <w:t>G.,</w:t>
      </w:r>
      <w:r>
        <w:rPr>
          <w:color w:val="212121"/>
          <w:spacing w:val="-7"/>
          <w:sz w:val="24"/>
        </w:rPr>
        <w:t> </w:t>
      </w:r>
      <w:r>
        <w:rPr>
          <w:color w:val="212121"/>
          <w:sz w:val="24"/>
        </w:rPr>
        <w:t>&amp;</w:t>
      </w:r>
      <w:r>
        <w:rPr>
          <w:color w:val="212121"/>
          <w:spacing w:val="-7"/>
          <w:sz w:val="24"/>
        </w:rPr>
        <w:t> </w:t>
      </w:r>
      <w:r>
        <w:rPr>
          <w:color w:val="212121"/>
          <w:sz w:val="24"/>
        </w:rPr>
        <w:t>Newman,</w:t>
      </w:r>
      <w:r>
        <w:rPr>
          <w:color w:val="212121"/>
          <w:spacing w:val="-7"/>
          <w:sz w:val="24"/>
        </w:rPr>
        <w:t> </w:t>
      </w:r>
      <w:r>
        <w:rPr>
          <w:color w:val="212121"/>
          <w:sz w:val="24"/>
        </w:rPr>
        <w:t>K.</w:t>
      </w:r>
      <w:r>
        <w:rPr>
          <w:color w:val="212121"/>
          <w:spacing w:val="-7"/>
          <w:sz w:val="24"/>
        </w:rPr>
        <w:t> </w:t>
      </w:r>
      <w:r>
        <w:rPr>
          <w:color w:val="212121"/>
          <w:sz w:val="24"/>
        </w:rPr>
        <w:t>P.</w:t>
      </w:r>
      <w:r>
        <w:rPr>
          <w:color w:val="212121"/>
          <w:spacing w:val="-7"/>
          <w:sz w:val="24"/>
        </w:rPr>
        <w:t> </w:t>
      </w:r>
      <w:r>
        <w:rPr>
          <w:color w:val="212121"/>
          <w:sz w:val="24"/>
        </w:rPr>
        <w:t>(2019).</w:t>
      </w:r>
      <w:r>
        <w:rPr>
          <w:color w:val="212121"/>
          <w:spacing w:val="-7"/>
          <w:sz w:val="24"/>
        </w:rPr>
        <w:t> </w:t>
      </w:r>
      <w:r>
        <w:rPr>
          <w:color w:val="212121"/>
          <w:sz w:val="24"/>
        </w:rPr>
        <w:t>Reducing</w:t>
      </w:r>
      <w:r>
        <w:rPr>
          <w:color w:val="212121"/>
          <w:spacing w:val="-7"/>
          <w:sz w:val="24"/>
        </w:rPr>
        <w:t> </w:t>
      </w:r>
      <w:r>
        <w:rPr>
          <w:color w:val="212121"/>
          <w:sz w:val="24"/>
        </w:rPr>
        <w:t>consumer</w:t>
      </w:r>
      <w:r>
        <w:rPr>
          <w:color w:val="212121"/>
          <w:spacing w:val="-7"/>
          <w:sz w:val="24"/>
        </w:rPr>
        <w:t> </w:t>
      </w:r>
      <w:r>
        <w:rPr>
          <w:color w:val="212121"/>
          <w:sz w:val="24"/>
        </w:rPr>
        <w:t>loneliness</w:t>
      </w:r>
      <w:r>
        <w:rPr>
          <w:color w:val="212121"/>
          <w:spacing w:val="-7"/>
          <w:sz w:val="24"/>
        </w:rPr>
        <w:t> </w:t>
      </w:r>
      <w:r>
        <w:rPr>
          <w:color w:val="212121"/>
          <w:sz w:val="24"/>
        </w:rPr>
        <w:t>through</w:t>
      </w:r>
      <w:r>
        <w:rPr>
          <w:color w:val="212121"/>
          <w:spacing w:val="-7"/>
          <w:sz w:val="24"/>
        </w:rPr>
        <w:t> </w:t>
      </w:r>
      <w:r>
        <w:rPr>
          <w:color w:val="212121"/>
          <w:sz w:val="24"/>
        </w:rPr>
        <w:t>brand communities. </w:t>
      </w:r>
      <w:r>
        <w:rPr>
          <w:i/>
          <w:color w:val="212121"/>
          <w:sz w:val="24"/>
        </w:rPr>
        <w:t>Journal of Consumer Marketing</w:t>
      </w:r>
      <w:r>
        <w:rPr>
          <w:color w:val="212121"/>
          <w:sz w:val="24"/>
        </w:rPr>
        <w:t>, </w:t>
      </w:r>
      <w:r>
        <w:rPr>
          <w:i/>
          <w:color w:val="212121"/>
          <w:sz w:val="24"/>
        </w:rPr>
        <w:t>36</w:t>
      </w:r>
      <w:r>
        <w:rPr>
          <w:color w:val="212121"/>
          <w:sz w:val="24"/>
        </w:rPr>
        <w:t>(2), 337-347.</w:t>
      </w:r>
    </w:p>
    <w:p>
      <w:pPr>
        <w:spacing w:after="0" w:line="266" w:lineRule="auto"/>
        <w:jc w:val="left"/>
        <w:rPr>
          <w:sz w:val="24"/>
        </w:rPr>
        <w:sectPr>
          <w:pgSz w:w="12240" w:h="15840"/>
          <w:pgMar w:header="0" w:footer="712" w:top="640" w:bottom="960" w:left="720" w:right="0"/>
        </w:sectPr>
      </w:pPr>
    </w:p>
    <w:p>
      <w:pPr>
        <w:pStyle w:val="Heading3"/>
        <w:spacing w:before="70"/>
        <w:ind w:right="624"/>
      </w:pPr>
      <w:bookmarkStart w:name="Drones as an Attack Vector in an Enterpr" w:id="87"/>
      <w:bookmarkEnd w:id="87"/>
      <w:r>
        <w:rPr>
          <w:b w:val="0"/>
        </w:rPr>
      </w:r>
      <w:bookmarkStart w:name="h.q7sdynf26wjq" w:id="88"/>
      <w:bookmarkEnd w:id="88"/>
      <w:r>
        <w:rPr>
          <w:b w:val="0"/>
        </w:rPr>
      </w:r>
      <w:r>
        <w:rPr/>
        <w:t>Drones</w:t>
      </w:r>
      <w:r>
        <w:rPr>
          <w:spacing w:val="-11"/>
        </w:rPr>
        <w:t> </w:t>
      </w:r>
      <w:r>
        <w:rPr/>
        <w:t>as</w:t>
      </w:r>
      <w:r>
        <w:rPr>
          <w:spacing w:val="-8"/>
        </w:rPr>
        <w:t> </w:t>
      </w:r>
      <w:r>
        <w:rPr/>
        <w:t>an</w:t>
      </w:r>
      <w:r>
        <w:rPr>
          <w:spacing w:val="-8"/>
        </w:rPr>
        <w:t> </w:t>
      </w:r>
      <w:r>
        <w:rPr/>
        <w:t>Attack</w:t>
      </w:r>
      <w:r>
        <w:rPr>
          <w:spacing w:val="-8"/>
        </w:rPr>
        <w:t> </w:t>
      </w:r>
      <w:r>
        <w:rPr/>
        <w:t>Vector</w:t>
      </w:r>
      <w:r>
        <w:rPr>
          <w:spacing w:val="-9"/>
        </w:rPr>
        <w:t> </w:t>
      </w:r>
      <w:r>
        <w:rPr/>
        <w:t>in</w:t>
      </w:r>
      <w:r>
        <w:rPr>
          <w:spacing w:val="-8"/>
        </w:rPr>
        <w:t> </w:t>
      </w:r>
      <w:r>
        <w:rPr/>
        <w:t>an</w:t>
      </w:r>
      <w:r>
        <w:rPr>
          <w:spacing w:val="-8"/>
        </w:rPr>
        <w:t> </w:t>
      </w:r>
      <w:r>
        <w:rPr/>
        <w:t>Enterprise</w:t>
      </w:r>
      <w:r>
        <w:rPr>
          <w:spacing w:val="-8"/>
        </w:rPr>
        <w:t> </w:t>
      </w:r>
      <w:r>
        <w:rPr>
          <w:spacing w:val="-2"/>
        </w:rPr>
        <w:t>Context</w:t>
      </w:r>
    </w:p>
    <w:p>
      <w:pPr>
        <w:pStyle w:val="BodyText"/>
        <w:spacing w:before="288"/>
        <w:ind w:left="3858" w:right="4533"/>
        <w:jc w:val="center"/>
      </w:pPr>
      <w:r>
        <w:rPr/>
        <w:t>Lucien</w:t>
      </w:r>
      <w:r>
        <w:rPr>
          <w:spacing w:val="-15"/>
        </w:rPr>
        <w:t> </w:t>
      </w:r>
      <w:r>
        <w:rPr/>
        <w:t>Adam</w:t>
      </w:r>
      <w:r>
        <w:rPr>
          <w:spacing w:val="-15"/>
        </w:rPr>
        <w:t> </w:t>
      </w:r>
      <w:r>
        <w:rPr/>
        <w:t>Alexandre</w:t>
      </w:r>
      <w:r>
        <w:rPr>
          <w:spacing w:val="-15"/>
        </w:rPr>
        <w:t> </w:t>
      </w:r>
      <w:r>
        <w:rPr/>
        <w:t>Verdun Department of Computing</w:t>
      </w:r>
    </w:p>
    <w:p>
      <w:pPr>
        <w:pStyle w:val="BodyText"/>
        <w:ind w:left="3512" w:right="4217"/>
        <w:jc w:val="center"/>
      </w:pPr>
      <w:r>
        <w:rPr/>
        <w:t>College</w:t>
      </w:r>
      <w:r>
        <w:rPr>
          <w:spacing w:val="-14"/>
        </w:rPr>
        <w:t> </w:t>
      </w:r>
      <w:r>
        <w:rPr/>
        <w:t>of</w:t>
      </w:r>
      <w:r>
        <w:rPr>
          <w:spacing w:val="-14"/>
        </w:rPr>
        <w:t> </w:t>
      </w:r>
      <w:r>
        <w:rPr/>
        <w:t>Business</w:t>
      </w:r>
      <w:r>
        <w:rPr>
          <w:spacing w:val="-14"/>
        </w:rPr>
        <w:t> </w:t>
      </w:r>
      <w:r>
        <w:rPr/>
        <w:t>and</w:t>
      </w:r>
      <w:r>
        <w:rPr>
          <w:spacing w:val="-14"/>
        </w:rPr>
        <w:t> </w:t>
      </w:r>
      <w:r>
        <w:rPr/>
        <w:t>Technology East Tennessee State University Johnson City, TN 37604 </w:t>
      </w:r>
      <w:hyperlink r:id="rId194">
        <w:r>
          <w:rPr>
            <w:spacing w:val="-2"/>
          </w:rPr>
          <w:t>Verdun@etsu.edu</w:t>
        </w:r>
      </w:hyperlink>
    </w:p>
    <w:p>
      <w:pPr>
        <w:pStyle w:val="BodyText"/>
        <w:ind w:right="714"/>
        <w:jc w:val="center"/>
      </w:pPr>
      <w:r>
        <w:rPr/>
        <w:t>225.209.8201 (contact </w:t>
      </w:r>
      <w:r>
        <w:rPr>
          <w:spacing w:val="-2"/>
        </w:rPr>
        <w:t>author)</w:t>
      </w:r>
    </w:p>
    <w:p>
      <w:pPr>
        <w:pStyle w:val="BodyText"/>
        <w:spacing w:before="273"/>
        <w:ind w:left="4143" w:right="4841" w:hanging="21"/>
        <w:jc w:val="center"/>
      </w:pPr>
      <w:r>
        <w:rPr/>
        <w:t>Michael Lehrfeld Department</w:t>
      </w:r>
      <w:r>
        <w:rPr>
          <w:spacing w:val="-15"/>
        </w:rPr>
        <w:t> </w:t>
      </w:r>
      <w:r>
        <w:rPr/>
        <w:t>of</w:t>
      </w:r>
      <w:r>
        <w:rPr>
          <w:spacing w:val="-15"/>
        </w:rPr>
        <w:t> </w:t>
      </w:r>
      <w:r>
        <w:rPr/>
        <w:t>Computing</w:t>
      </w:r>
    </w:p>
    <w:p>
      <w:pPr>
        <w:pStyle w:val="BodyText"/>
        <w:ind w:left="3512" w:right="4217"/>
        <w:jc w:val="center"/>
      </w:pPr>
      <w:r>
        <w:rPr/>
        <w:t>College</w:t>
      </w:r>
      <w:r>
        <w:rPr>
          <w:spacing w:val="-14"/>
        </w:rPr>
        <w:t> </w:t>
      </w:r>
      <w:r>
        <w:rPr/>
        <w:t>of</w:t>
      </w:r>
      <w:r>
        <w:rPr>
          <w:spacing w:val="-14"/>
        </w:rPr>
        <w:t> </w:t>
      </w:r>
      <w:r>
        <w:rPr/>
        <w:t>Business</w:t>
      </w:r>
      <w:r>
        <w:rPr>
          <w:spacing w:val="-14"/>
        </w:rPr>
        <w:t> </w:t>
      </w:r>
      <w:r>
        <w:rPr/>
        <w:t>and</w:t>
      </w:r>
      <w:r>
        <w:rPr>
          <w:spacing w:val="-14"/>
        </w:rPr>
        <w:t> </w:t>
      </w:r>
      <w:r>
        <w:rPr/>
        <w:t>Technology Johnson City TN 37604 </w:t>
      </w:r>
      <w:hyperlink r:id="rId195">
        <w:r>
          <w:rPr>
            <w:spacing w:val="-2"/>
          </w:rPr>
          <w:t>lehrfeld@etsu.edu</w:t>
        </w:r>
      </w:hyperlink>
    </w:p>
    <w:p>
      <w:pPr>
        <w:pStyle w:val="BodyText"/>
        <w:ind w:right="710"/>
        <w:jc w:val="center"/>
      </w:pPr>
      <w:r>
        <w:rPr>
          <w:spacing w:val="-2"/>
        </w:rPr>
        <w:t>423.439.5347</w:t>
      </w:r>
    </w:p>
    <w:p>
      <w:pPr>
        <w:pStyle w:val="BodyText"/>
        <w:ind w:right="5255"/>
        <w:jc w:val="center"/>
      </w:pPr>
      <w:r>
        <w:rPr>
          <w:spacing w:val="-2"/>
        </w:rPr>
        <w:t>Key</w:t>
      </w:r>
      <w:r>
        <w:rPr>
          <w:spacing w:val="-3"/>
        </w:rPr>
        <w:t> </w:t>
      </w:r>
      <w:r>
        <w:rPr>
          <w:spacing w:val="-2"/>
        </w:rPr>
        <w:t>words: Cybersecurity,</w:t>
      </w:r>
      <w:r>
        <w:rPr>
          <w:spacing w:val="-3"/>
        </w:rPr>
        <w:t> </w:t>
      </w:r>
      <w:r>
        <w:rPr>
          <w:spacing w:val="-2"/>
        </w:rPr>
        <w:t>UAV, drone, enterprise</w:t>
      </w:r>
    </w:p>
    <w:p>
      <w:pPr>
        <w:pStyle w:val="Heading4"/>
        <w:spacing w:before="276"/>
      </w:pPr>
      <w:r>
        <w:rPr>
          <w:spacing w:val="-2"/>
        </w:rPr>
        <w:t>Introduction</w:t>
      </w:r>
    </w:p>
    <w:p>
      <w:pPr>
        <w:pStyle w:val="BodyText"/>
        <w:spacing w:line="230" w:lineRule="auto" w:before="156"/>
        <w:ind w:left="723" w:right="1447" w:firstLine="60"/>
        <w:jc w:val="both"/>
      </w:pPr>
      <w:r>
        <w:rPr/>
        <w:t>This paper serves to summarize the current threat level of Unmanned Aerial Vehicles (UAVs), especially</w:t>
      </w:r>
      <w:r>
        <w:rPr>
          <w:spacing w:val="-1"/>
        </w:rPr>
        <w:t> </w:t>
      </w:r>
      <w:r>
        <w:rPr/>
        <w:t>to</w:t>
      </w:r>
      <w:r>
        <w:rPr>
          <w:spacing w:val="-1"/>
        </w:rPr>
        <w:t> </w:t>
      </w:r>
      <w:r>
        <w:rPr/>
        <w:t>mid-to-large</w:t>
      </w:r>
      <w:r>
        <w:rPr>
          <w:spacing w:val="-1"/>
        </w:rPr>
        <w:t> </w:t>
      </w:r>
      <w:r>
        <w:rPr/>
        <w:t>organizations</w:t>
      </w:r>
      <w:r>
        <w:rPr>
          <w:spacing w:val="-1"/>
        </w:rPr>
        <w:t> </w:t>
      </w:r>
      <w:r>
        <w:rPr/>
        <w:t>with</w:t>
      </w:r>
      <w:r>
        <w:rPr>
          <w:spacing w:val="-1"/>
        </w:rPr>
        <w:t> </w:t>
      </w:r>
      <w:r>
        <w:rPr/>
        <w:t>similarly</w:t>
      </w:r>
      <w:r>
        <w:rPr>
          <w:spacing w:val="-1"/>
        </w:rPr>
        <w:t> </w:t>
      </w:r>
      <w:r>
        <w:rPr/>
        <w:t>sized</w:t>
      </w:r>
      <w:r>
        <w:rPr>
          <w:spacing w:val="-1"/>
        </w:rPr>
        <w:t> </w:t>
      </w:r>
      <w:r>
        <w:rPr/>
        <w:t>networks</w:t>
      </w:r>
      <w:r>
        <w:rPr>
          <w:spacing w:val="-1"/>
        </w:rPr>
        <w:t> </w:t>
      </w:r>
      <w:r>
        <w:rPr/>
        <w:t>(referred</w:t>
      </w:r>
      <w:r>
        <w:rPr>
          <w:spacing w:val="-1"/>
        </w:rPr>
        <w:t> </w:t>
      </w:r>
      <w:r>
        <w:rPr/>
        <w:t>to</w:t>
      </w:r>
      <w:r>
        <w:rPr>
          <w:spacing w:val="-1"/>
        </w:rPr>
        <w:t> </w:t>
      </w:r>
      <w:r>
        <w:rPr/>
        <w:t>as </w:t>
      </w:r>
      <w:r>
        <w:rPr>
          <w:spacing w:val="-2"/>
        </w:rPr>
        <w:t>enterprises).</w:t>
      </w:r>
    </w:p>
    <w:p>
      <w:pPr>
        <w:pStyle w:val="BodyText"/>
        <w:spacing w:line="230" w:lineRule="auto" w:before="165"/>
        <w:ind w:left="723" w:right="1378"/>
        <w:jc w:val="both"/>
      </w:pPr>
      <w:r>
        <w:rPr/>
        <w:t>Enterprises have a unique vulnerability to UAV supported attacks by nature of their often-</w:t>
      </w:r>
      <w:r>
        <w:rPr/>
        <w:t>large physical locations, assumed swaths of wireless connections, and</w:t>
      </w:r>
      <w:r>
        <w:rPr>
          <w:spacing w:val="-3"/>
        </w:rPr>
        <w:t> </w:t>
      </w:r>
      <w:r>
        <w:rPr/>
        <w:t>valuable</w:t>
      </w:r>
      <w:r>
        <w:rPr>
          <w:spacing w:val="-3"/>
        </w:rPr>
        <w:t> </w:t>
      </w:r>
      <w:r>
        <w:rPr/>
        <w:t>targets</w:t>
      </w:r>
      <w:r>
        <w:rPr>
          <w:spacing w:val="-3"/>
        </w:rPr>
        <w:t> </w:t>
      </w:r>
      <w:r>
        <w:rPr/>
        <w:t>which</w:t>
      </w:r>
      <w:r>
        <w:rPr>
          <w:spacing w:val="-3"/>
        </w:rPr>
        <w:t> </w:t>
      </w:r>
      <w:r>
        <w:rPr/>
        <w:t>prompt</w:t>
      </w:r>
      <w:r>
        <w:rPr>
          <w:spacing w:val="-3"/>
        </w:rPr>
        <w:t> </w:t>
      </w:r>
      <w:r>
        <w:rPr/>
        <w:t>a higher cost attack. UAVs are capable of quick locomotion as well as wireless connection and generation which exploit these factors. The greatest threat UAVs present is inherent lack of understanding of UAV attack vectors as these attack vectors fall between the cracks of multiple fields of study, which results in gaps in research, standards, and techniques. Although physical and</w:t>
      </w:r>
      <w:r>
        <w:rPr>
          <w:spacing w:val="40"/>
        </w:rPr>
        <w:t> </w:t>
      </w:r>
      <w:r>
        <w:rPr/>
        <w:t>electronic warfare-based countermeasures exist, they are expensive and often provided as</w:t>
      </w:r>
      <w:r>
        <w:rPr>
          <w:spacing w:val="-2"/>
        </w:rPr>
        <w:t> </w:t>
      </w:r>
      <w:r>
        <w:rPr/>
        <w:t>a paid</w:t>
      </w:r>
      <w:r>
        <w:rPr>
          <w:spacing w:val="40"/>
        </w:rPr>
        <w:t> </w:t>
      </w:r>
      <w:r>
        <w:rPr/>
        <w:t>service to enterprises. This reduces overall security across industry as many enterprises cannot or</w:t>
      </w:r>
      <w:r>
        <w:rPr>
          <w:spacing w:val="40"/>
        </w:rPr>
        <w:t> </w:t>
      </w:r>
      <w:r>
        <w:rPr/>
        <w:t>will not expend such cost on such specific cybersecurity infrastructure. Additionally, some of the</w:t>
      </w:r>
      <w:r>
        <w:rPr>
          <w:spacing w:val="80"/>
        </w:rPr>
        <w:t> </w:t>
      </w:r>
      <w:r>
        <w:rPr/>
        <w:t>more effective anti-UAV technologies are restricted, as is the case in the United States, where The</w:t>
      </w:r>
      <w:r>
        <w:rPr>
          <w:spacing w:val="40"/>
        </w:rPr>
        <w:t> </w:t>
      </w:r>
      <w:r>
        <w:rPr/>
        <w:t>Computer Fraud and Abuse Act (CFAA) 18 U.S.C. § 1030 and Interference with the Operation of</w:t>
      </w:r>
      <w:r>
        <w:rPr>
          <w:spacing w:val="40"/>
        </w:rPr>
        <w:t> </w:t>
      </w:r>
      <w:r>
        <w:rPr/>
        <w:t>a Satellite 18 U.S.C. § 1367 Act disallow non-federal entities without express permission to use</w:t>
      </w:r>
      <w:r>
        <w:rPr>
          <w:spacing w:val="40"/>
        </w:rPr>
        <w:t> </w:t>
      </w:r>
      <w:r>
        <w:rPr/>
        <w:t>direct mitigation</w:t>
      </w:r>
      <w:r>
        <w:rPr>
          <w:spacing w:val="-5"/>
        </w:rPr>
        <w:t> </w:t>
      </w:r>
      <w:r>
        <w:rPr/>
        <w:t>against</w:t>
      </w:r>
      <w:r>
        <w:rPr>
          <w:spacing w:val="-5"/>
        </w:rPr>
        <w:t> </w:t>
      </w:r>
      <w:r>
        <w:rPr/>
        <w:t>UAVs.</w:t>
      </w:r>
      <w:r>
        <w:rPr>
          <w:spacing w:val="-5"/>
        </w:rPr>
        <w:t> </w:t>
      </w:r>
      <w:r>
        <w:rPr/>
        <w:t>Moreover,</w:t>
      </w:r>
      <w:r>
        <w:rPr>
          <w:spacing w:val="-5"/>
        </w:rPr>
        <w:t> </w:t>
      </w:r>
      <w:r>
        <w:rPr/>
        <w:t>there</w:t>
      </w:r>
      <w:r>
        <w:rPr>
          <w:spacing w:val="-5"/>
        </w:rPr>
        <w:t> </w:t>
      </w:r>
      <w:r>
        <w:rPr/>
        <w:t>is</w:t>
      </w:r>
      <w:r>
        <w:rPr>
          <w:spacing w:val="-5"/>
        </w:rPr>
        <w:t> </w:t>
      </w:r>
      <w:r>
        <w:rPr/>
        <w:t>an</w:t>
      </w:r>
      <w:r>
        <w:rPr>
          <w:spacing w:val="-5"/>
        </w:rPr>
        <w:t> </w:t>
      </w:r>
      <w:r>
        <w:rPr/>
        <w:t>apparent</w:t>
      </w:r>
      <w:r>
        <w:rPr>
          <w:spacing w:val="-5"/>
        </w:rPr>
        <w:t> </w:t>
      </w:r>
      <w:r>
        <w:rPr/>
        <w:t>lack</w:t>
      </w:r>
      <w:r>
        <w:rPr>
          <w:spacing w:val="-5"/>
        </w:rPr>
        <w:t> </w:t>
      </w:r>
      <w:r>
        <w:rPr/>
        <w:t>of academic research related</w:t>
      </w:r>
      <w:r>
        <w:rPr>
          <w:spacing w:val="80"/>
        </w:rPr>
        <w:t> </w:t>
      </w:r>
      <w:r>
        <w:rPr/>
        <w:t>to UAVs as an attack vector, with most of the literature being related to cyber security principles</w:t>
      </w:r>
      <w:r>
        <w:rPr>
          <w:spacing w:val="40"/>
        </w:rPr>
        <w:t> </w:t>
      </w:r>
      <w:r>
        <w:rPr/>
        <w:t>and concepts as they relate to the defense of the Internet of Drones (IoD) itself against attacks. As</w:t>
      </w:r>
      <w:r>
        <w:rPr>
          <w:spacing w:val="40"/>
        </w:rPr>
        <w:t> </w:t>
      </w:r>
      <w:r>
        <w:rPr/>
        <w:t>of January 12, 2026, the Department of Homeland Security acknowledged these threats, with focus</w:t>
      </w:r>
      <w:r>
        <w:rPr>
          <w:spacing w:val="40"/>
        </w:rPr>
        <w:t> </w:t>
      </w:r>
      <w:r>
        <w:rPr/>
        <w:t>on public events as a target, by</w:t>
      </w:r>
      <w:r>
        <w:rPr>
          <w:spacing w:val="-2"/>
        </w:rPr>
        <w:t> </w:t>
      </w:r>
      <w:r>
        <w:rPr/>
        <w:t>creating</w:t>
      </w:r>
      <w:r>
        <w:rPr>
          <w:spacing w:val="-2"/>
        </w:rPr>
        <w:t> </w:t>
      </w:r>
      <w:r>
        <w:rPr/>
        <w:t>several</w:t>
      </w:r>
      <w:r>
        <w:rPr>
          <w:spacing w:val="-2"/>
        </w:rPr>
        <w:t> </w:t>
      </w:r>
      <w:r>
        <w:rPr/>
        <w:t>funding opportunities for related research. This</w:t>
      </w:r>
      <w:r>
        <w:rPr>
          <w:spacing w:val="40"/>
        </w:rPr>
        <w:t> </w:t>
      </w:r>
      <w:r>
        <w:rPr/>
        <w:t>leads to the purpose of this paper: to give a review of known research, presenting a high-level</w:t>
      </w:r>
      <w:r>
        <w:rPr>
          <w:spacing w:val="40"/>
        </w:rPr>
        <w:t> </w:t>
      </w:r>
      <w:r>
        <w:rPr/>
        <w:t>understanding of and classification</w:t>
      </w:r>
      <w:r>
        <w:rPr>
          <w:spacing w:val="-5"/>
        </w:rPr>
        <w:t> </w:t>
      </w:r>
      <w:r>
        <w:rPr/>
        <w:t>of</w:t>
      </w:r>
      <w:r>
        <w:rPr>
          <w:spacing w:val="-5"/>
        </w:rPr>
        <w:t> </w:t>
      </w:r>
      <w:r>
        <w:rPr/>
        <w:t>how</w:t>
      </w:r>
      <w:r>
        <w:rPr>
          <w:spacing w:val="-5"/>
        </w:rPr>
        <w:t> </w:t>
      </w:r>
      <w:r>
        <w:rPr/>
        <w:t>UAVs</w:t>
      </w:r>
      <w:r>
        <w:rPr>
          <w:spacing w:val="-5"/>
        </w:rPr>
        <w:t> </w:t>
      </w:r>
      <w:r>
        <w:rPr/>
        <w:t>act</w:t>
      </w:r>
      <w:r>
        <w:rPr>
          <w:spacing w:val="-5"/>
        </w:rPr>
        <w:t> </w:t>
      </w:r>
      <w:r>
        <w:rPr/>
        <w:t>as attack vectors, and then propose low-cost</w:t>
      </w:r>
      <w:r>
        <w:rPr>
          <w:spacing w:val="80"/>
        </w:rPr>
        <w:t> </w:t>
      </w:r>
      <w:r>
        <w:rPr/>
        <w:t>methods of mitigation for enterprise level security using peer reviewed research, case studies, and</w:t>
      </w:r>
      <w:r>
        <w:rPr>
          <w:spacing w:val="40"/>
        </w:rPr>
        <w:t> </w:t>
      </w:r>
      <w:r>
        <w:rPr/>
        <w:t>a simulated drone experiment.</w:t>
      </w:r>
    </w:p>
    <w:p>
      <w:pPr>
        <w:pStyle w:val="Heading4"/>
        <w:spacing w:before="154"/>
      </w:pPr>
      <w:r>
        <w:rPr/>
        <w:t>Literature</w:t>
      </w:r>
      <w:r>
        <w:rPr>
          <w:spacing w:val="-5"/>
        </w:rPr>
        <w:t> </w:t>
      </w:r>
      <w:r>
        <w:rPr>
          <w:spacing w:val="-2"/>
        </w:rPr>
        <w:t>Overview</w:t>
      </w:r>
    </w:p>
    <w:p>
      <w:pPr>
        <w:pStyle w:val="BodyText"/>
        <w:spacing w:line="230" w:lineRule="auto" w:before="157"/>
        <w:ind w:left="723" w:right="1382"/>
        <w:jc w:val="both"/>
      </w:pPr>
      <w:r>
        <w:rPr/>
        <w:t>A selection of peer-reviewed research was used</w:t>
      </w:r>
      <w:r>
        <w:rPr>
          <w:spacing w:val="-3"/>
        </w:rPr>
        <w:t> </w:t>
      </w:r>
      <w:r>
        <w:rPr/>
        <w:t>to</w:t>
      </w:r>
      <w:r>
        <w:rPr>
          <w:spacing w:val="-3"/>
        </w:rPr>
        <w:t> </w:t>
      </w:r>
      <w:r>
        <w:rPr/>
        <w:t>construct</w:t>
      </w:r>
      <w:r>
        <w:rPr>
          <w:spacing w:val="-3"/>
        </w:rPr>
        <w:t> </w:t>
      </w:r>
      <w:r>
        <w:rPr/>
        <w:t>an</w:t>
      </w:r>
      <w:r>
        <w:rPr>
          <w:spacing w:val="-3"/>
        </w:rPr>
        <w:t> </w:t>
      </w:r>
      <w:r>
        <w:rPr/>
        <w:t>understanding</w:t>
      </w:r>
      <w:r>
        <w:rPr>
          <w:spacing w:val="-3"/>
        </w:rPr>
        <w:t> </w:t>
      </w:r>
      <w:r>
        <w:rPr/>
        <w:t>of</w:t>
      </w:r>
      <w:r>
        <w:rPr>
          <w:spacing w:val="-3"/>
        </w:rPr>
        <w:t> </w:t>
      </w:r>
      <w:r>
        <w:rPr/>
        <w:t>the</w:t>
      </w:r>
      <w:r>
        <w:rPr>
          <w:spacing w:val="-3"/>
        </w:rPr>
        <w:t> </w:t>
      </w:r>
      <w:r>
        <w:rPr/>
        <w:t>current</w:t>
      </w:r>
      <w:r>
        <w:rPr>
          <w:spacing w:val="-3"/>
        </w:rPr>
        <w:t> </w:t>
      </w:r>
      <w:r>
        <w:rPr/>
        <w:t>state of UAV attack</w:t>
      </w:r>
      <w:r>
        <w:rPr>
          <w:spacing w:val="-5"/>
        </w:rPr>
        <w:t> </w:t>
      </w:r>
      <w:r>
        <w:rPr/>
        <w:t>vectors.</w:t>
      </w:r>
      <w:r>
        <w:rPr>
          <w:spacing w:val="-5"/>
        </w:rPr>
        <w:t> </w:t>
      </w:r>
      <w:r>
        <w:rPr/>
        <w:t>Many</w:t>
      </w:r>
      <w:r>
        <w:rPr>
          <w:spacing w:val="-5"/>
        </w:rPr>
        <w:t> </w:t>
      </w:r>
      <w:r>
        <w:rPr/>
        <w:t>of</w:t>
      </w:r>
      <w:r>
        <w:rPr>
          <w:spacing w:val="-5"/>
        </w:rPr>
        <w:t> </w:t>
      </w:r>
      <w:r>
        <w:rPr/>
        <w:t>these</w:t>
      </w:r>
      <w:r>
        <w:rPr>
          <w:spacing w:val="-5"/>
        </w:rPr>
        <w:t> </w:t>
      </w:r>
      <w:r>
        <w:rPr/>
        <w:t>papers</w:t>
      </w:r>
      <w:r>
        <w:rPr>
          <w:spacing w:val="-5"/>
        </w:rPr>
        <w:t> </w:t>
      </w:r>
      <w:r>
        <w:rPr/>
        <w:t>offered</w:t>
      </w:r>
      <w:r>
        <w:rPr>
          <w:spacing w:val="-5"/>
        </w:rPr>
        <w:t> </w:t>
      </w:r>
      <w:r>
        <w:rPr/>
        <w:t>a</w:t>
      </w:r>
      <w:r>
        <w:rPr>
          <w:spacing w:val="-5"/>
        </w:rPr>
        <w:t> </w:t>
      </w:r>
      <w:r>
        <w:rPr/>
        <w:t>conceptual</w:t>
      </w:r>
      <w:r>
        <w:rPr>
          <w:spacing w:val="-5"/>
        </w:rPr>
        <w:t> </w:t>
      </w:r>
      <w:r>
        <w:rPr/>
        <w:t>review</w:t>
      </w:r>
      <w:r>
        <w:rPr>
          <w:spacing w:val="-5"/>
        </w:rPr>
        <w:t> </w:t>
      </w:r>
      <w:r>
        <w:rPr/>
        <w:t>of</w:t>
      </w:r>
      <w:r>
        <w:rPr>
          <w:spacing w:val="-5"/>
        </w:rPr>
        <w:t> </w:t>
      </w:r>
      <w:r>
        <w:rPr/>
        <w:t>other</w:t>
      </w:r>
      <w:r>
        <w:rPr>
          <w:spacing w:val="-5"/>
        </w:rPr>
        <w:t> </w:t>
      </w:r>
      <w:r>
        <w:rPr/>
        <w:t>literature</w:t>
      </w:r>
      <w:r>
        <w:rPr>
          <w:spacing w:val="-5"/>
        </w:rPr>
        <w:t> </w:t>
      </w:r>
      <w:r>
        <w:rPr/>
        <w:t>in</w:t>
      </w:r>
      <w:r>
        <w:rPr>
          <w:spacing w:val="-5"/>
        </w:rPr>
        <w:t> </w:t>
      </w:r>
      <w:r>
        <w:rPr/>
        <w:t>the field from</w:t>
      </w:r>
      <w:r>
        <w:rPr>
          <w:spacing w:val="-5"/>
        </w:rPr>
        <w:t> </w:t>
      </w:r>
      <w:r>
        <w:rPr/>
        <w:t>the</w:t>
      </w:r>
      <w:r>
        <w:rPr>
          <w:spacing w:val="-5"/>
        </w:rPr>
        <w:t> </w:t>
      </w:r>
      <w:r>
        <w:rPr/>
        <w:t>perspectives</w:t>
      </w:r>
      <w:r>
        <w:rPr>
          <w:spacing w:val="-5"/>
        </w:rPr>
        <w:t> </w:t>
      </w:r>
      <w:r>
        <w:rPr/>
        <w:t>of</w:t>
      </w:r>
      <w:r>
        <w:rPr>
          <w:spacing w:val="-5"/>
        </w:rPr>
        <w:t> </w:t>
      </w:r>
      <w:r>
        <w:rPr/>
        <w:t>Computer</w:t>
      </w:r>
      <w:r>
        <w:rPr>
          <w:spacing w:val="-5"/>
        </w:rPr>
        <w:t> </w:t>
      </w:r>
      <w:r>
        <w:rPr/>
        <w:t>Science,</w:t>
      </w:r>
      <w:r>
        <w:rPr>
          <w:spacing w:val="-5"/>
        </w:rPr>
        <w:t> </w:t>
      </w:r>
      <w:r>
        <w:rPr/>
        <w:t>Financial,</w:t>
      </w:r>
      <w:r>
        <w:rPr>
          <w:spacing w:val="-5"/>
        </w:rPr>
        <w:t> </w:t>
      </w:r>
      <w:r>
        <w:rPr/>
        <w:t>Cybersecurity,</w:t>
      </w:r>
      <w:r>
        <w:rPr>
          <w:spacing w:val="-5"/>
        </w:rPr>
        <w:t> </w:t>
      </w:r>
      <w:r>
        <w:rPr/>
        <w:t>Electrical</w:t>
      </w:r>
      <w:r>
        <w:rPr>
          <w:spacing w:val="-5"/>
        </w:rPr>
        <w:t> </w:t>
      </w:r>
      <w:r>
        <w:rPr/>
        <w:t>Engineering and Chemical Engineering fields of study. As mentioned above, most research examines how to defend and classify attacks against UAVs.</w:t>
      </w:r>
      <w:r>
        <w:rPr>
          <w:spacing w:val="-6"/>
        </w:rPr>
        <w:t> </w:t>
      </w:r>
      <w:r>
        <w:rPr/>
        <w:t>An</w:t>
      </w:r>
      <w:r>
        <w:rPr>
          <w:spacing w:val="-6"/>
        </w:rPr>
        <w:t> </w:t>
      </w:r>
      <w:r>
        <w:rPr/>
        <w:t>overwhelming</w:t>
      </w:r>
      <w:r>
        <w:rPr>
          <w:spacing w:val="-6"/>
        </w:rPr>
        <w:t> </w:t>
      </w:r>
      <w:r>
        <w:rPr/>
        <w:t>trend</w:t>
      </w:r>
      <w:r>
        <w:rPr>
          <w:spacing w:val="-6"/>
        </w:rPr>
        <w:t> </w:t>
      </w:r>
      <w:r>
        <w:rPr/>
        <w:t>in</w:t>
      </w:r>
      <w:r>
        <w:rPr>
          <w:spacing w:val="-6"/>
        </w:rPr>
        <w:t> </w:t>
      </w:r>
      <w:r>
        <w:rPr/>
        <w:t>the</w:t>
      </w:r>
      <w:r>
        <w:rPr>
          <w:spacing w:val="-6"/>
        </w:rPr>
        <w:t> </w:t>
      </w:r>
      <w:r>
        <w:rPr/>
        <w:t>research</w:t>
      </w:r>
      <w:r>
        <w:rPr>
          <w:spacing w:val="-6"/>
        </w:rPr>
        <w:t> </w:t>
      </w:r>
      <w:r>
        <w:rPr/>
        <w:t>was</w:t>
      </w:r>
      <w:r>
        <w:rPr>
          <w:spacing w:val="-6"/>
        </w:rPr>
        <w:t> </w:t>
      </w:r>
      <w:r>
        <w:rPr/>
        <w:t>that</w:t>
      </w:r>
      <w:r>
        <w:rPr>
          <w:spacing w:val="-6"/>
        </w:rPr>
        <w:t> </w:t>
      </w:r>
      <w:r>
        <w:rPr/>
        <w:t>UAVs as a technology were not going to dissipate; many pointed to trends of an ever-growing UAV market</w:t>
      </w:r>
      <w:r>
        <w:rPr>
          <w:spacing w:val="60"/>
        </w:rPr>
        <w:t> </w:t>
      </w:r>
      <w:r>
        <w:rPr/>
        <w:t>with</w:t>
      </w:r>
      <w:r>
        <w:rPr>
          <w:spacing w:val="60"/>
        </w:rPr>
        <w:t> </w:t>
      </w:r>
      <w:r>
        <w:rPr/>
        <w:t>the</w:t>
      </w:r>
      <w:r>
        <w:rPr>
          <w:spacing w:val="60"/>
        </w:rPr>
        <w:t> </w:t>
      </w:r>
      <w:r>
        <w:rPr/>
        <w:t>expectation</w:t>
      </w:r>
      <w:r>
        <w:rPr>
          <w:spacing w:val="60"/>
        </w:rPr>
        <w:t> </w:t>
      </w:r>
      <w:r>
        <w:rPr/>
        <w:t>of</w:t>
      </w:r>
      <w:r>
        <w:rPr>
          <w:spacing w:val="60"/>
        </w:rPr>
        <w:t> </w:t>
      </w:r>
      <w:r>
        <w:rPr/>
        <w:t>a</w:t>
      </w:r>
      <w:r>
        <w:rPr>
          <w:spacing w:val="45"/>
        </w:rPr>
        <w:t> </w:t>
      </w:r>
      <w:r>
        <w:rPr/>
        <w:t>37.18%</w:t>
      </w:r>
      <w:r>
        <w:rPr>
          <w:spacing w:val="45"/>
        </w:rPr>
        <w:t> </w:t>
      </w:r>
      <w:r>
        <w:rPr/>
        <w:t>Compound</w:t>
      </w:r>
      <w:r>
        <w:rPr>
          <w:spacing w:val="45"/>
        </w:rPr>
        <w:t> </w:t>
      </w:r>
      <w:r>
        <w:rPr/>
        <w:t>annual</w:t>
      </w:r>
      <w:r>
        <w:rPr>
          <w:spacing w:val="45"/>
        </w:rPr>
        <w:t> </w:t>
      </w:r>
      <w:r>
        <w:rPr/>
        <w:t>growth</w:t>
      </w:r>
      <w:r>
        <w:rPr>
          <w:spacing w:val="45"/>
        </w:rPr>
        <w:t> </w:t>
      </w:r>
      <w:r>
        <w:rPr/>
        <w:t>rate</w:t>
      </w:r>
      <w:r>
        <w:rPr>
          <w:spacing w:val="45"/>
        </w:rPr>
        <w:t> </w:t>
      </w:r>
      <w:r>
        <w:rPr/>
        <w:t>of</w:t>
      </w:r>
      <w:r>
        <w:rPr>
          <w:spacing w:val="45"/>
        </w:rPr>
        <w:t> </w:t>
      </w:r>
      <w:r>
        <w:rPr/>
        <w:t>the</w:t>
      </w:r>
      <w:r>
        <w:rPr>
          <w:spacing w:val="45"/>
        </w:rPr>
        <w:t> </w:t>
      </w:r>
      <w:r>
        <w:rPr/>
        <w:t>global</w:t>
      </w:r>
      <w:r>
        <w:rPr>
          <w:spacing w:val="45"/>
        </w:rPr>
        <w:t> </w:t>
      </w:r>
      <w:r>
        <w:rPr>
          <w:spacing w:val="-14"/>
        </w:rPr>
        <w:t>UAV</w:t>
      </w:r>
    </w:p>
    <w:p>
      <w:pPr>
        <w:pStyle w:val="BodyText"/>
        <w:spacing w:after="0" w:line="230" w:lineRule="auto"/>
        <w:jc w:val="both"/>
        <w:sectPr>
          <w:pgSz w:w="12240" w:h="15840"/>
          <w:pgMar w:header="0" w:footer="712" w:top="620" w:bottom="900" w:left="720" w:right="0"/>
        </w:sectPr>
      </w:pPr>
    </w:p>
    <w:p>
      <w:pPr>
        <w:pStyle w:val="BodyText"/>
        <w:spacing w:line="230" w:lineRule="auto" w:before="80"/>
        <w:ind w:left="723" w:right="1379"/>
        <w:jc w:val="both"/>
      </w:pPr>
      <w:r>
        <w:rPr/>
        <w:t>market</w:t>
      </w:r>
      <w:r>
        <w:rPr>
          <w:spacing w:val="40"/>
        </w:rPr>
        <w:t> </w:t>
      </w:r>
      <w:r>
        <w:rPr/>
        <w:t>between 2024 and 2035 (Spherical Insights, 2025). Another observation was the </w:t>
      </w:r>
      <w:r>
        <w:rPr/>
        <w:t>further increase</w:t>
      </w:r>
      <w:r>
        <w:rPr>
          <w:spacing w:val="40"/>
        </w:rPr>
        <w:t> </w:t>
      </w:r>
      <w:r>
        <w:rPr/>
        <w:t>in the technology of UAVs in infrastructure, with parts making UAVs become less </w:t>
      </w:r>
      <w:r>
        <w:rPr>
          <w:spacing w:val="-2"/>
        </w:rPr>
        <w:t>costly.</w:t>
      </w:r>
    </w:p>
    <w:p>
      <w:pPr>
        <w:pStyle w:val="BodyText"/>
        <w:spacing w:line="230" w:lineRule="auto" w:before="163"/>
        <w:ind w:left="723" w:right="1381"/>
        <w:jc w:val="both"/>
      </w:pPr>
      <w:r>
        <w:rPr/>
        <w:t>A selection of peer-reviewed research was used</w:t>
      </w:r>
      <w:r>
        <w:rPr>
          <w:spacing w:val="-2"/>
        </w:rPr>
        <w:t> </w:t>
      </w:r>
      <w:r>
        <w:rPr/>
        <w:t>to</w:t>
      </w:r>
      <w:r>
        <w:rPr>
          <w:spacing w:val="-2"/>
        </w:rPr>
        <w:t> </w:t>
      </w:r>
      <w:r>
        <w:rPr/>
        <w:t>construct</w:t>
      </w:r>
      <w:r>
        <w:rPr>
          <w:spacing w:val="-2"/>
        </w:rPr>
        <w:t> </w:t>
      </w:r>
      <w:r>
        <w:rPr/>
        <w:t>an</w:t>
      </w:r>
      <w:r>
        <w:rPr>
          <w:spacing w:val="-2"/>
        </w:rPr>
        <w:t> </w:t>
      </w:r>
      <w:r>
        <w:rPr/>
        <w:t>understanding</w:t>
      </w:r>
      <w:r>
        <w:rPr>
          <w:spacing w:val="-2"/>
        </w:rPr>
        <w:t> </w:t>
      </w:r>
      <w:r>
        <w:rPr/>
        <w:t>of</w:t>
      </w:r>
      <w:r>
        <w:rPr>
          <w:spacing w:val="-2"/>
        </w:rPr>
        <w:t> </w:t>
      </w:r>
      <w:r>
        <w:rPr/>
        <w:t>the</w:t>
      </w:r>
      <w:r>
        <w:rPr>
          <w:spacing w:val="-2"/>
        </w:rPr>
        <w:t> </w:t>
      </w:r>
      <w:r>
        <w:rPr/>
        <w:t>current</w:t>
      </w:r>
      <w:r>
        <w:rPr>
          <w:spacing w:val="-2"/>
        </w:rPr>
        <w:t> </w:t>
      </w:r>
      <w:r>
        <w:rPr/>
        <w:t>state of UAV attack vectors. Many of these studies provide conceptual reviews of existing literature from multiple disciplines, including computer science, cybersecurity, electrical engineering, </w:t>
      </w:r>
      <w:r>
        <w:rPr/>
        <w:t>and infrastructure systems (Tsao et al., 2022; Hjelle &amp; Omli-Moe, 2023). As previously</w:t>
      </w:r>
      <w:r>
        <w:rPr>
          <w:spacing w:val="-4"/>
        </w:rPr>
        <w:t> </w:t>
      </w:r>
      <w:r>
        <w:rPr/>
        <w:t>noted,</w:t>
      </w:r>
      <w:r>
        <w:rPr>
          <w:spacing w:val="-4"/>
        </w:rPr>
        <w:t> </w:t>
      </w:r>
      <w:r>
        <w:rPr/>
        <w:t>much of the existing research focuses on defending UAV systems themselves, rather than analyzing UAVs as tools for conducting cyberattacks.</w:t>
      </w:r>
    </w:p>
    <w:p>
      <w:pPr>
        <w:pStyle w:val="BodyText"/>
        <w:spacing w:line="230" w:lineRule="auto" w:before="163"/>
        <w:ind w:left="723" w:right="1384"/>
        <w:jc w:val="both"/>
      </w:pPr>
      <w:r>
        <w:rPr/>
        <w:t>An overwhelming trend in the literature is that UAV technology is expected to </w:t>
      </w:r>
      <w:r>
        <w:rPr/>
        <w:t>continue expanding</w:t>
      </w:r>
      <w:r>
        <w:rPr>
          <w:spacing w:val="40"/>
        </w:rPr>
        <w:t> </w:t>
      </w:r>
      <w:r>
        <w:rPr/>
        <w:t>rather than declining. Researchers</w:t>
      </w:r>
      <w:r>
        <w:rPr>
          <w:spacing w:val="-5"/>
        </w:rPr>
        <w:t> </w:t>
      </w:r>
      <w:r>
        <w:rPr/>
        <w:t>consistently</w:t>
      </w:r>
      <w:r>
        <w:rPr>
          <w:spacing w:val="-5"/>
        </w:rPr>
        <w:t> </w:t>
      </w:r>
      <w:r>
        <w:rPr/>
        <w:t>highlight</w:t>
      </w:r>
      <w:r>
        <w:rPr>
          <w:spacing w:val="-5"/>
        </w:rPr>
        <w:t> </w:t>
      </w:r>
      <w:r>
        <w:rPr/>
        <w:t>the</w:t>
      </w:r>
      <w:r>
        <w:rPr>
          <w:spacing w:val="-5"/>
        </w:rPr>
        <w:t> </w:t>
      </w:r>
      <w:r>
        <w:rPr/>
        <w:t>rapid</w:t>
      </w:r>
      <w:r>
        <w:rPr>
          <w:spacing w:val="-5"/>
        </w:rPr>
        <w:t> </w:t>
      </w:r>
      <w:r>
        <w:rPr/>
        <w:t>growth</w:t>
      </w:r>
      <w:r>
        <w:rPr>
          <w:spacing w:val="-5"/>
        </w:rPr>
        <w:t> </w:t>
      </w:r>
      <w:r>
        <w:rPr/>
        <w:t>of</w:t>
      </w:r>
      <w:r>
        <w:rPr>
          <w:spacing w:val="-5"/>
        </w:rPr>
        <w:t> </w:t>
      </w:r>
      <w:r>
        <w:rPr/>
        <w:t>the</w:t>
      </w:r>
      <w:r>
        <w:rPr>
          <w:spacing w:val="-5"/>
        </w:rPr>
        <w:t> </w:t>
      </w:r>
      <w:r>
        <w:rPr/>
        <w:t>UAV market and</w:t>
      </w:r>
      <w:r>
        <w:rPr>
          <w:spacing w:val="40"/>
        </w:rPr>
        <w:t> </w:t>
      </w:r>
      <w:r>
        <w:rPr/>
        <w:t>its increasing integration into both commercial and infrastructure applications (Vergouw et al.,</w:t>
      </w:r>
      <w:r>
        <w:rPr>
          <w:spacing w:val="40"/>
        </w:rPr>
        <w:t> </w:t>
      </w:r>
      <w:r>
        <w:rPr/>
        <w:t>2016;</w:t>
      </w:r>
      <w:r>
        <w:rPr>
          <w:spacing w:val="-5"/>
        </w:rPr>
        <w:t> </w:t>
      </w:r>
      <w:r>
        <w:rPr/>
        <w:t>Tsao</w:t>
      </w:r>
      <w:r>
        <w:rPr>
          <w:spacing w:val="-5"/>
        </w:rPr>
        <w:t> </w:t>
      </w:r>
      <w:r>
        <w:rPr/>
        <w:t>et</w:t>
      </w:r>
      <w:r>
        <w:rPr>
          <w:spacing w:val="-5"/>
        </w:rPr>
        <w:t> </w:t>
      </w:r>
      <w:r>
        <w:rPr/>
        <w:t>al.,</w:t>
      </w:r>
      <w:r>
        <w:rPr>
          <w:spacing w:val="-5"/>
        </w:rPr>
        <w:t> </w:t>
      </w:r>
      <w:r>
        <w:rPr/>
        <w:t>2022).</w:t>
      </w:r>
      <w:r>
        <w:rPr>
          <w:spacing w:val="-5"/>
        </w:rPr>
        <w:t> </w:t>
      </w:r>
      <w:r>
        <w:rPr/>
        <w:t>Market</w:t>
      </w:r>
      <w:r>
        <w:rPr>
          <w:spacing w:val="-5"/>
        </w:rPr>
        <w:t> </w:t>
      </w:r>
      <w:r>
        <w:rPr/>
        <w:t>analyses</w:t>
      </w:r>
      <w:r>
        <w:rPr>
          <w:spacing w:val="-5"/>
        </w:rPr>
        <w:t> </w:t>
      </w:r>
      <w:r>
        <w:rPr/>
        <w:t>further</w:t>
      </w:r>
      <w:r>
        <w:rPr>
          <w:spacing w:val="-5"/>
        </w:rPr>
        <w:t> </w:t>
      </w:r>
      <w:r>
        <w:rPr/>
        <w:t>support</w:t>
      </w:r>
      <w:r>
        <w:rPr>
          <w:spacing w:val="-5"/>
        </w:rPr>
        <w:t> </w:t>
      </w:r>
      <w:r>
        <w:rPr/>
        <w:t>this</w:t>
      </w:r>
      <w:r>
        <w:rPr>
          <w:spacing w:val="-5"/>
        </w:rPr>
        <w:t> </w:t>
      </w:r>
      <w:r>
        <w:rPr/>
        <w:t>claim,</w:t>
      </w:r>
      <w:r>
        <w:rPr>
          <w:spacing w:val="-5"/>
        </w:rPr>
        <w:t> </w:t>
      </w:r>
      <w:r>
        <w:rPr/>
        <w:t>projecting</w:t>
      </w:r>
      <w:r>
        <w:rPr>
          <w:spacing w:val="-5"/>
        </w:rPr>
        <w:t> </w:t>
      </w:r>
      <w:r>
        <w:rPr/>
        <w:t>a compound annual</w:t>
      </w:r>
      <w:r>
        <w:rPr>
          <w:spacing w:val="40"/>
        </w:rPr>
        <w:t> </w:t>
      </w:r>
      <w:r>
        <w:rPr/>
        <w:t>growth rate of 37.18% for the global UAV market between 2024 and 2035 (Spherical Insights,</w:t>
      </w:r>
      <w:r>
        <w:rPr>
          <w:spacing w:val="40"/>
        </w:rPr>
        <w:t> </w:t>
      </w:r>
      <w:r>
        <w:rPr/>
        <w:t>2025).</w:t>
      </w:r>
    </w:p>
    <w:p>
      <w:pPr>
        <w:pStyle w:val="BodyText"/>
        <w:spacing w:line="230" w:lineRule="auto" w:before="161"/>
        <w:ind w:left="723" w:right="1383"/>
        <w:jc w:val="both"/>
      </w:pPr>
      <w:r>
        <w:rPr/>
        <w:t>Another key observation across literature is</w:t>
      </w:r>
      <w:r>
        <w:rPr>
          <w:spacing w:val="-5"/>
        </w:rPr>
        <w:t> </w:t>
      </w:r>
      <w:r>
        <w:rPr/>
        <w:t>the</w:t>
      </w:r>
      <w:r>
        <w:rPr>
          <w:spacing w:val="-5"/>
        </w:rPr>
        <w:t> </w:t>
      </w:r>
      <w:r>
        <w:rPr/>
        <w:t>continued</w:t>
      </w:r>
      <w:r>
        <w:rPr>
          <w:spacing w:val="-5"/>
        </w:rPr>
        <w:t> </w:t>
      </w:r>
      <w:r>
        <w:rPr/>
        <w:t>advancement</w:t>
      </w:r>
      <w:r>
        <w:rPr>
          <w:spacing w:val="-5"/>
        </w:rPr>
        <w:t> </w:t>
      </w:r>
      <w:r>
        <w:rPr/>
        <w:t>and</w:t>
      </w:r>
      <w:r>
        <w:rPr>
          <w:spacing w:val="-5"/>
        </w:rPr>
        <w:t> </w:t>
      </w:r>
      <w:r>
        <w:rPr/>
        <w:t>accessibility</w:t>
      </w:r>
      <w:r>
        <w:rPr>
          <w:spacing w:val="-5"/>
        </w:rPr>
        <w:t> </w:t>
      </w:r>
      <w:r>
        <w:rPr/>
        <w:t>of</w:t>
      </w:r>
      <w:r>
        <w:rPr>
          <w:spacing w:val="-5"/>
        </w:rPr>
        <w:t> </w:t>
      </w:r>
      <w:r>
        <w:rPr/>
        <w:t>UAV technologies. Improvements in hardware efficiency, reductions in manufacturing costs, and the increased availability of modular components have made UAVs more affordable and adaptable for</w:t>
      </w:r>
      <w:r>
        <w:rPr>
          <w:spacing w:val="40"/>
        </w:rPr>
        <w:t> </w:t>
      </w:r>
      <w:r>
        <w:rPr/>
        <w:t>a wide range of applications (Greenwood et</w:t>
      </w:r>
      <w:r>
        <w:rPr>
          <w:spacing w:val="-3"/>
        </w:rPr>
        <w:t> </w:t>
      </w:r>
      <w:r>
        <w:rPr/>
        <w:t>al.,</w:t>
      </w:r>
      <w:r>
        <w:rPr>
          <w:spacing w:val="-3"/>
        </w:rPr>
        <w:t> </w:t>
      </w:r>
      <w:r>
        <w:rPr/>
        <w:t>2019).</w:t>
      </w:r>
      <w:r>
        <w:rPr>
          <w:spacing w:val="-3"/>
        </w:rPr>
        <w:t> </w:t>
      </w:r>
      <w:r>
        <w:rPr/>
        <w:t>These</w:t>
      </w:r>
      <w:r>
        <w:rPr>
          <w:spacing w:val="-3"/>
        </w:rPr>
        <w:t> </w:t>
      </w:r>
      <w:r>
        <w:rPr/>
        <w:t>developments</w:t>
      </w:r>
      <w:r>
        <w:rPr>
          <w:spacing w:val="-3"/>
        </w:rPr>
        <w:t> </w:t>
      </w:r>
      <w:r>
        <w:rPr/>
        <w:t>contribute</w:t>
      </w:r>
      <w:r>
        <w:rPr>
          <w:spacing w:val="-3"/>
        </w:rPr>
        <w:t> </w:t>
      </w:r>
      <w:r>
        <w:rPr/>
        <w:t>to</w:t>
      </w:r>
      <w:r>
        <w:rPr>
          <w:spacing w:val="-3"/>
        </w:rPr>
        <w:t> </w:t>
      </w:r>
      <w:r>
        <w:rPr/>
        <w:t>the growing feasibility of UAV-enabled cyberattacks, as lower costs reduce the barrier to entry for potential threat actors.</w:t>
      </w:r>
    </w:p>
    <w:p>
      <w:pPr>
        <w:pStyle w:val="BodyText"/>
        <w:spacing w:line="230" w:lineRule="auto" w:before="164"/>
        <w:ind w:left="723" w:right="1381"/>
        <w:jc w:val="both"/>
      </w:pPr>
      <w:r>
        <w:rPr/>
        <w:t>Due to a</w:t>
      </w:r>
      <w:r>
        <w:rPr>
          <w:spacing w:val="-6"/>
        </w:rPr>
        <w:t> </w:t>
      </w:r>
      <w:r>
        <w:rPr/>
        <w:t>lack</w:t>
      </w:r>
      <w:r>
        <w:rPr>
          <w:spacing w:val="-6"/>
        </w:rPr>
        <w:t> </w:t>
      </w:r>
      <w:r>
        <w:rPr/>
        <w:t>of</w:t>
      </w:r>
      <w:r>
        <w:rPr>
          <w:spacing w:val="-6"/>
        </w:rPr>
        <w:t> </w:t>
      </w:r>
      <w:r>
        <w:rPr/>
        <w:t>foundational</w:t>
      </w:r>
      <w:r>
        <w:rPr>
          <w:spacing w:val="-6"/>
        </w:rPr>
        <w:t> </w:t>
      </w:r>
      <w:r>
        <w:rPr/>
        <w:t>research</w:t>
      </w:r>
      <w:r>
        <w:rPr>
          <w:spacing w:val="-6"/>
        </w:rPr>
        <w:t> </w:t>
      </w:r>
      <w:r>
        <w:rPr/>
        <w:t>articles</w:t>
      </w:r>
      <w:r>
        <w:rPr>
          <w:spacing w:val="-6"/>
        </w:rPr>
        <w:t> </w:t>
      </w:r>
      <w:r>
        <w:rPr/>
        <w:t>on</w:t>
      </w:r>
      <w:r>
        <w:rPr>
          <w:spacing w:val="-6"/>
        </w:rPr>
        <w:t> </w:t>
      </w:r>
      <w:r>
        <w:rPr/>
        <w:t>attack</w:t>
      </w:r>
      <w:r>
        <w:rPr>
          <w:spacing w:val="-6"/>
        </w:rPr>
        <w:t> </w:t>
      </w:r>
      <w:r>
        <w:rPr/>
        <w:t>techniques</w:t>
      </w:r>
      <w:r>
        <w:rPr>
          <w:spacing w:val="-6"/>
        </w:rPr>
        <w:t> </w:t>
      </w:r>
      <w:r>
        <w:rPr/>
        <w:t>using</w:t>
      </w:r>
      <w:r>
        <w:rPr>
          <w:spacing w:val="-6"/>
        </w:rPr>
        <w:t> </w:t>
      </w:r>
      <w:r>
        <w:rPr/>
        <w:t>UAV,</w:t>
      </w:r>
      <w:r>
        <w:rPr>
          <w:spacing w:val="-6"/>
        </w:rPr>
        <w:t> </w:t>
      </w:r>
      <w:r>
        <w:rPr/>
        <w:t>articles</w:t>
      </w:r>
      <w:r>
        <w:rPr>
          <w:spacing w:val="-6"/>
        </w:rPr>
        <w:t> </w:t>
      </w:r>
      <w:r>
        <w:rPr/>
        <w:t>were</w:t>
      </w:r>
      <w:r>
        <w:rPr>
          <w:spacing w:val="-6"/>
        </w:rPr>
        <w:t> </w:t>
      </w:r>
      <w:r>
        <w:rPr/>
        <w:t>used as sources. (Claburn, 2022; Kharpal, 2023; Mitall, 2025) This review of articles was meant to base</w:t>
      </w:r>
      <w:r>
        <w:rPr>
          <w:spacing w:val="80"/>
        </w:rPr>
        <w:t> </w:t>
      </w:r>
      <w:r>
        <w:rPr/>
        <w:t>the paper on</w:t>
      </w:r>
      <w:r>
        <w:rPr>
          <w:spacing w:val="-4"/>
        </w:rPr>
        <w:t> </w:t>
      </w:r>
      <w:r>
        <w:rPr/>
        <w:t>a</w:t>
      </w:r>
      <w:r>
        <w:rPr>
          <w:spacing w:val="-4"/>
        </w:rPr>
        <w:t> </w:t>
      </w:r>
      <w:r>
        <w:rPr/>
        <w:t>pragmatic</w:t>
      </w:r>
      <w:r>
        <w:rPr>
          <w:spacing w:val="-4"/>
        </w:rPr>
        <w:t> </w:t>
      </w:r>
      <w:r>
        <w:rPr/>
        <w:t>vision</w:t>
      </w:r>
      <w:r>
        <w:rPr>
          <w:spacing w:val="-4"/>
        </w:rPr>
        <w:t> </w:t>
      </w:r>
      <w:r>
        <w:rPr/>
        <w:t>of</w:t>
      </w:r>
      <w:r>
        <w:rPr>
          <w:spacing w:val="-4"/>
        </w:rPr>
        <w:t> </w:t>
      </w:r>
      <w:r>
        <w:rPr/>
        <w:t>the</w:t>
      </w:r>
      <w:r>
        <w:rPr>
          <w:spacing w:val="-4"/>
        </w:rPr>
        <w:t> </w:t>
      </w:r>
      <w:r>
        <w:rPr/>
        <w:t>UAVs</w:t>
      </w:r>
      <w:r>
        <w:rPr>
          <w:spacing w:val="-4"/>
        </w:rPr>
        <w:t> </w:t>
      </w:r>
      <w:r>
        <w:rPr/>
        <w:t>topics</w:t>
      </w:r>
      <w:r>
        <w:rPr>
          <w:spacing w:val="-4"/>
        </w:rPr>
        <w:t> </w:t>
      </w:r>
      <w:r>
        <w:rPr/>
        <w:t>discussed.</w:t>
      </w:r>
      <w:r>
        <w:rPr>
          <w:spacing w:val="-4"/>
        </w:rPr>
        <w:t> </w:t>
      </w:r>
      <w:r>
        <w:rPr/>
        <w:t>Each</w:t>
      </w:r>
      <w:r>
        <w:rPr>
          <w:spacing w:val="-4"/>
        </w:rPr>
        <w:t> </w:t>
      </w:r>
      <w:r>
        <w:rPr/>
        <w:t>article</w:t>
      </w:r>
      <w:r>
        <w:rPr>
          <w:spacing w:val="-4"/>
        </w:rPr>
        <w:t> </w:t>
      </w:r>
      <w:r>
        <w:rPr/>
        <w:t>was</w:t>
      </w:r>
      <w:r>
        <w:rPr>
          <w:spacing w:val="-4"/>
        </w:rPr>
        <w:t> </w:t>
      </w:r>
      <w:r>
        <w:rPr/>
        <w:t>chosen</w:t>
      </w:r>
      <w:r>
        <w:rPr>
          <w:spacing w:val="-4"/>
        </w:rPr>
        <w:t> </w:t>
      </w:r>
      <w:r>
        <w:rPr/>
        <w:t>after a</w:t>
      </w:r>
      <w:r>
        <w:rPr>
          <w:spacing w:val="40"/>
        </w:rPr>
        <w:t> </w:t>
      </w:r>
      <w:r>
        <w:rPr/>
        <w:t>thorough review of other articles or published information about each incident. The exact validity</w:t>
      </w:r>
      <w:r>
        <w:rPr>
          <w:spacing w:val="40"/>
        </w:rPr>
        <w:t> </w:t>
      </w:r>
      <w:r>
        <w:rPr/>
        <w:t>of these articles may vary; however, they do provide a real example of otherwise theory.</w:t>
      </w:r>
    </w:p>
    <w:p>
      <w:pPr>
        <w:pStyle w:val="BodyText"/>
        <w:spacing w:line="230" w:lineRule="auto" w:before="162"/>
        <w:ind w:left="723" w:right="1380"/>
        <w:jc w:val="both"/>
        <w:rPr>
          <w:i/>
        </w:rPr>
      </w:pPr>
      <w:r>
        <w:rPr/>
        <w:t>Of which was developed primarily from a reading and analysis of</w:t>
      </w:r>
      <w:r>
        <w:rPr>
          <w:spacing w:val="-4"/>
        </w:rPr>
        <w:t> </w:t>
      </w:r>
      <w:r>
        <w:rPr/>
        <w:t>technical</w:t>
      </w:r>
      <w:r>
        <w:rPr>
          <w:spacing w:val="-4"/>
        </w:rPr>
        <w:t> </w:t>
      </w:r>
      <w:r>
        <w:rPr/>
        <w:t>breakdowns</w:t>
      </w:r>
      <w:r>
        <w:rPr>
          <w:spacing w:val="-4"/>
        </w:rPr>
        <w:t> </w:t>
      </w:r>
      <w:r>
        <w:rPr/>
        <w:t>of</w:t>
      </w:r>
      <w:r>
        <w:rPr>
          <w:spacing w:val="-4"/>
        </w:rPr>
        <w:t> </w:t>
      </w:r>
      <w:r>
        <w:rPr/>
        <w:t>UAV related attacks. (Barker, 2020; Hijelle, 2023). These practical experiments, in both cases,</w:t>
      </w:r>
      <w:r>
        <w:rPr>
          <w:spacing w:val="40"/>
        </w:rPr>
        <w:t> </w:t>
      </w:r>
      <w:r>
        <w:rPr/>
        <w:t>provided</w:t>
      </w:r>
      <w:r>
        <w:rPr>
          <w:spacing w:val="40"/>
        </w:rPr>
        <w:t> </w:t>
      </w:r>
      <w:r>
        <w:rPr/>
        <w:t>an understanding of the capabilities of UAVs in the terms of networking attacks. In addition,</w:t>
      </w:r>
      <w:r>
        <w:rPr>
          <w:spacing w:val="40"/>
        </w:rPr>
        <w:t> </w:t>
      </w:r>
      <w:r>
        <w:rPr/>
        <w:t>fundamental definitions and understandings of cybersecurity architecture, as well as attack</w:t>
      </w:r>
      <w:r>
        <w:rPr>
          <w:spacing w:val="40"/>
        </w:rPr>
        <w:t> </w:t>
      </w:r>
      <w:r>
        <w:rPr/>
        <w:t>principles which were acquired from both books and known standard setters in industry. (Cheswick, 2003; CISA, 2016; </w:t>
      </w:r>
      <w:r>
        <w:rPr>
          <w:i/>
        </w:rPr>
        <w:t>MITRE, 2017)</w:t>
      </w:r>
    </w:p>
    <w:p>
      <w:pPr>
        <w:pStyle w:val="BodyText"/>
        <w:spacing w:line="230" w:lineRule="auto" w:before="164"/>
        <w:ind w:left="723" w:right="1380"/>
        <w:jc w:val="both"/>
      </w:pPr>
      <w:r>
        <w:rPr/>
        <w:t>Overall, the literature suggests that while UAVs are increasingly prevalent and technologically capable, there remains a relative lack of focused research on their use as cyberattack </w:t>
      </w:r>
      <w:r>
        <w:rPr/>
        <w:t>platforms against enterprise environments. This gap reinforces the need for further study into UAV-based attack vectors and practical mitigation strategies.</w:t>
      </w:r>
    </w:p>
    <w:p>
      <w:pPr>
        <w:pStyle w:val="Heading4"/>
        <w:spacing w:before="165"/>
      </w:pPr>
      <w:r>
        <w:rPr>
          <w:spacing w:val="-2"/>
        </w:rPr>
        <w:t>Methodology</w:t>
      </w:r>
    </w:p>
    <w:p>
      <w:pPr>
        <w:pStyle w:val="BodyText"/>
        <w:spacing w:line="230" w:lineRule="auto" w:before="154"/>
        <w:ind w:left="723" w:right="1382"/>
        <w:jc w:val="both"/>
      </w:pPr>
      <w:r>
        <w:rPr/>
        <w:t>This</w:t>
      </w:r>
      <w:r>
        <w:rPr>
          <w:spacing w:val="-4"/>
        </w:rPr>
        <w:t> </w:t>
      </w:r>
      <w:r>
        <w:rPr/>
        <w:t>paper</w:t>
      </w:r>
      <w:r>
        <w:rPr>
          <w:spacing w:val="-4"/>
        </w:rPr>
        <w:t> </w:t>
      </w:r>
      <w:r>
        <w:rPr/>
        <w:t>employs</w:t>
      </w:r>
      <w:r>
        <w:rPr>
          <w:spacing w:val="-4"/>
        </w:rPr>
        <w:t> </w:t>
      </w:r>
      <w:r>
        <w:rPr/>
        <w:t>a</w:t>
      </w:r>
      <w:r>
        <w:rPr>
          <w:spacing w:val="-4"/>
        </w:rPr>
        <w:t> </w:t>
      </w:r>
      <w:r>
        <w:rPr/>
        <w:t>qualitative,</w:t>
      </w:r>
      <w:r>
        <w:rPr>
          <w:spacing w:val="-4"/>
        </w:rPr>
        <w:t> </w:t>
      </w:r>
      <w:r>
        <w:rPr/>
        <w:t>exploratory</w:t>
      </w:r>
      <w:r>
        <w:rPr>
          <w:spacing w:val="-4"/>
        </w:rPr>
        <w:t> </w:t>
      </w:r>
      <w:r>
        <w:rPr/>
        <w:t>research</w:t>
      </w:r>
      <w:r>
        <w:rPr>
          <w:spacing w:val="-4"/>
        </w:rPr>
        <w:t> </w:t>
      </w:r>
      <w:r>
        <w:rPr/>
        <w:t>approach</w:t>
      </w:r>
      <w:r>
        <w:rPr>
          <w:spacing w:val="-4"/>
        </w:rPr>
        <w:t> </w:t>
      </w:r>
      <w:r>
        <w:rPr/>
        <w:t>combining</w:t>
      </w:r>
      <w:r>
        <w:rPr>
          <w:spacing w:val="-4"/>
        </w:rPr>
        <w:t> </w:t>
      </w:r>
      <w:r>
        <w:rPr/>
        <w:t>literature</w:t>
      </w:r>
      <w:r>
        <w:rPr>
          <w:spacing w:val="-4"/>
        </w:rPr>
        <w:t> </w:t>
      </w:r>
      <w:r>
        <w:rPr/>
        <w:t>review,</w:t>
      </w:r>
      <w:r>
        <w:rPr>
          <w:spacing w:val="-4"/>
        </w:rPr>
        <w:t> </w:t>
      </w:r>
      <w:r>
        <w:rPr/>
        <w:t>case study analysis, and a limited proof-of-concept experiment. Peer-reviewed literature </w:t>
      </w:r>
      <w:r>
        <w:rPr/>
        <w:t>and documented real-world</w:t>
      </w:r>
      <w:r>
        <w:rPr>
          <w:spacing w:val="-9"/>
        </w:rPr>
        <w:t> </w:t>
      </w:r>
      <w:r>
        <w:rPr/>
        <w:t>incidents</w:t>
      </w:r>
      <w:r>
        <w:rPr>
          <w:spacing w:val="-9"/>
        </w:rPr>
        <w:t> </w:t>
      </w:r>
      <w:r>
        <w:rPr/>
        <w:t>were</w:t>
      </w:r>
      <w:r>
        <w:rPr>
          <w:spacing w:val="-9"/>
        </w:rPr>
        <w:t> </w:t>
      </w:r>
      <w:r>
        <w:rPr/>
        <w:t>analyzed</w:t>
      </w:r>
      <w:r>
        <w:rPr>
          <w:spacing w:val="-9"/>
        </w:rPr>
        <w:t> </w:t>
      </w:r>
      <w:r>
        <w:rPr/>
        <w:t>to</w:t>
      </w:r>
      <w:r>
        <w:rPr>
          <w:spacing w:val="-9"/>
        </w:rPr>
        <w:t> </w:t>
      </w:r>
      <w:r>
        <w:rPr/>
        <w:t>identify</w:t>
      </w:r>
      <w:r>
        <w:rPr>
          <w:spacing w:val="-9"/>
        </w:rPr>
        <w:t> </w:t>
      </w:r>
      <w:r>
        <w:rPr/>
        <w:t>recurring</w:t>
      </w:r>
      <w:r>
        <w:rPr>
          <w:spacing w:val="-9"/>
        </w:rPr>
        <w:t> </w:t>
      </w:r>
      <w:r>
        <w:rPr/>
        <w:t>UAV-enabled</w:t>
      </w:r>
      <w:r>
        <w:rPr>
          <w:spacing w:val="-9"/>
        </w:rPr>
        <w:t> </w:t>
      </w:r>
      <w:r>
        <w:rPr/>
        <w:t>attack</w:t>
      </w:r>
      <w:r>
        <w:rPr>
          <w:spacing w:val="-9"/>
        </w:rPr>
        <w:t> </w:t>
      </w:r>
      <w:r>
        <w:rPr/>
        <w:t>patterns relevant to enterprise environments.</w:t>
      </w:r>
    </w:p>
    <w:p>
      <w:pPr>
        <w:pStyle w:val="BodyText"/>
        <w:spacing w:line="230" w:lineRule="auto" w:before="165"/>
        <w:ind w:left="723" w:right="1379"/>
        <w:jc w:val="both"/>
      </w:pPr>
      <w:r>
        <w:rPr/>
        <w:t>To evaluate low-cost mitigation feasibility, a small-scale experimental prototype was </w:t>
      </w:r>
      <w:r>
        <w:rPr/>
        <w:t>developed using Pico W microcontrollers to simulate a rogue wireless access point and a detection device. The experiment tested whether lightweight network monitoring could reliably identify impersonation-based attacks commonly associated with UAV payloads. This proof-of-concept was</w:t>
      </w:r>
      <w:r>
        <w:rPr>
          <w:spacing w:val="40"/>
        </w:rPr>
        <w:t> </w:t>
      </w:r>
      <w:r>
        <w:rPr/>
        <w:t>not intended as a production system but as an evaluation of technical plausibility.</w:t>
      </w:r>
    </w:p>
    <w:p>
      <w:pPr>
        <w:pStyle w:val="BodyText"/>
        <w:spacing w:after="0" w:line="230" w:lineRule="auto"/>
        <w:jc w:val="both"/>
        <w:sectPr>
          <w:pgSz w:w="12240" w:h="15840"/>
          <w:pgMar w:header="0" w:footer="712" w:top="620" w:bottom="960" w:left="720" w:right="0"/>
        </w:sectPr>
      </w:pPr>
    </w:p>
    <w:p>
      <w:pPr>
        <w:pStyle w:val="Heading4"/>
        <w:spacing w:before="60"/>
        <w:jc w:val="both"/>
      </w:pPr>
      <w:r>
        <w:rPr/>
        <w:t>Results and </w:t>
      </w:r>
      <w:r>
        <w:rPr>
          <w:spacing w:val="-2"/>
        </w:rPr>
        <w:t>Implications</w:t>
      </w:r>
    </w:p>
    <w:p>
      <w:pPr>
        <w:pStyle w:val="BodyText"/>
        <w:spacing w:line="230" w:lineRule="auto" w:before="157"/>
        <w:ind w:left="723" w:right="1384"/>
        <w:jc w:val="both"/>
      </w:pPr>
      <w:r>
        <w:rPr/>
        <w:t>The first step in the analysis was to examine current practices of enterprise network </w:t>
      </w:r>
      <w:r>
        <w:rPr/>
        <w:t>security. Enterprise network security protocols rely</w:t>
      </w:r>
      <w:r>
        <w:rPr>
          <w:spacing w:val="-3"/>
        </w:rPr>
        <w:t> </w:t>
      </w:r>
      <w:r>
        <w:rPr/>
        <w:t>on</w:t>
      </w:r>
      <w:r>
        <w:rPr>
          <w:spacing w:val="-3"/>
        </w:rPr>
        <w:t> </w:t>
      </w:r>
      <w:r>
        <w:rPr/>
        <w:t>polices</w:t>
      </w:r>
      <w:r>
        <w:rPr>
          <w:spacing w:val="-3"/>
        </w:rPr>
        <w:t> </w:t>
      </w:r>
      <w:r>
        <w:rPr/>
        <w:t>and</w:t>
      </w:r>
      <w:r>
        <w:rPr>
          <w:spacing w:val="-3"/>
        </w:rPr>
        <w:t> </w:t>
      </w:r>
      <w:r>
        <w:rPr/>
        <w:t>structures</w:t>
      </w:r>
      <w:r>
        <w:rPr>
          <w:spacing w:val="-3"/>
        </w:rPr>
        <w:t> </w:t>
      </w:r>
      <w:r>
        <w:rPr/>
        <w:t>which</w:t>
      </w:r>
      <w:r>
        <w:rPr>
          <w:spacing w:val="-3"/>
        </w:rPr>
        <w:t> </w:t>
      </w:r>
      <w:r>
        <w:rPr/>
        <w:t>are</w:t>
      </w:r>
      <w:r>
        <w:rPr>
          <w:spacing w:val="-3"/>
        </w:rPr>
        <w:t> </w:t>
      </w:r>
      <w:r>
        <w:rPr/>
        <w:t>inherently</w:t>
      </w:r>
      <w:r>
        <w:rPr>
          <w:spacing w:val="-3"/>
        </w:rPr>
        <w:t> </w:t>
      </w:r>
      <w:r>
        <w:rPr/>
        <w:t>scalable regarding technical applications. In addition, these protocols focus on Cybersecurity Risk Assessments to determine cost effective mitigation methods.</w:t>
      </w:r>
    </w:p>
    <w:p>
      <w:pPr>
        <w:pStyle w:val="BodyText"/>
        <w:spacing w:line="230" w:lineRule="auto" w:before="162"/>
        <w:ind w:left="723" w:right="1380"/>
        <w:jc w:val="both"/>
      </w:pPr>
      <w:r>
        <w:rPr/>
        <w:t>Perimeter-based security is the current paradigm for information security in </w:t>
      </w:r>
      <w:r>
        <w:rPr/>
        <w:t>enterprise applications. These systems will use firewalls, IDSs, user groups and other identification techniques to set a boundary which can prove someone is to</w:t>
      </w:r>
      <w:r>
        <w:rPr>
          <w:spacing w:val="-3"/>
        </w:rPr>
        <w:t> </w:t>
      </w:r>
      <w:r>
        <w:rPr/>
        <w:t>be</w:t>
      </w:r>
      <w:r>
        <w:rPr>
          <w:spacing w:val="-3"/>
        </w:rPr>
        <w:t> </w:t>
      </w:r>
      <w:r>
        <w:rPr/>
        <w:t>trusted.</w:t>
      </w:r>
      <w:r>
        <w:rPr>
          <w:spacing w:val="-3"/>
        </w:rPr>
        <w:t> </w:t>
      </w:r>
      <w:r>
        <w:rPr/>
        <w:t>Firewalls</w:t>
      </w:r>
      <w:r>
        <w:rPr>
          <w:spacing w:val="-3"/>
        </w:rPr>
        <w:t> </w:t>
      </w:r>
      <w:r>
        <w:rPr/>
        <w:t>while</w:t>
      </w:r>
      <w:r>
        <w:rPr>
          <w:spacing w:val="-3"/>
        </w:rPr>
        <w:t> </w:t>
      </w:r>
      <w:r>
        <w:rPr/>
        <w:t>effective rely on network traffic through them, which is an issue when they are circumvented (Cheswick, Bellovin, &amp; Rubin, 2003) Network segmentation also comes into play at an enterprise level, which</w:t>
      </w:r>
      <w:r>
        <w:rPr>
          <w:spacing w:val="40"/>
        </w:rPr>
        <w:t> </w:t>
      </w:r>
      <w:r>
        <w:rPr/>
        <w:t>uses firewalls and DMZs (Demilitarized Zones) to isolate parts of a</w:t>
      </w:r>
      <w:r>
        <w:rPr>
          <w:spacing w:val="-2"/>
        </w:rPr>
        <w:t> </w:t>
      </w:r>
      <w:r>
        <w:rPr/>
        <w:t>network.</w:t>
      </w:r>
      <w:r>
        <w:rPr>
          <w:spacing w:val="-2"/>
        </w:rPr>
        <w:t> </w:t>
      </w:r>
      <w:r>
        <w:rPr/>
        <w:t>This</w:t>
      </w:r>
      <w:r>
        <w:rPr>
          <w:spacing w:val="-2"/>
        </w:rPr>
        <w:t> </w:t>
      </w:r>
      <w:r>
        <w:rPr/>
        <w:t>works two-fold,</w:t>
      </w:r>
      <w:r>
        <w:rPr>
          <w:spacing w:val="80"/>
        </w:rPr>
        <w:t> </w:t>
      </w:r>
      <w:r>
        <w:rPr/>
        <w:t>ensuring that one gap does not lead to a breach of the wider network and that when there is an</w:t>
      </w:r>
      <w:r>
        <w:rPr>
          <w:spacing w:val="40"/>
        </w:rPr>
        <w:t> </w:t>
      </w:r>
      <w:r>
        <w:rPr/>
        <w:t>insider threat it can be isolated via the inherent structure of the network.</w:t>
      </w:r>
    </w:p>
    <w:p>
      <w:pPr>
        <w:pStyle w:val="BodyText"/>
        <w:rPr>
          <w:sz w:val="20"/>
        </w:rPr>
      </w:pPr>
    </w:p>
    <w:p>
      <w:pPr>
        <w:pStyle w:val="BodyText"/>
        <w:spacing w:before="48"/>
        <w:rPr>
          <w:sz w:val="20"/>
        </w:rPr>
      </w:pPr>
      <w:r>
        <w:rPr>
          <w:sz w:val="20"/>
        </w:rPr>
        <w:drawing>
          <wp:anchor distT="0" distB="0" distL="0" distR="0" allowOverlap="1" layoutInCell="1" locked="0" behindDoc="1" simplePos="0" relativeHeight="487598592">
            <wp:simplePos x="0" y="0"/>
            <wp:positionH relativeFrom="page">
              <wp:posOffset>988156</wp:posOffset>
            </wp:positionH>
            <wp:positionV relativeFrom="paragraph">
              <wp:posOffset>191844</wp:posOffset>
            </wp:positionV>
            <wp:extent cx="6083984" cy="4221194"/>
            <wp:effectExtent l="0" t="0" r="0" b="0"/>
            <wp:wrapTopAndBottom/>
            <wp:docPr id="44" name="Image 44"/>
            <wp:cNvGraphicFramePr>
              <a:graphicFrameLocks/>
            </wp:cNvGraphicFramePr>
            <a:graphic>
              <a:graphicData uri="http://schemas.openxmlformats.org/drawingml/2006/picture">
                <pic:pic>
                  <pic:nvPicPr>
                    <pic:cNvPr id="44" name="Image 44"/>
                    <pic:cNvPicPr/>
                  </pic:nvPicPr>
                  <pic:blipFill>
                    <a:blip r:embed="rId196" cstate="print"/>
                    <a:stretch>
                      <a:fillRect/>
                    </a:stretch>
                  </pic:blipFill>
                  <pic:spPr>
                    <a:xfrm>
                      <a:off x="0" y="0"/>
                      <a:ext cx="6083984" cy="4221194"/>
                    </a:xfrm>
                    <a:prstGeom prst="rect">
                      <a:avLst/>
                    </a:prstGeom>
                  </pic:spPr>
                </pic:pic>
              </a:graphicData>
            </a:graphic>
          </wp:anchor>
        </w:drawing>
      </w:r>
    </w:p>
    <w:p>
      <w:pPr>
        <w:pStyle w:val="BodyText"/>
        <w:spacing w:before="75"/>
      </w:pPr>
    </w:p>
    <w:p>
      <w:pPr>
        <w:spacing w:before="0"/>
        <w:ind w:left="723" w:right="0" w:firstLine="0"/>
        <w:jc w:val="both"/>
        <w:rPr>
          <w:i/>
          <w:sz w:val="24"/>
        </w:rPr>
      </w:pPr>
      <w:r>
        <w:rPr>
          <w:i/>
          <w:color w:val="0D2840"/>
          <w:sz w:val="24"/>
        </w:rPr>
        <w:t>Figure</w:t>
      </w:r>
      <w:r>
        <w:rPr>
          <w:i/>
          <w:color w:val="0D2840"/>
          <w:spacing w:val="-2"/>
          <w:sz w:val="24"/>
        </w:rPr>
        <w:t> </w:t>
      </w:r>
      <w:r>
        <w:rPr>
          <w:i/>
          <w:color w:val="0D2840"/>
          <w:sz w:val="24"/>
        </w:rPr>
        <w:t>1</w:t>
      </w:r>
      <w:r>
        <w:rPr>
          <w:i/>
          <w:color w:val="0D2840"/>
          <w:spacing w:val="-1"/>
          <w:sz w:val="24"/>
        </w:rPr>
        <w:t> </w:t>
      </w:r>
      <w:r>
        <w:rPr>
          <w:i/>
          <w:color w:val="0D2840"/>
          <w:sz w:val="24"/>
        </w:rPr>
        <w:t>–</w:t>
      </w:r>
      <w:r>
        <w:rPr>
          <w:i/>
          <w:color w:val="0D2840"/>
          <w:spacing w:val="-1"/>
          <w:sz w:val="24"/>
        </w:rPr>
        <w:t> </w:t>
      </w:r>
      <w:r>
        <w:rPr>
          <w:i/>
          <w:color w:val="0D2840"/>
          <w:sz w:val="24"/>
        </w:rPr>
        <w:t>Example</w:t>
      </w:r>
      <w:r>
        <w:rPr>
          <w:i/>
          <w:color w:val="0D2840"/>
          <w:spacing w:val="-1"/>
          <w:sz w:val="24"/>
        </w:rPr>
        <w:t> </w:t>
      </w:r>
      <w:r>
        <w:rPr>
          <w:i/>
          <w:color w:val="0D2840"/>
          <w:sz w:val="24"/>
        </w:rPr>
        <w:t>of</w:t>
      </w:r>
      <w:r>
        <w:rPr>
          <w:i/>
          <w:color w:val="0D2840"/>
          <w:spacing w:val="-1"/>
          <w:sz w:val="24"/>
        </w:rPr>
        <w:t> </w:t>
      </w:r>
      <w:r>
        <w:rPr>
          <w:i/>
          <w:color w:val="0D2840"/>
          <w:sz w:val="24"/>
        </w:rPr>
        <w:t>a</w:t>
      </w:r>
      <w:r>
        <w:rPr>
          <w:i/>
          <w:color w:val="0D2840"/>
          <w:spacing w:val="-1"/>
          <w:sz w:val="24"/>
        </w:rPr>
        <w:t> </w:t>
      </w:r>
      <w:r>
        <w:rPr>
          <w:i/>
          <w:color w:val="0D2840"/>
          <w:sz w:val="24"/>
        </w:rPr>
        <w:t>simplified</w:t>
      </w:r>
      <w:r>
        <w:rPr>
          <w:i/>
          <w:color w:val="0D2840"/>
          <w:spacing w:val="-1"/>
          <w:sz w:val="24"/>
        </w:rPr>
        <w:t> </w:t>
      </w:r>
      <w:r>
        <w:rPr>
          <w:i/>
          <w:color w:val="0D2840"/>
          <w:sz w:val="24"/>
        </w:rPr>
        <w:t>segmented</w:t>
      </w:r>
      <w:r>
        <w:rPr>
          <w:i/>
          <w:color w:val="0D2840"/>
          <w:spacing w:val="-1"/>
          <w:sz w:val="24"/>
        </w:rPr>
        <w:t> </w:t>
      </w:r>
      <w:r>
        <w:rPr>
          <w:i/>
          <w:color w:val="0D2840"/>
          <w:spacing w:val="-2"/>
          <w:sz w:val="24"/>
        </w:rPr>
        <w:t>network</w:t>
      </w:r>
    </w:p>
    <w:p>
      <w:pPr>
        <w:pStyle w:val="BodyText"/>
        <w:spacing w:before="205"/>
        <w:rPr>
          <w:i/>
        </w:rPr>
      </w:pPr>
    </w:p>
    <w:p>
      <w:pPr>
        <w:pStyle w:val="BodyText"/>
        <w:spacing w:line="230" w:lineRule="auto"/>
        <w:ind w:left="723" w:right="1461"/>
      </w:pPr>
      <w:r>
        <w:rPr/>
        <w:t>Above in figure 1 is an example of a practical segmentation of a network in a small enterprise network. The use of hardware that is dedicated to parsing certain traffic limits exposure to sections of the network to risks. This use of networking hardware to act as a parser leads to network</w:t>
      </w:r>
      <w:r>
        <w:rPr>
          <w:spacing w:val="-6"/>
        </w:rPr>
        <w:t> </w:t>
      </w:r>
      <w:r>
        <w:rPr/>
        <w:t>segmentation’s</w:t>
      </w:r>
      <w:r>
        <w:rPr>
          <w:spacing w:val="-6"/>
        </w:rPr>
        <w:t> </w:t>
      </w:r>
      <w:r>
        <w:rPr/>
        <w:t>evolution:</w:t>
      </w:r>
      <w:r>
        <w:rPr>
          <w:spacing w:val="-6"/>
        </w:rPr>
        <w:t> </w:t>
      </w:r>
      <w:r>
        <w:rPr/>
        <w:t>the</w:t>
      </w:r>
      <w:r>
        <w:rPr>
          <w:spacing w:val="-6"/>
        </w:rPr>
        <w:t> </w:t>
      </w:r>
      <w:r>
        <w:rPr/>
        <w:t>methodology</w:t>
      </w:r>
      <w:r>
        <w:rPr>
          <w:spacing w:val="-6"/>
        </w:rPr>
        <w:t> </w:t>
      </w:r>
      <w:r>
        <w:rPr/>
        <w:t>of</w:t>
      </w:r>
      <w:r>
        <w:rPr>
          <w:spacing w:val="-6"/>
        </w:rPr>
        <w:t> </w:t>
      </w:r>
      <w:r>
        <w:rPr/>
        <w:t>Defense</w:t>
      </w:r>
      <w:r>
        <w:rPr>
          <w:spacing w:val="-6"/>
        </w:rPr>
        <w:t> </w:t>
      </w:r>
      <w:r>
        <w:rPr/>
        <w:t>in</w:t>
      </w:r>
      <w:r>
        <w:rPr>
          <w:spacing w:val="-6"/>
        </w:rPr>
        <w:t> </w:t>
      </w:r>
      <w:r>
        <w:rPr/>
        <w:t>Depth</w:t>
      </w:r>
      <w:r>
        <w:rPr>
          <w:spacing w:val="-6"/>
        </w:rPr>
        <w:t> </w:t>
      </w:r>
      <w:r>
        <w:rPr/>
        <w:t>security.</w:t>
      </w:r>
      <w:r>
        <w:rPr>
          <w:spacing w:val="-6"/>
        </w:rPr>
        <w:t> </w:t>
      </w:r>
      <w:r>
        <w:rPr/>
        <w:t>This</w:t>
      </w:r>
      <w:r>
        <w:rPr>
          <w:spacing w:val="-6"/>
        </w:rPr>
        <w:t> </w:t>
      </w:r>
      <w:r>
        <w:rPr/>
        <w:t>approach of security takes the idea of a perimeter which determines trust and then creates a system of perimeters that subdivide not just a network but the infrastructure of an enterprise’s security. (CISA, 2016)</w:t>
      </w:r>
    </w:p>
    <w:p>
      <w:pPr>
        <w:pStyle w:val="BodyText"/>
        <w:spacing w:after="0" w:line="230" w:lineRule="auto"/>
        <w:sectPr>
          <w:pgSz w:w="12240" w:h="15840"/>
          <w:pgMar w:header="0" w:footer="712" w:top="640" w:bottom="960" w:left="720" w:right="0"/>
        </w:sectPr>
      </w:pPr>
    </w:p>
    <w:p>
      <w:pPr>
        <w:spacing w:line="240" w:lineRule="auto"/>
        <w:ind w:left="835" w:right="0" w:firstLine="0"/>
        <w:rPr>
          <w:sz w:val="20"/>
        </w:rPr>
      </w:pPr>
      <w:r>
        <w:rPr>
          <w:sz w:val="20"/>
        </w:rPr>
        <w:drawing>
          <wp:inline distT="0" distB="0" distL="0" distR="0">
            <wp:extent cx="5814724" cy="1776888"/>
            <wp:effectExtent l="0" t="0" r="0" b="0"/>
            <wp:docPr id="45" name="Image 45"/>
            <wp:cNvGraphicFramePr>
              <a:graphicFrameLocks/>
            </wp:cNvGraphicFramePr>
            <a:graphic>
              <a:graphicData uri="http://schemas.openxmlformats.org/drawingml/2006/picture">
                <pic:pic>
                  <pic:nvPicPr>
                    <pic:cNvPr id="45" name="Image 45"/>
                    <pic:cNvPicPr/>
                  </pic:nvPicPr>
                  <pic:blipFill>
                    <a:blip r:embed="rId197" cstate="print"/>
                    <a:stretch>
                      <a:fillRect/>
                    </a:stretch>
                  </pic:blipFill>
                  <pic:spPr>
                    <a:xfrm>
                      <a:off x="0" y="0"/>
                      <a:ext cx="5814724" cy="1776888"/>
                    </a:xfrm>
                    <a:prstGeom prst="rect">
                      <a:avLst/>
                    </a:prstGeom>
                  </pic:spPr>
                </pic:pic>
              </a:graphicData>
            </a:graphic>
          </wp:inline>
        </w:drawing>
      </w:r>
      <w:r>
        <w:rPr>
          <w:sz w:val="20"/>
        </w:rPr>
      </w:r>
    </w:p>
    <w:p>
      <w:pPr>
        <w:spacing w:line="230" w:lineRule="auto" w:before="223"/>
        <w:ind w:left="723" w:right="1191" w:hanging="15"/>
        <w:jc w:val="left"/>
        <w:rPr>
          <w:i/>
          <w:sz w:val="24"/>
        </w:rPr>
      </w:pPr>
      <w:r>
        <w:rPr>
          <w:i/>
          <w:color w:val="0D2840"/>
          <w:sz w:val="24"/>
        </w:rPr>
        <w:t>Figure</w:t>
      </w:r>
      <w:r>
        <w:rPr>
          <w:i/>
          <w:color w:val="0D2840"/>
          <w:spacing w:val="-4"/>
          <w:sz w:val="24"/>
        </w:rPr>
        <w:t> </w:t>
      </w:r>
      <w:r>
        <w:rPr>
          <w:i/>
          <w:color w:val="0D2840"/>
          <w:sz w:val="24"/>
        </w:rPr>
        <w:t>2</w:t>
      </w:r>
      <w:r>
        <w:rPr>
          <w:i/>
          <w:color w:val="0D2840"/>
          <w:spacing w:val="-4"/>
          <w:sz w:val="24"/>
        </w:rPr>
        <w:t> </w:t>
      </w:r>
      <w:r>
        <w:rPr>
          <w:i/>
          <w:color w:val="0D2840"/>
          <w:sz w:val="24"/>
        </w:rPr>
        <w:t>–</w:t>
      </w:r>
      <w:r>
        <w:rPr>
          <w:i/>
          <w:color w:val="0D2840"/>
          <w:spacing w:val="-4"/>
          <w:sz w:val="24"/>
        </w:rPr>
        <w:t> </w:t>
      </w:r>
      <w:r>
        <w:rPr>
          <w:i/>
          <w:color w:val="0D2840"/>
          <w:sz w:val="24"/>
        </w:rPr>
        <w:t>A</w:t>
      </w:r>
      <w:r>
        <w:rPr>
          <w:i/>
          <w:color w:val="0D2840"/>
          <w:spacing w:val="-4"/>
          <w:sz w:val="24"/>
        </w:rPr>
        <w:t> </w:t>
      </w:r>
      <w:r>
        <w:rPr>
          <w:i/>
          <w:color w:val="0D2840"/>
          <w:sz w:val="24"/>
        </w:rPr>
        <w:t>threat</w:t>
      </w:r>
      <w:r>
        <w:rPr>
          <w:i/>
          <w:color w:val="0D2840"/>
          <w:spacing w:val="-4"/>
          <w:sz w:val="24"/>
        </w:rPr>
        <w:t> </w:t>
      </w:r>
      <w:r>
        <w:rPr>
          <w:i/>
          <w:color w:val="0D2840"/>
          <w:sz w:val="24"/>
        </w:rPr>
        <w:t>actor</w:t>
      </w:r>
      <w:r>
        <w:rPr>
          <w:i/>
          <w:color w:val="0D2840"/>
          <w:spacing w:val="-4"/>
          <w:sz w:val="24"/>
        </w:rPr>
        <w:t> </w:t>
      </w:r>
      <w:r>
        <w:rPr>
          <w:i/>
          <w:color w:val="0D2840"/>
          <w:sz w:val="24"/>
        </w:rPr>
        <w:t>in</w:t>
      </w:r>
      <w:r>
        <w:rPr>
          <w:i/>
          <w:color w:val="0D2840"/>
          <w:spacing w:val="-4"/>
          <w:sz w:val="24"/>
        </w:rPr>
        <w:t> </w:t>
      </w:r>
      <w:r>
        <w:rPr>
          <w:i/>
          <w:color w:val="0D2840"/>
          <w:sz w:val="24"/>
        </w:rPr>
        <w:t>a</w:t>
      </w:r>
      <w:r>
        <w:rPr>
          <w:i/>
          <w:color w:val="0D2840"/>
          <w:spacing w:val="-4"/>
          <w:sz w:val="24"/>
        </w:rPr>
        <w:t> </w:t>
      </w:r>
      <w:r>
        <w:rPr>
          <w:i/>
          <w:color w:val="0D2840"/>
          <w:sz w:val="24"/>
        </w:rPr>
        <w:t>defense</w:t>
      </w:r>
      <w:r>
        <w:rPr>
          <w:i/>
          <w:color w:val="0D2840"/>
          <w:spacing w:val="-4"/>
          <w:sz w:val="24"/>
        </w:rPr>
        <w:t> </w:t>
      </w:r>
      <w:r>
        <w:rPr>
          <w:i/>
          <w:color w:val="0D2840"/>
          <w:sz w:val="24"/>
        </w:rPr>
        <w:t>in</w:t>
      </w:r>
      <w:r>
        <w:rPr>
          <w:i/>
          <w:color w:val="0D2840"/>
          <w:spacing w:val="-4"/>
          <w:sz w:val="24"/>
        </w:rPr>
        <w:t> </w:t>
      </w:r>
      <w:r>
        <w:rPr>
          <w:i/>
          <w:color w:val="0D2840"/>
          <w:sz w:val="24"/>
        </w:rPr>
        <w:t>depth</w:t>
      </w:r>
      <w:r>
        <w:rPr>
          <w:i/>
          <w:color w:val="0D2840"/>
          <w:spacing w:val="-4"/>
          <w:sz w:val="24"/>
        </w:rPr>
        <w:t> </w:t>
      </w:r>
      <w:r>
        <w:rPr>
          <w:i/>
          <w:color w:val="0D2840"/>
          <w:sz w:val="24"/>
        </w:rPr>
        <w:t>system</w:t>
      </w:r>
      <w:r>
        <w:rPr>
          <w:i/>
          <w:color w:val="0D2840"/>
          <w:spacing w:val="-4"/>
          <w:sz w:val="24"/>
        </w:rPr>
        <w:t> </w:t>
      </w:r>
      <w:r>
        <w:rPr>
          <w:i/>
          <w:color w:val="0D2840"/>
          <w:sz w:val="24"/>
        </w:rPr>
        <w:t>should</w:t>
      </w:r>
      <w:r>
        <w:rPr>
          <w:i/>
          <w:color w:val="0D2840"/>
          <w:spacing w:val="-4"/>
          <w:sz w:val="24"/>
        </w:rPr>
        <w:t> </w:t>
      </w:r>
      <w:r>
        <w:rPr>
          <w:i/>
          <w:color w:val="0D2840"/>
          <w:sz w:val="24"/>
        </w:rPr>
        <w:t>encounter</w:t>
      </w:r>
      <w:r>
        <w:rPr>
          <w:i/>
          <w:color w:val="0D2840"/>
          <w:spacing w:val="-4"/>
          <w:sz w:val="24"/>
        </w:rPr>
        <w:t> </w:t>
      </w:r>
      <w:r>
        <w:rPr>
          <w:i/>
          <w:color w:val="0D2840"/>
          <w:sz w:val="24"/>
        </w:rPr>
        <w:t>cybersecurity</w:t>
      </w:r>
      <w:r>
        <w:rPr>
          <w:i/>
          <w:color w:val="0D2840"/>
          <w:spacing w:val="-4"/>
          <w:sz w:val="24"/>
        </w:rPr>
        <w:t> </w:t>
      </w:r>
      <w:r>
        <w:rPr>
          <w:i/>
          <w:color w:val="0D2840"/>
          <w:sz w:val="24"/>
        </w:rPr>
        <w:t>principles</w:t>
      </w:r>
      <w:r>
        <w:rPr>
          <w:i/>
          <w:color w:val="0D2840"/>
          <w:sz w:val="24"/>
        </w:rPr>
        <w:t> throughout an attack</w:t>
      </w:r>
    </w:p>
    <w:p>
      <w:pPr>
        <w:pStyle w:val="BodyText"/>
        <w:spacing w:line="230" w:lineRule="auto" w:before="207"/>
        <w:ind w:left="723" w:right="1461"/>
      </w:pPr>
      <w:r>
        <w:rPr/>
        <w:t>Above Figure 2 visually describes the “layers” of security present in a proper Defense in Depth System along with an associated mitigation for a possible threat actor. As seen the actor should have</w:t>
      </w:r>
      <w:r>
        <w:rPr>
          <w:spacing w:val="-3"/>
        </w:rPr>
        <w:t> </w:t>
      </w:r>
      <w:r>
        <w:rPr/>
        <w:t>to</w:t>
      </w:r>
      <w:r>
        <w:rPr>
          <w:spacing w:val="-3"/>
        </w:rPr>
        <w:t> </w:t>
      </w:r>
      <w:r>
        <w:rPr/>
        <w:t>deal</w:t>
      </w:r>
      <w:r>
        <w:rPr>
          <w:spacing w:val="-3"/>
        </w:rPr>
        <w:t> </w:t>
      </w:r>
      <w:r>
        <w:rPr/>
        <w:t>with</w:t>
      </w:r>
      <w:r>
        <w:rPr>
          <w:spacing w:val="-3"/>
        </w:rPr>
        <w:t> </w:t>
      </w:r>
      <w:r>
        <w:rPr/>
        <w:t>several</w:t>
      </w:r>
      <w:r>
        <w:rPr>
          <w:spacing w:val="-3"/>
        </w:rPr>
        <w:t> </w:t>
      </w:r>
      <w:r>
        <w:rPr/>
        <w:t>security</w:t>
      </w:r>
      <w:r>
        <w:rPr>
          <w:spacing w:val="-3"/>
        </w:rPr>
        <w:t> </w:t>
      </w:r>
      <w:r>
        <w:rPr/>
        <w:t>structures</w:t>
      </w:r>
      <w:r>
        <w:rPr>
          <w:spacing w:val="-3"/>
        </w:rPr>
        <w:t> </w:t>
      </w:r>
      <w:r>
        <w:rPr/>
        <w:t>which</w:t>
      </w:r>
      <w:r>
        <w:rPr>
          <w:spacing w:val="-3"/>
        </w:rPr>
        <w:t> </w:t>
      </w:r>
      <w:r>
        <w:rPr/>
        <w:t>slow</w:t>
      </w:r>
      <w:r>
        <w:rPr>
          <w:spacing w:val="-3"/>
        </w:rPr>
        <w:t> </w:t>
      </w:r>
      <w:r>
        <w:rPr/>
        <w:t>the</w:t>
      </w:r>
      <w:r>
        <w:rPr>
          <w:spacing w:val="-3"/>
        </w:rPr>
        <w:t> </w:t>
      </w:r>
      <w:r>
        <w:rPr/>
        <w:t>attacker</w:t>
      </w:r>
      <w:r>
        <w:rPr>
          <w:spacing w:val="-3"/>
        </w:rPr>
        <w:t> </w:t>
      </w:r>
      <w:r>
        <w:rPr/>
        <w:t>down,</w:t>
      </w:r>
      <w:r>
        <w:rPr>
          <w:spacing w:val="-3"/>
        </w:rPr>
        <w:t> </w:t>
      </w:r>
      <w:r>
        <w:rPr/>
        <w:t>increasing</w:t>
      </w:r>
      <w:r>
        <w:rPr>
          <w:spacing w:val="-3"/>
        </w:rPr>
        <w:t> </w:t>
      </w:r>
      <w:r>
        <w:rPr/>
        <w:t>the</w:t>
      </w:r>
      <w:r>
        <w:rPr>
          <w:spacing w:val="-3"/>
        </w:rPr>
        <w:t> </w:t>
      </w:r>
      <w:r>
        <w:rPr/>
        <w:t>cost</w:t>
      </w:r>
      <w:r>
        <w:rPr>
          <w:spacing w:val="-3"/>
        </w:rPr>
        <w:t> </w:t>
      </w:r>
      <w:r>
        <w:rPr/>
        <w:t>of an attack. However, Defense in Depth assumes that </w:t>
      </w:r>
      <w:r>
        <w:rPr>
          <w:i/>
        </w:rPr>
        <w:t>There is an internal trusted network and</w:t>
      </w:r>
      <w:r>
        <w:rPr>
          <w:i/>
        </w:rPr>
        <w:t> there is trusted network traffic, </w:t>
      </w:r>
      <w:r>
        <w:rPr/>
        <w:t>which can always be exploited. This is the cost of having a system which can be adopted by large enterprises that often have legacy resources and large amounts of unverifiable traffic. UAVs help attackers circumnavigate a Defense in Depth system by taking advantage of the assumptions made by the Defense in Depth system via capabilities in mobility and utility.</w:t>
      </w:r>
    </w:p>
    <w:p>
      <w:pPr>
        <w:pStyle w:val="BodyText"/>
        <w:ind w:left="723" w:right="1431"/>
      </w:pPr>
      <w:r>
        <w:rPr/>
        <w:t>Understanding the high-level types and internal components of UAV types become important when examining the potential these devices present. In general, UAVs can be divided into two categories: fixed wing and multirotor. Fixed wing UAVs use powered propulsion with fixed wings to achieve lift like a plane, while multirotor UAVs use multiple rotors to create lift upwards</w:t>
      </w:r>
      <w:r>
        <w:rPr>
          <w:spacing w:val="-10"/>
        </w:rPr>
        <w:t> </w:t>
      </w:r>
      <w:r>
        <w:rPr/>
        <w:t>(Vergouw,</w:t>
      </w:r>
      <w:r>
        <w:rPr>
          <w:spacing w:val="-10"/>
        </w:rPr>
        <w:t> </w:t>
      </w:r>
      <w:r>
        <w:rPr/>
        <w:t>Nagel,</w:t>
      </w:r>
      <w:r>
        <w:rPr>
          <w:spacing w:val="-10"/>
        </w:rPr>
        <w:t> </w:t>
      </w:r>
      <w:r>
        <w:rPr/>
        <w:t>Bondt,</w:t>
      </w:r>
      <w:r>
        <w:rPr>
          <w:spacing w:val="-10"/>
        </w:rPr>
        <w:t> </w:t>
      </w:r>
      <w:r>
        <w:rPr/>
        <w:t>&amp;</w:t>
      </w:r>
      <w:r>
        <w:rPr>
          <w:spacing w:val="-10"/>
        </w:rPr>
        <w:t> </w:t>
      </w:r>
      <w:r>
        <w:rPr/>
        <w:t>Custers,</w:t>
      </w:r>
      <w:r>
        <w:rPr>
          <w:spacing w:val="-10"/>
        </w:rPr>
        <w:t> </w:t>
      </w:r>
      <w:r>
        <w:rPr/>
        <w:t>2016).</w:t>
      </w:r>
      <w:r>
        <w:rPr>
          <w:spacing w:val="-10"/>
        </w:rPr>
        <w:t> </w:t>
      </w:r>
      <w:r>
        <w:rPr/>
        <w:t>Fixed</w:t>
      </w:r>
      <w:r>
        <w:rPr>
          <w:spacing w:val="-10"/>
        </w:rPr>
        <w:t> </w:t>
      </w:r>
      <w:r>
        <w:rPr/>
        <w:t>wing</w:t>
      </w:r>
      <w:r>
        <w:rPr>
          <w:spacing w:val="-10"/>
        </w:rPr>
        <w:t> </w:t>
      </w:r>
      <w:r>
        <w:rPr/>
        <w:t>UAVs</w:t>
      </w:r>
      <w:r>
        <w:rPr>
          <w:spacing w:val="-10"/>
        </w:rPr>
        <w:t> </w:t>
      </w:r>
      <w:r>
        <w:rPr/>
        <w:t>offer</w:t>
      </w:r>
      <w:r>
        <w:rPr>
          <w:spacing w:val="-10"/>
        </w:rPr>
        <w:t> </w:t>
      </w:r>
      <w:r>
        <w:rPr/>
        <w:t>improved</w:t>
      </w:r>
      <w:r>
        <w:rPr>
          <w:spacing w:val="-10"/>
        </w:rPr>
        <w:t> </w:t>
      </w:r>
      <w:r>
        <w:rPr/>
        <w:t>endurance and air speed over multirotor UAVs, at the cost of needing a runway space for landing and being unable to hover in one location. Both types of UAVs share the same anatomy when examined.</w:t>
      </w:r>
    </w:p>
    <w:p>
      <w:pPr>
        <w:pStyle w:val="BodyText"/>
        <w:spacing w:before="3"/>
        <w:rPr>
          <w:sz w:val="7"/>
        </w:rPr>
      </w:pPr>
      <w:r>
        <w:rPr>
          <w:sz w:val="7"/>
        </w:rPr>
        <w:drawing>
          <wp:anchor distT="0" distB="0" distL="0" distR="0" allowOverlap="1" layoutInCell="1" locked="0" behindDoc="1" simplePos="0" relativeHeight="487599104">
            <wp:simplePos x="0" y="0"/>
            <wp:positionH relativeFrom="page">
              <wp:posOffset>1029504</wp:posOffset>
            </wp:positionH>
            <wp:positionV relativeFrom="paragraph">
              <wp:posOffset>68317</wp:posOffset>
            </wp:positionV>
            <wp:extent cx="5820171" cy="2530983"/>
            <wp:effectExtent l="0" t="0" r="0" b="0"/>
            <wp:wrapTopAndBottom/>
            <wp:docPr id="46" name="Image 46"/>
            <wp:cNvGraphicFramePr>
              <a:graphicFrameLocks/>
            </wp:cNvGraphicFramePr>
            <a:graphic>
              <a:graphicData uri="http://schemas.openxmlformats.org/drawingml/2006/picture">
                <pic:pic>
                  <pic:nvPicPr>
                    <pic:cNvPr id="46" name="Image 46"/>
                    <pic:cNvPicPr/>
                  </pic:nvPicPr>
                  <pic:blipFill>
                    <a:blip r:embed="rId198" cstate="print"/>
                    <a:stretch>
                      <a:fillRect/>
                    </a:stretch>
                  </pic:blipFill>
                  <pic:spPr>
                    <a:xfrm>
                      <a:off x="0" y="0"/>
                      <a:ext cx="5820171" cy="2530983"/>
                    </a:xfrm>
                    <a:prstGeom prst="rect">
                      <a:avLst/>
                    </a:prstGeom>
                  </pic:spPr>
                </pic:pic>
              </a:graphicData>
            </a:graphic>
          </wp:anchor>
        </w:drawing>
      </w:r>
    </w:p>
    <w:p>
      <w:pPr>
        <w:spacing w:before="104"/>
        <w:ind w:left="693" w:right="1191" w:firstLine="0"/>
        <w:jc w:val="left"/>
        <w:rPr>
          <w:i/>
          <w:sz w:val="24"/>
        </w:rPr>
      </w:pPr>
      <w:r>
        <w:rPr>
          <w:i/>
          <w:color w:val="0D2840"/>
          <w:sz w:val="24"/>
        </w:rPr>
        <w:t>Figure</w:t>
      </w:r>
      <w:r>
        <w:rPr>
          <w:i/>
          <w:color w:val="0D2840"/>
          <w:spacing w:val="-8"/>
          <w:sz w:val="24"/>
        </w:rPr>
        <w:t> </w:t>
      </w:r>
      <w:r>
        <w:rPr>
          <w:i/>
          <w:color w:val="0D2840"/>
          <w:sz w:val="24"/>
        </w:rPr>
        <w:t>3</w:t>
      </w:r>
      <w:r>
        <w:rPr>
          <w:i/>
          <w:color w:val="0D2840"/>
          <w:spacing w:val="-8"/>
          <w:sz w:val="24"/>
        </w:rPr>
        <w:t> </w:t>
      </w:r>
      <w:r>
        <w:rPr>
          <w:i/>
          <w:color w:val="0D2840"/>
          <w:sz w:val="24"/>
        </w:rPr>
        <w:t>–</w:t>
      </w:r>
      <w:r>
        <w:rPr>
          <w:i/>
          <w:color w:val="0D2840"/>
          <w:spacing w:val="-8"/>
          <w:sz w:val="24"/>
        </w:rPr>
        <w:t> </w:t>
      </w:r>
      <w:r>
        <w:rPr>
          <w:i/>
          <w:color w:val="0D2840"/>
          <w:sz w:val="24"/>
        </w:rPr>
        <w:t>UAVs</w:t>
      </w:r>
      <w:r>
        <w:rPr>
          <w:i/>
          <w:color w:val="0D2840"/>
          <w:spacing w:val="-8"/>
          <w:sz w:val="24"/>
        </w:rPr>
        <w:t> </w:t>
      </w:r>
      <w:r>
        <w:rPr>
          <w:i/>
          <w:color w:val="0D2840"/>
          <w:sz w:val="24"/>
        </w:rPr>
        <w:t>are</w:t>
      </w:r>
      <w:r>
        <w:rPr>
          <w:i/>
          <w:color w:val="0D2840"/>
          <w:spacing w:val="-8"/>
          <w:sz w:val="24"/>
        </w:rPr>
        <w:t> </w:t>
      </w:r>
      <w:r>
        <w:rPr>
          <w:i/>
          <w:color w:val="0D2840"/>
          <w:sz w:val="24"/>
        </w:rPr>
        <w:t>structured</w:t>
      </w:r>
      <w:r>
        <w:rPr>
          <w:i/>
          <w:color w:val="0D2840"/>
          <w:spacing w:val="-8"/>
          <w:sz w:val="24"/>
        </w:rPr>
        <w:t> </w:t>
      </w:r>
      <w:r>
        <w:rPr>
          <w:i/>
          <w:color w:val="0D2840"/>
          <w:sz w:val="24"/>
        </w:rPr>
        <w:t>like</w:t>
      </w:r>
      <w:r>
        <w:rPr>
          <w:i/>
          <w:color w:val="0D2840"/>
          <w:spacing w:val="-8"/>
          <w:sz w:val="24"/>
        </w:rPr>
        <w:t> </w:t>
      </w:r>
      <w:r>
        <w:rPr>
          <w:i/>
          <w:color w:val="0D2840"/>
          <w:sz w:val="24"/>
        </w:rPr>
        <w:t>IoT</w:t>
      </w:r>
      <w:r>
        <w:rPr>
          <w:i/>
          <w:color w:val="0D2840"/>
          <w:spacing w:val="-8"/>
          <w:sz w:val="24"/>
        </w:rPr>
        <w:t> </w:t>
      </w:r>
      <w:r>
        <w:rPr>
          <w:i/>
          <w:color w:val="0D2840"/>
          <w:sz w:val="24"/>
        </w:rPr>
        <w:t>devices</w:t>
      </w:r>
      <w:r>
        <w:rPr>
          <w:i/>
          <w:color w:val="0D2840"/>
          <w:spacing w:val="-8"/>
          <w:sz w:val="24"/>
        </w:rPr>
        <w:t> </w:t>
      </w:r>
      <w:r>
        <w:rPr>
          <w:i/>
          <w:color w:val="0D2840"/>
          <w:sz w:val="24"/>
        </w:rPr>
        <w:t>with</w:t>
      </w:r>
      <w:r>
        <w:rPr>
          <w:i/>
          <w:color w:val="0D2840"/>
          <w:spacing w:val="-8"/>
          <w:sz w:val="24"/>
        </w:rPr>
        <w:t> </w:t>
      </w:r>
      <w:r>
        <w:rPr>
          <w:i/>
          <w:color w:val="0D2840"/>
          <w:sz w:val="24"/>
        </w:rPr>
        <w:t>additional</w:t>
      </w:r>
      <w:r>
        <w:rPr>
          <w:i/>
          <w:color w:val="0D2840"/>
          <w:spacing w:val="-8"/>
          <w:sz w:val="24"/>
        </w:rPr>
        <w:t> </w:t>
      </w:r>
      <w:r>
        <w:rPr>
          <w:i/>
          <w:color w:val="0D2840"/>
          <w:sz w:val="24"/>
        </w:rPr>
        <w:t>hardware</w:t>
      </w:r>
      <w:r>
        <w:rPr>
          <w:i/>
          <w:color w:val="0D2840"/>
          <w:spacing w:val="-8"/>
          <w:sz w:val="24"/>
        </w:rPr>
        <w:t> </w:t>
      </w:r>
      <w:r>
        <w:rPr>
          <w:i/>
          <w:color w:val="0D2840"/>
          <w:sz w:val="24"/>
        </w:rPr>
        <w:t>to</w:t>
      </w:r>
      <w:r>
        <w:rPr>
          <w:i/>
          <w:color w:val="0D2840"/>
          <w:spacing w:val="-8"/>
          <w:sz w:val="24"/>
        </w:rPr>
        <w:t> </w:t>
      </w:r>
      <w:r>
        <w:rPr>
          <w:i/>
          <w:color w:val="0D2840"/>
          <w:sz w:val="24"/>
        </w:rPr>
        <w:t>support</w:t>
      </w:r>
      <w:r>
        <w:rPr>
          <w:i/>
          <w:color w:val="0D2840"/>
          <w:spacing w:val="-8"/>
          <w:sz w:val="24"/>
        </w:rPr>
        <w:t> </w:t>
      </w:r>
      <w:r>
        <w:rPr>
          <w:i/>
          <w:color w:val="0D2840"/>
          <w:sz w:val="24"/>
        </w:rPr>
        <w:t>flight</w:t>
      </w:r>
      <w:r>
        <w:rPr>
          <w:i/>
          <w:color w:val="0D2840"/>
          <w:spacing w:val="-8"/>
          <w:sz w:val="24"/>
        </w:rPr>
        <w:t> </w:t>
      </w:r>
      <w:r>
        <w:rPr>
          <w:i/>
          <w:color w:val="0D2840"/>
          <w:sz w:val="24"/>
        </w:rPr>
        <w:t>(Tsao,</w:t>
      </w:r>
      <w:r>
        <w:rPr>
          <w:i/>
          <w:color w:val="0D2840"/>
          <w:sz w:val="24"/>
        </w:rPr>
        <w:t> Girdler, &amp; Vassilakis, 2022.</w:t>
      </w:r>
    </w:p>
    <w:p>
      <w:pPr>
        <w:pStyle w:val="BodyText"/>
        <w:spacing w:line="230" w:lineRule="auto" w:before="204"/>
        <w:ind w:left="693" w:right="1076"/>
      </w:pPr>
      <w:r>
        <w:rPr/>
        <w:t>UAVs often rely on a controller connected through a wireless link either by satellite or a ground based relay. Without a controller, UAVs may operate through automated commands, though this results</w:t>
      </w:r>
      <w:r>
        <w:rPr>
          <w:spacing w:val="-7"/>
        </w:rPr>
        <w:t> </w:t>
      </w:r>
      <w:r>
        <w:rPr/>
        <w:t>in</w:t>
      </w:r>
      <w:r>
        <w:rPr>
          <w:spacing w:val="-7"/>
        </w:rPr>
        <w:t> </w:t>
      </w:r>
      <w:r>
        <w:rPr/>
        <w:t>rigid</w:t>
      </w:r>
      <w:r>
        <w:rPr>
          <w:spacing w:val="-7"/>
        </w:rPr>
        <w:t> </w:t>
      </w:r>
      <w:r>
        <w:rPr/>
        <w:t>reactions</w:t>
      </w:r>
      <w:r>
        <w:rPr>
          <w:spacing w:val="-7"/>
        </w:rPr>
        <w:t> </w:t>
      </w:r>
      <w:r>
        <w:rPr/>
        <w:t>to</w:t>
      </w:r>
      <w:r>
        <w:rPr>
          <w:spacing w:val="-7"/>
        </w:rPr>
        <w:t> </w:t>
      </w:r>
      <w:r>
        <w:rPr/>
        <w:t>environmental</w:t>
      </w:r>
      <w:r>
        <w:rPr>
          <w:spacing w:val="-7"/>
        </w:rPr>
        <w:t> </w:t>
      </w:r>
      <w:r>
        <w:rPr/>
        <w:t>changes</w:t>
      </w:r>
      <w:r>
        <w:rPr>
          <w:spacing w:val="-7"/>
        </w:rPr>
        <w:t> </w:t>
      </w:r>
      <w:r>
        <w:rPr/>
        <w:t>and</w:t>
      </w:r>
      <w:r>
        <w:rPr>
          <w:spacing w:val="-7"/>
        </w:rPr>
        <w:t> </w:t>
      </w:r>
      <w:r>
        <w:rPr/>
        <w:t>delay</w:t>
      </w:r>
      <w:r>
        <w:rPr>
          <w:spacing w:val="-7"/>
        </w:rPr>
        <w:t> </w:t>
      </w:r>
      <w:r>
        <w:rPr/>
        <w:t>in</w:t>
      </w:r>
      <w:r>
        <w:rPr>
          <w:spacing w:val="-7"/>
        </w:rPr>
        <w:t> </w:t>
      </w:r>
      <w:r>
        <w:rPr/>
        <w:t>information</w:t>
      </w:r>
      <w:r>
        <w:rPr>
          <w:spacing w:val="-7"/>
        </w:rPr>
        <w:t> </w:t>
      </w:r>
      <w:r>
        <w:rPr/>
        <w:t>flow.</w:t>
      </w:r>
      <w:r>
        <w:rPr>
          <w:spacing w:val="-7"/>
        </w:rPr>
        <w:t> </w:t>
      </w:r>
      <w:r>
        <w:rPr/>
        <w:t>UAV’s</w:t>
      </w:r>
      <w:r>
        <w:rPr>
          <w:spacing w:val="40"/>
        </w:rPr>
        <w:t> </w:t>
      </w:r>
      <w:r>
        <w:rPr/>
        <w:t>application</w:t>
      </w:r>
    </w:p>
    <w:p>
      <w:pPr>
        <w:pStyle w:val="BodyText"/>
        <w:spacing w:after="0" w:line="230" w:lineRule="auto"/>
        <w:sectPr>
          <w:pgSz w:w="12240" w:h="15840"/>
          <w:pgMar w:header="0" w:footer="712" w:top="820" w:bottom="960" w:left="720" w:right="0"/>
        </w:sectPr>
      </w:pPr>
    </w:p>
    <w:p>
      <w:pPr>
        <w:pStyle w:val="BodyText"/>
        <w:spacing w:line="230" w:lineRule="auto" w:before="80"/>
        <w:ind w:left="693" w:right="1191"/>
      </w:pPr>
      <w:r>
        <w:rPr/>
        <w:t>in</w:t>
      </w:r>
      <w:r>
        <w:rPr>
          <w:spacing w:val="-3"/>
        </w:rPr>
        <w:t> </w:t>
      </w:r>
      <w:r>
        <w:rPr/>
        <w:t>a</w:t>
      </w:r>
      <w:r>
        <w:rPr>
          <w:spacing w:val="-3"/>
        </w:rPr>
        <w:t> </w:t>
      </w:r>
      <w:r>
        <w:rPr/>
        <w:t>cybersecurity</w:t>
      </w:r>
      <w:r>
        <w:rPr>
          <w:spacing w:val="-3"/>
        </w:rPr>
        <w:t> </w:t>
      </w:r>
      <w:r>
        <w:rPr/>
        <w:t>context</w:t>
      </w:r>
      <w:r>
        <w:rPr>
          <w:spacing w:val="-3"/>
        </w:rPr>
        <w:t> </w:t>
      </w:r>
      <w:r>
        <w:rPr/>
        <w:t>is</w:t>
      </w:r>
      <w:r>
        <w:rPr>
          <w:spacing w:val="-3"/>
        </w:rPr>
        <w:t> </w:t>
      </w:r>
      <w:r>
        <w:rPr/>
        <w:t>their</w:t>
      </w:r>
      <w:r>
        <w:rPr>
          <w:spacing w:val="-3"/>
        </w:rPr>
        <w:t> </w:t>
      </w:r>
      <w:r>
        <w:rPr/>
        <w:t>possible</w:t>
      </w:r>
      <w:r>
        <w:rPr>
          <w:spacing w:val="-3"/>
        </w:rPr>
        <w:t> </w:t>
      </w:r>
      <w:r>
        <w:rPr/>
        <w:t>payloads,</w:t>
      </w:r>
      <w:r>
        <w:rPr>
          <w:spacing w:val="-3"/>
        </w:rPr>
        <w:t> </w:t>
      </w:r>
      <w:r>
        <w:rPr/>
        <w:t>which</w:t>
      </w:r>
      <w:r>
        <w:rPr>
          <w:spacing w:val="-3"/>
        </w:rPr>
        <w:t> </w:t>
      </w:r>
      <w:r>
        <w:rPr/>
        <w:t>can</w:t>
      </w:r>
      <w:r>
        <w:rPr>
          <w:spacing w:val="-3"/>
        </w:rPr>
        <w:t> </w:t>
      </w:r>
      <w:r>
        <w:rPr/>
        <w:t>range</w:t>
      </w:r>
      <w:r>
        <w:rPr>
          <w:spacing w:val="-3"/>
        </w:rPr>
        <w:t> </w:t>
      </w:r>
      <w:r>
        <w:rPr/>
        <w:t>from</w:t>
      </w:r>
      <w:r>
        <w:rPr>
          <w:spacing w:val="40"/>
        </w:rPr>
        <w:t> </w:t>
      </w:r>
      <w:r>
        <w:rPr/>
        <w:t>microcontrollers,</w:t>
      </w:r>
      <w:r>
        <w:rPr>
          <w:spacing w:val="-3"/>
        </w:rPr>
        <w:t> </w:t>
      </w:r>
      <w:r>
        <w:rPr/>
        <w:t>radio detectors, Wi-Fi pineapples, cameras, and USBs. All of these can be used</w:t>
      </w:r>
      <w:r>
        <w:rPr>
          <w:spacing w:val="40"/>
        </w:rPr>
        <w:t> </w:t>
      </w:r>
      <w:r>
        <w:rPr/>
        <w:t>to conduct a range of cyberattacks against an enterprise of interest.</w:t>
      </w:r>
    </w:p>
    <w:p>
      <w:pPr>
        <w:pStyle w:val="BodyText"/>
        <w:spacing w:line="230" w:lineRule="auto" w:before="165"/>
        <w:ind w:left="693" w:right="954"/>
      </w:pPr>
      <w:r>
        <w:rPr/>
        <w:t>These attacks are already studied and possible without UAV technologies. The main advantages</w:t>
      </w:r>
      <w:r>
        <w:rPr>
          <w:spacing w:val="40"/>
        </w:rPr>
        <w:t> </w:t>
      </w:r>
      <w:r>
        <w:rPr/>
        <w:t>of UAVs, however, are clear in their unique ability to conduct attacks and surveillance, which are typically impossible. Crossing physical boundaries are typically seen as high risk, high</w:t>
      </w:r>
      <w:r>
        <w:rPr>
          <w:spacing w:val="40"/>
        </w:rPr>
        <w:t> </w:t>
      </w:r>
      <w:r>
        <w:rPr/>
        <w:t>investment, and</w:t>
      </w:r>
      <w:r>
        <w:rPr>
          <w:spacing w:val="-5"/>
        </w:rPr>
        <w:t> </w:t>
      </w:r>
      <w:r>
        <w:rPr/>
        <w:t>high</w:t>
      </w:r>
      <w:r>
        <w:rPr>
          <w:spacing w:val="-5"/>
        </w:rPr>
        <w:t> </w:t>
      </w:r>
      <w:r>
        <w:rPr/>
        <w:t>reward</w:t>
      </w:r>
      <w:r>
        <w:rPr>
          <w:spacing w:val="-5"/>
        </w:rPr>
        <w:t> </w:t>
      </w:r>
      <w:r>
        <w:rPr/>
        <w:t>attacks;</w:t>
      </w:r>
      <w:r>
        <w:rPr>
          <w:spacing w:val="-5"/>
        </w:rPr>
        <w:t> </w:t>
      </w:r>
      <w:r>
        <w:rPr/>
        <w:t>UAVs</w:t>
      </w:r>
      <w:r>
        <w:rPr>
          <w:spacing w:val="-5"/>
        </w:rPr>
        <w:t> </w:t>
      </w:r>
      <w:r>
        <w:rPr/>
        <w:t>can</w:t>
      </w:r>
      <w:r>
        <w:rPr>
          <w:spacing w:val="-5"/>
        </w:rPr>
        <w:t> </w:t>
      </w:r>
      <w:r>
        <w:rPr/>
        <w:t>pass</w:t>
      </w:r>
      <w:r>
        <w:rPr>
          <w:spacing w:val="-5"/>
        </w:rPr>
        <w:t> </w:t>
      </w:r>
      <w:r>
        <w:rPr/>
        <w:t>boundaries</w:t>
      </w:r>
      <w:r>
        <w:rPr>
          <w:spacing w:val="-5"/>
        </w:rPr>
        <w:t> </w:t>
      </w:r>
      <w:r>
        <w:rPr/>
        <w:t>easier</w:t>
      </w:r>
      <w:r>
        <w:rPr>
          <w:spacing w:val="-5"/>
        </w:rPr>
        <w:t> </w:t>
      </w:r>
      <w:r>
        <w:rPr/>
        <w:t>and</w:t>
      </w:r>
      <w:r>
        <w:rPr>
          <w:spacing w:val="-5"/>
        </w:rPr>
        <w:t> </w:t>
      </w:r>
      <w:r>
        <w:rPr/>
        <w:t>reduce</w:t>
      </w:r>
      <w:r>
        <w:rPr>
          <w:spacing w:val="-5"/>
        </w:rPr>
        <w:t> </w:t>
      </w:r>
      <w:r>
        <w:rPr/>
        <w:t>this</w:t>
      </w:r>
      <w:r>
        <w:rPr>
          <w:spacing w:val="-5"/>
        </w:rPr>
        <w:t> </w:t>
      </w:r>
      <w:r>
        <w:rPr/>
        <w:t>risk.</w:t>
      </w:r>
      <w:r>
        <w:rPr>
          <w:spacing w:val="40"/>
        </w:rPr>
        <w:t> </w:t>
      </w:r>
      <w:r>
        <w:rPr/>
        <w:t>Another</w:t>
      </w:r>
      <w:r>
        <w:rPr>
          <w:spacing w:val="-5"/>
        </w:rPr>
        <w:t> </w:t>
      </w:r>
      <w:r>
        <w:rPr/>
        <w:t>advantage</w:t>
      </w:r>
      <w:r>
        <w:rPr>
          <w:spacing w:val="-5"/>
        </w:rPr>
        <w:t> </w:t>
      </w:r>
      <w:r>
        <w:rPr/>
        <w:t>of UAV based attacks is the ability to set up attacker based IoT networks that</w:t>
      </w:r>
      <w:r>
        <w:rPr>
          <w:spacing w:val="40"/>
        </w:rPr>
        <w:t> </w:t>
      </w:r>
      <w:r>
        <w:rPr/>
        <w:t>can adapt to situations as needed.</w:t>
      </w:r>
      <w:r>
        <w:rPr>
          <w:spacing w:val="-1"/>
        </w:rPr>
        <w:t> </w:t>
      </w:r>
      <w:r>
        <w:rPr/>
        <w:t>Malicious</w:t>
      </w:r>
      <w:r>
        <w:rPr>
          <w:spacing w:val="-1"/>
        </w:rPr>
        <w:t> </w:t>
      </w:r>
      <w:r>
        <w:rPr/>
        <w:t>UAVs</w:t>
      </w:r>
      <w:r>
        <w:rPr>
          <w:spacing w:val="-1"/>
        </w:rPr>
        <w:t> </w:t>
      </w:r>
      <w:r>
        <w:rPr/>
        <w:t>may</w:t>
      </w:r>
      <w:r>
        <w:rPr>
          <w:spacing w:val="-1"/>
        </w:rPr>
        <w:t> </w:t>
      </w:r>
      <w:r>
        <w:rPr/>
        <w:t>act</w:t>
      </w:r>
      <w:r>
        <w:rPr>
          <w:spacing w:val="-1"/>
        </w:rPr>
        <w:t> </w:t>
      </w:r>
      <w:r>
        <w:rPr/>
        <w:t>as</w:t>
      </w:r>
      <w:r>
        <w:rPr>
          <w:spacing w:val="-2"/>
        </w:rPr>
        <w:t> </w:t>
      </w:r>
      <w:r>
        <w:rPr/>
        <w:t>relays</w:t>
      </w:r>
      <w:r>
        <w:rPr>
          <w:spacing w:val="-1"/>
        </w:rPr>
        <w:t> </w:t>
      </w:r>
      <w:r>
        <w:rPr/>
        <w:t>for</w:t>
      </w:r>
      <w:r>
        <w:rPr>
          <w:spacing w:val="-1"/>
        </w:rPr>
        <w:t> </w:t>
      </w:r>
      <w:r>
        <w:rPr/>
        <w:t>communication,</w:t>
      </w:r>
      <w:r>
        <w:rPr>
          <w:spacing w:val="-1"/>
        </w:rPr>
        <w:t> </w:t>
      </w:r>
      <w:r>
        <w:rPr/>
        <w:t>while</w:t>
      </w:r>
      <w:r>
        <w:rPr>
          <w:spacing w:val="40"/>
        </w:rPr>
        <w:t> </w:t>
      </w:r>
      <w:r>
        <w:rPr/>
        <w:t>also</w:t>
      </w:r>
      <w:r>
        <w:rPr>
          <w:spacing w:val="-1"/>
        </w:rPr>
        <w:t> </w:t>
      </w:r>
      <w:r>
        <w:rPr/>
        <w:t>being</w:t>
      </w:r>
      <w:r>
        <w:rPr>
          <w:spacing w:val="-1"/>
        </w:rPr>
        <w:t> </w:t>
      </w:r>
      <w:r>
        <w:rPr/>
        <w:t>capable</w:t>
      </w:r>
      <w:r>
        <w:rPr>
          <w:spacing w:val="-1"/>
        </w:rPr>
        <w:t> </w:t>
      </w:r>
      <w:r>
        <w:rPr/>
        <w:t>of</w:t>
      </w:r>
      <w:r>
        <w:rPr>
          <w:spacing w:val="-1"/>
        </w:rPr>
        <w:t> </w:t>
      </w:r>
      <w:r>
        <w:rPr/>
        <w:t>dropping payloads of IoT devices (Guri &amp; Elovici, 2018).</w:t>
      </w:r>
    </w:p>
    <w:p>
      <w:pPr>
        <w:pStyle w:val="BodyText"/>
        <w:spacing w:line="230" w:lineRule="auto" w:before="163"/>
        <w:ind w:left="693" w:right="1076"/>
      </w:pPr>
      <w:r>
        <w:rPr/>
        <w:t>In the process of research, many case studies were examined. A classification of possible UAV attacks</w:t>
      </w:r>
      <w:r>
        <w:rPr>
          <w:spacing w:val="-3"/>
        </w:rPr>
        <w:t> </w:t>
      </w:r>
      <w:r>
        <w:rPr/>
        <w:t>relevant</w:t>
      </w:r>
      <w:r>
        <w:rPr>
          <w:spacing w:val="-3"/>
        </w:rPr>
        <w:t> </w:t>
      </w:r>
      <w:r>
        <w:rPr/>
        <w:t>to</w:t>
      </w:r>
      <w:r>
        <w:rPr>
          <w:spacing w:val="-3"/>
        </w:rPr>
        <w:t> </w:t>
      </w:r>
      <w:r>
        <w:rPr/>
        <w:t>enterprise</w:t>
      </w:r>
      <w:r>
        <w:rPr>
          <w:spacing w:val="-3"/>
        </w:rPr>
        <w:t> </w:t>
      </w:r>
      <w:r>
        <w:rPr/>
        <w:t>security</w:t>
      </w:r>
      <w:r>
        <w:rPr>
          <w:spacing w:val="-3"/>
        </w:rPr>
        <w:t> </w:t>
      </w:r>
      <w:r>
        <w:rPr/>
        <w:t>will</w:t>
      </w:r>
      <w:r>
        <w:rPr>
          <w:spacing w:val="-3"/>
        </w:rPr>
        <w:t> </w:t>
      </w:r>
      <w:r>
        <w:rPr/>
        <w:t>be</w:t>
      </w:r>
      <w:r>
        <w:rPr>
          <w:spacing w:val="-3"/>
        </w:rPr>
        <w:t> </w:t>
      </w:r>
      <w:r>
        <w:rPr/>
        <w:t>described,</w:t>
      </w:r>
      <w:r>
        <w:rPr>
          <w:spacing w:val="-3"/>
        </w:rPr>
        <w:t> </w:t>
      </w:r>
      <w:r>
        <w:rPr/>
        <w:t>with</w:t>
      </w:r>
      <w:r>
        <w:rPr>
          <w:spacing w:val="-3"/>
        </w:rPr>
        <w:t> </w:t>
      </w:r>
      <w:r>
        <w:rPr/>
        <w:t>both</w:t>
      </w:r>
      <w:r>
        <w:rPr>
          <w:spacing w:val="-3"/>
        </w:rPr>
        <w:t> </w:t>
      </w:r>
      <w:r>
        <w:rPr/>
        <w:t>academic</w:t>
      </w:r>
      <w:r>
        <w:rPr>
          <w:spacing w:val="-3"/>
        </w:rPr>
        <w:t> </w:t>
      </w:r>
      <w:r>
        <w:rPr/>
        <w:t>and</w:t>
      </w:r>
      <w:r>
        <w:rPr>
          <w:spacing w:val="-3"/>
        </w:rPr>
        <w:t> </w:t>
      </w:r>
      <w:r>
        <w:rPr/>
        <w:t>real-world</w:t>
      </w:r>
      <w:r>
        <w:rPr>
          <w:spacing w:val="40"/>
        </w:rPr>
        <w:t> </w:t>
      </w:r>
      <w:r>
        <w:rPr/>
        <w:t>examples paired with attacks as proof of concept. Articles were used as sources where there was a</w:t>
      </w:r>
      <w:r>
        <w:rPr>
          <w:spacing w:val="40"/>
        </w:rPr>
        <w:t> </w:t>
      </w:r>
      <w:r>
        <w:rPr/>
        <w:t>lack of academic research or experiments related to an attack.</w:t>
      </w:r>
    </w:p>
    <w:p>
      <w:pPr>
        <w:pStyle w:val="BodyText"/>
        <w:spacing w:line="230" w:lineRule="auto" w:before="163"/>
        <w:ind w:left="693" w:right="1191"/>
      </w:pPr>
      <w:r>
        <w:rPr/>
        <w:t>Data sniffing involves the interception and analysis of network traffic to extract credentials or assume network structure (MITRE ATT&amp;CK, 2017). UAVs enable this attack by achieving proximity to wireless infrastructure without breaching physical security controls. Barker demonstrated that UAV-mounted attack platforms could capture WPA handshakes and conduct network</w:t>
      </w:r>
      <w:r>
        <w:rPr>
          <w:spacing w:val="-4"/>
        </w:rPr>
        <w:t> </w:t>
      </w:r>
      <w:r>
        <w:rPr/>
        <w:t>scans</w:t>
      </w:r>
      <w:r>
        <w:rPr>
          <w:spacing w:val="-4"/>
        </w:rPr>
        <w:t> </w:t>
      </w:r>
      <w:r>
        <w:rPr/>
        <w:t>from</w:t>
      </w:r>
      <w:r>
        <w:rPr>
          <w:spacing w:val="-4"/>
        </w:rPr>
        <w:t> </w:t>
      </w:r>
      <w:r>
        <w:rPr/>
        <w:t>distances</w:t>
      </w:r>
      <w:r>
        <w:rPr>
          <w:spacing w:val="-4"/>
        </w:rPr>
        <w:t> </w:t>
      </w:r>
      <w:r>
        <w:rPr/>
        <w:t>exceeding</w:t>
      </w:r>
      <w:r>
        <w:rPr>
          <w:spacing w:val="-4"/>
        </w:rPr>
        <w:t> </w:t>
      </w:r>
      <w:r>
        <w:rPr/>
        <w:t>2,000</w:t>
      </w:r>
      <w:r>
        <w:rPr>
          <w:spacing w:val="-4"/>
        </w:rPr>
        <w:t> </w:t>
      </w:r>
      <w:r>
        <w:rPr/>
        <w:t>meters,</w:t>
      </w:r>
      <w:r>
        <w:rPr>
          <w:spacing w:val="-4"/>
        </w:rPr>
        <w:t> </w:t>
      </w:r>
      <w:r>
        <w:rPr/>
        <w:t>confirming</w:t>
      </w:r>
      <w:r>
        <w:rPr>
          <w:spacing w:val="-4"/>
        </w:rPr>
        <w:t> </w:t>
      </w:r>
      <w:r>
        <w:rPr/>
        <w:t>the</w:t>
      </w:r>
      <w:r>
        <w:rPr>
          <w:spacing w:val="-4"/>
        </w:rPr>
        <w:t> </w:t>
      </w:r>
      <w:r>
        <w:rPr/>
        <w:t>feasibility</w:t>
      </w:r>
      <w:r>
        <w:rPr>
          <w:spacing w:val="-4"/>
        </w:rPr>
        <w:t> </w:t>
      </w:r>
      <w:r>
        <w:rPr/>
        <w:t>of</w:t>
      </w:r>
      <w:r>
        <w:rPr>
          <w:spacing w:val="-4"/>
        </w:rPr>
        <w:t> </w:t>
      </w:r>
      <w:r>
        <w:rPr/>
        <w:t>aerial</w:t>
      </w:r>
      <w:r>
        <w:rPr>
          <w:spacing w:val="-4"/>
        </w:rPr>
        <w:t> </w:t>
      </w:r>
      <w:r>
        <w:rPr/>
        <w:t>wireless surveillance against enterprise networks (Barker, 2020).</w:t>
      </w:r>
    </w:p>
    <w:p>
      <w:pPr>
        <w:pStyle w:val="BodyText"/>
        <w:spacing w:line="247" w:lineRule="auto" w:before="276"/>
        <w:ind w:left="725" w:right="1191" w:hanging="32"/>
      </w:pPr>
      <w:r>
        <w:rPr/>
        <w:t>UAVs equipped with cameras can collect sensitive physical information and support social engineering</w:t>
      </w:r>
      <w:r>
        <w:rPr>
          <w:spacing w:val="80"/>
        </w:rPr>
        <w:t> </w:t>
      </w:r>
      <w:r>
        <w:rPr/>
        <w:t>or</w:t>
      </w:r>
      <w:r>
        <w:rPr>
          <w:spacing w:val="80"/>
        </w:rPr>
        <w:t> </w:t>
      </w:r>
      <w:r>
        <w:rPr/>
        <w:t>espionage</w:t>
      </w:r>
      <w:r>
        <w:rPr>
          <w:spacing w:val="71"/>
        </w:rPr>
        <w:t> </w:t>
      </w:r>
      <w:r>
        <w:rPr/>
        <w:t>activities.</w:t>
      </w:r>
      <w:r>
        <w:rPr>
          <w:spacing w:val="71"/>
        </w:rPr>
        <w:t> </w:t>
      </w:r>
      <w:r>
        <w:rPr/>
        <w:t>In</w:t>
      </w:r>
      <w:r>
        <w:rPr>
          <w:spacing w:val="71"/>
        </w:rPr>
        <w:t> </w:t>
      </w:r>
      <w:r>
        <w:rPr/>
        <w:t>a</w:t>
      </w:r>
      <w:r>
        <w:rPr>
          <w:spacing w:val="71"/>
        </w:rPr>
        <w:t> </w:t>
      </w:r>
      <w:r>
        <w:rPr/>
        <w:t>2019</w:t>
      </w:r>
      <w:r>
        <w:rPr>
          <w:spacing w:val="71"/>
        </w:rPr>
        <w:t> </w:t>
      </w:r>
      <w:r>
        <w:rPr/>
        <w:t>corporate</w:t>
      </w:r>
      <w:r>
        <w:rPr>
          <w:spacing w:val="71"/>
        </w:rPr>
        <w:t> </w:t>
      </w:r>
      <w:r>
        <w:rPr/>
        <w:t>espionage</w:t>
      </w:r>
      <w:r>
        <w:rPr>
          <w:spacing w:val="71"/>
        </w:rPr>
        <w:t> </w:t>
      </w:r>
      <w:r>
        <w:rPr/>
        <w:t>investigation</w:t>
      </w:r>
      <w:r>
        <w:rPr>
          <w:spacing w:val="71"/>
        </w:rPr>
        <w:t> </w:t>
      </w:r>
      <w:r>
        <w:rPr/>
        <w:t>involving Huawei</w:t>
      </w:r>
      <w:r>
        <w:rPr>
          <w:spacing w:val="80"/>
        </w:rPr>
        <w:t> </w:t>
      </w:r>
      <w:r>
        <w:rPr/>
        <w:t>and Ericsson, UAV-based visual surveillance was reportedly used to observe sensitive</w:t>
      </w:r>
      <w:r>
        <w:rPr>
          <w:spacing w:val="40"/>
        </w:rPr>
        <w:t> </w:t>
      </w:r>
      <w:r>
        <w:rPr/>
        <w:t>information</w:t>
      </w:r>
      <w:r>
        <w:rPr>
          <w:spacing w:val="80"/>
        </w:rPr>
        <w:t> </w:t>
      </w:r>
      <w:r>
        <w:rPr/>
        <w:t>displayed on white boards through a window on the 15</w:t>
      </w:r>
      <w:r>
        <w:rPr>
          <w:vertAlign w:val="superscript"/>
        </w:rPr>
        <w:t>th</w:t>
      </w:r>
      <w:r>
        <w:rPr>
          <w:spacing w:val="-8"/>
          <w:vertAlign w:val="baseline"/>
        </w:rPr>
        <w:t> </w:t>
      </w:r>
      <w:r>
        <w:rPr>
          <w:vertAlign w:val="baseline"/>
        </w:rPr>
        <w:t>floor. This illustrates how aerial</w:t>
      </w:r>
      <w:r>
        <w:rPr>
          <w:spacing w:val="40"/>
          <w:vertAlign w:val="baseline"/>
        </w:rPr>
        <w:t> </w:t>
      </w:r>
      <w:r>
        <w:rPr>
          <w:vertAlign w:val="baseline"/>
        </w:rPr>
        <w:t>reconnaissance can bypass conventional physical security measures (Kharpal, 2023).</w:t>
      </w:r>
    </w:p>
    <w:p>
      <w:pPr>
        <w:pStyle w:val="BodyText"/>
        <w:spacing w:line="230" w:lineRule="auto" w:before="165"/>
        <w:ind w:left="725" w:right="1384"/>
        <w:jc w:val="both"/>
      </w:pPr>
      <w:r>
        <w:rPr/>
        <w:t>Proximity-based</w:t>
      </w:r>
      <w:r>
        <w:rPr>
          <w:spacing w:val="-5"/>
        </w:rPr>
        <w:t> </w:t>
      </w:r>
      <w:r>
        <w:rPr/>
        <w:t>impersonation</w:t>
      </w:r>
      <w:r>
        <w:rPr>
          <w:spacing w:val="-5"/>
        </w:rPr>
        <w:t> </w:t>
      </w:r>
      <w:r>
        <w:rPr/>
        <w:t>attacks</w:t>
      </w:r>
      <w:r>
        <w:rPr>
          <w:spacing w:val="-5"/>
        </w:rPr>
        <w:t> </w:t>
      </w:r>
      <w:r>
        <w:rPr/>
        <w:t>involve</w:t>
      </w:r>
      <w:r>
        <w:rPr>
          <w:spacing w:val="-5"/>
        </w:rPr>
        <w:t> </w:t>
      </w:r>
      <w:r>
        <w:rPr/>
        <w:t>mimicking</w:t>
      </w:r>
      <w:r>
        <w:rPr>
          <w:spacing w:val="-5"/>
        </w:rPr>
        <w:t> </w:t>
      </w:r>
      <w:r>
        <w:rPr/>
        <w:t>legitimate</w:t>
      </w:r>
      <w:r>
        <w:rPr>
          <w:spacing w:val="-5"/>
        </w:rPr>
        <w:t> </w:t>
      </w:r>
      <w:r>
        <w:rPr/>
        <w:t>network</w:t>
      </w:r>
      <w:r>
        <w:rPr>
          <w:spacing w:val="-5"/>
        </w:rPr>
        <w:t> </w:t>
      </w:r>
      <w:r>
        <w:rPr/>
        <w:t>infrastructure,</w:t>
      </w:r>
      <w:r>
        <w:rPr>
          <w:spacing w:val="-5"/>
        </w:rPr>
        <w:t> </w:t>
      </w:r>
      <w:r>
        <w:rPr/>
        <w:t>such as wireless access points, to intercept credentials or traffic. In 2022, a financial institution reported</w:t>
      </w:r>
      <w:r>
        <w:rPr>
          <w:spacing w:val="40"/>
        </w:rPr>
        <w:t> </w:t>
      </w:r>
      <w:r>
        <w:rPr/>
        <w:t>an incident in which UAVs deployed rogue access points using embedded wireless attack</w:t>
      </w:r>
      <w:r>
        <w:rPr>
          <w:spacing w:val="40"/>
        </w:rPr>
        <w:t> </w:t>
      </w:r>
      <w:r>
        <w:rPr/>
        <w:t>hardware, enabling credential interception</w:t>
      </w:r>
      <w:r>
        <w:rPr>
          <w:spacing w:val="-3"/>
        </w:rPr>
        <w:t> </w:t>
      </w:r>
      <w:r>
        <w:rPr/>
        <w:t>through</w:t>
      </w:r>
      <w:r>
        <w:rPr>
          <w:spacing w:val="-3"/>
        </w:rPr>
        <w:t> </w:t>
      </w:r>
      <w:r>
        <w:rPr/>
        <w:t>user</w:t>
      </w:r>
      <w:r>
        <w:rPr>
          <w:spacing w:val="-3"/>
        </w:rPr>
        <w:t> </w:t>
      </w:r>
      <w:r>
        <w:rPr/>
        <w:t>association</w:t>
      </w:r>
      <w:r>
        <w:rPr>
          <w:spacing w:val="-3"/>
        </w:rPr>
        <w:t> </w:t>
      </w:r>
      <w:r>
        <w:rPr/>
        <w:t>with</w:t>
      </w:r>
      <w:r>
        <w:rPr>
          <w:spacing w:val="-3"/>
        </w:rPr>
        <w:t> </w:t>
      </w:r>
      <w:r>
        <w:rPr/>
        <w:t>the</w:t>
      </w:r>
      <w:r>
        <w:rPr>
          <w:spacing w:val="-3"/>
        </w:rPr>
        <w:t> </w:t>
      </w:r>
      <w:r>
        <w:rPr/>
        <w:t>impersonated network</w:t>
      </w:r>
      <w:r>
        <w:rPr>
          <w:spacing w:val="40"/>
        </w:rPr>
        <w:t> </w:t>
      </w:r>
      <w:r>
        <w:rPr/>
        <w:t>(Claburn, 2022).</w:t>
      </w:r>
    </w:p>
    <w:p>
      <w:pPr>
        <w:pStyle w:val="BodyText"/>
        <w:spacing w:line="230" w:lineRule="auto" w:before="162"/>
        <w:ind w:left="725" w:right="1380"/>
        <w:jc w:val="both"/>
      </w:pPr>
      <w:r>
        <w:rPr/>
        <w:t>UAVs themselves may also serve as carriers of embedded malware. During the Russia–</w:t>
      </w:r>
      <w:r>
        <w:rPr/>
        <w:t>Ukraine conflict, Ukrainian forces deployed drones containing malware designed to prevent captured UAVs from being repurposed, demonstrating the integration of cyber payloads into aerial platforms. While primarily targeting UAV exploitation rather than enterprise networks, this approach highlights the expanding role of malware within UAV-enabled cyber (Mittal, 2025).</w:t>
      </w:r>
    </w:p>
    <w:p>
      <w:pPr>
        <w:pStyle w:val="BodyText"/>
        <w:spacing w:line="230" w:lineRule="auto" w:before="165"/>
        <w:ind w:left="725" w:right="1191"/>
      </w:pPr>
      <w:r>
        <w:rPr/>
        <w:t>Considering</w:t>
      </w:r>
      <w:r>
        <w:rPr>
          <w:spacing w:val="-7"/>
        </w:rPr>
        <w:t> </w:t>
      </w:r>
      <w:r>
        <w:rPr/>
        <w:t>observed</w:t>
      </w:r>
      <w:r>
        <w:rPr>
          <w:spacing w:val="-7"/>
        </w:rPr>
        <w:t> </w:t>
      </w:r>
      <w:r>
        <w:rPr/>
        <w:t>UAV</w:t>
      </w:r>
      <w:r>
        <w:rPr>
          <w:spacing w:val="-7"/>
        </w:rPr>
        <w:t> </w:t>
      </w:r>
      <w:r>
        <w:rPr/>
        <w:t>cyberattacks</w:t>
      </w:r>
      <w:r>
        <w:rPr>
          <w:spacing w:val="-7"/>
        </w:rPr>
        <w:t> </w:t>
      </w:r>
      <w:r>
        <w:rPr/>
        <w:t>and</w:t>
      </w:r>
      <w:r>
        <w:rPr>
          <w:spacing w:val="-7"/>
        </w:rPr>
        <w:t> </w:t>
      </w:r>
      <w:r>
        <w:rPr/>
        <w:t>with</w:t>
      </w:r>
      <w:r>
        <w:rPr>
          <w:spacing w:val="-7"/>
        </w:rPr>
        <w:t> </w:t>
      </w:r>
      <w:r>
        <w:rPr/>
        <w:t>an</w:t>
      </w:r>
      <w:r>
        <w:rPr>
          <w:spacing w:val="-7"/>
        </w:rPr>
        <w:t> </w:t>
      </w:r>
      <w:r>
        <w:rPr/>
        <w:t>overview</w:t>
      </w:r>
      <w:r>
        <w:rPr>
          <w:spacing w:val="-7"/>
        </w:rPr>
        <w:t> </w:t>
      </w:r>
      <w:r>
        <w:rPr/>
        <w:t>of</w:t>
      </w:r>
      <w:r>
        <w:rPr>
          <w:spacing w:val="-7"/>
        </w:rPr>
        <w:t> </w:t>
      </w:r>
      <w:r>
        <w:rPr/>
        <w:t>current</w:t>
      </w:r>
      <w:r>
        <w:rPr>
          <w:spacing w:val="-7"/>
        </w:rPr>
        <w:t> </w:t>
      </w:r>
      <w:r>
        <w:rPr/>
        <w:t>security</w:t>
      </w:r>
      <w:r>
        <w:rPr>
          <w:spacing w:val="-7"/>
        </w:rPr>
        <w:t> </w:t>
      </w:r>
      <w:r>
        <w:rPr/>
        <w:t>standards, mitigation strategy will be discussed with a focus on practicality and cost reduction below.</w:t>
      </w:r>
    </w:p>
    <w:p>
      <w:pPr>
        <w:pStyle w:val="BodyText"/>
        <w:spacing w:line="230" w:lineRule="auto" w:before="165"/>
        <w:ind w:left="725" w:right="1381"/>
      </w:pPr>
      <w:r>
        <w:rPr/>
        <w:t>UAVs are constrained by endurance and control range limitations. Consumer multirotor UAVs, such as the DJI Mini 4 Pro, typically offer flight times of approximately 34 minutes, while fixed wing survey platforms may sustain flight for 50–60 minutes depending on payload (DJI, n.d.; Greenwood, Lynch, &amp; Zekkos, 2019). Enterprises able to establish sufficient physical air gaps exceeding</w:t>
      </w:r>
      <w:r>
        <w:rPr>
          <w:spacing w:val="-4"/>
        </w:rPr>
        <w:t> </w:t>
      </w:r>
      <w:r>
        <w:rPr/>
        <w:t>the</w:t>
      </w:r>
      <w:r>
        <w:rPr>
          <w:spacing w:val="-4"/>
        </w:rPr>
        <w:t> </w:t>
      </w:r>
      <w:r>
        <w:rPr/>
        <w:t>operational</w:t>
      </w:r>
      <w:r>
        <w:rPr>
          <w:spacing w:val="-4"/>
        </w:rPr>
        <w:t> </w:t>
      </w:r>
      <w:r>
        <w:rPr/>
        <w:t>endurance</w:t>
      </w:r>
      <w:r>
        <w:rPr>
          <w:spacing w:val="-4"/>
        </w:rPr>
        <w:t> </w:t>
      </w:r>
      <w:r>
        <w:rPr/>
        <w:t>of</w:t>
      </w:r>
      <w:r>
        <w:rPr>
          <w:spacing w:val="-4"/>
        </w:rPr>
        <w:t> </w:t>
      </w:r>
      <w:r>
        <w:rPr/>
        <w:t>these</w:t>
      </w:r>
      <w:r>
        <w:rPr>
          <w:spacing w:val="-4"/>
        </w:rPr>
        <w:t> </w:t>
      </w:r>
      <w:r>
        <w:rPr/>
        <w:t>platforms</w:t>
      </w:r>
      <w:r>
        <w:rPr>
          <w:spacing w:val="-4"/>
        </w:rPr>
        <w:t> </w:t>
      </w:r>
      <w:r>
        <w:rPr/>
        <w:t>can</w:t>
      </w:r>
      <w:r>
        <w:rPr>
          <w:spacing w:val="-4"/>
        </w:rPr>
        <w:t> </w:t>
      </w:r>
      <w:r>
        <w:rPr/>
        <w:t>effectively</w:t>
      </w:r>
      <w:r>
        <w:rPr>
          <w:spacing w:val="-4"/>
        </w:rPr>
        <w:t> </w:t>
      </w:r>
      <w:r>
        <w:rPr/>
        <w:t>deny</w:t>
      </w:r>
      <w:r>
        <w:rPr>
          <w:spacing w:val="-4"/>
        </w:rPr>
        <w:t> </w:t>
      </w:r>
      <w:r>
        <w:rPr/>
        <w:t>UAVs</w:t>
      </w:r>
      <w:r>
        <w:rPr>
          <w:spacing w:val="-4"/>
        </w:rPr>
        <w:t> </w:t>
      </w:r>
      <w:r>
        <w:rPr/>
        <w:t>the</w:t>
      </w:r>
      <w:r>
        <w:rPr>
          <w:spacing w:val="-4"/>
        </w:rPr>
        <w:t> </w:t>
      </w:r>
      <w:r>
        <w:rPr/>
        <w:t>proximity required</w:t>
      </w:r>
      <w:r>
        <w:rPr>
          <w:spacing w:val="-3"/>
        </w:rPr>
        <w:t> </w:t>
      </w:r>
      <w:r>
        <w:rPr/>
        <w:t>for</w:t>
      </w:r>
      <w:r>
        <w:rPr>
          <w:spacing w:val="-3"/>
        </w:rPr>
        <w:t> </w:t>
      </w:r>
      <w:r>
        <w:rPr/>
        <w:t>many</w:t>
      </w:r>
      <w:r>
        <w:rPr>
          <w:spacing w:val="-3"/>
        </w:rPr>
        <w:t> </w:t>
      </w:r>
      <w:r>
        <w:rPr/>
        <w:t>attack</w:t>
      </w:r>
      <w:r>
        <w:rPr>
          <w:spacing w:val="-3"/>
        </w:rPr>
        <w:t> </w:t>
      </w:r>
      <w:r>
        <w:rPr/>
        <w:t>types.</w:t>
      </w:r>
      <w:r>
        <w:rPr>
          <w:spacing w:val="-3"/>
        </w:rPr>
        <w:t> </w:t>
      </w:r>
      <w:r>
        <w:rPr/>
        <w:t>This</w:t>
      </w:r>
      <w:r>
        <w:rPr>
          <w:spacing w:val="-3"/>
        </w:rPr>
        <w:t> </w:t>
      </w:r>
      <w:r>
        <w:rPr/>
        <w:t>mitigation</w:t>
      </w:r>
      <w:r>
        <w:rPr>
          <w:spacing w:val="-3"/>
        </w:rPr>
        <w:t> </w:t>
      </w:r>
      <w:r>
        <w:rPr/>
        <w:t>is</w:t>
      </w:r>
      <w:r>
        <w:rPr>
          <w:spacing w:val="-3"/>
        </w:rPr>
        <w:t> </w:t>
      </w:r>
      <w:r>
        <w:rPr/>
        <w:t>most</w:t>
      </w:r>
      <w:r>
        <w:rPr>
          <w:spacing w:val="-3"/>
        </w:rPr>
        <w:t> </w:t>
      </w:r>
      <w:r>
        <w:rPr/>
        <w:t>applicable</w:t>
      </w:r>
      <w:r>
        <w:rPr>
          <w:spacing w:val="-3"/>
        </w:rPr>
        <w:t> </w:t>
      </w:r>
      <w:r>
        <w:rPr/>
        <w:t>to</w:t>
      </w:r>
      <w:r>
        <w:rPr>
          <w:spacing w:val="-3"/>
        </w:rPr>
        <w:t> </w:t>
      </w:r>
      <w:r>
        <w:rPr/>
        <w:t>facilities</w:t>
      </w:r>
      <w:r>
        <w:rPr>
          <w:spacing w:val="-3"/>
        </w:rPr>
        <w:t> </w:t>
      </w:r>
      <w:r>
        <w:rPr/>
        <w:t>with</w:t>
      </w:r>
      <w:r>
        <w:rPr>
          <w:spacing w:val="-3"/>
        </w:rPr>
        <w:t> </w:t>
      </w:r>
      <w:r>
        <w:rPr/>
        <w:t>large</w:t>
      </w:r>
      <w:r>
        <w:rPr>
          <w:spacing w:val="-3"/>
        </w:rPr>
        <w:t> </w:t>
      </w:r>
      <w:r>
        <w:rPr/>
        <w:t>physical perimeters, such as remote data centers or isolated infrastructure sites.</w:t>
      </w:r>
    </w:p>
    <w:p>
      <w:pPr>
        <w:pStyle w:val="BodyText"/>
        <w:spacing w:line="230" w:lineRule="auto" w:before="161"/>
        <w:ind w:left="725" w:right="1367"/>
        <w:jc w:val="both"/>
      </w:pPr>
      <w:r>
        <w:rPr/>
        <w:t>Cybersecurity is a learned competency, and this extends to UAV awareness. Training </w:t>
      </w:r>
      <w:r>
        <w:rPr/>
        <w:t>enterprise personnel, including both security and non-security</w:t>
      </w:r>
      <w:r>
        <w:rPr>
          <w:spacing w:val="-6"/>
        </w:rPr>
        <w:t> </w:t>
      </w:r>
      <w:r>
        <w:rPr/>
        <w:t>staff,</w:t>
      </w:r>
      <w:r>
        <w:rPr>
          <w:spacing w:val="-6"/>
        </w:rPr>
        <w:t> </w:t>
      </w:r>
      <w:r>
        <w:rPr/>
        <w:t>to</w:t>
      </w:r>
      <w:r>
        <w:rPr>
          <w:spacing w:val="-6"/>
        </w:rPr>
        <w:t> </w:t>
      </w:r>
      <w:r>
        <w:rPr/>
        <w:t>recognize</w:t>
      </w:r>
      <w:r>
        <w:rPr>
          <w:spacing w:val="-6"/>
        </w:rPr>
        <w:t> </w:t>
      </w:r>
      <w:r>
        <w:rPr/>
        <w:t>UAV</w:t>
      </w:r>
      <w:r>
        <w:rPr>
          <w:spacing w:val="-6"/>
        </w:rPr>
        <w:t> </w:t>
      </w:r>
      <w:r>
        <w:rPr/>
        <w:t>activity</w:t>
      </w:r>
      <w:r>
        <w:rPr>
          <w:spacing w:val="-6"/>
        </w:rPr>
        <w:t> </w:t>
      </w:r>
      <w:r>
        <w:rPr/>
        <w:t>and</w:t>
      </w:r>
      <w:r>
        <w:rPr>
          <w:spacing w:val="-6"/>
        </w:rPr>
        <w:t> </w:t>
      </w:r>
      <w:r>
        <w:rPr/>
        <w:t>common indicators</w:t>
      </w:r>
      <w:r>
        <w:rPr>
          <w:spacing w:val="23"/>
        </w:rPr>
        <w:t> </w:t>
      </w:r>
      <w:r>
        <w:rPr/>
        <w:t>of</w:t>
      </w:r>
      <w:r>
        <w:rPr>
          <w:spacing w:val="9"/>
        </w:rPr>
        <w:t> </w:t>
      </w:r>
      <w:r>
        <w:rPr/>
        <w:t>aerial</w:t>
      </w:r>
      <w:r>
        <w:rPr>
          <w:spacing w:val="9"/>
        </w:rPr>
        <w:t> </w:t>
      </w:r>
      <w:r>
        <w:rPr/>
        <w:t>surveillance</w:t>
      </w:r>
      <w:r>
        <w:rPr>
          <w:spacing w:val="9"/>
        </w:rPr>
        <w:t> </w:t>
      </w:r>
      <w:r>
        <w:rPr/>
        <w:t>can</w:t>
      </w:r>
      <w:r>
        <w:rPr>
          <w:spacing w:val="9"/>
        </w:rPr>
        <w:t> </w:t>
      </w:r>
      <w:r>
        <w:rPr/>
        <w:t>significantly</w:t>
      </w:r>
      <w:r>
        <w:rPr>
          <w:spacing w:val="10"/>
        </w:rPr>
        <w:t> </w:t>
      </w:r>
      <w:r>
        <w:rPr/>
        <w:t>reduce</w:t>
      </w:r>
      <w:r>
        <w:rPr>
          <w:spacing w:val="9"/>
        </w:rPr>
        <w:t> </w:t>
      </w:r>
      <w:r>
        <w:rPr/>
        <w:t>organizational</w:t>
      </w:r>
      <w:r>
        <w:rPr>
          <w:spacing w:val="9"/>
        </w:rPr>
        <w:t> </w:t>
      </w:r>
      <w:r>
        <w:rPr/>
        <w:t>risk.</w:t>
      </w:r>
      <w:r>
        <w:rPr>
          <w:spacing w:val="9"/>
        </w:rPr>
        <w:t> </w:t>
      </w:r>
      <w:r>
        <w:rPr/>
        <w:t>Many</w:t>
      </w:r>
      <w:r>
        <w:rPr>
          <w:spacing w:val="10"/>
        </w:rPr>
        <w:t> </w:t>
      </w:r>
      <w:r>
        <w:rPr/>
        <w:t>UAV-</w:t>
      </w:r>
      <w:r>
        <w:rPr>
          <w:spacing w:val="-2"/>
        </w:rPr>
        <w:t>enabled</w:t>
      </w:r>
    </w:p>
    <w:p>
      <w:pPr>
        <w:pStyle w:val="BodyText"/>
        <w:spacing w:after="0" w:line="230" w:lineRule="auto"/>
        <w:jc w:val="both"/>
        <w:sectPr>
          <w:pgSz w:w="12240" w:h="15840"/>
          <w:pgMar w:header="0" w:footer="712" w:top="620" w:bottom="920" w:left="720" w:right="0"/>
        </w:sectPr>
      </w:pPr>
    </w:p>
    <w:p>
      <w:pPr>
        <w:pStyle w:val="BodyText"/>
        <w:spacing w:line="230" w:lineRule="auto" w:before="80"/>
        <w:ind w:left="725" w:right="1371"/>
        <w:jc w:val="both"/>
      </w:pPr>
      <w:r>
        <w:rPr/>
        <w:t>attacks rely on secondary cybersecurity failures, such as the exposure of sensitive </w:t>
      </w:r>
      <w:r>
        <w:rPr/>
        <w:t>information near</w:t>
      </w:r>
      <w:r>
        <w:rPr>
          <w:spacing w:val="40"/>
        </w:rPr>
        <w:t> </w:t>
      </w:r>
      <w:r>
        <w:rPr/>
        <w:t>windows,</w:t>
      </w:r>
      <w:r>
        <w:rPr>
          <w:spacing w:val="-3"/>
        </w:rPr>
        <w:t> </w:t>
      </w:r>
      <w:r>
        <w:rPr/>
        <w:t>the</w:t>
      </w:r>
      <w:r>
        <w:rPr>
          <w:spacing w:val="-3"/>
        </w:rPr>
        <w:t> </w:t>
      </w:r>
      <w:r>
        <w:rPr/>
        <w:t>use</w:t>
      </w:r>
      <w:r>
        <w:rPr>
          <w:spacing w:val="-3"/>
        </w:rPr>
        <w:t> </w:t>
      </w:r>
      <w:r>
        <w:rPr/>
        <w:t>of</w:t>
      </w:r>
      <w:r>
        <w:rPr>
          <w:spacing w:val="-3"/>
        </w:rPr>
        <w:t> </w:t>
      </w:r>
      <w:r>
        <w:rPr/>
        <w:t>insecure</w:t>
      </w:r>
      <w:r>
        <w:rPr>
          <w:spacing w:val="-3"/>
        </w:rPr>
        <w:t> </w:t>
      </w:r>
      <w:r>
        <w:rPr/>
        <w:t>communication</w:t>
      </w:r>
      <w:r>
        <w:rPr>
          <w:spacing w:val="-3"/>
        </w:rPr>
        <w:t> </w:t>
      </w:r>
      <w:r>
        <w:rPr/>
        <w:t>channels,</w:t>
      </w:r>
      <w:r>
        <w:rPr>
          <w:spacing w:val="-3"/>
        </w:rPr>
        <w:t> </w:t>
      </w:r>
      <w:r>
        <w:rPr/>
        <w:t>or</w:t>
      </w:r>
      <w:r>
        <w:rPr>
          <w:spacing w:val="-3"/>
        </w:rPr>
        <w:t> </w:t>
      </w:r>
      <w:r>
        <w:rPr/>
        <w:t>automatic</w:t>
      </w:r>
      <w:r>
        <w:rPr>
          <w:spacing w:val="-3"/>
        </w:rPr>
        <w:t> </w:t>
      </w:r>
      <w:r>
        <w:rPr/>
        <w:t>connection</w:t>
      </w:r>
      <w:r>
        <w:rPr>
          <w:spacing w:val="-3"/>
        </w:rPr>
        <w:t> </w:t>
      </w:r>
      <w:r>
        <w:rPr/>
        <w:t>to</w:t>
      </w:r>
      <w:r>
        <w:rPr>
          <w:spacing w:val="-3"/>
        </w:rPr>
        <w:t> </w:t>
      </w:r>
      <w:r>
        <w:rPr/>
        <w:t>untrusted wireless networks. Awareness training that highlights these risks and provides practical alternatives represents a low-cost and effective mitigation strategy.</w:t>
      </w:r>
    </w:p>
    <w:p>
      <w:pPr>
        <w:pStyle w:val="BodyText"/>
        <w:spacing w:line="230" w:lineRule="auto" w:before="165"/>
        <w:ind w:left="725" w:right="1380"/>
        <w:jc w:val="both"/>
      </w:pPr>
      <w:r>
        <w:rPr/>
        <w:t>Impersonation-based attacks conducted via UAV</w:t>
      </w:r>
      <w:r>
        <w:rPr>
          <w:spacing w:val="-6"/>
        </w:rPr>
        <w:t> </w:t>
      </w:r>
      <w:r>
        <w:rPr/>
        <w:t>payloads</w:t>
      </w:r>
      <w:r>
        <w:rPr>
          <w:spacing w:val="-6"/>
        </w:rPr>
        <w:t> </w:t>
      </w:r>
      <w:r>
        <w:rPr/>
        <w:t>can</w:t>
      </w:r>
      <w:r>
        <w:rPr>
          <w:spacing w:val="-6"/>
        </w:rPr>
        <w:t> </w:t>
      </w:r>
      <w:r>
        <w:rPr/>
        <w:t>often</w:t>
      </w:r>
      <w:r>
        <w:rPr>
          <w:spacing w:val="-6"/>
        </w:rPr>
        <w:t> </w:t>
      </w:r>
      <w:r>
        <w:rPr/>
        <w:t>be</w:t>
      </w:r>
      <w:r>
        <w:rPr>
          <w:spacing w:val="-6"/>
        </w:rPr>
        <w:t> </w:t>
      </w:r>
      <w:r>
        <w:rPr/>
        <w:t>detected</w:t>
      </w:r>
      <w:r>
        <w:rPr>
          <w:spacing w:val="-6"/>
        </w:rPr>
        <w:t> </w:t>
      </w:r>
      <w:r>
        <w:rPr/>
        <w:t>through</w:t>
      </w:r>
      <w:r>
        <w:rPr>
          <w:spacing w:val="-6"/>
        </w:rPr>
        <w:t> </w:t>
      </w:r>
      <w:r>
        <w:rPr/>
        <w:t>network monitoring and analysis. By evaluating the behavior and attributes of wireless access points and comparing them against a whitelist of authorized networks, enterprises can identify rogue or impersonated infrastructure. While this approach does not neutralize the UAV itself, it enables timely detection and response, including escalation to authorities capable of taking</w:t>
      </w:r>
      <w:r>
        <w:rPr>
          <w:spacing w:val="-2"/>
        </w:rPr>
        <w:t> </w:t>
      </w:r>
      <w:r>
        <w:rPr/>
        <w:t>direct</w:t>
      </w:r>
      <w:r>
        <w:rPr>
          <w:spacing w:val="-2"/>
        </w:rPr>
        <w:t> </w:t>
      </w:r>
      <w:r>
        <w:rPr/>
        <w:t>action. The feasibility of this approach is further examined in the experimental section.</w:t>
      </w:r>
    </w:p>
    <w:p>
      <w:pPr>
        <w:pStyle w:val="BodyText"/>
        <w:spacing w:line="230" w:lineRule="auto" w:before="161"/>
        <w:ind w:left="725" w:right="1382"/>
        <w:jc w:val="both"/>
      </w:pPr>
      <w:r>
        <w:rPr/>
        <w:t>UAVs remain visually detectable and typically require unobstructed</w:t>
      </w:r>
      <w:r>
        <w:rPr>
          <w:spacing w:val="-6"/>
        </w:rPr>
        <w:t> </w:t>
      </w:r>
      <w:r>
        <w:rPr/>
        <w:t>aerial</w:t>
      </w:r>
      <w:r>
        <w:rPr>
          <w:spacing w:val="-6"/>
        </w:rPr>
        <w:t> </w:t>
      </w:r>
      <w:r>
        <w:rPr/>
        <w:t>approaches</w:t>
      </w:r>
      <w:r>
        <w:rPr>
          <w:spacing w:val="-6"/>
        </w:rPr>
        <w:t> </w:t>
      </w:r>
      <w:r>
        <w:rPr/>
        <w:t>to</w:t>
      </w:r>
      <w:r>
        <w:rPr>
          <w:spacing w:val="-6"/>
        </w:rPr>
        <w:t> </w:t>
      </w:r>
      <w:r>
        <w:rPr/>
        <w:t>conduct surveillance or deploy payloads. Strategically placed camera systems oriented toward likely approach vectors can support early detection of UAV activity. When combined with basic</w:t>
      </w:r>
      <w:r>
        <w:rPr>
          <w:spacing w:val="-6"/>
        </w:rPr>
        <w:t> </w:t>
      </w:r>
      <w:r>
        <w:rPr/>
        <w:t>visual recognition software, these systems can alert enterprise security teams to potential threats with minimal additional infrastructure investment.</w:t>
      </w:r>
    </w:p>
    <w:p>
      <w:pPr>
        <w:pStyle w:val="BodyText"/>
        <w:spacing w:before="165"/>
        <w:ind w:right="663"/>
        <w:jc w:val="center"/>
      </w:pPr>
      <w:r>
        <w:rPr>
          <w:u w:val="thick"/>
        </w:rPr>
        <w:t>Empirical </w:t>
      </w:r>
      <w:r>
        <w:rPr>
          <w:spacing w:val="-2"/>
          <w:u w:val="thick"/>
        </w:rPr>
        <w:t>Evaluation</w:t>
      </w:r>
    </w:p>
    <w:p>
      <w:pPr>
        <w:pStyle w:val="BodyText"/>
        <w:spacing w:line="230" w:lineRule="auto" w:before="263"/>
        <w:ind w:left="725" w:right="1191"/>
      </w:pPr>
      <w:r>
        <w:rPr/>
        <w:t>With</w:t>
      </w:r>
      <w:r>
        <w:rPr>
          <w:spacing w:val="-5"/>
        </w:rPr>
        <w:t> </w:t>
      </w:r>
      <w:r>
        <w:rPr/>
        <w:t>the</w:t>
      </w:r>
      <w:r>
        <w:rPr>
          <w:spacing w:val="-5"/>
        </w:rPr>
        <w:t> </w:t>
      </w:r>
      <w:r>
        <w:rPr/>
        <w:t>goal</w:t>
      </w:r>
      <w:r>
        <w:rPr>
          <w:spacing w:val="-5"/>
        </w:rPr>
        <w:t> </w:t>
      </w:r>
      <w:r>
        <w:rPr/>
        <w:t>of</w:t>
      </w:r>
      <w:r>
        <w:rPr>
          <w:spacing w:val="-5"/>
        </w:rPr>
        <w:t> </w:t>
      </w:r>
      <w:r>
        <w:rPr/>
        <w:t>understanding</w:t>
      </w:r>
      <w:r>
        <w:rPr>
          <w:spacing w:val="-5"/>
        </w:rPr>
        <w:t> </w:t>
      </w:r>
      <w:r>
        <w:rPr/>
        <w:t>low-cost</w:t>
      </w:r>
      <w:r>
        <w:rPr>
          <w:spacing w:val="-5"/>
        </w:rPr>
        <w:t> </w:t>
      </w:r>
      <w:r>
        <w:rPr/>
        <w:t>methods</w:t>
      </w:r>
      <w:r>
        <w:rPr>
          <w:spacing w:val="-5"/>
        </w:rPr>
        <w:t> </w:t>
      </w:r>
      <w:r>
        <w:rPr/>
        <w:t>of</w:t>
      </w:r>
      <w:r>
        <w:rPr>
          <w:spacing w:val="-5"/>
        </w:rPr>
        <w:t> </w:t>
      </w:r>
      <w:r>
        <w:rPr/>
        <w:t>countering</w:t>
      </w:r>
      <w:r>
        <w:rPr>
          <w:spacing w:val="-5"/>
        </w:rPr>
        <w:t> </w:t>
      </w:r>
      <w:r>
        <w:rPr/>
        <w:t>common</w:t>
      </w:r>
      <w:r>
        <w:rPr>
          <w:spacing w:val="-5"/>
        </w:rPr>
        <w:t> </w:t>
      </w:r>
      <w:r>
        <w:rPr/>
        <w:t>UAV</w:t>
      </w:r>
      <w:r>
        <w:rPr>
          <w:spacing w:val="-5"/>
        </w:rPr>
        <w:t> </w:t>
      </w:r>
      <w:r>
        <w:rPr/>
        <w:t>attacks,</w:t>
      </w:r>
      <w:r>
        <w:rPr>
          <w:spacing w:val="-5"/>
        </w:rPr>
        <w:t> </w:t>
      </w:r>
      <w:r>
        <w:rPr/>
        <w:t>Pico</w:t>
      </w:r>
      <w:r>
        <w:rPr>
          <w:spacing w:val="-5"/>
        </w:rPr>
        <w:t> </w:t>
      </w:r>
      <w:r>
        <w:rPr/>
        <w:t>W microcontrollers were used to develop an experiment testing the efficacy of detecting false AP attacks. The materials of one personal laptop running the IDE Thonny, two Pico W microcontrollers,</w:t>
      </w:r>
      <w:r>
        <w:rPr>
          <w:spacing w:val="-4"/>
        </w:rPr>
        <w:t> </w:t>
      </w:r>
      <w:r>
        <w:rPr/>
        <w:t>and</w:t>
      </w:r>
      <w:r>
        <w:rPr>
          <w:spacing w:val="-4"/>
        </w:rPr>
        <w:t> </w:t>
      </w:r>
      <w:r>
        <w:rPr/>
        <w:t>two</w:t>
      </w:r>
      <w:r>
        <w:rPr>
          <w:spacing w:val="-4"/>
        </w:rPr>
        <w:t> </w:t>
      </w:r>
      <w:r>
        <w:rPr/>
        <w:t>micro-USB</w:t>
      </w:r>
      <w:r>
        <w:rPr>
          <w:spacing w:val="-4"/>
        </w:rPr>
        <w:t> </w:t>
      </w:r>
      <w:r>
        <w:rPr/>
        <w:t>charge</w:t>
      </w:r>
      <w:r>
        <w:rPr>
          <w:spacing w:val="-4"/>
        </w:rPr>
        <w:t> </w:t>
      </w:r>
      <w:r>
        <w:rPr/>
        <w:t>sync</w:t>
      </w:r>
      <w:r>
        <w:rPr>
          <w:spacing w:val="-4"/>
        </w:rPr>
        <w:t> </w:t>
      </w:r>
      <w:r>
        <w:rPr/>
        <w:t>cables</w:t>
      </w:r>
      <w:r>
        <w:rPr>
          <w:spacing w:val="-4"/>
        </w:rPr>
        <w:t> </w:t>
      </w:r>
      <w:r>
        <w:rPr/>
        <w:t>were</w:t>
      </w:r>
      <w:r>
        <w:rPr>
          <w:spacing w:val="-4"/>
        </w:rPr>
        <w:t> </w:t>
      </w:r>
      <w:r>
        <w:rPr/>
        <w:t>used</w:t>
      </w:r>
      <w:r>
        <w:rPr>
          <w:spacing w:val="-4"/>
        </w:rPr>
        <w:t> </w:t>
      </w:r>
      <w:r>
        <w:rPr/>
        <w:t>to</w:t>
      </w:r>
      <w:r>
        <w:rPr>
          <w:spacing w:val="-4"/>
        </w:rPr>
        <w:t> </w:t>
      </w:r>
      <w:r>
        <w:rPr/>
        <w:t>conduct</w:t>
      </w:r>
      <w:r>
        <w:rPr>
          <w:spacing w:val="-4"/>
        </w:rPr>
        <w:t> </w:t>
      </w:r>
      <w:r>
        <w:rPr/>
        <w:t>this</w:t>
      </w:r>
      <w:r>
        <w:rPr>
          <w:spacing w:val="-4"/>
        </w:rPr>
        <w:t> </w:t>
      </w:r>
      <w:r>
        <w:rPr/>
        <w:t>evaluation.</w:t>
      </w:r>
    </w:p>
    <w:p>
      <w:pPr>
        <w:spacing w:line="240" w:lineRule="auto"/>
        <w:ind w:left="755" w:right="0" w:firstLine="0"/>
        <w:rPr>
          <w:sz w:val="20"/>
        </w:rPr>
      </w:pPr>
      <w:r>
        <w:rPr>
          <w:sz w:val="20"/>
        </w:rPr>
        <w:drawing>
          <wp:inline distT="0" distB="0" distL="0" distR="0">
            <wp:extent cx="5742262" cy="3831907"/>
            <wp:effectExtent l="0" t="0" r="0" b="0"/>
            <wp:docPr id="48" name="Image 48"/>
            <wp:cNvGraphicFramePr>
              <a:graphicFrameLocks/>
            </wp:cNvGraphicFramePr>
            <a:graphic>
              <a:graphicData uri="http://schemas.openxmlformats.org/drawingml/2006/picture">
                <pic:pic>
                  <pic:nvPicPr>
                    <pic:cNvPr id="48" name="Image 48"/>
                    <pic:cNvPicPr/>
                  </pic:nvPicPr>
                  <pic:blipFill>
                    <a:blip r:embed="rId200" cstate="print"/>
                    <a:stretch>
                      <a:fillRect/>
                    </a:stretch>
                  </pic:blipFill>
                  <pic:spPr>
                    <a:xfrm>
                      <a:off x="0" y="0"/>
                      <a:ext cx="5742262" cy="3831907"/>
                    </a:xfrm>
                    <a:prstGeom prst="rect">
                      <a:avLst/>
                    </a:prstGeom>
                  </pic:spPr>
                </pic:pic>
              </a:graphicData>
            </a:graphic>
          </wp:inline>
        </w:drawing>
      </w:r>
      <w:r>
        <w:rPr>
          <w:sz w:val="20"/>
        </w:rPr>
      </w:r>
    </w:p>
    <w:p>
      <w:pPr>
        <w:spacing w:before="31"/>
        <w:ind w:left="725" w:right="0" w:firstLine="0"/>
        <w:jc w:val="left"/>
        <w:rPr>
          <w:i/>
          <w:sz w:val="24"/>
        </w:rPr>
      </w:pPr>
      <w:r>
        <w:rPr>
          <w:i/>
          <w:color w:val="0D2840"/>
          <w:sz w:val="24"/>
        </w:rPr>
        <w:t>Figure</w:t>
      </w:r>
      <w:r>
        <w:rPr>
          <w:i/>
          <w:color w:val="0D2840"/>
          <w:spacing w:val="-2"/>
          <w:sz w:val="24"/>
        </w:rPr>
        <w:t> </w:t>
      </w:r>
      <w:r>
        <w:rPr>
          <w:i/>
          <w:color w:val="0D2840"/>
          <w:sz w:val="24"/>
        </w:rPr>
        <w:t>4.</w:t>
      </w:r>
      <w:r>
        <w:rPr>
          <w:i/>
          <w:color w:val="0D2840"/>
          <w:spacing w:val="-1"/>
          <w:sz w:val="24"/>
        </w:rPr>
        <w:t> </w:t>
      </w:r>
      <w:r>
        <w:rPr>
          <w:i/>
          <w:color w:val="0D2840"/>
          <w:sz w:val="24"/>
        </w:rPr>
        <w:t>diagram</w:t>
      </w:r>
      <w:r>
        <w:rPr>
          <w:i/>
          <w:color w:val="0D2840"/>
          <w:spacing w:val="-1"/>
          <w:sz w:val="24"/>
        </w:rPr>
        <w:t> </w:t>
      </w:r>
      <w:r>
        <w:rPr>
          <w:i/>
          <w:color w:val="0D2840"/>
          <w:sz w:val="24"/>
        </w:rPr>
        <w:t>of</w:t>
      </w:r>
      <w:r>
        <w:rPr>
          <w:i/>
          <w:color w:val="0D2840"/>
          <w:spacing w:val="-2"/>
          <w:sz w:val="24"/>
        </w:rPr>
        <w:t> </w:t>
      </w:r>
      <w:r>
        <w:rPr>
          <w:i/>
          <w:color w:val="0D2840"/>
          <w:sz w:val="24"/>
        </w:rPr>
        <w:t>Network</w:t>
      </w:r>
      <w:r>
        <w:rPr>
          <w:i/>
          <w:color w:val="0D2840"/>
          <w:spacing w:val="-1"/>
          <w:sz w:val="24"/>
        </w:rPr>
        <w:t> </w:t>
      </w:r>
      <w:r>
        <w:rPr>
          <w:i/>
          <w:color w:val="0D2840"/>
          <w:sz w:val="24"/>
        </w:rPr>
        <w:t>flow</w:t>
      </w:r>
      <w:r>
        <w:rPr>
          <w:i/>
          <w:color w:val="0D2840"/>
          <w:spacing w:val="-1"/>
          <w:sz w:val="24"/>
        </w:rPr>
        <w:t> </w:t>
      </w:r>
      <w:r>
        <w:rPr>
          <w:i/>
          <w:color w:val="0D2840"/>
          <w:sz w:val="24"/>
        </w:rPr>
        <w:t>of</w:t>
      </w:r>
      <w:r>
        <w:rPr>
          <w:i/>
          <w:color w:val="0D2840"/>
          <w:spacing w:val="-1"/>
          <w:sz w:val="24"/>
        </w:rPr>
        <w:t> </w:t>
      </w:r>
      <w:r>
        <w:rPr>
          <w:i/>
          <w:color w:val="0D2840"/>
          <w:spacing w:val="-2"/>
          <w:sz w:val="24"/>
        </w:rPr>
        <w:t>experiment</w:t>
      </w:r>
    </w:p>
    <w:p>
      <w:pPr>
        <w:pStyle w:val="BodyText"/>
        <w:spacing w:line="230" w:lineRule="auto" w:before="111"/>
        <w:ind w:left="725" w:right="1461"/>
      </w:pPr>
      <w:r>
        <w:rPr/>
        <w:t>During</w:t>
      </w:r>
      <w:r>
        <w:rPr>
          <w:spacing w:val="-3"/>
        </w:rPr>
        <w:t> </w:t>
      </w:r>
      <w:r>
        <w:rPr/>
        <w:t>the</w:t>
      </w:r>
      <w:r>
        <w:rPr>
          <w:spacing w:val="-3"/>
        </w:rPr>
        <w:t> </w:t>
      </w:r>
      <w:r>
        <w:rPr/>
        <w:t>experiment,</w:t>
      </w:r>
      <w:r>
        <w:rPr>
          <w:spacing w:val="-3"/>
        </w:rPr>
        <w:t> </w:t>
      </w:r>
      <w:r>
        <w:rPr/>
        <w:t>the</w:t>
      </w:r>
      <w:r>
        <w:rPr>
          <w:spacing w:val="-3"/>
        </w:rPr>
        <w:t> </w:t>
      </w:r>
      <w:r>
        <w:rPr/>
        <w:t>Pico</w:t>
      </w:r>
      <w:r>
        <w:rPr>
          <w:spacing w:val="-3"/>
        </w:rPr>
        <w:t> </w:t>
      </w:r>
      <w:r>
        <w:rPr/>
        <w:t>W</w:t>
      </w:r>
      <w:r>
        <w:rPr>
          <w:spacing w:val="-3"/>
        </w:rPr>
        <w:t> </w:t>
      </w:r>
      <w:r>
        <w:rPr/>
        <w:t>microcontroller</w:t>
      </w:r>
      <w:r>
        <w:rPr>
          <w:spacing w:val="-3"/>
        </w:rPr>
        <w:t> </w:t>
      </w:r>
      <w:r>
        <w:rPr/>
        <w:t>taking</w:t>
      </w:r>
      <w:r>
        <w:rPr>
          <w:spacing w:val="-3"/>
        </w:rPr>
        <w:t> </w:t>
      </w:r>
      <w:r>
        <w:rPr/>
        <w:t>the</w:t>
      </w:r>
      <w:r>
        <w:rPr>
          <w:spacing w:val="-3"/>
        </w:rPr>
        <w:t> </w:t>
      </w:r>
      <w:r>
        <w:rPr/>
        <w:t>role</w:t>
      </w:r>
      <w:r>
        <w:rPr>
          <w:spacing w:val="-3"/>
        </w:rPr>
        <w:t> </w:t>
      </w:r>
      <w:r>
        <w:rPr/>
        <w:t>of</w:t>
      </w:r>
      <w:r>
        <w:rPr>
          <w:spacing w:val="-3"/>
        </w:rPr>
        <w:t> </w:t>
      </w:r>
      <w:r>
        <w:rPr/>
        <w:t>the</w:t>
      </w:r>
      <w:r>
        <w:rPr>
          <w:spacing w:val="-3"/>
        </w:rPr>
        <w:t> </w:t>
      </w:r>
      <w:r>
        <w:rPr/>
        <w:t>Rogue</w:t>
      </w:r>
      <w:r>
        <w:rPr>
          <w:spacing w:val="-3"/>
        </w:rPr>
        <w:t> </w:t>
      </w:r>
      <w:r>
        <w:rPr/>
        <w:t>AP</w:t>
      </w:r>
      <w:r>
        <w:rPr>
          <w:spacing w:val="-3"/>
        </w:rPr>
        <w:t> </w:t>
      </w:r>
      <w:r>
        <w:rPr/>
        <w:t>Broadcaster was coded to have randomized position coordinate values saved to the board’s memory and broadcasted a Wi-Fi AP using a provided ESSID. Above in Figure 4, a diagram shows the flow of network connections across high level components of the experiment.</w:t>
      </w:r>
    </w:p>
    <w:p>
      <w:pPr>
        <w:pStyle w:val="BodyText"/>
        <w:spacing w:after="0" w:line="230" w:lineRule="auto"/>
        <w:sectPr>
          <w:footerReference w:type="default" r:id="rId199"/>
          <w:pgSz w:w="12240" w:h="15840"/>
          <w:pgMar w:header="0" w:footer="776" w:top="620" w:bottom="960" w:left="720" w:right="0"/>
        </w:sectPr>
      </w:pPr>
    </w:p>
    <w:p>
      <w:pPr>
        <w:spacing w:line="240" w:lineRule="auto"/>
        <w:ind w:left="768" w:right="0" w:firstLine="0"/>
        <w:rPr>
          <w:sz w:val="20"/>
        </w:rPr>
      </w:pPr>
      <w:r>
        <w:rPr>
          <w:sz w:val="20"/>
        </w:rPr>
        <w:drawing>
          <wp:inline distT="0" distB="0" distL="0" distR="0">
            <wp:extent cx="5904720" cy="1131570"/>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201" cstate="print"/>
                    <a:stretch>
                      <a:fillRect/>
                    </a:stretch>
                  </pic:blipFill>
                  <pic:spPr>
                    <a:xfrm>
                      <a:off x="0" y="0"/>
                      <a:ext cx="5904720" cy="1131570"/>
                    </a:xfrm>
                    <a:prstGeom prst="rect">
                      <a:avLst/>
                    </a:prstGeom>
                  </pic:spPr>
                </pic:pic>
              </a:graphicData>
            </a:graphic>
          </wp:inline>
        </w:drawing>
      </w:r>
      <w:r>
        <w:rPr>
          <w:sz w:val="20"/>
        </w:rPr>
      </w:r>
    </w:p>
    <w:p>
      <w:pPr>
        <w:spacing w:before="87"/>
        <w:ind w:left="725" w:right="0" w:firstLine="0"/>
        <w:jc w:val="left"/>
        <w:rPr>
          <w:i/>
          <w:sz w:val="24"/>
        </w:rPr>
      </w:pPr>
      <w:r>
        <w:rPr>
          <w:i/>
          <w:color w:val="0D2840"/>
          <w:sz w:val="24"/>
        </w:rPr>
        <w:t>Figure</w:t>
      </w:r>
      <w:r>
        <w:rPr>
          <w:i/>
          <w:color w:val="0D2840"/>
          <w:spacing w:val="-2"/>
          <w:sz w:val="24"/>
        </w:rPr>
        <w:t> </w:t>
      </w:r>
      <w:r>
        <w:rPr>
          <w:i/>
          <w:color w:val="0D2840"/>
          <w:sz w:val="24"/>
        </w:rPr>
        <w:t>5.</w:t>
      </w:r>
      <w:r>
        <w:rPr>
          <w:i/>
          <w:color w:val="0D2840"/>
          <w:spacing w:val="-1"/>
          <w:sz w:val="24"/>
        </w:rPr>
        <w:t> </w:t>
      </w:r>
      <w:r>
        <w:rPr>
          <w:i/>
          <w:color w:val="0D2840"/>
          <w:sz w:val="24"/>
        </w:rPr>
        <w:t>Example</w:t>
      </w:r>
      <w:r>
        <w:rPr>
          <w:i/>
          <w:color w:val="0D2840"/>
          <w:spacing w:val="-1"/>
          <w:sz w:val="24"/>
        </w:rPr>
        <w:t> </w:t>
      </w:r>
      <w:r>
        <w:rPr>
          <w:i/>
          <w:color w:val="0D2840"/>
          <w:sz w:val="24"/>
        </w:rPr>
        <w:t>of</w:t>
      </w:r>
      <w:r>
        <w:rPr>
          <w:i/>
          <w:color w:val="0D2840"/>
          <w:spacing w:val="-1"/>
          <w:sz w:val="24"/>
        </w:rPr>
        <w:t> </w:t>
      </w:r>
      <w:r>
        <w:rPr>
          <w:i/>
          <w:color w:val="0D2840"/>
          <w:sz w:val="24"/>
        </w:rPr>
        <w:t>terminal</w:t>
      </w:r>
      <w:r>
        <w:rPr>
          <w:i/>
          <w:color w:val="0D2840"/>
          <w:spacing w:val="-1"/>
          <w:sz w:val="24"/>
        </w:rPr>
        <w:t> </w:t>
      </w:r>
      <w:r>
        <w:rPr>
          <w:i/>
          <w:color w:val="0D2840"/>
          <w:sz w:val="24"/>
        </w:rPr>
        <w:t>output</w:t>
      </w:r>
      <w:r>
        <w:rPr>
          <w:i/>
          <w:color w:val="0D2840"/>
          <w:spacing w:val="-2"/>
          <w:sz w:val="24"/>
        </w:rPr>
        <w:t> </w:t>
      </w:r>
      <w:r>
        <w:rPr>
          <w:i/>
          <w:color w:val="0D2840"/>
          <w:sz w:val="24"/>
        </w:rPr>
        <w:t>of</w:t>
      </w:r>
      <w:r>
        <w:rPr>
          <w:i/>
          <w:color w:val="0D2840"/>
          <w:spacing w:val="-1"/>
          <w:sz w:val="24"/>
        </w:rPr>
        <w:t> </w:t>
      </w:r>
      <w:r>
        <w:rPr>
          <w:i/>
          <w:color w:val="0D2840"/>
          <w:sz w:val="24"/>
        </w:rPr>
        <w:t>Pico</w:t>
      </w:r>
      <w:r>
        <w:rPr>
          <w:i/>
          <w:color w:val="0D2840"/>
          <w:spacing w:val="-1"/>
          <w:sz w:val="24"/>
        </w:rPr>
        <w:t> </w:t>
      </w:r>
      <w:r>
        <w:rPr>
          <w:i/>
          <w:color w:val="0D2840"/>
          <w:sz w:val="24"/>
        </w:rPr>
        <w:t>W</w:t>
      </w:r>
      <w:r>
        <w:rPr>
          <w:i/>
          <w:color w:val="0D2840"/>
          <w:spacing w:val="-1"/>
          <w:sz w:val="24"/>
        </w:rPr>
        <w:t> </w:t>
      </w:r>
      <w:r>
        <w:rPr>
          <w:i/>
          <w:color w:val="0D2840"/>
          <w:sz w:val="24"/>
        </w:rPr>
        <w:t>operating</w:t>
      </w:r>
      <w:r>
        <w:rPr>
          <w:i/>
          <w:color w:val="0D2840"/>
          <w:spacing w:val="-1"/>
          <w:sz w:val="24"/>
        </w:rPr>
        <w:t> </w:t>
      </w:r>
      <w:r>
        <w:rPr>
          <w:i/>
          <w:color w:val="0D2840"/>
          <w:sz w:val="24"/>
        </w:rPr>
        <w:t>as</w:t>
      </w:r>
      <w:r>
        <w:rPr>
          <w:i/>
          <w:color w:val="0D2840"/>
          <w:spacing w:val="-2"/>
          <w:sz w:val="24"/>
        </w:rPr>
        <w:t> </w:t>
      </w:r>
      <w:r>
        <w:rPr>
          <w:i/>
          <w:color w:val="0D2840"/>
          <w:sz w:val="24"/>
        </w:rPr>
        <w:t>Rogue</w:t>
      </w:r>
      <w:r>
        <w:rPr>
          <w:i/>
          <w:color w:val="0D2840"/>
          <w:spacing w:val="-1"/>
          <w:sz w:val="24"/>
        </w:rPr>
        <w:t> </w:t>
      </w:r>
      <w:r>
        <w:rPr>
          <w:i/>
          <w:color w:val="0D2840"/>
          <w:sz w:val="24"/>
        </w:rPr>
        <w:t>AP</w:t>
      </w:r>
      <w:r>
        <w:rPr>
          <w:i/>
          <w:color w:val="0D2840"/>
          <w:spacing w:val="-1"/>
          <w:sz w:val="24"/>
        </w:rPr>
        <w:t> </w:t>
      </w:r>
      <w:r>
        <w:rPr>
          <w:i/>
          <w:color w:val="0D2840"/>
          <w:sz w:val="24"/>
        </w:rPr>
        <w:t>Broadcaster</w:t>
      </w:r>
      <w:r>
        <w:rPr>
          <w:i/>
          <w:color w:val="0D2840"/>
          <w:spacing w:val="-1"/>
          <w:sz w:val="24"/>
        </w:rPr>
        <w:t> </w:t>
      </w:r>
      <w:r>
        <w:rPr>
          <w:i/>
          <w:color w:val="0D2840"/>
          <w:sz w:val="24"/>
        </w:rPr>
        <w:t>in</w:t>
      </w:r>
      <w:r>
        <w:rPr>
          <w:i/>
          <w:color w:val="0D2840"/>
          <w:spacing w:val="-1"/>
          <w:sz w:val="24"/>
        </w:rPr>
        <w:t> </w:t>
      </w:r>
      <w:r>
        <w:rPr>
          <w:i/>
          <w:color w:val="0D2840"/>
          <w:spacing w:val="-2"/>
          <w:sz w:val="24"/>
        </w:rPr>
        <w:t>Thonny</w:t>
      </w:r>
    </w:p>
    <w:p>
      <w:pPr>
        <w:pStyle w:val="BodyText"/>
        <w:spacing w:before="199"/>
        <w:rPr>
          <w:i/>
        </w:rPr>
      </w:pPr>
    </w:p>
    <w:p>
      <w:pPr>
        <w:pStyle w:val="BodyText"/>
        <w:spacing w:line="230" w:lineRule="auto"/>
        <w:ind w:left="725" w:right="1487"/>
      </w:pPr>
      <w:r>
        <w:rPr/>
        <w:t>The</w:t>
      </w:r>
      <w:r>
        <w:rPr>
          <w:spacing w:val="-4"/>
        </w:rPr>
        <w:t> </w:t>
      </w:r>
      <w:r>
        <w:rPr/>
        <w:t>Detector</w:t>
      </w:r>
      <w:r>
        <w:rPr>
          <w:spacing w:val="-4"/>
        </w:rPr>
        <w:t> </w:t>
      </w:r>
      <w:r>
        <w:rPr/>
        <w:t>Unit</w:t>
      </w:r>
      <w:r>
        <w:rPr>
          <w:spacing w:val="-4"/>
        </w:rPr>
        <w:t> </w:t>
      </w:r>
      <w:r>
        <w:rPr/>
        <w:t>Pico</w:t>
      </w:r>
      <w:r>
        <w:rPr>
          <w:spacing w:val="-4"/>
        </w:rPr>
        <w:t> </w:t>
      </w:r>
      <w:r>
        <w:rPr/>
        <w:t>W</w:t>
      </w:r>
      <w:r>
        <w:rPr>
          <w:spacing w:val="-4"/>
        </w:rPr>
        <w:t> </w:t>
      </w:r>
      <w:r>
        <w:rPr/>
        <w:t>was</w:t>
      </w:r>
      <w:r>
        <w:rPr>
          <w:spacing w:val="-4"/>
        </w:rPr>
        <w:t> </w:t>
      </w:r>
      <w:r>
        <w:rPr/>
        <w:t>programmed</w:t>
      </w:r>
      <w:r>
        <w:rPr>
          <w:spacing w:val="-4"/>
        </w:rPr>
        <w:t> </w:t>
      </w:r>
      <w:r>
        <w:rPr/>
        <w:t>with</w:t>
      </w:r>
      <w:r>
        <w:rPr>
          <w:spacing w:val="-4"/>
        </w:rPr>
        <w:t> </w:t>
      </w:r>
      <w:r>
        <w:rPr/>
        <w:t>the</w:t>
      </w:r>
      <w:r>
        <w:rPr>
          <w:spacing w:val="-4"/>
        </w:rPr>
        <w:t> </w:t>
      </w:r>
      <w:r>
        <w:rPr/>
        <w:t>constants</w:t>
      </w:r>
      <w:r>
        <w:rPr>
          <w:spacing w:val="-4"/>
        </w:rPr>
        <w:t> </w:t>
      </w:r>
      <w:r>
        <w:rPr/>
        <w:t>REAL_SSID,</w:t>
      </w:r>
      <w:r>
        <w:rPr>
          <w:spacing w:val="-4"/>
        </w:rPr>
        <w:t> </w:t>
      </w:r>
      <w:r>
        <w:rPr/>
        <w:t>REAL_BSSID</w:t>
      </w:r>
      <w:r>
        <w:rPr>
          <w:spacing w:val="-4"/>
        </w:rPr>
        <w:t> </w:t>
      </w:r>
      <w:r>
        <w:rPr/>
        <w:t>and REAL_CHANNEL equal to the values of the enterprise AP. The Detector Unit would perform a WLAN scan every 5 seconds checking for an AP which matched a list of similar REAL_SSIDs to the enterprise Wi-Fi AP searching for inconsistencies as compared to the enterprise AP. If an inconsistency was detected it would print an alert. This could then be sent to a logger server or use an MQTT for a log of alerts.</w:t>
      </w:r>
    </w:p>
    <w:p>
      <w:pPr>
        <w:pStyle w:val="BodyText"/>
        <w:spacing w:before="140"/>
        <w:rPr>
          <w:sz w:val="20"/>
        </w:rPr>
      </w:pPr>
      <w:r>
        <w:rPr>
          <w:sz w:val="20"/>
        </w:rPr>
        <w:drawing>
          <wp:anchor distT="0" distB="0" distL="0" distR="0" allowOverlap="1" layoutInCell="1" locked="0" behindDoc="1" simplePos="0" relativeHeight="487599616">
            <wp:simplePos x="0" y="0"/>
            <wp:positionH relativeFrom="page">
              <wp:posOffset>945304</wp:posOffset>
            </wp:positionH>
            <wp:positionV relativeFrom="paragraph">
              <wp:posOffset>250616</wp:posOffset>
            </wp:positionV>
            <wp:extent cx="5936271" cy="970788"/>
            <wp:effectExtent l="0" t="0" r="0" b="0"/>
            <wp:wrapTopAndBottom/>
            <wp:docPr id="50" name="Image 50"/>
            <wp:cNvGraphicFramePr>
              <a:graphicFrameLocks/>
            </wp:cNvGraphicFramePr>
            <a:graphic>
              <a:graphicData uri="http://schemas.openxmlformats.org/drawingml/2006/picture">
                <pic:pic>
                  <pic:nvPicPr>
                    <pic:cNvPr id="50" name="Image 50"/>
                    <pic:cNvPicPr/>
                  </pic:nvPicPr>
                  <pic:blipFill>
                    <a:blip r:embed="rId202" cstate="print"/>
                    <a:stretch>
                      <a:fillRect/>
                    </a:stretch>
                  </pic:blipFill>
                  <pic:spPr>
                    <a:xfrm>
                      <a:off x="0" y="0"/>
                      <a:ext cx="5936271" cy="970788"/>
                    </a:xfrm>
                    <a:prstGeom prst="rect">
                      <a:avLst/>
                    </a:prstGeom>
                  </pic:spPr>
                </pic:pic>
              </a:graphicData>
            </a:graphic>
          </wp:anchor>
        </w:drawing>
      </w:r>
    </w:p>
    <w:p>
      <w:pPr>
        <w:spacing w:before="122"/>
        <w:ind w:left="725" w:right="0" w:firstLine="0"/>
        <w:jc w:val="left"/>
        <w:rPr>
          <w:i/>
          <w:sz w:val="24"/>
        </w:rPr>
      </w:pPr>
      <w:r>
        <w:rPr>
          <w:i/>
          <w:color w:val="0D2840"/>
          <w:sz w:val="24"/>
        </w:rPr>
        <w:t>Figure</w:t>
      </w:r>
      <w:r>
        <w:rPr>
          <w:i/>
          <w:color w:val="0D2840"/>
          <w:spacing w:val="-1"/>
          <w:sz w:val="24"/>
        </w:rPr>
        <w:t> </w:t>
      </w:r>
      <w:r>
        <w:rPr>
          <w:i/>
          <w:color w:val="0D2840"/>
          <w:sz w:val="24"/>
        </w:rPr>
        <w:t>6.</w:t>
      </w:r>
      <w:r>
        <w:rPr>
          <w:i/>
          <w:color w:val="0D2840"/>
          <w:spacing w:val="-1"/>
          <w:sz w:val="24"/>
        </w:rPr>
        <w:t> </w:t>
      </w:r>
      <w:r>
        <w:rPr>
          <w:i/>
          <w:color w:val="0D2840"/>
          <w:sz w:val="24"/>
        </w:rPr>
        <w:t>Example of</w:t>
      </w:r>
      <w:r>
        <w:rPr>
          <w:i/>
          <w:color w:val="0D2840"/>
          <w:spacing w:val="-1"/>
          <w:sz w:val="24"/>
        </w:rPr>
        <w:t> </w:t>
      </w:r>
      <w:r>
        <w:rPr>
          <w:i/>
          <w:color w:val="0D2840"/>
          <w:sz w:val="24"/>
        </w:rPr>
        <w:t>terminal</w:t>
      </w:r>
      <w:r>
        <w:rPr>
          <w:i/>
          <w:color w:val="0D2840"/>
          <w:spacing w:val="-1"/>
          <w:sz w:val="24"/>
        </w:rPr>
        <w:t> </w:t>
      </w:r>
      <w:r>
        <w:rPr>
          <w:i/>
          <w:color w:val="0D2840"/>
          <w:sz w:val="24"/>
        </w:rPr>
        <w:t>output of</w:t>
      </w:r>
      <w:r>
        <w:rPr>
          <w:i/>
          <w:color w:val="0D2840"/>
          <w:spacing w:val="-1"/>
          <w:sz w:val="24"/>
        </w:rPr>
        <w:t> </w:t>
      </w:r>
      <w:r>
        <w:rPr>
          <w:i/>
          <w:color w:val="0D2840"/>
          <w:sz w:val="24"/>
        </w:rPr>
        <w:t>Pico</w:t>
      </w:r>
      <w:r>
        <w:rPr>
          <w:i/>
          <w:color w:val="0D2840"/>
          <w:spacing w:val="-1"/>
          <w:sz w:val="24"/>
        </w:rPr>
        <w:t> </w:t>
      </w:r>
      <w:r>
        <w:rPr>
          <w:i/>
          <w:color w:val="0D2840"/>
          <w:sz w:val="24"/>
        </w:rPr>
        <w:t>W operating</w:t>
      </w:r>
      <w:r>
        <w:rPr>
          <w:i/>
          <w:color w:val="0D2840"/>
          <w:spacing w:val="-1"/>
          <w:sz w:val="24"/>
        </w:rPr>
        <w:t> </w:t>
      </w:r>
      <w:r>
        <w:rPr>
          <w:i/>
          <w:color w:val="0D2840"/>
          <w:sz w:val="24"/>
        </w:rPr>
        <w:t>as</w:t>
      </w:r>
      <w:r>
        <w:rPr>
          <w:i/>
          <w:color w:val="0D2840"/>
          <w:spacing w:val="-1"/>
          <w:sz w:val="24"/>
        </w:rPr>
        <w:t> </w:t>
      </w:r>
      <w:r>
        <w:rPr>
          <w:i/>
          <w:color w:val="0D2840"/>
          <w:sz w:val="24"/>
        </w:rPr>
        <w:t>Detector Unit</w:t>
      </w:r>
      <w:r>
        <w:rPr>
          <w:i/>
          <w:color w:val="0D2840"/>
          <w:spacing w:val="-1"/>
          <w:sz w:val="24"/>
        </w:rPr>
        <w:t> </w:t>
      </w:r>
      <w:r>
        <w:rPr>
          <w:i/>
          <w:color w:val="0D2840"/>
          <w:sz w:val="24"/>
        </w:rPr>
        <w:t>in </w:t>
      </w:r>
      <w:r>
        <w:rPr>
          <w:i/>
          <w:color w:val="0D2840"/>
          <w:spacing w:val="-2"/>
          <w:sz w:val="24"/>
        </w:rPr>
        <w:t>Thonny</w:t>
      </w:r>
    </w:p>
    <w:p>
      <w:pPr>
        <w:pStyle w:val="BodyText"/>
        <w:spacing w:before="202"/>
        <w:rPr>
          <w:i/>
        </w:rPr>
      </w:pPr>
    </w:p>
    <w:p>
      <w:pPr>
        <w:pStyle w:val="BodyText"/>
        <w:spacing w:line="230" w:lineRule="auto"/>
        <w:ind w:left="725" w:right="1381"/>
      </w:pPr>
      <w:r>
        <w:rPr/>
        <w:t>This</w:t>
      </w:r>
      <w:r>
        <w:rPr>
          <w:spacing w:val="-6"/>
        </w:rPr>
        <w:t> </w:t>
      </w:r>
      <w:r>
        <w:rPr/>
        <w:t>project</w:t>
      </w:r>
      <w:r>
        <w:rPr>
          <w:spacing w:val="-6"/>
        </w:rPr>
        <w:t> </w:t>
      </w:r>
      <w:r>
        <w:rPr/>
        <w:t>shows</w:t>
      </w:r>
      <w:r>
        <w:rPr>
          <w:spacing w:val="-6"/>
        </w:rPr>
        <w:t> </w:t>
      </w:r>
      <w:r>
        <w:rPr/>
        <w:t>the</w:t>
      </w:r>
      <w:r>
        <w:rPr>
          <w:spacing w:val="-6"/>
        </w:rPr>
        <w:t> </w:t>
      </w:r>
      <w:r>
        <w:rPr/>
        <w:t>potential</w:t>
      </w:r>
      <w:r>
        <w:rPr>
          <w:spacing w:val="-6"/>
        </w:rPr>
        <w:t> </w:t>
      </w:r>
      <w:r>
        <w:rPr/>
        <w:t>for</w:t>
      </w:r>
      <w:r>
        <w:rPr>
          <w:spacing w:val="-6"/>
        </w:rPr>
        <w:t> </w:t>
      </w:r>
      <w:r>
        <w:rPr/>
        <w:t>low-cost</w:t>
      </w:r>
      <w:r>
        <w:rPr>
          <w:spacing w:val="-6"/>
        </w:rPr>
        <w:t> </w:t>
      </w:r>
      <w:r>
        <w:rPr/>
        <w:t>detection</w:t>
      </w:r>
      <w:r>
        <w:rPr>
          <w:spacing w:val="-6"/>
        </w:rPr>
        <w:t> </w:t>
      </w:r>
      <w:r>
        <w:rPr/>
        <w:t>methods</w:t>
      </w:r>
      <w:r>
        <w:rPr>
          <w:spacing w:val="-6"/>
        </w:rPr>
        <w:t> </w:t>
      </w:r>
      <w:r>
        <w:rPr/>
        <w:t>of</w:t>
      </w:r>
      <w:r>
        <w:rPr>
          <w:spacing w:val="-6"/>
        </w:rPr>
        <w:t> </w:t>
      </w:r>
      <w:r>
        <w:rPr/>
        <w:t>UAV</w:t>
      </w:r>
      <w:r>
        <w:rPr>
          <w:spacing w:val="-6"/>
        </w:rPr>
        <w:t> </w:t>
      </w:r>
      <w:r>
        <w:rPr/>
        <w:t>attacks,</w:t>
      </w:r>
      <w:r>
        <w:rPr>
          <w:spacing w:val="-6"/>
        </w:rPr>
        <w:t> </w:t>
      </w:r>
      <w:r>
        <w:rPr/>
        <w:t>which</w:t>
      </w:r>
      <w:r>
        <w:rPr>
          <w:spacing w:val="-6"/>
        </w:rPr>
        <w:t> </w:t>
      </w:r>
      <w:r>
        <w:rPr/>
        <w:t>are necessary as UAVs increase in prevalence.</w:t>
      </w:r>
    </w:p>
    <w:p>
      <w:pPr>
        <w:pStyle w:val="Heading4"/>
        <w:spacing w:before="164"/>
        <w:ind w:left="725"/>
      </w:pPr>
      <w:r>
        <w:rPr>
          <w:spacing w:val="-2"/>
        </w:rPr>
        <w:t>Conclusion</w:t>
      </w:r>
    </w:p>
    <w:p>
      <w:pPr>
        <w:pStyle w:val="BodyText"/>
        <w:spacing w:line="230" w:lineRule="auto" w:before="156"/>
        <w:ind w:left="725" w:right="1381"/>
      </w:pPr>
      <w:r>
        <w:rPr/>
        <w:t>All in all, UAVs of many shapes and sizes have been proven throughout this paper to provide unorthodox attack angles on enterprise systems that cannot be ignored; many of the current counter</w:t>
      </w:r>
      <w:r>
        <w:rPr>
          <w:spacing w:val="-5"/>
        </w:rPr>
        <w:t> </w:t>
      </w:r>
      <w:r>
        <w:rPr/>
        <w:t>measures</w:t>
      </w:r>
      <w:r>
        <w:rPr>
          <w:spacing w:val="-5"/>
        </w:rPr>
        <w:t> </w:t>
      </w:r>
      <w:r>
        <w:rPr/>
        <w:t>against</w:t>
      </w:r>
      <w:r>
        <w:rPr>
          <w:spacing w:val="-5"/>
        </w:rPr>
        <w:t> </w:t>
      </w:r>
      <w:r>
        <w:rPr/>
        <w:t>UAVs</w:t>
      </w:r>
      <w:r>
        <w:rPr>
          <w:spacing w:val="-5"/>
        </w:rPr>
        <w:t> </w:t>
      </w:r>
      <w:r>
        <w:rPr/>
        <w:t>are</w:t>
      </w:r>
      <w:r>
        <w:rPr>
          <w:spacing w:val="-5"/>
        </w:rPr>
        <w:t> </w:t>
      </w:r>
      <w:r>
        <w:rPr/>
        <w:t>too</w:t>
      </w:r>
      <w:r>
        <w:rPr>
          <w:spacing w:val="-5"/>
        </w:rPr>
        <w:t> </w:t>
      </w:r>
      <w:r>
        <w:rPr/>
        <w:t>high</w:t>
      </w:r>
      <w:r>
        <w:rPr>
          <w:spacing w:val="-5"/>
        </w:rPr>
        <w:t> </w:t>
      </w:r>
      <w:r>
        <w:rPr/>
        <w:t>cost</w:t>
      </w:r>
      <w:r>
        <w:rPr>
          <w:spacing w:val="-5"/>
        </w:rPr>
        <w:t> </w:t>
      </w:r>
      <w:r>
        <w:rPr/>
        <w:t>and</w:t>
      </w:r>
      <w:r>
        <w:rPr>
          <w:spacing w:val="-5"/>
        </w:rPr>
        <w:t> </w:t>
      </w:r>
      <w:r>
        <w:rPr/>
        <w:t>provide</w:t>
      </w:r>
      <w:r>
        <w:rPr>
          <w:spacing w:val="-5"/>
        </w:rPr>
        <w:t> </w:t>
      </w:r>
      <w:r>
        <w:rPr/>
        <w:t>too</w:t>
      </w:r>
      <w:r>
        <w:rPr>
          <w:spacing w:val="-5"/>
        </w:rPr>
        <w:t> </w:t>
      </w:r>
      <w:r>
        <w:rPr/>
        <w:t>little</w:t>
      </w:r>
      <w:r>
        <w:rPr>
          <w:spacing w:val="-5"/>
        </w:rPr>
        <w:t> </w:t>
      </w:r>
      <w:r>
        <w:rPr/>
        <w:t>utility</w:t>
      </w:r>
      <w:r>
        <w:rPr>
          <w:spacing w:val="-5"/>
        </w:rPr>
        <w:t> </w:t>
      </w:r>
      <w:r>
        <w:rPr/>
        <w:t>to</w:t>
      </w:r>
      <w:r>
        <w:rPr>
          <w:spacing w:val="-5"/>
        </w:rPr>
        <w:t> </w:t>
      </w:r>
      <w:r>
        <w:rPr/>
        <w:t>be</w:t>
      </w:r>
      <w:r>
        <w:rPr>
          <w:spacing w:val="-5"/>
        </w:rPr>
        <w:t> </w:t>
      </w:r>
      <w:r>
        <w:rPr/>
        <w:t>justifiable</w:t>
      </w:r>
      <w:r>
        <w:rPr>
          <w:spacing w:val="-5"/>
        </w:rPr>
        <w:t> </w:t>
      </w:r>
      <w:r>
        <w:rPr/>
        <w:t>for enterprises</w:t>
      </w:r>
      <w:r>
        <w:rPr>
          <w:spacing w:val="-2"/>
        </w:rPr>
        <w:t> </w:t>
      </w:r>
      <w:r>
        <w:rPr/>
        <w:t>with</w:t>
      </w:r>
      <w:r>
        <w:rPr>
          <w:spacing w:val="-2"/>
        </w:rPr>
        <w:t> </w:t>
      </w:r>
      <w:r>
        <w:rPr/>
        <w:t>relatively</w:t>
      </w:r>
      <w:r>
        <w:rPr>
          <w:spacing w:val="-2"/>
        </w:rPr>
        <w:t> </w:t>
      </w:r>
      <w:r>
        <w:rPr/>
        <w:t>low</w:t>
      </w:r>
      <w:r>
        <w:rPr>
          <w:spacing w:val="-2"/>
        </w:rPr>
        <w:t> </w:t>
      </w:r>
      <w:r>
        <w:rPr/>
        <w:t>security</w:t>
      </w:r>
      <w:r>
        <w:rPr>
          <w:spacing w:val="-2"/>
        </w:rPr>
        <w:t> </w:t>
      </w:r>
      <w:r>
        <w:rPr/>
        <w:t>budgets.</w:t>
      </w:r>
      <w:r>
        <w:rPr>
          <w:spacing w:val="-2"/>
        </w:rPr>
        <w:t> </w:t>
      </w:r>
      <w:r>
        <w:rPr/>
        <w:t>This</w:t>
      </w:r>
      <w:r>
        <w:rPr>
          <w:spacing w:val="-2"/>
        </w:rPr>
        <w:t> </w:t>
      </w:r>
      <w:r>
        <w:rPr/>
        <w:t>is</w:t>
      </w:r>
      <w:r>
        <w:rPr>
          <w:spacing w:val="-2"/>
        </w:rPr>
        <w:t> </w:t>
      </w:r>
      <w:r>
        <w:rPr/>
        <w:t>where</w:t>
      </w:r>
      <w:r>
        <w:rPr>
          <w:spacing w:val="-2"/>
        </w:rPr>
        <w:t> </w:t>
      </w:r>
      <w:r>
        <w:rPr/>
        <w:t>policy</w:t>
      </w:r>
      <w:r>
        <w:rPr>
          <w:spacing w:val="-2"/>
        </w:rPr>
        <w:t> </w:t>
      </w:r>
      <w:r>
        <w:rPr/>
        <w:t>revisions,</w:t>
      </w:r>
      <w:r>
        <w:rPr>
          <w:spacing w:val="-2"/>
        </w:rPr>
        <w:t> </w:t>
      </w:r>
      <w:r>
        <w:rPr/>
        <w:t>physical</w:t>
      </w:r>
      <w:r>
        <w:rPr>
          <w:spacing w:val="-2"/>
        </w:rPr>
        <w:t> </w:t>
      </w:r>
      <w:r>
        <w:rPr/>
        <w:t>security renovation, and network security management can help provide security against UAV based attacks with low cost to an enterprise. Improved security proves incredibly important when enterprises are the perfect targets for UAV attacks because of the high reward associated with their</w:t>
      </w:r>
      <w:r>
        <w:rPr>
          <w:spacing w:val="-4"/>
        </w:rPr>
        <w:t> </w:t>
      </w:r>
      <w:r>
        <w:rPr/>
        <w:t>data,</w:t>
      </w:r>
      <w:r>
        <w:rPr>
          <w:spacing w:val="-4"/>
        </w:rPr>
        <w:t> </w:t>
      </w:r>
      <w:r>
        <w:rPr/>
        <w:t>which</w:t>
      </w:r>
      <w:r>
        <w:rPr>
          <w:spacing w:val="-4"/>
        </w:rPr>
        <w:t> </w:t>
      </w:r>
      <w:r>
        <w:rPr/>
        <w:t>leads</w:t>
      </w:r>
      <w:r>
        <w:rPr>
          <w:spacing w:val="-4"/>
        </w:rPr>
        <w:t> </w:t>
      </w:r>
      <w:r>
        <w:rPr/>
        <w:t>to</w:t>
      </w:r>
      <w:r>
        <w:rPr>
          <w:spacing w:val="-4"/>
        </w:rPr>
        <w:t> </w:t>
      </w:r>
      <w:r>
        <w:rPr/>
        <w:t>higher</w:t>
      </w:r>
      <w:r>
        <w:rPr>
          <w:spacing w:val="-4"/>
        </w:rPr>
        <w:t> </w:t>
      </w:r>
      <w:r>
        <w:rPr/>
        <w:t>investments</w:t>
      </w:r>
      <w:r>
        <w:rPr>
          <w:spacing w:val="-4"/>
        </w:rPr>
        <w:t> </w:t>
      </w:r>
      <w:r>
        <w:rPr/>
        <w:t>in</w:t>
      </w:r>
      <w:r>
        <w:rPr>
          <w:spacing w:val="-4"/>
        </w:rPr>
        <w:t> </w:t>
      </w:r>
      <w:r>
        <w:rPr/>
        <w:t>attacks.</w:t>
      </w:r>
      <w:r>
        <w:rPr>
          <w:spacing w:val="-4"/>
        </w:rPr>
        <w:t> </w:t>
      </w:r>
      <w:r>
        <w:rPr/>
        <w:t>This</w:t>
      </w:r>
      <w:r>
        <w:rPr>
          <w:spacing w:val="-4"/>
        </w:rPr>
        <w:t> </w:t>
      </w:r>
      <w:r>
        <w:rPr/>
        <w:t>combined</w:t>
      </w:r>
      <w:r>
        <w:rPr>
          <w:spacing w:val="-4"/>
        </w:rPr>
        <w:t> </w:t>
      </w:r>
      <w:r>
        <w:rPr/>
        <w:t>with</w:t>
      </w:r>
      <w:r>
        <w:rPr>
          <w:spacing w:val="-4"/>
        </w:rPr>
        <w:t> </w:t>
      </w:r>
      <w:r>
        <w:rPr/>
        <w:t>the</w:t>
      </w:r>
      <w:r>
        <w:rPr>
          <w:spacing w:val="-4"/>
        </w:rPr>
        <w:t> </w:t>
      </w:r>
      <w:r>
        <w:rPr/>
        <w:t>UAV’s</w:t>
      </w:r>
      <w:r>
        <w:rPr>
          <w:spacing w:val="-4"/>
        </w:rPr>
        <w:t> </w:t>
      </w:r>
      <w:r>
        <w:rPr/>
        <w:t>inherited exploitation of the Defense in Depth system leads to UAVs providing an advantage in cyberattacks as compared to other contexts.</w:t>
      </w:r>
    </w:p>
    <w:p>
      <w:pPr>
        <w:pStyle w:val="BodyText"/>
        <w:spacing w:line="230" w:lineRule="auto" w:before="159"/>
        <w:ind w:left="725" w:right="1381"/>
      </w:pPr>
      <w:r>
        <w:rPr/>
        <w:t>Further research into this area would be best focused on more pragmatic network security tools and techniques to detect and deter UAVs in an enterprise context. Other explorations into the specifics</w:t>
      </w:r>
      <w:r>
        <w:rPr>
          <w:spacing w:val="-5"/>
        </w:rPr>
        <w:t> </w:t>
      </w:r>
      <w:r>
        <w:rPr/>
        <w:t>of</w:t>
      </w:r>
      <w:r>
        <w:rPr>
          <w:spacing w:val="-5"/>
        </w:rPr>
        <w:t> </w:t>
      </w:r>
      <w:r>
        <w:rPr/>
        <w:t>real</w:t>
      </w:r>
      <w:r>
        <w:rPr>
          <w:spacing w:val="-5"/>
        </w:rPr>
        <w:t> </w:t>
      </w:r>
      <w:r>
        <w:rPr/>
        <w:t>UAV</w:t>
      </w:r>
      <w:r>
        <w:rPr>
          <w:spacing w:val="-5"/>
        </w:rPr>
        <w:t> </w:t>
      </w:r>
      <w:r>
        <w:rPr/>
        <w:t>capabilities</w:t>
      </w:r>
      <w:r>
        <w:rPr>
          <w:spacing w:val="-5"/>
        </w:rPr>
        <w:t> </w:t>
      </w:r>
      <w:r>
        <w:rPr/>
        <w:t>as</w:t>
      </w:r>
      <w:r>
        <w:rPr>
          <w:spacing w:val="-5"/>
        </w:rPr>
        <w:t> </w:t>
      </w:r>
      <w:r>
        <w:rPr/>
        <w:t>an</w:t>
      </w:r>
      <w:r>
        <w:rPr>
          <w:spacing w:val="-5"/>
        </w:rPr>
        <w:t> </w:t>
      </w:r>
      <w:r>
        <w:rPr/>
        <w:t>attack</w:t>
      </w:r>
      <w:r>
        <w:rPr>
          <w:spacing w:val="-5"/>
        </w:rPr>
        <w:t> </w:t>
      </w:r>
      <w:r>
        <w:rPr/>
        <w:t>vector</w:t>
      </w:r>
      <w:r>
        <w:rPr>
          <w:spacing w:val="-5"/>
        </w:rPr>
        <w:t> </w:t>
      </w:r>
      <w:r>
        <w:rPr/>
        <w:t>would</w:t>
      </w:r>
      <w:r>
        <w:rPr>
          <w:spacing w:val="-5"/>
        </w:rPr>
        <w:t> </w:t>
      </w:r>
      <w:r>
        <w:rPr/>
        <w:t>be</w:t>
      </w:r>
      <w:r>
        <w:rPr>
          <w:spacing w:val="-5"/>
        </w:rPr>
        <w:t> </w:t>
      </w:r>
      <w:r>
        <w:rPr/>
        <w:t>useful</w:t>
      </w:r>
      <w:r>
        <w:rPr>
          <w:spacing w:val="-5"/>
        </w:rPr>
        <w:t> </w:t>
      </w:r>
      <w:r>
        <w:rPr/>
        <w:t>to</w:t>
      </w:r>
      <w:r>
        <w:rPr>
          <w:spacing w:val="-5"/>
        </w:rPr>
        <w:t> </w:t>
      </w:r>
      <w:r>
        <w:rPr/>
        <w:t>better</w:t>
      </w:r>
      <w:r>
        <w:rPr>
          <w:spacing w:val="-5"/>
        </w:rPr>
        <w:t> </w:t>
      </w:r>
      <w:r>
        <w:rPr/>
        <w:t>understand</w:t>
      </w:r>
      <w:r>
        <w:rPr>
          <w:spacing w:val="-5"/>
        </w:rPr>
        <w:t> </w:t>
      </w:r>
      <w:r>
        <w:rPr/>
        <w:t>how</w:t>
      </w:r>
      <w:r>
        <w:rPr>
          <w:spacing w:val="-5"/>
        </w:rPr>
        <w:t> </w:t>
      </w:r>
      <w:r>
        <w:rPr/>
        <w:t>to respond to UAV threats.</w:t>
      </w:r>
    </w:p>
    <w:p>
      <w:pPr>
        <w:pStyle w:val="Heading4"/>
        <w:spacing w:before="276"/>
        <w:ind w:left="740"/>
      </w:pPr>
      <w:r>
        <w:rPr>
          <w:spacing w:val="-2"/>
        </w:rPr>
        <w:t>References</w:t>
      </w:r>
    </w:p>
    <w:p>
      <w:pPr>
        <w:pStyle w:val="BodyText"/>
        <w:spacing w:before="29"/>
        <w:rPr>
          <w:b/>
        </w:rPr>
      </w:pPr>
    </w:p>
    <w:p>
      <w:pPr>
        <w:spacing w:line="266" w:lineRule="auto" w:before="1"/>
        <w:ind w:left="1930" w:right="1619" w:hanging="1176"/>
        <w:jc w:val="left"/>
        <w:rPr>
          <w:sz w:val="24"/>
        </w:rPr>
      </w:pPr>
      <w:r>
        <w:rPr>
          <w:sz w:val="24"/>
        </w:rPr>
        <w:t>Barker,</w:t>
      </w:r>
      <w:r>
        <w:rPr>
          <w:spacing w:val="-7"/>
          <w:sz w:val="24"/>
        </w:rPr>
        <w:t> </w:t>
      </w:r>
      <w:r>
        <w:rPr>
          <w:sz w:val="24"/>
        </w:rPr>
        <w:t>N.</w:t>
      </w:r>
      <w:r>
        <w:rPr>
          <w:spacing w:val="-7"/>
          <w:sz w:val="24"/>
        </w:rPr>
        <w:t> </w:t>
      </w:r>
      <w:r>
        <w:rPr>
          <w:sz w:val="24"/>
        </w:rPr>
        <w:t>(2020).</w:t>
      </w:r>
      <w:r>
        <w:rPr>
          <w:spacing w:val="-7"/>
          <w:sz w:val="24"/>
        </w:rPr>
        <w:t> </w:t>
      </w:r>
      <w:r>
        <w:rPr>
          <w:i/>
          <w:sz w:val="24"/>
        </w:rPr>
        <w:t>Development</w:t>
      </w:r>
      <w:r>
        <w:rPr>
          <w:i/>
          <w:spacing w:val="-7"/>
          <w:sz w:val="24"/>
        </w:rPr>
        <w:t> </w:t>
      </w:r>
      <w:r>
        <w:rPr>
          <w:i/>
          <w:sz w:val="24"/>
        </w:rPr>
        <w:t>of</w:t>
      </w:r>
      <w:r>
        <w:rPr>
          <w:i/>
          <w:spacing w:val="-7"/>
          <w:sz w:val="24"/>
        </w:rPr>
        <w:t> </w:t>
      </w:r>
      <w:r>
        <w:rPr>
          <w:i/>
          <w:sz w:val="24"/>
        </w:rPr>
        <w:t>a</w:t>
      </w:r>
      <w:r>
        <w:rPr>
          <w:i/>
          <w:spacing w:val="-7"/>
          <w:sz w:val="24"/>
        </w:rPr>
        <w:t> </w:t>
      </w:r>
      <w:r>
        <w:rPr>
          <w:i/>
          <w:sz w:val="24"/>
        </w:rPr>
        <w:t>drone-mounted</w:t>
      </w:r>
      <w:r>
        <w:rPr>
          <w:i/>
          <w:spacing w:val="-7"/>
          <w:sz w:val="24"/>
        </w:rPr>
        <w:t> </w:t>
      </w:r>
      <w:r>
        <w:rPr>
          <w:i/>
          <w:sz w:val="24"/>
        </w:rPr>
        <w:t>wireless</w:t>
      </w:r>
      <w:r>
        <w:rPr>
          <w:i/>
          <w:spacing w:val="-7"/>
          <w:sz w:val="24"/>
        </w:rPr>
        <w:t> </w:t>
      </w:r>
      <w:r>
        <w:rPr>
          <w:i/>
          <w:sz w:val="24"/>
        </w:rPr>
        <w:t>attack</w:t>
      </w:r>
      <w:r>
        <w:rPr>
          <w:i/>
          <w:spacing w:val="-7"/>
          <w:sz w:val="24"/>
        </w:rPr>
        <w:t> </w:t>
      </w:r>
      <w:r>
        <w:rPr>
          <w:i/>
          <w:sz w:val="24"/>
        </w:rPr>
        <w:t>platform</w:t>
      </w:r>
      <w:r>
        <w:rPr>
          <w:i/>
          <w:spacing w:val="-7"/>
          <w:sz w:val="24"/>
        </w:rPr>
        <w:t> </w:t>
      </w:r>
      <w:r>
        <w:rPr>
          <w:sz w:val="24"/>
        </w:rPr>
        <w:t>[Master’s</w:t>
      </w:r>
      <w:r>
        <w:rPr>
          <w:spacing w:val="-7"/>
          <w:sz w:val="24"/>
        </w:rPr>
        <w:t> </w:t>
      </w:r>
      <w:r>
        <w:rPr>
          <w:sz w:val="24"/>
        </w:rPr>
        <w:t>thesis, Air Force Institute of Technology]. Air Force Institute of Technology.</w:t>
      </w:r>
    </w:p>
    <w:p>
      <w:pPr>
        <w:pStyle w:val="BodyText"/>
        <w:spacing w:before="12"/>
        <w:ind w:left="1445"/>
      </w:pPr>
      <w:hyperlink r:id="rId203">
        <w:r>
          <w:rPr>
            <w:color w:val="457886"/>
            <w:spacing w:val="-2"/>
            <w:u w:val="thick" w:color="457886"/>
          </w:rPr>
          <w:t>https://apps.dtic.mil/sti/trecms/pdf/AD1102884.pdf</w:t>
        </w:r>
      </w:hyperlink>
    </w:p>
    <w:p>
      <w:pPr>
        <w:pStyle w:val="BodyText"/>
        <w:spacing w:after="0"/>
        <w:sectPr>
          <w:pgSz w:w="12240" w:h="15840"/>
          <w:pgMar w:header="0" w:footer="776" w:top="740" w:bottom="960" w:left="720" w:right="0"/>
        </w:sectPr>
      </w:pPr>
    </w:p>
    <w:p>
      <w:pPr>
        <w:spacing w:line="268" w:lineRule="auto" w:before="60"/>
        <w:ind w:left="1430" w:right="1381" w:hanging="705"/>
        <w:jc w:val="left"/>
        <w:rPr>
          <w:sz w:val="24"/>
        </w:rPr>
      </w:pPr>
      <w:r>
        <w:rPr>
          <w:sz w:val="24"/>
        </w:rPr>
        <w:t>Cheswick,</w:t>
      </w:r>
      <w:r>
        <w:rPr>
          <w:spacing w:val="-5"/>
          <w:sz w:val="24"/>
        </w:rPr>
        <w:t> </w:t>
      </w:r>
      <w:r>
        <w:rPr>
          <w:sz w:val="24"/>
        </w:rPr>
        <w:t>W.</w:t>
      </w:r>
      <w:r>
        <w:rPr>
          <w:spacing w:val="-5"/>
          <w:sz w:val="24"/>
        </w:rPr>
        <w:t> </w:t>
      </w:r>
      <w:r>
        <w:rPr>
          <w:sz w:val="24"/>
        </w:rPr>
        <w:t>R.,</w:t>
      </w:r>
      <w:r>
        <w:rPr>
          <w:spacing w:val="-5"/>
          <w:sz w:val="24"/>
        </w:rPr>
        <w:t> </w:t>
      </w:r>
      <w:r>
        <w:rPr>
          <w:sz w:val="24"/>
        </w:rPr>
        <w:t>Bellovin,</w:t>
      </w:r>
      <w:r>
        <w:rPr>
          <w:spacing w:val="-5"/>
          <w:sz w:val="24"/>
        </w:rPr>
        <w:t> </w:t>
      </w:r>
      <w:r>
        <w:rPr>
          <w:sz w:val="24"/>
        </w:rPr>
        <w:t>S.</w:t>
      </w:r>
      <w:r>
        <w:rPr>
          <w:spacing w:val="-5"/>
          <w:sz w:val="24"/>
        </w:rPr>
        <w:t> </w:t>
      </w:r>
      <w:r>
        <w:rPr>
          <w:sz w:val="24"/>
        </w:rPr>
        <w:t>M.,</w:t>
      </w:r>
      <w:r>
        <w:rPr>
          <w:spacing w:val="-5"/>
          <w:sz w:val="24"/>
        </w:rPr>
        <w:t> </w:t>
      </w:r>
      <w:r>
        <w:rPr>
          <w:sz w:val="24"/>
        </w:rPr>
        <w:t>&amp;</w:t>
      </w:r>
      <w:r>
        <w:rPr>
          <w:spacing w:val="-5"/>
          <w:sz w:val="24"/>
        </w:rPr>
        <w:t> </w:t>
      </w:r>
      <w:r>
        <w:rPr>
          <w:sz w:val="24"/>
        </w:rPr>
        <w:t>Rubin,</w:t>
      </w:r>
      <w:r>
        <w:rPr>
          <w:spacing w:val="-5"/>
          <w:sz w:val="24"/>
        </w:rPr>
        <w:t> </w:t>
      </w:r>
      <w:r>
        <w:rPr>
          <w:sz w:val="24"/>
        </w:rPr>
        <w:t>A.</w:t>
      </w:r>
      <w:r>
        <w:rPr>
          <w:spacing w:val="-5"/>
          <w:sz w:val="24"/>
        </w:rPr>
        <w:t> </w:t>
      </w:r>
      <w:r>
        <w:rPr>
          <w:sz w:val="24"/>
        </w:rPr>
        <w:t>D.</w:t>
      </w:r>
      <w:r>
        <w:rPr>
          <w:spacing w:val="-5"/>
          <w:sz w:val="24"/>
        </w:rPr>
        <w:t> </w:t>
      </w:r>
      <w:r>
        <w:rPr>
          <w:sz w:val="24"/>
        </w:rPr>
        <w:t>(2003).</w:t>
      </w:r>
      <w:r>
        <w:rPr>
          <w:spacing w:val="-5"/>
          <w:sz w:val="24"/>
        </w:rPr>
        <w:t> </w:t>
      </w:r>
      <w:r>
        <w:rPr>
          <w:i/>
          <w:sz w:val="24"/>
        </w:rPr>
        <w:t>Firewalls</w:t>
      </w:r>
      <w:r>
        <w:rPr>
          <w:i/>
          <w:spacing w:val="-5"/>
          <w:sz w:val="24"/>
        </w:rPr>
        <w:t> </w:t>
      </w:r>
      <w:r>
        <w:rPr>
          <w:i/>
          <w:sz w:val="24"/>
        </w:rPr>
        <w:t>and</w:t>
      </w:r>
      <w:r>
        <w:rPr>
          <w:i/>
          <w:spacing w:val="-5"/>
          <w:sz w:val="24"/>
        </w:rPr>
        <w:t> </w:t>
      </w:r>
      <w:r>
        <w:rPr>
          <w:i/>
          <w:sz w:val="24"/>
        </w:rPr>
        <w:t>internet</w:t>
      </w:r>
      <w:r>
        <w:rPr>
          <w:i/>
          <w:spacing w:val="-5"/>
          <w:sz w:val="24"/>
        </w:rPr>
        <w:t> </w:t>
      </w:r>
      <w:r>
        <w:rPr>
          <w:i/>
          <w:sz w:val="24"/>
        </w:rPr>
        <w:t>security:</w:t>
      </w:r>
      <w:r>
        <w:rPr>
          <w:i/>
          <w:sz w:val="24"/>
        </w:rPr>
        <w:t> Repelling the wily hacker </w:t>
      </w:r>
      <w:r>
        <w:rPr>
          <w:sz w:val="24"/>
        </w:rPr>
        <w:t>(2nd ed.). Addison-Wesley.</w:t>
      </w:r>
    </w:p>
    <w:p>
      <w:pPr>
        <w:spacing w:line="268" w:lineRule="auto" w:before="169"/>
        <w:ind w:left="1801" w:right="1191" w:hanging="1055"/>
        <w:jc w:val="left"/>
        <w:rPr>
          <w:sz w:val="24"/>
        </w:rPr>
      </w:pPr>
      <w:r>
        <w:rPr>
          <w:sz w:val="24"/>
        </w:rPr>
        <w:t>Cybersecurity</w:t>
      </w:r>
      <w:r>
        <w:rPr>
          <w:spacing w:val="-8"/>
          <w:sz w:val="24"/>
        </w:rPr>
        <w:t> </w:t>
      </w:r>
      <w:r>
        <w:rPr>
          <w:sz w:val="24"/>
        </w:rPr>
        <w:t>and</w:t>
      </w:r>
      <w:r>
        <w:rPr>
          <w:spacing w:val="-8"/>
          <w:sz w:val="24"/>
        </w:rPr>
        <w:t> </w:t>
      </w:r>
      <w:r>
        <w:rPr>
          <w:sz w:val="24"/>
        </w:rPr>
        <w:t>Infrastructure</w:t>
      </w:r>
      <w:r>
        <w:rPr>
          <w:spacing w:val="-8"/>
          <w:sz w:val="24"/>
        </w:rPr>
        <w:t> </w:t>
      </w:r>
      <w:r>
        <w:rPr>
          <w:sz w:val="24"/>
        </w:rPr>
        <w:t>Security</w:t>
      </w:r>
      <w:r>
        <w:rPr>
          <w:spacing w:val="-8"/>
          <w:sz w:val="24"/>
        </w:rPr>
        <w:t> </w:t>
      </w:r>
      <w:r>
        <w:rPr>
          <w:sz w:val="24"/>
        </w:rPr>
        <w:t>Agency.</w:t>
      </w:r>
      <w:r>
        <w:rPr>
          <w:spacing w:val="-8"/>
          <w:sz w:val="24"/>
        </w:rPr>
        <w:t> </w:t>
      </w:r>
      <w:r>
        <w:rPr>
          <w:sz w:val="24"/>
        </w:rPr>
        <w:t>(2016).</w:t>
      </w:r>
      <w:r>
        <w:rPr>
          <w:spacing w:val="-8"/>
          <w:sz w:val="24"/>
        </w:rPr>
        <w:t> </w:t>
      </w:r>
      <w:r>
        <w:rPr>
          <w:i/>
          <w:sz w:val="24"/>
        </w:rPr>
        <w:t>Recommended</w:t>
      </w:r>
      <w:r>
        <w:rPr>
          <w:i/>
          <w:spacing w:val="-8"/>
          <w:sz w:val="24"/>
        </w:rPr>
        <w:t> </w:t>
      </w:r>
      <w:r>
        <w:rPr>
          <w:i/>
          <w:sz w:val="24"/>
        </w:rPr>
        <w:t>practice:</w:t>
      </w:r>
      <w:r>
        <w:rPr>
          <w:i/>
          <w:spacing w:val="-8"/>
          <w:sz w:val="24"/>
        </w:rPr>
        <w:t> </w:t>
      </w:r>
      <w:r>
        <w:rPr>
          <w:i/>
          <w:sz w:val="24"/>
        </w:rPr>
        <w:t>Improving</w:t>
      </w:r>
      <w:r>
        <w:rPr>
          <w:i/>
          <w:sz w:val="24"/>
        </w:rPr>
        <w:t> industrial control system cybersecurity with defense-in-depth strategies</w:t>
      </w:r>
      <w:r>
        <w:rPr>
          <w:sz w:val="24"/>
        </w:rPr>
        <w:t>.</w:t>
      </w:r>
    </w:p>
    <w:p>
      <w:pPr>
        <w:pStyle w:val="BodyText"/>
        <w:spacing w:line="266" w:lineRule="auto" w:before="9"/>
        <w:ind w:left="1445"/>
      </w:pPr>
      <w:hyperlink r:id="rId204">
        <w:r>
          <w:rPr>
            <w:color w:val="457886"/>
            <w:spacing w:val="-2"/>
            <w:u w:val="thick" w:color="457886"/>
          </w:rPr>
          <w:t>https://www.cisa.gov/sites/default/files/recommended_practices/NCCIC_ICS</w:t>
        </w:r>
      </w:hyperlink>
      <w:r>
        <w:rPr>
          <w:color w:val="457886"/>
          <w:spacing w:val="-2"/>
          <w:u w:val="none"/>
        </w:rPr>
        <w:t> </w:t>
      </w:r>
      <w:r>
        <w:rPr>
          <w:color w:val="457886"/>
          <w:spacing w:val="-2"/>
          <w:u w:val="thick" w:color="457886"/>
        </w:rPr>
        <w:t>CERT_Defense_in_Depth_2016_S508C.pdf</w:t>
      </w:r>
    </w:p>
    <w:p>
      <w:pPr>
        <w:pStyle w:val="BodyText"/>
        <w:spacing w:line="266" w:lineRule="auto" w:before="173"/>
        <w:ind w:left="1445" w:right="1588" w:hanging="720"/>
      </w:pPr>
      <w:r>
        <w:rPr/>
        <w:t>Claburn,</w:t>
      </w:r>
      <w:r>
        <w:rPr>
          <w:spacing w:val="-5"/>
        </w:rPr>
        <w:t> </w:t>
      </w:r>
      <w:r>
        <w:rPr/>
        <w:t>T.</w:t>
      </w:r>
      <w:r>
        <w:rPr>
          <w:spacing w:val="-5"/>
        </w:rPr>
        <w:t> </w:t>
      </w:r>
      <w:r>
        <w:rPr/>
        <w:t>(2022,</w:t>
      </w:r>
      <w:r>
        <w:rPr>
          <w:spacing w:val="-5"/>
        </w:rPr>
        <w:t> </w:t>
      </w:r>
      <w:r>
        <w:rPr/>
        <w:t>October</w:t>
      </w:r>
      <w:r>
        <w:rPr>
          <w:spacing w:val="-5"/>
        </w:rPr>
        <w:t> </w:t>
      </w:r>
      <w:r>
        <w:rPr/>
        <w:t>12).</w:t>
      </w:r>
      <w:r>
        <w:rPr>
          <w:spacing w:val="-5"/>
        </w:rPr>
        <w:t> </w:t>
      </w:r>
      <w:r>
        <w:rPr/>
        <w:t>Wi-Fi</w:t>
      </w:r>
      <w:r>
        <w:rPr>
          <w:spacing w:val="-5"/>
        </w:rPr>
        <w:t> </w:t>
      </w:r>
      <w:r>
        <w:rPr/>
        <w:t>spy</w:t>
      </w:r>
      <w:r>
        <w:rPr>
          <w:spacing w:val="-5"/>
        </w:rPr>
        <w:t> </w:t>
      </w:r>
      <w:r>
        <w:rPr/>
        <w:t>drones</w:t>
      </w:r>
      <w:r>
        <w:rPr>
          <w:spacing w:val="-5"/>
        </w:rPr>
        <w:t> </w:t>
      </w:r>
      <w:r>
        <w:rPr/>
        <w:t>used</w:t>
      </w:r>
      <w:r>
        <w:rPr>
          <w:spacing w:val="-5"/>
        </w:rPr>
        <w:t> </w:t>
      </w:r>
      <w:r>
        <w:rPr/>
        <w:t>to</w:t>
      </w:r>
      <w:r>
        <w:rPr>
          <w:spacing w:val="-5"/>
        </w:rPr>
        <w:t> </w:t>
      </w:r>
      <w:r>
        <w:rPr/>
        <w:t>snoop</w:t>
      </w:r>
      <w:r>
        <w:rPr>
          <w:spacing w:val="-5"/>
        </w:rPr>
        <w:t> </w:t>
      </w:r>
      <w:r>
        <w:rPr/>
        <w:t>on</w:t>
      </w:r>
      <w:r>
        <w:rPr>
          <w:spacing w:val="-5"/>
        </w:rPr>
        <w:t> </w:t>
      </w:r>
      <w:r>
        <w:rPr/>
        <w:t>financial</w:t>
      </w:r>
      <w:r>
        <w:rPr>
          <w:spacing w:val="-5"/>
        </w:rPr>
        <w:t> </w:t>
      </w:r>
      <w:r>
        <w:rPr/>
        <w:t>firm.</w:t>
      </w:r>
      <w:r>
        <w:rPr>
          <w:spacing w:val="-5"/>
        </w:rPr>
        <w:t> </w:t>
      </w:r>
      <w:r>
        <w:rPr>
          <w:i/>
        </w:rPr>
        <w:t>The</w:t>
      </w:r>
      <w:r>
        <w:rPr>
          <w:i/>
          <w:spacing w:val="-5"/>
        </w:rPr>
        <w:t> </w:t>
      </w:r>
      <w:r>
        <w:rPr>
          <w:i/>
        </w:rPr>
        <w:t>Register</w:t>
      </w:r>
      <w:r>
        <w:rPr/>
        <w:t>. </w:t>
      </w:r>
      <w:hyperlink r:id="rId205">
        <w:r>
          <w:rPr>
            <w:color w:val="457886"/>
            <w:spacing w:val="-2"/>
            <w:u w:val="thick" w:color="457886"/>
          </w:rPr>
          <w:t>https://www.theregister.com/2022/10/12/drone-roof-attack/</w:t>
        </w:r>
      </w:hyperlink>
    </w:p>
    <w:p>
      <w:pPr>
        <w:pStyle w:val="BodyText"/>
        <w:spacing w:line="476" w:lineRule="exact" w:before="16"/>
        <w:ind w:left="738" w:right="2550" w:hanging="14"/>
      </w:pPr>
      <w:r>
        <w:rPr/>
        <w:t>DJI. (n.d.). </w:t>
      </w:r>
      <w:r>
        <w:rPr>
          <w:i/>
        </w:rPr>
        <w:t>DJI Mini 4 Pro – Specs</w:t>
      </w:r>
      <w:r>
        <w:rPr/>
        <w:t>. </w:t>
      </w:r>
      <w:hyperlink r:id="rId206">
        <w:r>
          <w:rPr>
            <w:color w:val="457886"/>
            <w:u w:val="thick" w:color="457886"/>
          </w:rPr>
          <w:t>https://www.dji.com/mini-4-pro/specs</w:t>
        </w:r>
      </w:hyperlink>
      <w:r>
        <w:rPr>
          <w:color w:val="457886"/>
          <w:u w:val="none"/>
        </w:rPr>
        <w:t> </w:t>
      </w:r>
      <w:r>
        <w:rPr>
          <w:u w:val="none"/>
        </w:rPr>
        <w:t>Greenwood,</w:t>
      </w:r>
      <w:r>
        <w:rPr>
          <w:spacing w:val="-11"/>
          <w:u w:val="none"/>
        </w:rPr>
        <w:t> </w:t>
      </w:r>
      <w:r>
        <w:rPr>
          <w:u w:val="none"/>
        </w:rPr>
        <w:t>W.</w:t>
      </w:r>
      <w:r>
        <w:rPr>
          <w:spacing w:val="-11"/>
          <w:u w:val="none"/>
        </w:rPr>
        <w:t> </w:t>
      </w:r>
      <w:r>
        <w:rPr>
          <w:u w:val="none"/>
        </w:rPr>
        <w:t>W.,</w:t>
      </w:r>
      <w:r>
        <w:rPr>
          <w:spacing w:val="-11"/>
          <w:u w:val="none"/>
        </w:rPr>
        <w:t> </w:t>
      </w:r>
      <w:r>
        <w:rPr>
          <w:u w:val="none"/>
        </w:rPr>
        <w:t>Lynch,</w:t>
      </w:r>
      <w:r>
        <w:rPr>
          <w:spacing w:val="-11"/>
          <w:u w:val="none"/>
        </w:rPr>
        <w:t> </w:t>
      </w:r>
      <w:r>
        <w:rPr>
          <w:u w:val="none"/>
        </w:rPr>
        <w:t>J.</w:t>
      </w:r>
      <w:r>
        <w:rPr>
          <w:spacing w:val="-11"/>
          <w:u w:val="none"/>
        </w:rPr>
        <w:t> </w:t>
      </w:r>
      <w:r>
        <w:rPr>
          <w:u w:val="none"/>
        </w:rPr>
        <w:t>P.,</w:t>
      </w:r>
      <w:r>
        <w:rPr>
          <w:spacing w:val="-11"/>
          <w:u w:val="none"/>
        </w:rPr>
        <w:t> </w:t>
      </w:r>
      <w:r>
        <w:rPr>
          <w:u w:val="none"/>
        </w:rPr>
        <w:t>&amp;</w:t>
      </w:r>
      <w:r>
        <w:rPr>
          <w:spacing w:val="-11"/>
          <w:u w:val="none"/>
        </w:rPr>
        <w:t> </w:t>
      </w:r>
      <w:r>
        <w:rPr>
          <w:u w:val="none"/>
        </w:rPr>
        <w:t>Zekkos,</w:t>
      </w:r>
      <w:r>
        <w:rPr>
          <w:spacing w:val="-11"/>
          <w:u w:val="none"/>
        </w:rPr>
        <w:t> </w:t>
      </w:r>
      <w:r>
        <w:rPr>
          <w:u w:val="none"/>
        </w:rPr>
        <w:t>D.</w:t>
      </w:r>
      <w:r>
        <w:rPr>
          <w:spacing w:val="-11"/>
          <w:u w:val="none"/>
        </w:rPr>
        <w:t> </w:t>
      </w:r>
      <w:r>
        <w:rPr>
          <w:u w:val="none"/>
        </w:rPr>
        <w:t>(2019).</w:t>
      </w:r>
      <w:r>
        <w:rPr>
          <w:spacing w:val="-11"/>
          <w:u w:val="none"/>
        </w:rPr>
        <w:t> </w:t>
      </w:r>
      <w:r>
        <w:rPr>
          <w:u w:val="none"/>
        </w:rPr>
        <w:t>Applications</w:t>
      </w:r>
      <w:r>
        <w:rPr>
          <w:spacing w:val="-11"/>
          <w:u w:val="none"/>
        </w:rPr>
        <w:t> </w:t>
      </w:r>
      <w:r>
        <w:rPr>
          <w:u w:val="none"/>
        </w:rPr>
        <w:t>of</w:t>
      </w:r>
      <w:r>
        <w:rPr>
          <w:spacing w:val="-11"/>
          <w:u w:val="none"/>
        </w:rPr>
        <w:t> </w:t>
      </w:r>
      <w:r>
        <w:rPr>
          <w:u w:val="none"/>
        </w:rPr>
        <w:t>UAVs</w:t>
      </w:r>
      <w:r>
        <w:rPr>
          <w:spacing w:val="-11"/>
          <w:u w:val="none"/>
        </w:rPr>
        <w:t> </w:t>
      </w:r>
      <w:r>
        <w:rPr>
          <w:u w:val="none"/>
        </w:rPr>
        <w:t>in</w:t>
      </w:r>
      <w:r>
        <w:rPr>
          <w:spacing w:val="-11"/>
          <w:u w:val="none"/>
        </w:rPr>
        <w:t> </w:t>
      </w:r>
      <w:r>
        <w:rPr>
          <w:u w:val="none"/>
        </w:rPr>
        <w:t>civil</w:t>
      </w:r>
    </w:p>
    <w:p>
      <w:pPr>
        <w:spacing w:line="278" w:lineRule="auto" w:before="0"/>
        <w:ind w:left="1445" w:right="3498" w:firstLine="170"/>
        <w:jc w:val="left"/>
        <w:rPr>
          <w:sz w:val="24"/>
        </w:rPr>
      </w:pPr>
      <w:r>
        <w:rPr>
          <w:sz w:val="24"/>
        </w:rPr>
        <w:t>infrastructure.</w:t>
      </w:r>
      <w:r>
        <w:rPr>
          <w:spacing w:val="-8"/>
          <w:sz w:val="24"/>
        </w:rPr>
        <w:t> </w:t>
      </w:r>
      <w:r>
        <w:rPr>
          <w:i/>
          <w:sz w:val="24"/>
        </w:rPr>
        <w:t>Journal</w:t>
      </w:r>
      <w:r>
        <w:rPr>
          <w:i/>
          <w:spacing w:val="-8"/>
          <w:sz w:val="24"/>
        </w:rPr>
        <w:t> </w:t>
      </w:r>
      <w:r>
        <w:rPr>
          <w:i/>
          <w:sz w:val="24"/>
        </w:rPr>
        <w:t>of</w:t>
      </w:r>
      <w:r>
        <w:rPr>
          <w:i/>
          <w:spacing w:val="-8"/>
          <w:sz w:val="24"/>
        </w:rPr>
        <w:t> </w:t>
      </w:r>
      <w:r>
        <w:rPr>
          <w:i/>
          <w:sz w:val="24"/>
        </w:rPr>
        <w:t>Infrastructure</w:t>
      </w:r>
      <w:r>
        <w:rPr>
          <w:i/>
          <w:spacing w:val="-8"/>
          <w:sz w:val="24"/>
        </w:rPr>
        <w:t> </w:t>
      </w:r>
      <w:r>
        <w:rPr>
          <w:i/>
          <w:sz w:val="24"/>
        </w:rPr>
        <w:t>Systems,</w:t>
      </w:r>
      <w:r>
        <w:rPr>
          <w:i/>
          <w:spacing w:val="-8"/>
          <w:sz w:val="24"/>
        </w:rPr>
        <w:t> </w:t>
      </w:r>
      <w:r>
        <w:rPr>
          <w:i/>
          <w:sz w:val="24"/>
        </w:rPr>
        <w:t>25</w:t>
      </w:r>
      <w:r>
        <w:rPr>
          <w:sz w:val="24"/>
        </w:rPr>
        <w:t>(2),</w:t>
      </w:r>
      <w:r>
        <w:rPr>
          <w:spacing w:val="-8"/>
          <w:sz w:val="24"/>
        </w:rPr>
        <w:t> </w:t>
      </w:r>
      <w:r>
        <w:rPr>
          <w:sz w:val="24"/>
        </w:rPr>
        <w:t>04019002. </w:t>
      </w:r>
      <w:hyperlink r:id="rId207">
        <w:r>
          <w:rPr>
            <w:color w:val="457886"/>
            <w:spacing w:val="-2"/>
            <w:sz w:val="24"/>
            <w:u w:val="thick" w:color="457886"/>
          </w:rPr>
          <w:t>https://doi.org/10.1061/(asce)is.1943-555x.0000464</w:t>
        </w:r>
      </w:hyperlink>
    </w:p>
    <w:p>
      <w:pPr>
        <w:spacing w:line="266" w:lineRule="auto" w:before="141"/>
        <w:ind w:left="1445" w:right="0" w:hanging="720"/>
        <w:jc w:val="left"/>
        <w:rPr>
          <w:sz w:val="24"/>
        </w:rPr>
      </w:pPr>
      <w:r>
        <w:rPr>
          <w:sz w:val="24"/>
        </w:rPr>
        <w:t>Guri,</w:t>
      </w:r>
      <w:r>
        <w:rPr>
          <w:spacing w:val="-6"/>
          <w:sz w:val="24"/>
        </w:rPr>
        <w:t> </w:t>
      </w:r>
      <w:r>
        <w:rPr>
          <w:sz w:val="24"/>
        </w:rPr>
        <w:t>M.,</w:t>
      </w:r>
      <w:r>
        <w:rPr>
          <w:spacing w:val="-6"/>
          <w:sz w:val="24"/>
        </w:rPr>
        <w:t> </w:t>
      </w:r>
      <w:r>
        <w:rPr>
          <w:sz w:val="24"/>
        </w:rPr>
        <w:t>&amp;</w:t>
      </w:r>
      <w:r>
        <w:rPr>
          <w:spacing w:val="-6"/>
          <w:sz w:val="24"/>
        </w:rPr>
        <w:t> </w:t>
      </w:r>
      <w:r>
        <w:rPr>
          <w:sz w:val="24"/>
        </w:rPr>
        <w:t>Elovici,</w:t>
      </w:r>
      <w:r>
        <w:rPr>
          <w:spacing w:val="-6"/>
          <w:sz w:val="24"/>
        </w:rPr>
        <w:t> </w:t>
      </w:r>
      <w:r>
        <w:rPr>
          <w:sz w:val="24"/>
        </w:rPr>
        <w:t>Y.</w:t>
      </w:r>
      <w:r>
        <w:rPr>
          <w:spacing w:val="-6"/>
          <w:sz w:val="24"/>
        </w:rPr>
        <w:t> </w:t>
      </w:r>
      <w:r>
        <w:rPr>
          <w:sz w:val="24"/>
        </w:rPr>
        <w:t>(2018).</w:t>
      </w:r>
      <w:r>
        <w:rPr>
          <w:spacing w:val="-6"/>
          <w:sz w:val="24"/>
        </w:rPr>
        <w:t> </w:t>
      </w:r>
      <w:r>
        <w:rPr>
          <w:sz w:val="24"/>
        </w:rPr>
        <w:t>Bridgeware.</w:t>
      </w:r>
      <w:r>
        <w:rPr>
          <w:spacing w:val="-6"/>
          <w:sz w:val="24"/>
        </w:rPr>
        <w:t> </w:t>
      </w:r>
      <w:r>
        <w:rPr>
          <w:i/>
          <w:sz w:val="24"/>
        </w:rPr>
        <w:t>Communications</w:t>
      </w:r>
      <w:r>
        <w:rPr>
          <w:i/>
          <w:spacing w:val="-6"/>
          <w:sz w:val="24"/>
        </w:rPr>
        <w:t> </w:t>
      </w:r>
      <w:r>
        <w:rPr>
          <w:i/>
          <w:sz w:val="24"/>
        </w:rPr>
        <w:t>of</w:t>
      </w:r>
      <w:r>
        <w:rPr>
          <w:i/>
          <w:spacing w:val="-6"/>
          <w:sz w:val="24"/>
        </w:rPr>
        <w:t> </w:t>
      </w:r>
      <w:r>
        <w:rPr>
          <w:i/>
          <w:sz w:val="24"/>
        </w:rPr>
        <w:t>the</w:t>
      </w:r>
      <w:r>
        <w:rPr>
          <w:i/>
          <w:spacing w:val="-6"/>
          <w:sz w:val="24"/>
        </w:rPr>
        <w:t> </w:t>
      </w:r>
      <w:r>
        <w:rPr>
          <w:i/>
          <w:sz w:val="24"/>
        </w:rPr>
        <w:t>ACM,</w:t>
      </w:r>
      <w:r>
        <w:rPr>
          <w:i/>
          <w:spacing w:val="-6"/>
          <w:sz w:val="24"/>
        </w:rPr>
        <w:t> </w:t>
      </w:r>
      <w:r>
        <w:rPr>
          <w:i/>
          <w:sz w:val="24"/>
        </w:rPr>
        <w:t>61</w:t>
      </w:r>
      <w:r>
        <w:rPr>
          <w:sz w:val="24"/>
        </w:rPr>
        <w:t>(4),</w:t>
      </w:r>
      <w:r>
        <w:rPr>
          <w:spacing w:val="-6"/>
          <w:sz w:val="24"/>
        </w:rPr>
        <w:t> </w:t>
      </w:r>
      <w:r>
        <w:rPr>
          <w:sz w:val="24"/>
        </w:rPr>
        <w:t>74–</w:t>
      </w:r>
      <w:r>
        <w:rPr>
          <w:sz w:val="24"/>
        </w:rPr>
        <w:t>82. </w:t>
      </w:r>
      <w:hyperlink r:id="rId208">
        <w:r>
          <w:rPr>
            <w:color w:val="457886"/>
            <w:spacing w:val="-2"/>
            <w:sz w:val="24"/>
            <w:u w:val="thick" w:color="457886"/>
          </w:rPr>
          <w:t>https://doi.org/10.1145/3177230</w:t>
        </w:r>
      </w:hyperlink>
    </w:p>
    <w:p>
      <w:pPr>
        <w:spacing w:line="266" w:lineRule="auto" w:before="173"/>
        <w:ind w:left="1442" w:right="1679" w:hanging="217"/>
        <w:jc w:val="both"/>
        <w:rPr>
          <w:sz w:val="24"/>
        </w:rPr>
      </w:pPr>
      <w:r>
        <w:rPr>
          <w:sz w:val="24"/>
        </w:rPr>
        <w:t>Hjelle,</w:t>
      </w:r>
      <w:r>
        <w:rPr>
          <w:spacing w:val="-4"/>
          <w:sz w:val="24"/>
        </w:rPr>
        <w:t> </w:t>
      </w:r>
      <w:r>
        <w:rPr>
          <w:sz w:val="24"/>
        </w:rPr>
        <w:t>J.</w:t>
      </w:r>
      <w:r>
        <w:rPr>
          <w:spacing w:val="-4"/>
          <w:sz w:val="24"/>
        </w:rPr>
        <w:t> </w:t>
      </w:r>
      <w:r>
        <w:rPr>
          <w:sz w:val="24"/>
        </w:rPr>
        <w:t>D.,</w:t>
      </w:r>
      <w:r>
        <w:rPr>
          <w:spacing w:val="-4"/>
          <w:sz w:val="24"/>
        </w:rPr>
        <w:t> </w:t>
      </w:r>
      <w:r>
        <w:rPr>
          <w:sz w:val="24"/>
        </w:rPr>
        <w:t>&amp;</w:t>
      </w:r>
      <w:r>
        <w:rPr>
          <w:spacing w:val="-4"/>
          <w:sz w:val="24"/>
        </w:rPr>
        <w:t> </w:t>
      </w:r>
      <w:r>
        <w:rPr>
          <w:sz w:val="24"/>
        </w:rPr>
        <w:t>Omli-Moe,</w:t>
      </w:r>
      <w:r>
        <w:rPr>
          <w:spacing w:val="-4"/>
          <w:sz w:val="24"/>
        </w:rPr>
        <w:t> </w:t>
      </w:r>
      <w:r>
        <w:rPr>
          <w:sz w:val="24"/>
        </w:rPr>
        <w:t>L.</w:t>
      </w:r>
      <w:r>
        <w:rPr>
          <w:spacing w:val="-4"/>
          <w:sz w:val="24"/>
        </w:rPr>
        <w:t> </w:t>
      </w:r>
      <w:r>
        <w:rPr>
          <w:sz w:val="24"/>
        </w:rPr>
        <w:t>E.</w:t>
      </w:r>
      <w:r>
        <w:rPr>
          <w:spacing w:val="-4"/>
          <w:sz w:val="24"/>
        </w:rPr>
        <w:t> </w:t>
      </w:r>
      <w:r>
        <w:rPr>
          <w:sz w:val="24"/>
        </w:rPr>
        <w:t>(2023).</w:t>
      </w:r>
      <w:r>
        <w:rPr>
          <w:spacing w:val="-4"/>
          <w:sz w:val="24"/>
        </w:rPr>
        <w:t> </w:t>
      </w:r>
      <w:r>
        <w:rPr>
          <w:i/>
          <w:sz w:val="24"/>
        </w:rPr>
        <w:t>Cybersecurity</w:t>
      </w:r>
      <w:r>
        <w:rPr>
          <w:i/>
          <w:spacing w:val="-4"/>
          <w:sz w:val="24"/>
        </w:rPr>
        <w:t> </w:t>
      </w:r>
      <w:r>
        <w:rPr>
          <w:i/>
          <w:sz w:val="24"/>
        </w:rPr>
        <w:t>threats</w:t>
      </w:r>
      <w:r>
        <w:rPr>
          <w:i/>
          <w:spacing w:val="-4"/>
          <w:sz w:val="24"/>
        </w:rPr>
        <w:t> </w:t>
      </w:r>
      <w:r>
        <w:rPr>
          <w:i/>
          <w:sz w:val="24"/>
        </w:rPr>
        <w:t>to</w:t>
      </w:r>
      <w:r>
        <w:rPr>
          <w:i/>
          <w:spacing w:val="-4"/>
          <w:sz w:val="24"/>
        </w:rPr>
        <w:t> </w:t>
      </w:r>
      <w:r>
        <w:rPr>
          <w:i/>
          <w:sz w:val="24"/>
        </w:rPr>
        <w:t>the</w:t>
      </w:r>
      <w:r>
        <w:rPr>
          <w:i/>
          <w:spacing w:val="-4"/>
          <w:sz w:val="24"/>
        </w:rPr>
        <w:t> </w:t>
      </w:r>
      <w:r>
        <w:rPr>
          <w:i/>
          <w:sz w:val="24"/>
        </w:rPr>
        <w:t>internet</w:t>
      </w:r>
      <w:r>
        <w:rPr>
          <w:i/>
          <w:spacing w:val="-4"/>
          <w:sz w:val="24"/>
        </w:rPr>
        <w:t> </w:t>
      </w:r>
      <w:r>
        <w:rPr>
          <w:i/>
          <w:sz w:val="24"/>
        </w:rPr>
        <w:t>of</w:t>
      </w:r>
      <w:r>
        <w:rPr>
          <w:i/>
          <w:spacing w:val="-4"/>
          <w:sz w:val="24"/>
        </w:rPr>
        <w:t> </w:t>
      </w:r>
      <w:r>
        <w:rPr>
          <w:i/>
          <w:sz w:val="24"/>
        </w:rPr>
        <w:t>drones</w:t>
      </w:r>
      <w:r>
        <w:rPr>
          <w:i/>
          <w:spacing w:val="-4"/>
          <w:sz w:val="24"/>
        </w:rPr>
        <w:t> </w:t>
      </w:r>
      <w:r>
        <w:rPr>
          <w:i/>
          <w:sz w:val="24"/>
        </w:rPr>
        <w:t>in</w:t>
      </w:r>
      <w:r>
        <w:rPr>
          <w:i/>
          <w:sz w:val="24"/>
        </w:rPr>
        <w:t> critical infrastructure: An analysis of risks and mitigation strategies </w:t>
      </w:r>
      <w:r>
        <w:rPr>
          <w:sz w:val="24"/>
        </w:rPr>
        <w:t>[Master’s thesis]. </w:t>
      </w:r>
      <w:hyperlink r:id="rId209">
        <w:r>
          <w:rPr>
            <w:color w:val="457886"/>
            <w:sz w:val="24"/>
            <w:u w:val="thick" w:color="457886"/>
          </w:rPr>
          <w:t>https://nva.sikt.no/registration/0198eca3a823-8eaa3bfb-61dc-49ef-8356-</w:t>
        </w:r>
        <w:r>
          <w:rPr>
            <w:color w:val="457886"/>
            <w:spacing w:val="-2"/>
            <w:sz w:val="24"/>
            <w:u w:val="thick" w:color="457886"/>
          </w:rPr>
          <w:t>e16ed470761d</w:t>
        </w:r>
      </w:hyperlink>
    </w:p>
    <w:p>
      <w:pPr>
        <w:pStyle w:val="BodyText"/>
        <w:spacing w:before="172"/>
        <w:ind w:left="725"/>
      </w:pPr>
      <w:r>
        <w:rPr/>
        <w:t>Kharpal, A. (2023, June 15). When a Huawei bid turned into a hunt for a corporate </w:t>
      </w:r>
      <w:r>
        <w:rPr>
          <w:spacing w:val="-2"/>
        </w:rPr>
        <w:t>mole.</w:t>
      </w:r>
    </w:p>
    <w:p>
      <w:pPr>
        <w:pStyle w:val="BodyText"/>
        <w:spacing w:line="266" w:lineRule="auto" w:before="32"/>
        <w:ind w:left="1430" w:right="1958"/>
      </w:pPr>
      <w:r>
        <w:rPr>
          <w:i/>
          <w:spacing w:val="-2"/>
        </w:rPr>
        <w:t>Bloomberg</w:t>
      </w:r>
      <w:r>
        <w:rPr>
          <w:spacing w:val="-2"/>
        </w:rPr>
        <w:t>. </w:t>
      </w:r>
      <w:hyperlink r:id="rId210">
        <w:r>
          <w:rPr>
            <w:color w:val="457886"/>
            <w:spacing w:val="-2"/>
            <w:u w:val="thick" w:color="457886"/>
          </w:rPr>
          <w:t>https://www.bloomberg.com/news/features/2023-06-15/how-huawei-</w:t>
        </w:r>
        <w:r>
          <w:rPr>
            <w:color w:val="457886"/>
            <w:spacing w:val="-2"/>
            <w:u w:val="thick" w:color="457886"/>
          </w:rPr>
          <w:t>got</w:t>
        </w:r>
      </w:hyperlink>
      <w:r>
        <w:rPr>
          <w:color w:val="457886"/>
          <w:spacing w:val="-2"/>
          <w:u w:val="none"/>
        </w:rPr>
        <w:t> </w:t>
      </w:r>
      <w:r>
        <w:rPr>
          <w:color w:val="457886"/>
          <w:spacing w:val="-2"/>
          <w:u w:val="thick" w:color="457886"/>
        </w:rPr>
        <w:t>caught-spying-and-lost-a-200-million-5g-contract</w:t>
      </w:r>
    </w:p>
    <w:p>
      <w:pPr>
        <w:pStyle w:val="BodyText"/>
        <w:spacing w:line="266" w:lineRule="auto" w:before="174"/>
        <w:ind w:left="1445" w:right="1191" w:hanging="720"/>
      </w:pPr>
      <w:r>
        <w:rPr/>
        <w:t>Mittal,</w:t>
      </w:r>
      <w:r>
        <w:rPr>
          <w:spacing w:val="-6"/>
        </w:rPr>
        <w:t> </w:t>
      </w:r>
      <w:r>
        <w:rPr/>
        <w:t>V.</w:t>
      </w:r>
      <w:r>
        <w:rPr>
          <w:spacing w:val="-6"/>
        </w:rPr>
        <w:t> </w:t>
      </w:r>
      <w:r>
        <w:rPr/>
        <w:t>(2025,</w:t>
      </w:r>
      <w:r>
        <w:rPr>
          <w:spacing w:val="-6"/>
        </w:rPr>
        <w:t> </w:t>
      </w:r>
      <w:r>
        <w:rPr/>
        <w:t>April</w:t>
      </w:r>
      <w:r>
        <w:rPr>
          <w:spacing w:val="-6"/>
        </w:rPr>
        <w:t> </w:t>
      </w:r>
      <w:r>
        <w:rPr/>
        <w:t>2).</w:t>
      </w:r>
      <w:r>
        <w:rPr>
          <w:spacing w:val="-6"/>
        </w:rPr>
        <w:t> </w:t>
      </w:r>
      <w:r>
        <w:rPr/>
        <w:t>Russians</w:t>
      </w:r>
      <w:r>
        <w:rPr>
          <w:spacing w:val="-6"/>
        </w:rPr>
        <w:t> </w:t>
      </w:r>
      <w:r>
        <w:rPr/>
        <w:t>capture</w:t>
      </w:r>
      <w:r>
        <w:rPr>
          <w:spacing w:val="-6"/>
        </w:rPr>
        <w:t> </w:t>
      </w:r>
      <w:r>
        <w:rPr/>
        <w:t>Ukrainian</w:t>
      </w:r>
      <w:r>
        <w:rPr>
          <w:spacing w:val="-6"/>
        </w:rPr>
        <w:t> </w:t>
      </w:r>
      <w:r>
        <w:rPr/>
        <w:t>drones</w:t>
      </w:r>
      <w:r>
        <w:rPr>
          <w:spacing w:val="-6"/>
        </w:rPr>
        <w:t> </w:t>
      </w:r>
      <w:r>
        <w:rPr/>
        <w:t>which</w:t>
      </w:r>
      <w:r>
        <w:rPr>
          <w:spacing w:val="-6"/>
        </w:rPr>
        <w:t> </w:t>
      </w:r>
      <w:r>
        <w:rPr/>
        <w:t>infect</w:t>
      </w:r>
      <w:r>
        <w:rPr>
          <w:spacing w:val="-6"/>
        </w:rPr>
        <w:t> </w:t>
      </w:r>
      <w:r>
        <w:rPr/>
        <w:t>their</w:t>
      </w:r>
      <w:r>
        <w:rPr>
          <w:spacing w:val="-6"/>
        </w:rPr>
        <w:t> </w:t>
      </w:r>
      <w:r>
        <w:rPr/>
        <w:t>systems</w:t>
      </w:r>
      <w:r>
        <w:rPr>
          <w:spacing w:val="-6"/>
        </w:rPr>
        <w:t> </w:t>
      </w:r>
      <w:r>
        <w:rPr/>
        <w:t>with malware. </w:t>
      </w:r>
      <w:r>
        <w:rPr>
          <w:i/>
        </w:rPr>
        <w:t>Forbes</w:t>
      </w:r>
      <w:r>
        <w:rPr/>
        <w:t>.</w:t>
      </w:r>
    </w:p>
    <w:p>
      <w:pPr>
        <w:spacing w:line="273" w:lineRule="auto" w:before="173"/>
        <w:ind w:left="1445" w:right="1191" w:hanging="720"/>
        <w:jc w:val="left"/>
        <w:rPr>
          <w:sz w:val="24"/>
        </w:rPr>
      </w:pPr>
      <w:r>
        <w:rPr>
          <w:sz w:val="24"/>
        </w:rPr>
        <w:t>MITRE</w:t>
      </w:r>
      <w:r>
        <w:rPr>
          <w:spacing w:val="-10"/>
          <w:sz w:val="24"/>
        </w:rPr>
        <w:t> </w:t>
      </w:r>
      <w:r>
        <w:rPr>
          <w:sz w:val="24"/>
        </w:rPr>
        <w:t>ATT&amp;CK.</w:t>
      </w:r>
      <w:r>
        <w:rPr>
          <w:spacing w:val="-10"/>
          <w:sz w:val="24"/>
        </w:rPr>
        <w:t> </w:t>
      </w:r>
      <w:r>
        <w:rPr>
          <w:sz w:val="24"/>
        </w:rPr>
        <w:t>(2017,</w:t>
      </w:r>
      <w:r>
        <w:rPr>
          <w:spacing w:val="-10"/>
          <w:sz w:val="24"/>
        </w:rPr>
        <w:t> </w:t>
      </w:r>
      <w:r>
        <w:rPr>
          <w:sz w:val="24"/>
        </w:rPr>
        <w:t>May</w:t>
      </w:r>
      <w:r>
        <w:rPr>
          <w:spacing w:val="-10"/>
          <w:sz w:val="24"/>
        </w:rPr>
        <w:t> </w:t>
      </w:r>
      <w:r>
        <w:rPr>
          <w:sz w:val="24"/>
        </w:rPr>
        <w:t>31).</w:t>
      </w:r>
      <w:r>
        <w:rPr>
          <w:spacing w:val="-10"/>
          <w:sz w:val="24"/>
        </w:rPr>
        <w:t> </w:t>
      </w:r>
      <w:r>
        <w:rPr>
          <w:i/>
          <w:sz w:val="24"/>
        </w:rPr>
        <w:t>Network</w:t>
      </w:r>
      <w:r>
        <w:rPr>
          <w:i/>
          <w:spacing w:val="-10"/>
          <w:sz w:val="24"/>
        </w:rPr>
        <w:t> </w:t>
      </w:r>
      <w:r>
        <w:rPr>
          <w:i/>
          <w:sz w:val="24"/>
        </w:rPr>
        <w:t>sniffing</w:t>
      </w:r>
      <w:r>
        <w:rPr>
          <w:i/>
          <w:spacing w:val="-10"/>
          <w:sz w:val="24"/>
        </w:rPr>
        <w:t> </w:t>
      </w:r>
      <w:r>
        <w:rPr>
          <w:i/>
          <w:sz w:val="24"/>
        </w:rPr>
        <w:t>(T1040)</w:t>
      </w:r>
      <w:r>
        <w:rPr>
          <w:sz w:val="24"/>
        </w:rPr>
        <w:t>. </w:t>
      </w:r>
      <w:hyperlink r:id="rId211">
        <w:r>
          <w:rPr>
            <w:color w:val="457886"/>
            <w:spacing w:val="-2"/>
            <w:sz w:val="24"/>
            <w:u w:val="thick" w:color="457886"/>
          </w:rPr>
          <w:t>https://attack.mitre.org/techniques/T1040/</w:t>
        </w:r>
      </w:hyperlink>
    </w:p>
    <w:p>
      <w:pPr>
        <w:spacing w:line="266" w:lineRule="auto" w:before="267"/>
        <w:ind w:left="1445" w:right="1598" w:hanging="705"/>
        <w:jc w:val="left"/>
        <w:rPr>
          <w:sz w:val="24"/>
        </w:rPr>
      </w:pPr>
      <w:r>
        <w:rPr>
          <w:sz w:val="24"/>
        </w:rPr>
        <w:t>Spherical Insights. (2025, September 10). </w:t>
      </w:r>
      <w:r>
        <w:rPr>
          <w:i/>
          <w:sz w:val="24"/>
        </w:rPr>
        <w:t>Top 50 companies in commercial drone market:</w:t>
      </w:r>
      <w:r>
        <w:rPr>
          <w:i/>
          <w:sz w:val="24"/>
        </w:rPr>
        <w:t> Statistics</w:t>
      </w:r>
      <w:r>
        <w:rPr>
          <w:i/>
          <w:spacing w:val="-15"/>
          <w:sz w:val="24"/>
        </w:rPr>
        <w:t> </w:t>
      </w:r>
      <w:r>
        <w:rPr>
          <w:i/>
          <w:sz w:val="24"/>
        </w:rPr>
        <w:t>report</w:t>
      </w:r>
      <w:r>
        <w:rPr>
          <w:i/>
          <w:spacing w:val="-15"/>
          <w:sz w:val="24"/>
        </w:rPr>
        <w:t> </w:t>
      </w:r>
      <w:r>
        <w:rPr>
          <w:i/>
          <w:sz w:val="24"/>
        </w:rPr>
        <w:t>till</w:t>
      </w:r>
      <w:r>
        <w:rPr>
          <w:i/>
          <w:spacing w:val="-15"/>
          <w:sz w:val="24"/>
        </w:rPr>
        <w:t> </w:t>
      </w:r>
      <w:r>
        <w:rPr>
          <w:i/>
          <w:sz w:val="24"/>
        </w:rPr>
        <w:t>2035</w:t>
      </w:r>
      <w:r>
        <w:rPr>
          <w:sz w:val="24"/>
        </w:rPr>
        <w:t>.</w:t>
      </w:r>
      <w:r>
        <w:rPr>
          <w:spacing w:val="-15"/>
          <w:sz w:val="24"/>
        </w:rPr>
        <w:t> </w:t>
      </w:r>
      <w:hyperlink r:id="rId212">
        <w:r>
          <w:rPr>
            <w:color w:val="457886"/>
            <w:sz w:val="24"/>
            <w:u w:val="thick" w:color="457886"/>
          </w:rPr>
          <w:t>https://www.sphericalinsights.com/blogs/top-50-companies-</w:t>
        </w:r>
        <w:r>
          <w:rPr>
            <w:color w:val="457886"/>
            <w:sz w:val="24"/>
            <w:u w:val="thick" w:color="457886"/>
          </w:rPr>
          <w:t>in</w:t>
        </w:r>
      </w:hyperlink>
      <w:r>
        <w:rPr>
          <w:color w:val="457886"/>
          <w:sz w:val="24"/>
          <w:u w:val="none"/>
        </w:rPr>
        <w:t> </w:t>
      </w:r>
      <w:r>
        <w:rPr>
          <w:color w:val="457886"/>
          <w:spacing w:val="-2"/>
          <w:sz w:val="24"/>
          <w:u w:val="thick" w:color="457886"/>
        </w:rPr>
        <w:t>commercial-drone-market-statistics-report-till-2035</w:t>
      </w:r>
    </w:p>
    <w:p>
      <w:pPr>
        <w:pStyle w:val="BodyText"/>
        <w:spacing w:line="266" w:lineRule="auto" w:before="173"/>
        <w:ind w:left="1445" w:right="1381" w:hanging="720"/>
      </w:pPr>
      <w:r>
        <w:rPr/>
        <w:t>Tsao, K.-Y., Girdler, T., &amp; Vassilakis, V. G. (2022). A survey of cyber security threats and solutions</w:t>
      </w:r>
      <w:r>
        <w:rPr>
          <w:spacing w:val="-7"/>
        </w:rPr>
        <w:t> </w:t>
      </w:r>
      <w:r>
        <w:rPr/>
        <w:t>for</w:t>
      </w:r>
      <w:r>
        <w:rPr>
          <w:spacing w:val="-7"/>
        </w:rPr>
        <w:t> </w:t>
      </w:r>
      <w:r>
        <w:rPr/>
        <w:t>UAV</w:t>
      </w:r>
      <w:r>
        <w:rPr>
          <w:spacing w:val="-7"/>
        </w:rPr>
        <w:t> </w:t>
      </w:r>
      <w:r>
        <w:rPr/>
        <w:t>communications</w:t>
      </w:r>
      <w:r>
        <w:rPr>
          <w:spacing w:val="-7"/>
        </w:rPr>
        <w:t> </w:t>
      </w:r>
      <w:r>
        <w:rPr/>
        <w:t>and</w:t>
      </w:r>
      <w:r>
        <w:rPr>
          <w:spacing w:val="-7"/>
        </w:rPr>
        <w:t> </w:t>
      </w:r>
      <w:r>
        <w:rPr/>
        <w:t>flying</w:t>
      </w:r>
      <w:r>
        <w:rPr>
          <w:spacing w:val="-7"/>
        </w:rPr>
        <w:t> </w:t>
      </w:r>
      <w:r>
        <w:rPr/>
        <w:t>ad-hoc</w:t>
      </w:r>
      <w:r>
        <w:rPr>
          <w:spacing w:val="-7"/>
        </w:rPr>
        <w:t> </w:t>
      </w:r>
      <w:r>
        <w:rPr/>
        <w:t>networks.</w:t>
      </w:r>
      <w:r>
        <w:rPr>
          <w:spacing w:val="-7"/>
        </w:rPr>
        <w:t> </w:t>
      </w:r>
      <w:r>
        <w:rPr>
          <w:i/>
        </w:rPr>
        <w:t>Ad</w:t>
      </w:r>
      <w:r>
        <w:rPr>
          <w:i/>
          <w:spacing w:val="-7"/>
        </w:rPr>
        <w:t> </w:t>
      </w:r>
      <w:r>
        <w:rPr>
          <w:i/>
        </w:rPr>
        <w:t>Hoc</w:t>
      </w:r>
      <w:r>
        <w:rPr>
          <w:i/>
          <w:spacing w:val="-7"/>
        </w:rPr>
        <w:t> </w:t>
      </w:r>
      <w:r>
        <w:rPr>
          <w:i/>
        </w:rPr>
        <w:t>Networks,</w:t>
      </w:r>
      <w:r>
        <w:rPr>
          <w:i/>
          <w:spacing w:val="-7"/>
        </w:rPr>
        <w:t> </w:t>
      </w:r>
      <w:r>
        <w:rPr>
          <w:i/>
        </w:rPr>
        <w:t>133</w:t>
      </w:r>
      <w:r>
        <w:rPr/>
        <w:t>, 102894. </w:t>
      </w:r>
      <w:hyperlink r:id="rId213">
        <w:r>
          <w:rPr>
            <w:color w:val="457886"/>
            <w:u w:val="thick" w:color="457886"/>
          </w:rPr>
          <w:t>https://doi.org/10.1016/j.adhoc.2022.102894</w:t>
        </w:r>
      </w:hyperlink>
    </w:p>
    <w:p>
      <w:pPr>
        <w:pStyle w:val="BodyText"/>
        <w:spacing w:line="266" w:lineRule="auto" w:before="175"/>
        <w:ind w:left="747" w:right="1775"/>
        <w:jc w:val="center"/>
      </w:pPr>
      <w:r>
        <w:rPr/>
        <w:t>Vergouw,</w:t>
      </w:r>
      <w:r>
        <w:rPr>
          <w:spacing w:val="-8"/>
        </w:rPr>
        <w:t> </w:t>
      </w:r>
      <w:r>
        <w:rPr/>
        <w:t>B.,</w:t>
      </w:r>
      <w:r>
        <w:rPr>
          <w:spacing w:val="-8"/>
        </w:rPr>
        <w:t> </w:t>
      </w:r>
      <w:r>
        <w:rPr/>
        <w:t>Nagel,</w:t>
      </w:r>
      <w:r>
        <w:rPr>
          <w:spacing w:val="-8"/>
        </w:rPr>
        <w:t> </w:t>
      </w:r>
      <w:r>
        <w:rPr/>
        <w:t>H.,</w:t>
      </w:r>
      <w:r>
        <w:rPr>
          <w:spacing w:val="-8"/>
        </w:rPr>
        <w:t> </w:t>
      </w:r>
      <w:r>
        <w:rPr/>
        <w:t>Bondt,</w:t>
      </w:r>
      <w:r>
        <w:rPr>
          <w:spacing w:val="-8"/>
        </w:rPr>
        <w:t> </w:t>
      </w:r>
      <w:r>
        <w:rPr/>
        <w:t>G.,</w:t>
      </w:r>
      <w:r>
        <w:rPr>
          <w:spacing w:val="-8"/>
        </w:rPr>
        <w:t> </w:t>
      </w:r>
      <w:r>
        <w:rPr/>
        <w:t>&amp;</w:t>
      </w:r>
      <w:r>
        <w:rPr>
          <w:spacing w:val="-8"/>
        </w:rPr>
        <w:t> </w:t>
      </w:r>
      <w:r>
        <w:rPr/>
        <w:t>Custers,</w:t>
      </w:r>
      <w:r>
        <w:rPr>
          <w:spacing w:val="-8"/>
        </w:rPr>
        <w:t> </w:t>
      </w:r>
      <w:r>
        <w:rPr/>
        <w:t>B.</w:t>
      </w:r>
      <w:r>
        <w:rPr>
          <w:spacing w:val="-8"/>
        </w:rPr>
        <w:t> </w:t>
      </w:r>
      <w:r>
        <w:rPr/>
        <w:t>(2016).</w:t>
      </w:r>
      <w:r>
        <w:rPr>
          <w:spacing w:val="-8"/>
        </w:rPr>
        <w:t> </w:t>
      </w:r>
      <w:r>
        <w:rPr/>
        <w:t>Drone</w:t>
      </w:r>
      <w:r>
        <w:rPr>
          <w:spacing w:val="-8"/>
        </w:rPr>
        <w:t> </w:t>
      </w:r>
      <w:r>
        <w:rPr/>
        <w:t>technology:</w:t>
      </w:r>
      <w:r>
        <w:rPr>
          <w:spacing w:val="-8"/>
        </w:rPr>
        <w:t> </w:t>
      </w:r>
      <w:r>
        <w:rPr/>
        <w:t>Types,</w:t>
      </w:r>
      <w:r>
        <w:rPr>
          <w:spacing w:val="-8"/>
        </w:rPr>
        <w:t> </w:t>
      </w:r>
      <w:r>
        <w:rPr/>
        <w:t>payloads, applications, frequency spectrum issues and future developments. In </w:t>
      </w:r>
      <w:r>
        <w:rPr>
          <w:i/>
        </w:rPr>
        <w:t>Information</w:t>
      </w:r>
      <w:r>
        <w:rPr>
          <w:i/>
          <w:spacing w:val="40"/>
        </w:rPr>
        <w:t> </w:t>
      </w:r>
      <w:r>
        <w:rPr>
          <w:i/>
        </w:rPr>
        <w:t>technology</w:t>
      </w:r>
      <w:r>
        <w:rPr>
          <w:i/>
        </w:rPr>
        <w:t> and law series </w:t>
      </w:r>
      <w:r>
        <w:rPr/>
        <w:t>(pp. 21–45). </w:t>
      </w:r>
      <w:hyperlink r:id="rId214">
        <w:r>
          <w:rPr>
            <w:color w:val="457886"/>
            <w:u w:val="thick" w:color="457886"/>
          </w:rPr>
          <w:t>https://doi.org/10.1007/978-94-6265-132-6_2</w:t>
        </w:r>
      </w:hyperlink>
    </w:p>
    <w:p>
      <w:pPr>
        <w:pStyle w:val="BodyText"/>
        <w:spacing w:after="0" w:line="266" w:lineRule="auto"/>
        <w:jc w:val="center"/>
        <w:sectPr>
          <w:pgSz w:w="12240" w:h="15840"/>
          <w:pgMar w:header="0" w:footer="776" w:top="640" w:bottom="960" w:left="720" w:right="0"/>
        </w:sectPr>
      </w:pPr>
    </w:p>
    <w:p>
      <w:pPr>
        <w:pStyle w:val="Heading3"/>
        <w:spacing w:line="266" w:lineRule="auto"/>
        <w:ind w:left="929" w:right="1619" w:hanging="62"/>
        <w:jc w:val="left"/>
      </w:pPr>
      <w:r>
        <w:rPr/>
        <w:drawing>
          <wp:anchor distT="0" distB="0" distL="0" distR="0" allowOverlap="1" layoutInCell="1" locked="0" behindDoc="1" simplePos="0" relativeHeight="487600128">
            <wp:simplePos x="0" y="0"/>
            <wp:positionH relativeFrom="page">
              <wp:posOffset>3254748</wp:posOffset>
            </wp:positionH>
            <wp:positionV relativeFrom="paragraph">
              <wp:posOffset>524479</wp:posOffset>
            </wp:positionV>
            <wp:extent cx="1293945" cy="1303781"/>
            <wp:effectExtent l="0" t="0" r="0" b="0"/>
            <wp:wrapTopAndBottom/>
            <wp:docPr id="52" name="Image 52"/>
            <wp:cNvGraphicFramePr>
              <a:graphicFrameLocks/>
            </wp:cNvGraphicFramePr>
            <a:graphic>
              <a:graphicData uri="http://schemas.openxmlformats.org/drawingml/2006/picture">
                <pic:pic>
                  <pic:nvPicPr>
                    <pic:cNvPr id="52" name="Image 52"/>
                    <pic:cNvPicPr/>
                  </pic:nvPicPr>
                  <pic:blipFill>
                    <a:blip r:embed="rId216" cstate="print"/>
                    <a:stretch>
                      <a:fillRect/>
                    </a:stretch>
                  </pic:blipFill>
                  <pic:spPr>
                    <a:xfrm>
                      <a:off x="0" y="0"/>
                      <a:ext cx="1293945" cy="1303781"/>
                    </a:xfrm>
                    <a:prstGeom prst="rect">
                      <a:avLst/>
                    </a:prstGeom>
                  </pic:spPr>
                </pic:pic>
              </a:graphicData>
            </a:graphic>
          </wp:anchor>
        </w:drawing>
      </w:r>
      <w:bookmarkStart w:name="Examining the need for a Regional Crime " w:id="89"/>
      <w:bookmarkEnd w:id="89"/>
      <w:r>
        <w:rPr>
          <w:b w:val="0"/>
        </w:rPr>
      </w:r>
      <w:r>
        <w:rPr/>
        <w:t>Examining</w:t>
      </w:r>
      <w:r>
        <w:rPr>
          <w:spacing w:val="-5"/>
        </w:rPr>
        <w:t> </w:t>
      </w:r>
      <w:r>
        <w:rPr/>
        <w:t>the</w:t>
      </w:r>
      <w:r>
        <w:rPr>
          <w:spacing w:val="-5"/>
        </w:rPr>
        <w:t> </w:t>
      </w:r>
      <w:r>
        <w:rPr/>
        <w:t>need</w:t>
      </w:r>
      <w:r>
        <w:rPr>
          <w:spacing w:val="-5"/>
        </w:rPr>
        <w:t> </w:t>
      </w:r>
      <w:r>
        <w:rPr/>
        <w:t>for</w:t>
      </w:r>
      <w:r>
        <w:rPr>
          <w:spacing w:val="-5"/>
        </w:rPr>
        <w:t> </w:t>
      </w:r>
      <w:r>
        <w:rPr/>
        <w:t>a</w:t>
      </w:r>
      <w:r>
        <w:rPr>
          <w:spacing w:val="-5"/>
        </w:rPr>
        <w:t> </w:t>
      </w:r>
      <w:r>
        <w:rPr/>
        <w:t>Regional</w:t>
      </w:r>
      <w:r>
        <w:rPr>
          <w:spacing w:val="-5"/>
        </w:rPr>
        <w:t> </w:t>
      </w:r>
      <w:r>
        <w:rPr/>
        <w:t>Crime</w:t>
      </w:r>
      <w:r>
        <w:rPr>
          <w:spacing w:val="-5"/>
        </w:rPr>
        <w:t> </w:t>
      </w:r>
      <w:r>
        <w:rPr/>
        <w:t>Gun</w:t>
      </w:r>
      <w:r>
        <w:rPr>
          <w:spacing w:val="-5"/>
        </w:rPr>
        <w:t> </w:t>
      </w:r>
      <w:r>
        <w:rPr/>
        <w:t>Intelligence</w:t>
      </w:r>
      <w:r>
        <w:rPr>
          <w:spacing w:val="-5"/>
        </w:rPr>
        <w:t> </w:t>
      </w:r>
      <w:r>
        <w:rPr/>
        <w:t>Center: </w:t>
      </w:r>
      <w:bookmarkStart w:name="h.40833iusc51s" w:id="90"/>
      <w:bookmarkEnd w:id="90"/>
      <w:r>
        <w:rPr/>
        <w:t>E</w:t>
      </w:r>
      <w:r>
        <w:rPr/>
        <w:t>nhancing Firearm Investigations through Real-Time Intelligence</w:t>
      </w:r>
    </w:p>
    <w:p>
      <w:pPr>
        <w:pStyle w:val="BodyText"/>
        <w:spacing w:before="244"/>
        <w:rPr>
          <w:b/>
          <w:sz w:val="28"/>
        </w:rPr>
      </w:pPr>
    </w:p>
    <w:p>
      <w:pPr>
        <w:pStyle w:val="BodyText"/>
        <w:spacing w:before="1"/>
        <w:ind w:right="719"/>
        <w:jc w:val="center"/>
      </w:pPr>
      <w:r>
        <w:rPr/>
        <w:t>Michael Lehrfeld, </w:t>
      </w:r>
      <w:r>
        <w:rPr>
          <w:spacing w:val="-5"/>
        </w:rPr>
        <w:t>PhD</w:t>
      </w:r>
    </w:p>
    <w:p>
      <w:pPr>
        <w:pStyle w:val="BodyText"/>
        <w:spacing w:line="316" w:lineRule="auto" w:before="247"/>
        <w:ind w:left="2149" w:right="2867"/>
        <w:jc w:val="center"/>
      </w:pPr>
      <w:r>
        <w:rPr/>
        <w:t>Director, Cybersecurity Outreach and Innovation Center Department</w:t>
      </w:r>
      <w:r>
        <w:rPr>
          <w:spacing w:val="-8"/>
        </w:rPr>
        <w:t> </w:t>
      </w:r>
      <w:r>
        <w:rPr/>
        <w:t>of</w:t>
      </w:r>
      <w:r>
        <w:rPr>
          <w:spacing w:val="-8"/>
        </w:rPr>
        <w:t> </w:t>
      </w:r>
      <w:r>
        <w:rPr/>
        <w:t>Computing,</w:t>
      </w:r>
      <w:r>
        <w:rPr>
          <w:spacing w:val="-8"/>
        </w:rPr>
        <w:t> </w:t>
      </w:r>
      <w:r>
        <w:rPr/>
        <w:t>College</w:t>
      </w:r>
      <w:r>
        <w:rPr>
          <w:spacing w:val="-8"/>
        </w:rPr>
        <w:t> </w:t>
      </w:r>
      <w:r>
        <w:rPr/>
        <w:t>of</w:t>
      </w:r>
      <w:r>
        <w:rPr>
          <w:spacing w:val="-8"/>
        </w:rPr>
        <w:t> </w:t>
      </w:r>
      <w:r>
        <w:rPr/>
        <w:t>Business</w:t>
      </w:r>
      <w:r>
        <w:rPr>
          <w:spacing w:val="-8"/>
        </w:rPr>
        <w:t> </w:t>
      </w:r>
      <w:r>
        <w:rPr/>
        <w:t>and</w:t>
      </w:r>
      <w:r>
        <w:rPr>
          <w:spacing w:val="-8"/>
        </w:rPr>
        <w:t> </w:t>
      </w:r>
      <w:r>
        <w:rPr/>
        <w:t>Technology East Tennessee State University</w:t>
      </w:r>
    </w:p>
    <w:p>
      <w:pPr>
        <w:pStyle w:val="BodyText"/>
        <w:spacing w:line="316" w:lineRule="auto"/>
        <w:ind w:left="3886" w:right="4604"/>
        <w:jc w:val="center"/>
      </w:pPr>
      <w:r>
        <w:rPr/>
        <w:t>1276</w:t>
      </w:r>
      <w:r>
        <w:rPr>
          <w:spacing w:val="-3"/>
        </w:rPr>
        <w:t> </w:t>
      </w:r>
      <w:r>
        <w:rPr/>
        <w:t>Gilbreath</w:t>
      </w:r>
      <w:r>
        <w:rPr>
          <w:spacing w:val="-3"/>
        </w:rPr>
        <w:t> </w:t>
      </w:r>
      <w:r>
        <w:rPr/>
        <w:t>Dr.,</w:t>
      </w:r>
      <w:r>
        <w:rPr>
          <w:spacing w:val="-3"/>
        </w:rPr>
        <w:t> </w:t>
      </w:r>
      <w:r>
        <w:rPr/>
        <w:t>Box</w:t>
      </w:r>
      <w:r>
        <w:rPr>
          <w:spacing w:val="-3"/>
        </w:rPr>
        <w:t> </w:t>
      </w:r>
      <w:r>
        <w:rPr/>
        <w:t>70300 Johnson City, TN 37614 </w:t>
      </w:r>
      <w:hyperlink r:id="rId195">
        <w:r>
          <w:rPr>
            <w:color w:val="457886"/>
            <w:spacing w:val="-2"/>
            <w:u w:val="thick" w:color="457886"/>
          </w:rPr>
          <w:t>lehrfeld@etsu.edu</w:t>
        </w:r>
      </w:hyperlink>
      <w:r>
        <w:rPr>
          <w:color w:val="457886"/>
          <w:spacing w:val="-2"/>
          <w:u w:val="none"/>
        </w:rPr>
        <w:t> </w:t>
      </w:r>
      <w:r>
        <w:rPr>
          <w:u w:val="none"/>
        </w:rPr>
        <w:t>423.439.5347</w:t>
      </w:r>
      <w:r>
        <w:rPr>
          <w:spacing w:val="-15"/>
          <w:u w:val="none"/>
        </w:rPr>
        <w:t> </w:t>
      </w:r>
      <w:r>
        <w:rPr>
          <w:u w:val="none"/>
        </w:rPr>
        <w:t>(Contact</w:t>
      </w:r>
      <w:r>
        <w:rPr>
          <w:spacing w:val="-15"/>
          <w:u w:val="none"/>
        </w:rPr>
        <w:t> </w:t>
      </w:r>
      <w:r>
        <w:rPr>
          <w:u w:val="none"/>
        </w:rPr>
        <w:t>Author)</w:t>
      </w:r>
    </w:p>
    <w:p>
      <w:pPr>
        <w:pStyle w:val="BodyText"/>
      </w:pPr>
    </w:p>
    <w:p>
      <w:pPr>
        <w:pStyle w:val="BodyText"/>
        <w:spacing w:before="17"/>
      </w:pPr>
    </w:p>
    <w:p>
      <w:pPr>
        <w:pStyle w:val="BodyText"/>
        <w:spacing w:line="316" w:lineRule="auto"/>
        <w:ind w:left="2149" w:right="2867"/>
        <w:jc w:val="center"/>
      </w:pPr>
      <w:r>
        <w:rPr/>
        <w:t>Sandra Anima Darko &amp; Ogundipe, Bamidele Adeolegan Department</w:t>
      </w:r>
      <w:r>
        <w:rPr>
          <w:spacing w:val="-8"/>
        </w:rPr>
        <w:t> </w:t>
      </w:r>
      <w:r>
        <w:rPr/>
        <w:t>of</w:t>
      </w:r>
      <w:r>
        <w:rPr>
          <w:spacing w:val="-8"/>
        </w:rPr>
        <w:t> </w:t>
      </w:r>
      <w:r>
        <w:rPr/>
        <w:t>Computing,</w:t>
      </w:r>
      <w:r>
        <w:rPr>
          <w:spacing w:val="-8"/>
        </w:rPr>
        <w:t> </w:t>
      </w:r>
      <w:r>
        <w:rPr/>
        <w:t>College</w:t>
      </w:r>
      <w:r>
        <w:rPr>
          <w:spacing w:val="-8"/>
        </w:rPr>
        <w:t> </w:t>
      </w:r>
      <w:r>
        <w:rPr/>
        <w:t>of</w:t>
      </w:r>
      <w:r>
        <w:rPr>
          <w:spacing w:val="-8"/>
        </w:rPr>
        <w:t> </w:t>
      </w:r>
      <w:r>
        <w:rPr/>
        <w:t>Business</w:t>
      </w:r>
      <w:r>
        <w:rPr>
          <w:spacing w:val="-8"/>
        </w:rPr>
        <w:t> </w:t>
      </w:r>
      <w:r>
        <w:rPr/>
        <w:t>and</w:t>
      </w:r>
      <w:r>
        <w:rPr>
          <w:spacing w:val="-8"/>
        </w:rPr>
        <w:t> </w:t>
      </w:r>
      <w:r>
        <w:rPr/>
        <w:t>Technology East Tennessee State University</w:t>
      </w:r>
    </w:p>
    <w:p>
      <w:pPr>
        <w:pStyle w:val="BodyText"/>
        <w:spacing w:line="314" w:lineRule="auto" w:before="1"/>
        <w:ind w:left="2674" w:right="3392"/>
        <w:jc w:val="center"/>
      </w:pPr>
      <w:r>
        <w:rPr/>
        <w:t>1276</w:t>
      </w:r>
      <w:r>
        <w:rPr>
          <w:spacing w:val="-9"/>
        </w:rPr>
        <w:t> </w:t>
      </w:r>
      <w:r>
        <w:rPr/>
        <w:t>Gilbreath</w:t>
      </w:r>
      <w:r>
        <w:rPr>
          <w:spacing w:val="-9"/>
        </w:rPr>
        <w:t> </w:t>
      </w:r>
      <w:r>
        <w:rPr/>
        <w:t>Dr.,</w:t>
      </w:r>
      <w:r>
        <w:rPr>
          <w:spacing w:val="-9"/>
        </w:rPr>
        <w:t> </w:t>
      </w:r>
      <w:r>
        <w:rPr/>
        <w:t>Box</w:t>
      </w:r>
      <w:r>
        <w:rPr>
          <w:spacing w:val="-9"/>
        </w:rPr>
        <w:t> </w:t>
      </w:r>
      <w:r>
        <w:rPr/>
        <w:t>70300,</w:t>
      </w:r>
      <w:r>
        <w:rPr>
          <w:spacing w:val="-9"/>
        </w:rPr>
        <w:t> </w:t>
      </w:r>
      <w:r>
        <w:rPr/>
        <w:t>Johnson</w:t>
      </w:r>
      <w:r>
        <w:rPr>
          <w:spacing w:val="-9"/>
        </w:rPr>
        <w:t> </w:t>
      </w:r>
      <w:r>
        <w:rPr/>
        <w:t>City,</w:t>
      </w:r>
      <w:r>
        <w:rPr>
          <w:spacing w:val="-9"/>
        </w:rPr>
        <w:t> </w:t>
      </w:r>
      <w:r>
        <w:rPr/>
        <w:t>TN</w:t>
      </w:r>
      <w:r>
        <w:rPr>
          <w:spacing w:val="-9"/>
        </w:rPr>
        <w:t> </w:t>
      </w:r>
      <w:r>
        <w:rPr/>
        <w:t>37614 </w:t>
      </w:r>
      <w:hyperlink r:id="rId217">
        <w:r>
          <w:rPr>
            <w:color w:val="457886"/>
            <w:u w:val="thick" w:color="457886"/>
          </w:rPr>
          <w:t>darkosa@etsu.edu</w:t>
        </w:r>
      </w:hyperlink>
      <w:r>
        <w:rPr>
          <w:color w:val="457886"/>
          <w:u w:val="none"/>
        </w:rPr>
        <w:t> </w:t>
      </w:r>
      <w:r>
        <w:rPr>
          <w:u w:val="none"/>
        </w:rPr>
        <w:t>/ </w:t>
      </w:r>
      <w:hyperlink r:id="rId218">
        <w:r>
          <w:rPr>
            <w:color w:val="457886"/>
            <w:u w:val="thick" w:color="457886"/>
          </w:rPr>
          <w:t>ogundipeb@etsu.edu</w:t>
        </w:r>
      </w:hyperlink>
    </w:p>
    <w:p>
      <w:pPr>
        <w:pStyle w:val="BodyText"/>
        <w:spacing w:before="183"/>
        <w:ind w:left="720" w:right="2590"/>
      </w:pPr>
      <w:r>
        <w:rPr/>
        <w:t>Key</w:t>
      </w:r>
      <w:r>
        <w:rPr>
          <w:spacing w:val="-7"/>
        </w:rPr>
        <w:t> </w:t>
      </w:r>
      <w:r>
        <w:rPr/>
        <w:t>words:</w:t>
      </w:r>
      <w:r>
        <w:rPr>
          <w:spacing w:val="-7"/>
        </w:rPr>
        <w:t> </w:t>
      </w:r>
      <w:r>
        <w:rPr/>
        <w:t>NIBIN,</w:t>
      </w:r>
      <w:r>
        <w:rPr>
          <w:spacing w:val="-7"/>
        </w:rPr>
        <w:t> </w:t>
      </w:r>
      <w:r>
        <w:rPr/>
        <w:t>eTrace,</w:t>
      </w:r>
      <w:r>
        <w:rPr>
          <w:spacing w:val="-7"/>
        </w:rPr>
        <w:t> </w:t>
      </w:r>
      <w:r>
        <w:rPr/>
        <w:t>Real</w:t>
      </w:r>
      <w:r>
        <w:rPr>
          <w:spacing w:val="-7"/>
        </w:rPr>
        <w:t> </w:t>
      </w:r>
      <w:r>
        <w:rPr/>
        <w:t>Time</w:t>
      </w:r>
      <w:r>
        <w:rPr>
          <w:spacing w:val="-7"/>
        </w:rPr>
        <w:t> </w:t>
      </w:r>
      <w:r>
        <w:rPr/>
        <w:t>Crime</w:t>
      </w:r>
      <w:r>
        <w:rPr>
          <w:spacing w:val="-7"/>
        </w:rPr>
        <w:t> </w:t>
      </w:r>
      <w:r>
        <w:rPr/>
        <w:t>Center,</w:t>
      </w:r>
      <w:r>
        <w:rPr>
          <w:spacing w:val="-7"/>
        </w:rPr>
        <w:t> </w:t>
      </w:r>
      <w:r>
        <w:rPr/>
        <w:t>Crime</w:t>
      </w:r>
      <w:r>
        <w:rPr>
          <w:spacing w:val="-7"/>
        </w:rPr>
        <w:t> </w:t>
      </w:r>
      <w:r>
        <w:rPr/>
        <w:t>Gun</w:t>
      </w:r>
      <w:r>
        <w:rPr>
          <w:spacing w:val="-7"/>
        </w:rPr>
        <w:t> </w:t>
      </w:r>
      <w:r>
        <w:rPr/>
        <w:t>Intelligence</w:t>
      </w:r>
      <w:r>
        <w:rPr>
          <w:spacing w:val="-7"/>
        </w:rPr>
        <w:t> </w:t>
      </w:r>
      <w:r>
        <w:rPr/>
        <w:t>Center, </w:t>
      </w:r>
      <w:r>
        <w:rPr>
          <w:spacing w:val="-2"/>
        </w:rPr>
        <w:t>Shell-casing</w:t>
      </w:r>
    </w:p>
    <w:p>
      <w:pPr>
        <w:pStyle w:val="BodyText"/>
        <w:spacing w:before="275"/>
      </w:pPr>
    </w:p>
    <w:p>
      <w:pPr>
        <w:pStyle w:val="Heading4"/>
        <w:spacing w:before="1"/>
        <w:ind w:left="455"/>
      </w:pPr>
      <w:r>
        <w:rPr>
          <w:spacing w:val="-2"/>
        </w:rPr>
        <w:t>Introduction</w:t>
      </w:r>
    </w:p>
    <w:p>
      <w:pPr>
        <w:pStyle w:val="BodyText"/>
        <w:spacing w:before="17"/>
        <w:rPr>
          <w:b/>
        </w:rPr>
      </w:pPr>
    </w:p>
    <w:p>
      <w:pPr>
        <w:pStyle w:val="BodyText"/>
        <w:ind w:left="455" w:right="1018"/>
        <w:jc w:val="both"/>
      </w:pPr>
      <w:r>
        <w:rPr/>
        <w:t>Gun crime over the years has become a great concern in the United States</w:t>
      </w:r>
      <w:r>
        <w:rPr>
          <w:spacing w:val="-2"/>
        </w:rPr>
        <w:t> </w:t>
      </w:r>
      <w:r>
        <w:rPr/>
        <w:t>as</w:t>
      </w:r>
      <w:r>
        <w:rPr>
          <w:spacing w:val="-2"/>
        </w:rPr>
        <w:t> </w:t>
      </w:r>
      <w:r>
        <w:rPr/>
        <w:t>many</w:t>
      </w:r>
      <w:r>
        <w:rPr>
          <w:spacing w:val="-2"/>
        </w:rPr>
        <w:t> </w:t>
      </w:r>
      <w:r>
        <w:rPr/>
        <w:t>innocent</w:t>
      </w:r>
      <w:r>
        <w:rPr>
          <w:spacing w:val="-2"/>
        </w:rPr>
        <w:t> </w:t>
      </w:r>
      <w:r>
        <w:rPr/>
        <w:t>lives</w:t>
      </w:r>
      <w:r>
        <w:rPr>
          <w:spacing w:val="-2"/>
        </w:rPr>
        <w:t> </w:t>
      </w:r>
      <w:r>
        <w:rPr/>
        <w:t>have been lost to this act. Some states have designed the Crime Gun Intelligence Center (CGIC) just to</w:t>
      </w:r>
      <w:r>
        <w:rPr>
          <w:spacing w:val="40"/>
        </w:rPr>
        <w:t> </w:t>
      </w:r>
      <w:r>
        <w:rPr/>
        <w:t>reduce</w:t>
      </w:r>
      <w:r>
        <w:rPr>
          <w:spacing w:val="40"/>
        </w:rPr>
        <w:t> </w:t>
      </w:r>
      <w:r>
        <w:rPr/>
        <w:t>the</w:t>
      </w:r>
      <w:r>
        <w:rPr>
          <w:spacing w:val="-3"/>
        </w:rPr>
        <w:t> </w:t>
      </w:r>
      <w:r>
        <w:rPr/>
        <w:t>gun</w:t>
      </w:r>
      <w:r>
        <w:rPr>
          <w:spacing w:val="-3"/>
        </w:rPr>
        <w:t> </w:t>
      </w:r>
      <w:r>
        <w:rPr/>
        <w:t>crime</w:t>
      </w:r>
      <w:r>
        <w:rPr>
          <w:spacing w:val="-3"/>
        </w:rPr>
        <w:t> </w:t>
      </w:r>
      <w:r>
        <w:rPr/>
        <w:t>rates</w:t>
      </w:r>
      <w:r>
        <w:rPr>
          <w:spacing w:val="-3"/>
        </w:rPr>
        <w:t> </w:t>
      </w:r>
      <w:r>
        <w:rPr/>
        <w:t>in</w:t>
      </w:r>
      <w:r>
        <w:rPr>
          <w:spacing w:val="-3"/>
        </w:rPr>
        <w:t> </w:t>
      </w:r>
      <w:r>
        <w:rPr/>
        <w:t>their</w:t>
      </w:r>
      <w:r>
        <w:rPr>
          <w:spacing w:val="-3"/>
        </w:rPr>
        <w:t> </w:t>
      </w:r>
      <w:r>
        <w:rPr/>
        <w:t>states.</w:t>
      </w:r>
      <w:r>
        <w:rPr>
          <w:spacing w:val="-3"/>
        </w:rPr>
        <w:t> </w:t>
      </w:r>
      <w:r>
        <w:rPr/>
        <w:t>East</w:t>
      </w:r>
      <w:r>
        <w:rPr>
          <w:spacing w:val="-3"/>
        </w:rPr>
        <w:t> </w:t>
      </w:r>
      <w:r>
        <w:rPr/>
        <w:t>Tennessee</w:t>
      </w:r>
      <w:r>
        <w:rPr>
          <w:spacing w:val="-3"/>
        </w:rPr>
        <w:t> </w:t>
      </w:r>
      <w:r>
        <w:rPr/>
        <w:t>is</w:t>
      </w:r>
      <w:r>
        <w:rPr>
          <w:spacing w:val="-3"/>
        </w:rPr>
        <w:t> </w:t>
      </w:r>
      <w:r>
        <w:rPr/>
        <w:t>one</w:t>
      </w:r>
      <w:r>
        <w:rPr>
          <w:spacing w:val="-3"/>
        </w:rPr>
        <w:t> </w:t>
      </w:r>
      <w:r>
        <w:rPr/>
        <w:t>of</w:t>
      </w:r>
      <w:r>
        <w:rPr>
          <w:spacing w:val="-3"/>
        </w:rPr>
        <w:t> </w:t>
      </w:r>
      <w:r>
        <w:rPr/>
        <w:t>the</w:t>
      </w:r>
      <w:r>
        <w:rPr>
          <w:spacing w:val="-3"/>
        </w:rPr>
        <w:t> </w:t>
      </w:r>
      <w:r>
        <w:rPr/>
        <w:t>regions</w:t>
      </w:r>
      <w:r>
        <w:rPr>
          <w:spacing w:val="-3"/>
        </w:rPr>
        <w:t> </w:t>
      </w:r>
      <w:r>
        <w:rPr/>
        <w:t>that’s</w:t>
      </w:r>
      <w:r>
        <w:rPr>
          <w:spacing w:val="-3"/>
        </w:rPr>
        <w:t> </w:t>
      </w:r>
      <w:r>
        <w:rPr/>
        <w:t>yet</w:t>
      </w:r>
      <w:r>
        <w:rPr>
          <w:spacing w:val="-3"/>
        </w:rPr>
        <w:t> </w:t>
      </w:r>
      <w:r>
        <w:rPr/>
        <w:t>to</w:t>
      </w:r>
      <w:r>
        <w:rPr>
          <w:spacing w:val="-3"/>
        </w:rPr>
        <w:t> </w:t>
      </w:r>
      <w:r>
        <w:rPr/>
        <w:t>have</w:t>
      </w:r>
      <w:r>
        <w:rPr>
          <w:spacing w:val="-3"/>
        </w:rPr>
        <w:t> </w:t>
      </w:r>
      <w:r>
        <w:rPr/>
        <w:t>a</w:t>
      </w:r>
      <w:r>
        <w:rPr>
          <w:spacing w:val="-3"/>
        </w:rPr>
        <w:t> </w:t>
      </w:r>
      <w:r>
        <w:rPr/>
        <w:t>Crime Gun</w:t>
      </w:r>
      <w:r>
        <w:rPr>
          <w:spacing w:val="40"/>
        </w:rPr>
        <w:t> </w:t>
      </w:r>
      <w:r>
        <w:rPr/>
        <w:t>Intelligent System to address this menace in their region. Rural East Tennessee, Southwest Virginia, and</w:t>
      </w:r>
      <w:r>
        <w:rPr>
          <w:spacing w:val="40"/>
        </w:rPr>
        <w:t> </w:t>
      </w:r>
      <w:r>
        <w:rPr/>
        <w:t>Western North Carolina experience higher gun crime rate, violent gangs, and Alcohol, Tobacco, Firearms</w:t>
      </w:r>
      <w:r>
        <w:rPr>
          <w:spacing w:val="40"/>
        </w:rPr>
        <w:t> </w:t>
      </w:r>
      <w:r>
        <w:rPr/>
        <w:t>and drug-related offenses like urban areas. The challenge is amplified by a vast geographical area, limited</w:t>
      </w:r>
      <w:r>
        <w:rPr>
          <w:spacing w:val="40"/>
        </w:rPr>
        <w:t> </w:t>
      </w:r>
      <w:r>
        <w:rPr/>
        <w:t>interagency coordination, and minimal strategic funding</w:t>
      </w:r>
      <w:r>
        <w:rPr>
          <w:spacing w:val="-2"/>
        </w:rPr>
        <w:t> </w:t>
      </w:r>
      <w:r>
        <w:rPr/>
        <w:t>for</w:t>
      </w:r>
      <w:r>
        <w:rPr>
          <w:spacing w:val="-2"/>
        </w:rPr>
        <w:t> </w:t>
      </w:r>
      <w:r>
        <w:rPr/>
        <w:t>evidence-based programs like CGIC.</w:t>
      </w:r>
    </w:p>
    <w:p>
      <w:pPr>
        <w:pStyle w:val="BodyText"/>
        <w:spacing w:before="189"/>
        <w:ind w:left="455" w:right="1019"/>
        <w:jc w:val="both"/>
      </w:pPr>
      <w:r>
        <w:rPr/>
        <w:t>Rural East Tennessee, Southwest Virginia, and Western North Carolina experience similar types of crime</w:t>
      </w:r>
      <w:r>
        <w:rPr>
          <w:spacing w:val="40"/>
        </w:rPr>
        <w:t> </w:t>
      </w:r>
      <w:r>
        <w:rPr/>
        <w:t>as our more urban neighbors. Gun crime, violent gangs, and drugs are all prevalent in </w:t>
      </w:r>
      <w:r>
        <w:rPr/>
        <w:t>rural America.</w:t>
      </w:r>
      <w:r>
        <w:rPr>
          <w:spacing w:val="29"/>
        </w:rPr>
        <w:t> </w:t>
      </w:r>
      <w:r>
        <w:rPr/>
        <w:t>The</w:t>
      </w:r>
      <w:r>
        <w:rPr>
          <w:spacing w:val="29"/>
        </w:rPr>
        <w:t>  </w:t>
      </w:r>
      <w:r>
        <w:rPr/>
        <w:t>challenge</w:t>
      </w:r>
      <w:r>
        <w:rPr>
          <w:spacing w:val="31"/>
        </w:rPr>
        <w:t> </w:t>
      </w:r>
      <w:r>
        <w:rPr/>
        <w:t>of</w:t>
      </w:r>
      <w:r>
        <w:rPr>
          <w:spacing w:val="30"/>
        </w:rPr>
        <w:t> </w:t>
      </w:r>
      <w:r>
        <w:rPr/>
        <w:t>combatting</w:t>
      </w:r>
      <w:r>
        <w:rPr>
          <w:spacing w:val="29"/>
        </w:rPr>
        <w:t> </w:t>
      </w:r>
      <w:r>
        <w:rPr/>
        <w:t>these</w:t>
      </w:r>
      <w:r>
        <w:rPr>
          <w:spacing w:val="30"/>
        </w:rPr>
        <w:t> </w:t>
      </w:r>
      <w:r>
        <w:rPr/>
        <w:t>crimes</w:t>
      </w:r>
      <w:r>
        <w:rPr>
          <w:spacing w:val="30"/>
        </w:rPr>
        <w:t> </w:t>
      </w:r>
      <w:r>
        <w:rPr/>
        <w:t>is</w:t>
      </w:r>
      <w:r>
        <w:rPr>
          <w:spacing w:val="29"/>
        </w:rPr>
        <w:t> </w:t>
      </w:r>
      <w:r>
        <w:rPr/>
        <w:t>a</w:t>
      </w:r>
      <w:r>
        <w:rPr>
          <w:spacing w:val="30"/>
        </w:rPr>
        <w:t> </w:t>
      </w:r>
      <w:r>
        <w:rPr/>
        <w:t>two-part</w:t>
      </w:r>
      <w:r>
        <w:rPr>
          <w:spacing w:val="30"/>
        </w:rPr>
        <w:t> </w:t>
      </w:r>
      <w:r>
        <w:rPr/>
        <w:t>problem;</w:t>
      </w:r>
      <w:r>
        <w:rPr>
          <w:spacing w:val="14"/>
        </w:rPr>
        <w:t> </w:t>
      </w:r>
      <w:r>
        <w:rPr/>
        <w:t>1)</w:t>
      </w:r>
      <w:r>
        <w:rPr>
          <w:spacing w:val="15"/>
        </w:rPr>
        <w:t> </w:t>
      </w:r>
      <w:r>
        <w:rPr/>
        <w:t>the</w:t>
      </w:r>
      <w:r>
        <w:rPr>
          <w:spacing w:val="15"/>
        </w:rPr>
        <w:t> </w:t>
      </w:r>
      <w:r>
        <w:rPr/>
        <w:t>large</w:t>
      </w:r>
      <w:r>
        <w:rPr>
          <w:spacing w:val="15"/>
        </w:rPr>
        <w:t> </w:t>
      </w:r>
      <w:r>
        <w:rPr>
          <w:spacing w:val="-2"/>
        </w:rPr>
        <w:t>geographical</w:t>
      </w:r>
    </w:p>
    <w:p>
      <w:pPr>
        <w:pStyle w:val="BodyText"/>
        <w:spacing w:after="0"/>
        <w:jc w:val="both"/>
        <w:sectPr>
          <w:footerReference w:type="default" r:id="rId215"/>
          <w:pgSz w:w="12240" w:h="15840"/>
          <w:pgMar w:header="0" w:footer="776" w:top="640" w:bottom="960" w:left="720" w:right="0"/>
        </w:sectPr>
      </w:pPr>
    </w:p>
    <w:p>
      <w:pPr>
        <w:pStyle w:val="BodyText"/>
        <w:spacing w:before="60"/>
        <w:ind w:left="455"/>
        <w:jc w:val="both"/>
      </w:pPr>
      <w:r>
        <w:rPr/>
        <w:t>area</w:t>
      </w:r>
      <w:r>
        <w:rPr>
          <w:spacing w:val="-2"/>
        </w:rPr>
        <w:t> </w:t>
      </w:r>
      <w:r>
        <w:rPr/>
        <w:t>that</w:t>
      </w:r>
      <w:r>
        <w:rPr>
          <w:spacing w:val="58"/>
        </w:rPr>
        <w:t> </w:t>
      </w:r>
      <w:r>
        <w:rPr/>
        <w:t>encompasses</w:t>
      </w:r>
      <w:r>
        <w:rPr>
          <w:spacing w:val="-2"/>
        </w:rPr>
        <w:t> </w:t>
      </w:r>
      <w:r>
        <w:rPr/>
        <w:t>rural</w:t>
      </w:r>
      <w:r>
        <w:rPr>
          <w:spacing w:val="-1"/>
        </w:rPr>
        <w:t> </w:t>
      </w:r>
      <w:r>
        <w:rPr/>
        <w:t>east</w:t>
      </w:r>
      <w:r>
        <w:rPr>
          <w:spacing w:val="-1"/>
        </w:rPr>
        <w:t> </w:t>
      </w:r>
      <w:r>
        <w:rPr/>
        <w:t>Tennessee,</w:t>
      </w:r>
      <w:r>
        <w:rPr>
          <w:spacing w:val="-2"/>
        </w:rPr>
        <w:t> </w:t>
      </w:r>
      <w:r>
        <w:rPr/>
        <w:t>and</w:t>
      </w:r>
      <w:r>
        <w:rPr>
          <w:spacing w:val="-1"/>
        </w:rPr>
        <w:t> </w:t>
      </w:r>
      <w:r>
        <w:rPr/>
        <w:t>2)</w:t>
      </w:r>
      <w:r>
        <w:rPr>
          <w:spacing w:val="-1"/>
        </w:rPr>
        <w:t> </w:t>
      </w:r>
      <w:r>
        <w:rPr/>
        <w:t>the</w:t>
      </w:r>
      <w:r>
        <w:rPr>
          <w:spacing w:val="-2"/>
        </w:rPr>
        <w:t> </w:t>
      </w:r>
      <w:r>
        <w:rPr/>
        <w:t>lack</w:t>
      </w:r>
      <w:r>
        <w:rPr>
          <w:spacing w:val="-1"/>
        </w:rPr>
        <w:t> </w:t>
      </w:r>
      <w:r>
        <w:rPr/>
        <w:t>of</w:t>
      </w:r>
      <w:r>
        <w:rPr>
          <w:spacing w:val="-1"/>
        </w:rPr>
        <w:t> </w:t>
      </w:r>
      <w:r>
        <w:rPr/>
        <w:t>interagency</w:t>
      </w:r>
      <w:r>
        <w:rPr>
          <w:spacing w:val="-1"/>
        </w:rPr>
        <w:t> </w:t>
      </w:r>
      <w:r>
        <w:rPr>
          <w:spacing w:val="-2"/>
        </w:rPr>
        <w:t>coordination.</w:t>
      </w:r>
    </w:p>
    <w:p>
      <w:pPr>
        <w:pStyle w:val="BodyText"/>
        <w:spacing w:before="189"/>
        <w:ind w:left="455" w:right="1018"/>
        <w:jc w:val="both"/>
      </w:pPr>
      <w:r>
        <w:rPr/>
        <w:t>More than 25 counties across three bordering states with a population of over 1.3 million people and 9,000 square miles. According to the Federal Bureau of Investigation (FBI, n.d.) from 2021 to 2023, thirteen counties in</w:t>
      </w:r>
      <w:r>
        <w:rPr>
          <w:spacing w:val="-4"/>
        </w:rPr>
        <w:t> </w:t>
      </w:r>
      <w:r>
        <w:rPr/>
        <w:t>East</w:t>
      </w:r>
      <w:r>
        <w:rPr>
          <w:spacing w:val="-4"/>
        </w:rPr>
        <w:t> </w:t>
      </w:r>
      <w:r>
        <w:rPr/>
        <w:t>Tennessee</w:t>
      </w:r>
      <w:r>
        <w:rPr>
          <w:spacing w:val="-4"/>
        </w:rPr>
        <w:t> </w:t>
      </w:r>
      <w:r>
        <w:rPr/>
        <w:t>jurisdictions</w:t>
      </w:r>
      <w:r>
        <w:rPr>
          <w:spacing w:val="-4"/>
        </w:rPr>
        <w:t> </w:t>
      </w:r>
      <w:r>
        <w:rPr/>
        <w:t>reported</w:t>
      </w:r>
      <w:r>
        <w:rPr>
          <w:spacing w:val="-4"/>
        </w:rPr>
        <w:t> </w:t>
      </w:r>
      <w:r>
        <w:rPr/>
        <w:t>more</w:t>
      </w:r>
      <w:r>
        <w:rPr>
          <w:spacing w:val="-4"/>
        </w:rPr>
        <w:t> </w:t>
      </w:r>
      <w:r>
        <w:rPr/>
        <w:t>than</w:t>
      </w:r>
      <w:r>
        <w:rPr>
          <w:spacing w:val="-4"/>
        </w:rPr>
        <w:t> </w:t>
      </w:r>
      <w:r>
        <w:rPr/>
        <w:t>30,000</w:t>
      </w:r>
      <w:r>
        <w:rPr>
          <w:spacing w:val="-4"/>
        </w:rPr>
        <w:t> </w:t>
      </w:r>
      <w:r>
        <w:rPr/>
        <w:t>violent</w:t>
      </w:r>
      <w:r>
        <w:rPr>
          <w:spacing w:val="-4"/>
        </w:rPr>
        <w:t> </w:t>
      </w:r>
      <w:r>
        <w:rPr/>
        <w:t>crime</w:t>
      </w:r>
      <w:r>
        <w:rPr>
          <w:spacing w:val="-4"/>
        </w:rPr>
        <w:t> </w:t>
      </w:r>
      <w:r>
        <w:rPr/>
        <w:t>incidents,</w:t>
      </w:r>
      <w:r>
        <w:rPr>
          <w:spacing w:val="-4"/>
        </w:rPr>
        <w:t> </w:t>
      </w:r>
      <w:r>
        <w:rPr/>
        <w:t>with a noticeable rise in cases during 2023. Although evidence such as shell casings and</w:t>
      </w:r>
      <w:r>
        <w:rPr>
          <w:spacing w:val="-3"/>
        </w:rPr>
        <w:t> </w:t>
      </w:r>
      <w:r>
        <w:rPr/>
        <w:t>recovered</w:t>
      </w:r>
      <w:r>
        <w:rPr>
          <w:spacing w:val="-3"/>
        </w:rPr>
        <w:t> </w:t>
      </w:r>
      <w:r>
        <w:rPr/>
        <w:t>firearms</w:t>
      </w:r>
      <w:r>
        <w:rPr>
          <w:spacing w:val="40"/>
        </w:rPr>
        <w:t> </w:t>
      </w:r>
      <w:r>
        <w:rPr/>
        <w:t>is</w:t>
      </w:r>
      <w:r>
        <w:rPr>
          <w:spacing w:val="80"/>
        </w:rPr>
        <w:t> </w:t>
      </w:r>
      <w:r>
        <w:rPr/>
        <w:t>frequently collected, the lack of a centralized system to analyze and share this information has</w:t>
      </w:r>
      <w:r>
        <w:rPr>
          <w:spacing w:val="40"/>
        </w:rPr>
        <w:t> </w:t>
      </w:r>
      <w:r>
        <w:rPr/>
        <w:t>slowed</w:t>
      </w:r>
      <w:r>
        <w:rPr>
          <w:spacing w:val="40"/>
        </w:rPr>
        <w:t> </w:t>
      </w:r>
      <w:r>
        <w:rPr/>
        <w:t>investigations, delayed suspect identification, and made collaboration across jurisdictions significantly</w:t>
      </w:r>
      <w:r>
        <w:rPr>
          <w:spacing w:val="40"/>
        </w:rPr>
        <w:t> </w:t>
      </w:r>
      <w:r>
        <w:rPr/>
        <w:t>difficult.</w:t>
      </w:r>
    </w:p>
    <w:p>
      <w:pPr>
        <w:pStyle w:val="BodyText"/>
        <w:spacing w:before="189"/>
        <w:ind w:left="455" w:right="1020"/>
        <w:jc w:val="both"/>
      </w:pPr>
      <w:r>
        <w:rPr/>
        <w:t>The paper examines the need for real-time regional crime analysis, integrated data system at all</w:t>
      </w:r>
      <w:r>
        <w:rPr>
          <w:spacing w:val="-2"/>
        </w:rPr>
        <w:t> </w:t>
      </w:r>
      <w:r>
        <w:rPr/>
        <w:t>levels, secure data facility, efficient process management to ensure reliability, system availability and compatibility across agencies giving investigators an insight into criminal activity and help them respond</w:t>
      </w:r>
      <w:r>
        <w:rPr>
          <w:spacing w:val="40"/>
        </w:rPr>
        <w:t> </w:t>
      </w:r>
      <w:r>
        <w:rPr/>
        <w:t>promptly.</w:t>
      </w:r>
    </w:p>
    <w:p>
      <w:pPr>
        <w:pStyle w:val="BodyText"/>
        <w:spacing w:before="189"/>
        <w:ind w:left="455" w:right="1191"/>
      </w:pPr>
      <w:r>
        <w:rPr/>
        <w:t>The research addresses the question: how do crime gun intelligence centers improve firearm investigations</w:t>
      </w:r>
      <w:r>
        <w:rPr>
          <w:spacing w:val="-5"/>
        </w:rPr>
        <w:t> </w:t>
      </w:r>
      <w:r>
        <w:rPr/>
        <w:t>and</w:t>
      </w:r>
      <w:r>
        <w:rPr>
          <w:spacing w:val="-5"/>
        </w:rPr>
        <w:t> </w:t>
      </w:r>
      <w:r>
        <w:rPr/>
        <w:t>prosecution</w:t>
      </w:r>
      <w:r>
        <w:rPr>
          <w:spacing w:val="-5"/>
        </w:rPr>
        <w:t> </w:t>
      </w:r>
      <w:r>
        <w:rPr/>
        <w:t>of</w:t>
      </w:r>
      <w:r>
        <w:rPr>
          <w:spacing w:val="-5"/>
        </w:rPr>
        <w:t> </w:t>
      </w:r>
      <w:r>
        <w:rPr/>
        <w:t>offenders</w:t>
      </w:r>
      <w:r>
        <w:rPr>
          <w:spacing w:val="-5"/>
        </w:rPr>
        <w:t> </w:t>
      </w:r>
      <w:r>
        <w:rPr/>
        <w:t>through</w:t>
      </w:r>
      <w:r>
        <w:rPr>
          <w:spacing w:val="-5"/>
        </w:rPr>
        <w:t> </w:t>
      </w:r>
      <w:r>
        <w:rPr/>
        <w:t>data</w:t>
      </w:r>
      <w:r>
        <w:rPr>
          <w:spacing w:val="-5"/>
        </w:rPr>
        <w:t> </w:t>
      </w:r>
      <w:r>
        <w:rPr/>
        <w:t>integration</w:t>
      </w:r>
      <w:r>
        <w:rPr>
          <w:spacing w:val="-5"/>
        </w:rPr>
        <w:t> </w:t>
      </w:r>
      <w:r>
        <w:rPr/>
        <w:t>and</w:t>
      </w:r>
      <w:r>
        <w:rPr>
          <w:spacing w:val="-5"/>
        </w:rPr>
        <w:t> </w:t>
      </w:r>
      <w:r>
        <w:rPr/>
        <w:t>interagency</w:t>
      </w:r>
      <w:r>
        <w:rPr>
          <w:spacing w:val="-5"/>
        </w:rPr>
        <w:t> </w:t>
      </w:r>
      <w:r>
        <w:rPr/>
        <w:t>coordination.</w:t>
      </w:r>
    </w:p>
    <w:p>
      <w:pPr>
        <w:pStyle w:val="BodyText"/>
        <w:spacing w:before="188"/>
        <w:ind w:left="455"/>
      </w:pPr>
      <w:r>
        <w:rPr/>
        <w:t>The study therefore has the following </w:t>
      </w:r>
      <w:r>
        <w:rPr>
          <w:spacing w:val="-2"/>
        </w:rPr>
        <w:t>objectives:</w:t>
      </w:r>
    </w:p>
    <w:p>
      <w:pPr>
        <w:pStyle w:val="BodyText"/>
        <w:spacing w:before="17"/>
      </w:pPr>
    </w:p>
    <w:p>
      <w:pPr>
        <w:pStyle w:val="ListParagraph"/>
        <w:numPr>
          <w:ilvl w:val="1"/>
          <w:numId w:val="29"/>
        </w:numPr>
        <w:tabs>
          <w:tab w:pos="1085" w:val="left" w:leader="none"/>
        </w:tabs>
        <w:spacing w:line="240" w:lineRule="auto" w:before="0" w:after="0"/>
        <w:ind w:left="1085" w:right="0" w:hanging="240"/>
        <w:jc w:val="left"/>
        <w:rPr>
          <w:sz w:val="24"/>
        </w:rPr>
      </w:pPr>
      <w:r>
        <w:rPr>
          <w:sz w:val="24"/>
        </w:rPr>
        <w:t>Identify and arrest Armed </w:t>
      </w:r>
      <w:r>
        <w:rPr>
          <w:spacing w:val="-2"/>
          <w:sz w:val="24"/>
        </w:rPr>
        <w:t>offenders</w:t>
      </w:r>
    </w:p>
    <w:p>
      <w:pPr>
        <w:pStyle w:val="ListParagraph"/>
        <w:numPr>
          <w:ilvl w:val="1"/>
          <w:numId w:val="29"/>
        </w:numPr>
        <w:tabs>
          <w:tab w:pos="1055" w:val="left" w:leader="none"/>
        </w:tabs>
        <w:spacing w:line="240" w:lineRule="auto" w:before="135" w:after="0"/>
        <w:ind w:left="1055" w:right="0" w:hanging="240"/>
        <w:jc w:val="left"/>
        <w:rPr>
          <w:sz w:val="24"/>
        </w:rPr>
      </w:pPr>
      <w:r>
        <w:rPr>
          <w:sz w:val="24"/>
        </w:rPr>
        <w:t>Removes crime guns from </w:t>
      </w:r>
      <w:r>
        <w:rPr>
          <w:spacing w:val="-2"/>
          <w:sz w:val="24"/>
        </w:rPr>
        <w:t>circulation</w:t>
      </w:r>
    </w:p>
    <w:p>
      <w:pPr>
        <w:pStyle w:val="ListParagraph"/>
        <w:numPr>
          <w:ilvl w:val="1"/>
          <w:numId w:val="29"/>
        </w:numPr>
        <w:tabs>
          <w:tab w:pos="1055" w:val="left" w:leader="none"/>
        </w:tabs>
        <w:spacing w:line="240" w:lineRule="auto" w:before="135" w:after="0"/>
        <w:ind w:left="1055" w:right="0" w:hanging="240"/>
        <w:jc w:val="left"/>
        <w:rPr>
          <w:sz w:val="24"/>
        </w:rPr>
      </w:pPr>
      <w:r>
        <w:rPr>
          <w:sz w:val="24"/>
        </w:rPr>
        <w:t>Increase intelligence sharing and collaboration across the </w:t>
      </w:r>
      <w:r>
        <w:rPr>
          <w:spacing w:val="-2"/>
          <w:sz w:val="24"/>
        </w:rPr>
        <w:t>across</w:t>
      </w:r>
    </w:p>
    <w:p>
      <w:pPr>
        <w:pStyle w:val="ListParagraph"/>
        <w:numPr>
          <w:ilvl w:val="1"/>
          <w:numId w:val="29"/>
        </w:numPr>
        <w:tabs>
          <w:tab w:pos="1055" w:val="left" w:leader="none"/>
        </w:tabs>
        <w:spacing w:line="240" w:lineRule="auto" w:before="133" w:after="0"/>
        <w:ind w:left="1055" w:right="0" w:hanging="240"/>
        <w:jc w:val="left"/>
        <w:rPr>
          <w:sz w:val="24"/>
        </w:rPr>
      </w:pPr>
      <w:r>
        <w:rPr>
          <w:sz w:val="24"/>
        </w:rPr>
        <w:t>Increase public awareness of gun safety </w:t>
      </w:r>
      <w:r>
        <w:rPr>
          <w:spacing w:val="-2"/>
          <w:sz w:val="24"/>
        </w:rPr>
        <w:t>measures</w:t>
      </w:r>
    </w:p>
    <w:p>
      <w:pPr>
        <w:pStyle w:val="ListParagraph"/>
        <w:numPr>
          <w:ilvl w:val="1"/>
          <w:numId w:val="29"/>
        </w:numPr>
        <w:tabs>
          <w:tab w:pos="1070" w:val="left" w:leader="none"/>
        </w:tabs>
        <w:spacing w:line="240" w:lineRule="auto" w:before="135" w:after="0"/>
        <w:ind w:left="1070" w:right="0" w:hanging="240"/>
        <w:jc w:val="left"/>
        <w:rPr>
          <w:sz w:val="24"/>
        </w:rPr>
      </w:pPr>
      <w:r>
        <w:rPr>
          <w:sz w:val="24"/>
        </w:rPr>
        <w:t>Provide a regional CGIC that directly supports the region in combating violent gun </w:t>
      </w:r>
      <w:r>
        <w:rPr>
          <w:spacing w:val="-2"/>
          <w:sz w:val="24"/>
        </w:rPr>
        <w:t>crime.</w:t>
      </w:r>
    </w:p>
    <w:p>
      <w:pPr>
        <w:pStyle w:val="BodyText"/>
        <w:spacing w:before="17"/>
      </w:pPr>
    </w:p>
    <w:p>
      <w:pPr>
        <w:pStyle w:val="BodyText"/>
        <w:spacing w:before="1"/>
        <w:ind w:left="455" w:right="1155"/>
      </w:pPr>
      <w:r>
        <w:rPr/>
        <w:t>The</w:t>
      </w:r>
      <w:r>
        <w:rPr>
          <w:spacing w:val="-4"/>
        </w:rPr>
        <w:t> </w:t>
      </w:r>
      <w:r>
        <w:rPr/>
        <w:t>Real</w:t>
      </w:r>
      <w:r>
        <w:rPr>
          <w:spacing w:val="-4"/>
        </w:rPr>
        <w:t> </w:t>
      </w:r>
      <w:r>
        <w:rPr/>
        <w:t>Time</w:t>
      </w:r>
      <w:r>
        <w:rPr>
          <w:spacing w:val="-4"/>
        </w:rPr>
        <w:t> </w:t>
      </w:r>
      <w:r>
        <w:rPr/>
        <w:t>Crime</w:t>
      </w:r>
      <w:r>
        <w:rPr>
          <w:spacing w:val="-4"/>
        </w:rPr>
        <w:t> </w:t>
      </w:r>
      <w:r>
        <w:rPr/>
        <w:t>Center</w:t>
      </w:r>
      <w:r>
        <w:rPr>
          <w:spacing w:val="-4"/>
        </w:rPr>
        <w:t> </w:t>
      </w:r>
      <w:r>
        <w:rPr/>
        <w:t>(RTCC)</w:t>
      </w:r>
      <w:r>
        <w:rPr>
          <w:spacing w:val="-4"/>
        </w:rPr>
        <w:t> </w:t>
      </w:r>
      <w:r>
        <w:rPr/>
        <w:t>would</w:t>
      </w:r>
      <w:r>
        <w:rPr>
          <w:spacing w:val="-4"/>
        </w:rPr>
        <w:t> </w:t>
      </w:r>
      <w:r>
        <w:rPr/>
        <w:t>act</w:t>
      </w:r>
      <w:r>
        <w:rPr>
          <w:spacing w:val="-4"/>
        </w:rPr>
        <w:t> </w:t>
      </w:r>
      <w:r>
        <w:rPr/>
        <w:t>as</w:t>
      </w:r>
      <w:r>
        <w:rPr>
          <w:spacing w:val="-4"/>
        </w:rPr>
        <w:t> </w:t>
      </w:r>
      <w:r>
        <w:rPr/>
        <w:t>a</w:t>
      </w:r>
      <w:r>
        <w:rPr>
          <w:spacing w:val="-4"/>
        </w:rPr>
        <w:t> </w:t>
      </w:r>
      <w:r>
        <w:rPr/>
        <w:t>central</w:t>
      </w:r>
      <w:r>
        <w:rPr>
          <w:spacing w:val="-4"/>
        </w:rPr>
        <w:t> </w:t>
      </w:r>
      <w:r>
        <w:rPr/>
        <w:t>point</w:t>
      </w:r>
      <w:r>
        <w:rPr>
          <w:spacing w:val="-4"/>
        </w:rPr>
        <w:t> </w:t>
      </w:r>
      <w:r>
        <w:rPr/>
        <w:t>for</w:t>
      </w:r>
      <w:r>
        <w:rPr>
          <w:spacing w:val="-4"/>
        </w:rPr>
        <w:t> </w:t>
      </w:r>
      <w:r>
        <w:rPr/>
        <w:t>gathering,</w:t>
      </w:r>
      <w:r>
        <w:rPr>
          <w:spacing w:val="-4"/>
        </w:rPr>
        <w:t> </w:t>
      </w:r>
      <w:r>
        <w:rPr/>
        <w:t>analyzing,</w:t>
      </w:r>
      <w:r>
        <w:rPr>
          <w:spacing w:val="-4"/>
        </w:rPr>
        <w:t> </w:t>
      </w:r>
      <w:r>
        <w:rPr/>
        <w:t>and</w:t>
      </w:r>
      <w:r>
        <w:rPr>
          <w:spacing w:val="-4"/>
        </w:rPr>
        <w:t> </w:t>
      </w:r>
      <w:r>
        <w:rPr/>
        <w:t>sharing firearm-related intelligence using tools such as National Integrated Ballistic Information Network (NIBIN) and eTrace in the region and beyond. It brings together ballistic analysis, firearm tracing, and real-time law enforcement data such as license plate readers, 911 call information, and video footage.</w:t>
      </w:r>
    </w:p>
    <w:p>
      <w:pPr>
        <w:pStyle w:val="BodyText"/>
      </w:pPr>
    </w:p>
    <w:p>
      <w:pPr>
        <w:pStyle w:val="Heading4"/>
        <w:ind w:left="455"/>
      </w:pPr>
      <w:r>
        <w:rPr/>
        <w:t>Literature</w:t>
      </w:r>
      <w:r>
        <w:rPr>
          <w:spacing w:val="-5"/>
        </w:rPr>
        <w:t> </w:t>
      </w:r>
      <w:r>
        <w:rPr>
          <w:spacing w:val="-2"/>
        </w:rPr>
        <w:t>Overview</w:t>
      </w:r>
    </w:p>
    <w:p>
      <w:pPr>
        <w:pStyle w:val="BodyText"/>
        <w:spacing w:before="17"/>
        <w:rPr>
          <w:b/>
        </w:rPr>
      </w:pPr>
    </w:p>
    <w:p>
      <w:pPr>
        <w:pStyle w:val="BodyText"/>
        <w:ind w:left="455" w:right="1024"/>
        <w:jc w:val="both"/>
      </w:pPr>
      <w:r>
        <w:rPr/>
        <w:t>The purpose of this review is to examine how the CGIC has been able to significantly reduce </w:t>
      </w:r>
      <w:r>
        <w:rPr/>
        <w:t>crime</w:t>
      </w:r>
      <w:r>
        <w:rPr>
          <w:spacing w:val="40"/>
        </w:rPr>
        <w:t> </w:t>
      </w:r>
      <w:r>
        <w:rPr/>
        <w:t>rates</w:t>
      </w:r>
      <w:r>
        <w:rPr>
          <w:spacing w:val="80"/>
        </w:rPr>
        <w:t> </w:t>
      </w:r>
      <w:r>
        <w:rPr/>
        <w:t>in society. The intelligence system offers real-time crime analysis, tracking offenders, and provides</w:t>
      </w:r>
      <w:r>
        <w:rPr>
          <w:spacing w:val="40"/>
        </w:rPr>
        <w:t> </w:t>
      </w:r>
      <w:r>
        <w:rPr/>
        <w:t>insight into stakeholders for making informed decisions.</w:t>
      </w:r>
    </w:p>
    <w:p>
      <w:pPr>
        <w:pStyle w:val="BodyText"/>
        <w:spacing w:before="189"/>
        <w:ind w:left="455" w:right="1018"/>
        <w:jc w:val="both"/>
      </w:pPr>
      <w:r>
        <w:rPr/>
        <w:t>NFCTA Vol II, Part III (2024) highlights Law Enforcement Agencies (LEAs) submitted a total of 1, 922,</w:t>
      </w:r>
      <w:r>
        <w:rPr>
          <w:spacing w:val="80"/>
        </w:rPr>
        <w:t> </w:t>
      </w:r>
      <w:r>
        <w:rPr/>
        <w:t>577 crime guns to ATF between 2017 and 2021. During this period, most of the trace requests made by</w:t>
      </w:r>
      <w:r>
        <w:rPr>
          <w:spacing w:val="80"/>
        </w:rPr>
        <w:t> </w:t>
      </w:r>
      <w:r>
        <w:rPr/>
        <w:t>LEAs were routine priority submissions. An urgent trace is necessary when </w:t>
      </w:r>
      <w:r>
        <w:rPr/>
        <w:t>criminal</w:t>
      </w:r>
      <w:r>
        <w:rPr>
          <w:spacing w:val="40"/>
        </w:rPr>
        <w:t> </w:t>
      </w:r>
      <w:r>
        <w:rPr/>
        <w:t>violations are</w:t>
      </w:r>
      <w:r>
        <w:rPr>
          <w:spacing w:val="40"/>
        </w:rPr>
        <w:t> </w:t>
      </w:r>
      <w:r>
        <w:rPr/>
        <w:t>significant, and circumstances warrant the firearms to be traced without undue delay.</w:t>
      </w:r>
    </w:p>
    <w:p>
      <w:pPr>
        <w:pStyle w:val="BodyText"/>
        <w:spacing w:before="189"/>
        <w:ind w:left="455" w:right="1020"/>
        <w:jc w:val="both"/>
      </w:pPr>
      <w:r>
        <w:rPr/>
        <w:t>NFCTA Vol II, Part IV (2024), describes crime guns recovered from outside the USA but originally purchased in the US. Law Enforcement Agencies across 125 countries submitted 165,875</w:t>
      </w:r>
      <w:r>
        <w:rPr>
          <w:spacing w:val="-3"/>
        </w:rPr>
        <w:t> </w:t>
      </w:r>
      <w:r>
        <w:rPr/>
        <w:t>international trace requests for crime guns recovered between 2017 and 2021. By comparison, 165874 international trace requests equate to just 9% of the 1,922,577 total domestic trace requests during the same time.</w:t>
      </w:r>
    </w:p>
    <w:p>
      <w:pPr>
        <w:pStyle w:val="BodyText"/>
        <w:spacing w:before="189"/>
        <w:ind w:left="455" w:right="1018"/>
        <w:jc w:val="both"/>
      </w:pPr>
      <w:r>
        <w:rPr/>
        <w:t>Fact</w:t>
      </w:r>
      <w:r>
        <w:rPr>
          <w:spacing w:val="-5"/>
        </w:rPr>
        <w:t> </w:t>
      </w:r>
      <w:r>
        <w:rPr/>
        <w:t>Sheet</w:t>
      </w:r>
      <w:r>
        <w:rPr>
          <w:spacing w:val="-5"/>
        </w:rPr>
        <w:t> </w:t>
      </w:r>
      <w:r>
        <w:rPr/>
        <w:t>(2023)</w:t>
      </w:r>
      <w:r>
        <w:rPr>
          <w:spacing w:val="-5"/>
        </w:rPr>
        <w:t> </w:t>
      </w:r>
      <w:r>
        <w:rPr/>
        <w:t>ATF</w:t>
      </w:r>
      <w:r>
        <w:rPr>
          <w:spacing w:val="-5"/>
        </w:rPr>
        <w:t> </w:t>
      </w:r>
      <w:r>
        <w:rPr/>
        <w:t>CGICs</w:t>
      </w:r>
      <w:r>
        <w:rPr>
          <w:spacing w:val="-5"/>
        </w:rPr>
        <w:t> </w:t>
      </w:r>
      <w:r>
        <w:rPr/>
        <w:t>take</w:t>
      </w:r>
      <w:r>
        <w:rPr>
          <w:spacing w:val="-5"/>
        </w:rPr>
        <w:t> </w:t>
      </w:r>
      <w:r>
        <w:rPr/>
        <w:t>preventative</w:t>
      </w:r>
      <w:r>
        <w:rPr>
          <w:spacing w:val="-5"/>
        </w:rPr>
        <w:t> </w:t>
      </w:r>
      <w:r>
        <w:rPr/>
        <w:t>approach</w:t>
      </w:r>
      <w:r>
        <w:rPr>
          <w:spacing w:val="-5"/>
        </w:rPr>
        <w:t> </w:t>
      </w:r>
      <w:r>
        <w:rPr/>
        <w:t>to</w:t>
      </w:r>
      <w:r>
        <w:rPr>
          <w:spacing w:val="-5"/>
        </w:rPr>
        <w:t> </w:t>
      </w:r>
      <w:r>
        <w:rPr/>
        <w:t>violent</w:t>
      </w:r>
      <w:r>
        <w:rPr>
          <w:spacing w:val="-5"/>
        </w:rPr>
        <w:t> </w:t>
      </w:r>
      <w:r>
        <w:rPr/>
        <w:t>crimes</w:t>
      </w:r>
      <w:r>
        <w:rPr>
          <w:spacing w:val="-5"/>
        </w:rPr>
        <w:t> </w:t>
      </w:r>
      <w:r>
        <w:rPr/>
        <w:t>by</w:t>
      </w:r>
      <w:r>
        <w:rPr>
          <w:spacing w:val="-5"/>
        </w:rPr>
        <w:t> </w:t>
      </w:r>
      <w:r>
        <w:rPr/>
        <w:t>targeting</w:t>
      </w:r>
      <w:r>
        <w:rPr>
          <w:spacing w:val="-5"/>
        </w:rPr>
        <w:t> </w:t>
      </w:r>
      <w:r>
        <w:rPr/>
        <w:t>and</w:t>
      </w:r>
      <w:r>
        <w:rPr>
          <w:spacing w:val="-5"/>
        </w:rPr>
        <w:t> </w:t>
      </w:r>
      <w:r>
        <w:rPr/>
        <w:t>prosecuting the sources of guns. Their key tool in this effort is eTrace, a secure, web-based law </w:t>
      </w:r>
      <w:r>
        <w:rPr/>
        <w:t>enforcement</w:t>
      </w:r>
      <w:r>
        <w:rPr>
          <w:spacing w:val="40"/>
        </w:rPr>
        <w:t> </w:t>
      </w:r>
      <w:r>
        <w:rPr/>
        <w:t>network</w:t>
      </w:r>
      <w:r>
        <w:rPr>
          <w:spacing w:val="40"/>
        </w:rPr>
        <w:t> </w:t>
      </w:r>
      <w:r>
        <w:rPr/>
        <w:t>run by ATF’s National Tracing Center. The system assists the NTC and other enforcement agencies</w:t>
      </w:r>
      <w:r>
        <w:rPr>
          <w:spacing w:val="45"/>
        </w:rPr>
        <w:t> </w:t>
      </w:r>
      <w:r>
        <w:rPr/>
        <w:t>during</w:t>
      </w:r>
      <w:r>
        <w:rPr>
          <w:spacing w:val="45"/>
        </w:rPr>
        <w:t>  </w:t>
      </w:r>
      <w:r>
        <w:rPr/>
        <w:t>their</w:t>
      </w:r>
      <w:r>
        <w:rPr>
          <w:spacing w:val="30"/>
        </w:rPr>
        <w:t> </w:t>
      </w:r>
      <w:r>
        <w:rPr/>
        <w:t>comprehensive</w:t>
      </w:r>
      <w:r>
        <w:rPr>
          <w:spacing w:val="30"/>
        </w:rPr>
        <w:t> </w:t>
      </w:r>
      <w:r>
        <w:rPr/>
        <w:t>traces</w:t>
      </w:r>
      <w:r>
        <w:rPr>
          <w:spacing w:val="30"/>
        </w:rPr>
        <w:t> </w:t>
      </w:r>
      <w:r>
        <w:rPr/>
        <w:t>of</w:t>
      </w:r>
      <w:r>
        <w:rPr>
          <w:spacing w:val="30"/>
        </w:rPr>
        <w:t> </w:t>
      </w:r>
      <w:r>
        <w:rPr/>
        <w:t>recovered</w:t>
      </w:r>
      <w:r>
        <w:rPr>
          <w:spacing w:val="30"/>
        </w:rPr>
        <w:t> </w:t>
      </w:r>
      <w:r>
        <w:rPr/>
        <w:t>crime</w:t>
      </w:r>
      <w:r>
        <w:rPr>
          <w:spacing w:val="30"/>
        </w:rPr>
        <w:t> </w:t>
      </w:r>
      <w:r>
        <w:rPr/>
        <w:t>guns</w:t>
      </w:r>
      <w:r>
        <w:rPr>
          <w:spacing w:val="30"/>
        </w:rPr>
        <w:t> </w:t>
      </w:r>
      <w:r>
        <w:rPr/>
        <w:t>from</w:t>
      </w:r>
      <w:r>
        <w:rPr>
          <w:spacing w:val="30"/>
        </w:rPr>
        <w:t> </w:t>
      </w:r>
      <w:r>
        <w:rPr/>
        <w:t>manufacturing</w:t>
      </w:r>
      <w:r>
        <w:rPr>
          <w:spacing w:val="30"/>
        </w:rPr>
        <w:t> </w:t>
      </w:r>
      <w:r>
        <w:rPr/>
        <w:t>to</w:t>
      </w:r>
      <w:r>
        <w:rPr>
          <w:spacing w:val="30"/>
        </w:rPr>
        <w:t> </w:t>
      </w:r>
      <w:r>
        <w:rPr/>
        <w:t>the</w:t>
      </w:r>
      <w:r>
        <w:rPr>
          <w:spacing w:val="30"/>
        </w:rPr>
        <w:t> </w:t>
      </w:r>
      <w:r>
        <w:rPr>
          <w:spacing w:val="-4"/>
        </w:rPr>
        <w:t>last</w:t>
      </w:r>
    </w:p>
    <w:p>
      <w:pPr>
        <w:pStyle w:val="BodyText"/>
        <w:spacing w:after="0"/>
        <w:jc w:val="both"/>
        <w:sectPr>
          <w:footerReference w:type="default" r:id="rId219"/>
          <w:pgSz w:w="12240" w:h="15840"/>
          <w:pgMar w:header="0" w:footer="749" w:top="640" w:bottom="940" w:left="720" w:right="0"/>
          <w:pgNumType w:start="130"/>
        </w:sectPr>
      </w:pPr>
    </w:p>
    <w:p>
      <w:pPr>
        <w:pStyle w:val="BodyText"/>
        <w:spacing w:before="60"/>
        <w:ind w:left="455" w:right="1028"/>
        <w:jc w:val="both"/>
      </w:pPr>
      <w:r>
        <w:rPr/>
        <w:t>legal purchase.</w:t>
      </w:r>
      <w:r>
        <w:rPr>
          <w:spacing w:val="80"/>
        </w:rPr>
        <w:t> </w:t>
      </w:r>
      <w:r>
        <w:rPr/>
        <w:t>Investigators use this data to uncover patterns of firearms trafficking, identify </w:t>
      </w:r>
      <w:r>
        <w:rPr/>
        <w:t>illegal and straw firearms</w:t>
      </w:r>
      <w:r>
        <w:rPr>
          <w:spacing w:val="40"/>
        </w:rPr>
        <w:t> </w:t>
      </w:r>
      <w:r>
        <w:rPr/>
        <w:t>purchasers, and develop leads to recovering firearms used in violent crimes.</w:t>
      </w:r>
    </w:p>
    <w:p>
      <w:pPr>
        <w:pStyle w:val="BodyText"/>
        <w:spacing w:before="189"/>
        <w:ind w:left="455" w:right="1021"/>
        <w:jc w:val="both"/>
      </w:pPr>
      <w:r>
        <w:rPr/>
        <w:t>Chattanooga Police Department, (2020)</w:t>
      </w:r>
      <w:r>
        <w:rPr>
          <w:spacing w:val="-3"/>
        </w:rPr>
        <w:t> </w:t>
      </w:r>
      <w:r>
        <w:rPr/>
        <w:t>While</w:t>
      </w:r>
      <w:r>
        <w:rPr>
          <w:spacing w:val="-3"/>
        </w:rPr>
        <w:t> </w:t>
      </w:r>
      <w:r>
        <w:rPr/>
        <w:t>nonfatal</w:t>
      </w:r>
      <w:r>
        <w:rPr>
          <w:spacing w:val="-3"/>
        </w:rPr>
        <w:t> </w:t>
      </w:r>
      <w:r>
        <w:rPr/>
        <w:t>shootings</w:t>
      </w:r>
      <w:r>
        <w:rPr>
          <w:spacing w:val="-3"/>
        </w:rPr>
        <w:t> </w:t>
      </w:r>
      <w:r>
        <w:rPr/>
        <w:t>and</w:t>
      </w:r>
      <w:r>
        <w:rPr>
          <w:spacing w:val="-3"/>
        </w:rPr>
        <w:t> </w:t>
      </w:r>
      <w:r>
        <w:rPr/>
        <w:t>firearms</w:t>
      </w:r>
      <w:r>
        <w:rPr>
          <w:spacing w:val="-3"/>
        </w:rPr>
        <w:t> </w:t>
      </w:r>
      <w:r>
        <w:rPr/>
        <w:t>homicides</w:t>
      </w:r>
      <w:r>
        <w:rPr>
          <w:spacing w:val="-3"/>
        </w:rPr>
        <w:t> </w:t>
      </w:r>
      <w:r>
        <w:rPr/>
        <w:t>garner</w:t>
      </w:r>
      <w:r>
        <w:rPr>
          <w:spacing w:val="-3"/>
        </w:rPr>
        <w:t> </w:t>
      </w:r>
      <w:r>
        <w:rPr/>
        <w:t>a</w:t>
      </w:r>
      <w:r>
        <w:rPr>
          <w:spacing w:val="-3"/>
        </w:rPr>
        <w:t> </w:t>
      </w:r>
      <w:r>
        <w:rPr/>
        <w:t>great deal of attention from law enforcement agencies, shots</w:t>
      </w:r>
      <w:r>
        <w:rPr>
          <w:spacing w:val="-3"/>
        </w:rPr>
        <w:t> </w:t>
      </w:r>
      <w:r>
        <w:rPr/>
        <w:t>fired</w:t>
      </w:r>
      <w:r>
        <w:rPr>
          <w:spacing w:val="-3"/>
        </w:rPr>
        <w:t> </w:t>
      </w:r>
      <w:r>
        <w:rPr/>
        <w:t>and</w:t>
      </w:r>
      <w:r>
        <w:rPr>
          <w:spacing w:val="-3"/>
        </w:rPr>
        <w:t> </w:t>
      </w:r>
      <w:r>
        <w:rPr/>
        <w:t>properties</w:t>
      </w:r>
      <w:r>
        <w:rPr>
          <w:spacing w:val="-3"/>
        </w:rPr>
        <w:t> </w:t>
      </w:r>
      <w:r>
        <w:rPr/>
        <w:t>damaged</w:t>
      </w:r>
      <w:r>
        <w:rPr>
          <w:spacing w:val="-3"/>
        </w:rPr>
        <w:t> </w:t>
      </w:r>
      <w:r>
        <w:rPr/>
        <w:t>from</w:t>
      </w:r>
      <w:r>
        <w:rPr>
          <w:spacing w:val="-3"/>
        </w:rPr>
        <w:t> </w:t>
      </w:r>
      <w:r>
        <w:rPr/>
        <w:t>gun</w:t>
      </w:r>
      <w:r>
        <w:rPr>
          <w:spacing w:val="-3"/>
        </w:rPr>
        <w:t> </w:t>
      </w:r>
      <w:r>
        <w:rPr/>
        <w:t>violence have great distinct and traumatic effects on community members. These incidents make community members feel less safe and are always the antecedents to shootings and homicides.</w:t>
      </w:r>
    </w:p>
    <w:p>
      <w:pPr>
        <w:pStyle w:val="BodyText"/>
        <w:spacing w:before="189"/>
        <w:ind w:left="455" w:right="1021"/>
        <w:jc w:val="both"/>
      </w:pPr>
      <w:r>
        <w:rPr/>
        <w:t>This shows how less safe, violent, and prone damage caused by crime guns in any environment </w:t>
      </w:r>
      <w:r>
        <w:rPr/>
        <w:t>where there is no Crime Gun Intelligence System to monitor, track, analyze, and</w:t>
      </w:r>
      <w:r>
        <w:rPr>
          <w:spacing w:val="-3"/>
        </w:rPr>
        <w:t> </w:t>
      </w:r>
      <w:r>
        <w:rPr/>
        <w:t>prosecute</w:t>
      </w:r>
      <w:r>
        <w:rPr>
          <w:spacing w:val="-3"/>
        </w:rPr>
        <w:t> </w:t>
      </w:r>
      <w:r>
        <w:rPr/>
        <w:t>offenders</w:t>
      </w:r>
      <w:r>
        <w:rPr>
          <w:spacing w:val="-3"/>
        </w:rPr>
        <w:t> </w:t>
      </w:r>
      <w:r>
        <w:rPr/>
        <w:t>of</w:t>
      </w:r>
      <w:r>
        <w:rPr>
          <w:spacing w:val="-3"/>
        </w:rPr>
        <w:t> </w:t>
      </w:r>
      <w:r>
        <w:rPr/>
        <w:t>crime </w:t>
      </w:r>
      <w:r>
        <w:rPr>
          <w:spacing w:val="-2"/>
        </w:rPr>
        <w:t>guns.</w:t>
      </w:r>
    </w:p>
    <w:p>
      <w:pPr>
        <w:pStyle w:val="Heading4"/>
        <w:spacing w:before="189"/>
        <w:ind w:left="455"/>
      </w:pPr>
      <w:r>
        <w:rPr>
          <w:spacing w:val="-2"/>
        </w:rPr>
        <w:t>Methodology</w:t>
      </w:r>
    </w:p>
    <w:p>
      <w:pPr>
        <w:pStyle w:val="BodyText"/>
        <w:spacing w:before="189"/>
        <w:ind w:left="455" w:right="1019"/>
        <w:jc w:val="both"/>
      </w:pPr>
      <w:r>
        <w:rPr/>
        <w:t>Qualitative approach was employed to examine the need for a Regional</w:t>
      </w:r>
      <w:r>
        <w:rPr>
          <w:spacing w:val="-3"/>
        </w:rPr>
        <w:t> </w:t>
      </w:r>
      <w:r>
        <w:rPr/>
        <w:t>Crime</w:t>
      </w:r>
      <w:r>
        <w:rPr>
          <w:spacing w:val="-3"/>
        </w:rPr>
        <w:t> </w:t>
      </w:r>
      <w:r>
        <w:rPr/>
        <w:t>Gun</w:t>
      </w:r>
      <w:r>
        <w:rPr>
          <w:spacing w:val="-3"/>
        </w:rPr>
        <w:t> </w:t>
      </w:r>
      <w:r>
        <w:rPr/>
        <w:t>Intelligence</w:t>
      </w:r>
      <w:r>
        <w:rPr>
          <w:spacing w:val="-3"/>
        </w:rPr>
        <w:t> </w:t>
      </w:r>
      <w:r>
        <w:rPr/>
        <w:t>center. This methodology is subdivided into phases; the first phase focuses on identification and </w:t>
      </w:r>
      <w:r>
        <w:rPr/>
        <w:t>data</w:t>
      </w:r>
      <w:r>
        <w:rPr>
          <w:spacing w:val="40"/>
        </w:rPr>
        <w:t> </w:t>
      </w:r>
      <w:r>
        <w:rPr/>
        <w:t>collection;</w:t>
      </w:r>
      <w:r>
        <w:rPr>
          <w:spacing w:val="40"/>
        </w:rPr>
        <w:t> </w:t>
      </w:r>
      <w:r>
        <w:rPr/>
        <w:t>the second phase focuses on analysis and intelligence development using various tools available to crime</w:t>
      </w:r>
      <w:r>
        <w:rPr>
          <w:spacing w:val="40"/>
        </w:rPr>
        <w:t> </w:t>
      </w:r>
      <w:r>
        <w:rPr/>
        <w:t>analysts and the last phase focuses</w:t>
      </w:r>
      <w:r>
        <w:rPr>
          <w:spacing w:val="-2"/>
        </w:rPr>
        <w:t> </w:t>
      </w:r>
      <w:r>
        <w:rPr/>
        <w:t>on</w:t>
      </w:r>
      <w:r>
        <w:rPr>
          <w:spacing w:val="-2"/>
        </w:rPr>
        <w:t> </w:t>
      </w:r>
      <w:r>
        <w:rPr/>
        <w:t>dissemination</w:t>
      </w:r>
      <w:r>
        <w:rPr>
          <w:spacing w:val="-2"/>
        </w:rPr>
        <w:t> </w:t>
      </w:r>
      <w:r>
        <w:rPr/>
        <w:t>and</w:t>
      </w:r>
      <w:r>
        <w:rPr>
          <w:spacing w:val="-2"/>
        </w:rPr>
        <w:t> </w:t>
      </w:r>
      <w:r>
        <w:rPr/>
        <w:t>prosecution</w:t>
      </w:r>
      <w:r>
        <w:rPr>
          <w:spacing w:val="-2"/>
        </w:rPr>
        <w:t> </w:t>
      </w:r>
      <w:r>
        <w:rPr/>
        <w:t>of</w:t>
      </w:r>
      <w:r>
        <w:rPr>
          <w:spacing w:val="-2"/>
        </w:rPr>
        <w:t> </w:t>
      </w:r>
      <w:r>
        <w:rPr/>
        <w:t>offenders</w:t>
      </w:r>
      <w:r>
        <w:rPr>
          <w:spacing w:val="-2"/>
        </w:rPr>
        <w:t> </w:t>
      </w:r>
      <w:r>
        <w:rPr/>
        <w:t>in line with ATF</w:t>
      </w:r>
      <w:r>
        <w:rPr>
          <w:spacing w:val="40"/>
        </w:rPr>
        <w:t> </w:t>
      </w:r>
      <w:r>
        <w:rPr/>
        <w:t>guidelines and policies.</w:t>
      </w:r>
    </w:p>
    <w:p>
      <w:pPr>
        <w:pStyle w:val="Heading4"/>
        <w:spacing w:before="188"/>
        <w:ind w:left="455"/>
      </w:pPr>
      <w:r>
        <w:rPr/>
        <w:t>Data Collection and </w:t>
      </w:r>
      <w:r>
        <w:rPr>
          <w:spacing w:val="-2"/>
        </w:rPr>
        <w:t>Analysis</w:t>
      </w:r>
    </w:p>
    <w:p>
      <w:pPr>
        <w:pStyle w:val="BodyText"/>
        <w:spacing w:before="18"/>
        <w:rPr>
          <w:b/>
        </w:rPr>
      </w:pPr>
    </w:p>
    <w:p>
      <w:pPr>
        <w:pStyle w:val="BodyText"/>
        <w:ind w:left="455" w:right="1018"/>
        <w:jc w:val="both"/>
      </w:pPr>
      <w:r>
        <w:rPr/>
        <w:t>Data were collected from the NIBIN system (Bureau of Alcohol, Tobacco, Firearms and Explosives, 2021), and review of (Chattanooga, 2020) Chattanooga’s Crime Gun Intelligence System </w:t>
      </w:r>
      <w:r>
        <w:rPr/>
        <w:t>and stakeholders were interviewed, and questionnaires were sent</w:t>
      </w:r>
      <w:r>
        <w:rPr>
          <w:spacing w:val="-3"/>
        </w:rPr>
        <w:t> </w:t>
      </w:r>
      <w:r>
        <w:rPr/>
        <w:t>to</w:t>
      </w:r>
      <w:r>
        <w:rPr>
          <w:spacing w:val="-3"/>
        </w:rPr>
        <w:t> </w:t>
      </w:r>
      <w:r>
        <w:rPr/>
        <w:t>different</w:t>
      </w:r>
      <w:r>
        <w:rPr>
          <w:spacing w:val="-3"/>
        </w:rPr>
        <w:t> </w:t>
      </w:r>
      <w:r>
        <w:rPr/>
        <w:t>stakeholders</w:t>
      </w:r>
      <w:r>
        <w:rPr>
          <w:spacing w:val="-3"/>
        </w:rPr>
        <w:t> </w:t>
      </w:r>
      <w:r>
        <w:rPr/>
        <w:t>within</w:t>
      </w:r>
      <w:r>
        <w:rPr>
          <w:spacing w:val="-3"/>
        </w:rPr>
        <w:t> </w:t>
      </w:r>
      <w:r>
        <w:rPr/>
        <w:t>the</w:t>
      </w:r>
      <w:r>
        <w:rPr>
          <w:spacing w:val="-3"/>
        </w:rPr>
        <w:t> </w:t>
      </w:r>
      <w:r>
        <w:rPr/>
        <w:t>region. Johnson City and the East Tennessee Region, consisting of 13 counties (Washington, Johnson, Sevier, Cocke, Jefferson, Hancock, Hawkins, Greene, Hamblen, Sullivan, Unicoi, Carter, and Grainger). (FBI crime data explorer), between 2021 and 2023, these counties recorded a total of 30,682 violent crime incidents, with yearly figures showing</w:t>
      </w:r>
      <w:r>
        <w:rPr>
          <w:spacing w:val="-2"/>
        </w:rPr>
        <w:t> </w:t>
      </w:r>
      <w:r>
        <w:rPr/>
        <w:t>a</w:t>
      </w:r>
      <w:r>
        <w:rPr>
          <w:spacing w:val="-2"/>
        </w:rPr>
        <w:t> </w:t>
      </w:r>
      <w:r>
        <w:rPr/>
        <w:t>concerning</w:t>
      </w:r>
      <w:r>
        <w:rPr>
          <w:spacing w:val="-2"/>
        </w:rPr>
        <w:t> </w:t>
      </w:r>
      <w:r>
        <w:rPr/>
        <w:t>trend:</w:t>
      </w:r>
      <w:r>
        <w:rPr>
          <w:spacing w:val="-2"/>
        </w:rPr>
        <w:t> </w:t>
      </w:r>
      <w:r>
        <w:rPr/>
        <w:t>8,296</w:t>
      </w:r>
      <w:r>
        <w:rPr>
          <w:spacing w:val="-2"/>
        </w:rPr>
        <w:t> </w:t>
      </w:r>
      <w:r>
        <w:rPr/>
        <w:t>incidents</w:t>
      </w:r>
      <w:r>
        <w:rPr>
          <w:spacing w:val="-2"/>
        </w:rPr>
        <w:t> </w:t>
      </w:r>
      <w:r>
        <w:rPr/>
        <w:t>in</w:t>
      </w:r>
      <w:r>
        <w:rPr>
          <w:spacing w:val="-2"/>
        </w:rPr>
        <w:t> </w:t>
      </w:r>
      <w:r>
        <w:rPr/>
        <w:t>2021,</w:t>
      </w:r>
      <w:r>
        <w:rPr>
          <w:spacing w:val="-2"/>
        </w:rPr>
        <w:t> </w:t>
      </w:r>
      <w:r>
        <w:rPr/>
        <w:t>8,188</w:t>
      </w:r>
      <w:r>
        <w:rPr>
          <w:spacing w:val="-2"/>
        </w:rPr>
        <w:t> </w:t>
      </w:r>
      <w:r>
        <w:rPr/>
        <w:t>in</w:t>
      </w:r>
      <w:r>
        <w:rPr>
          <w:spacing w:val="-2"/>
        </w:rPr>
        <w:t> </w:t>
      </w:r>
      <w:r>
        <w:rPr/>
        <w:t>2022,</w:t>
      </w:r>
      <w:r>
        <w:rPr>
          <w:spacing w:val="-2"/>
        </w:rPr>
        <w:t> </w:t>
      </w:r>
      <w:r>
        <w:rPr/>
        <w:t>and</w:t>
      </w:r>
      <w:r>
        <w:rPr>
          <w:spacing w:val="-2"/>
        </w:rPr>
        <w:t> </w:t>
      </w:r>
      <w:r>
        <w:rPr/>
        <w:t>a sharp increase to 10,334 in 2023. This upward trajectory underscores the urgent need for enhanced</w:t>
      </w:r>
      <w:r>
        <w:rPr>
          <w:spacing w:val="40"/>
        </w:rPr>
        <w:t> </w:t>
      </w:r>
      <w:r>
        <w:rPr/>
        <w:t>crime</w:t>
      </w:r>
      <w:r>
        <w:rPr>
          <w:spacing w:val="40"/>
        </w:rPr>
        <w:t> </w:t>
      </w:r>
      <w:r>
        <w:rPr/>
        <w:t>gun intelligence and intervention strategies. Overall, while some counties such as Hawkins and Washington experienced declines, others like Carter, Hamblen, and Sevier saw a consistent increase, contributing to the overall surge in 2023. This upward trajectory underscores the urgent need for enhanced</w:t>
      </w:r>
      <w:r>
        <w:rPr>
          <w:spacing w:val="40"/>
        </w:rPr>
        <w:t> </w:t>
      </w:r>
      <w:r>
        <w:rPr/>
        <w:t>crime gun intelligence and intervention strategies.</w:t>
      </w:r>
    </w:p>
    <w:p>
      <w:pPr>
        <w:pStyle w:val="BodyText"/>
        <w:spacing w:before="191"/>
        <w:ind w:left="455"/>
      </w:pPr>
      <w:r>
        <w:rPr/>
        <w:t>Figure 1.1 shows the 3-year statistics for each </w:t>
      </w:r>
      <w:r>
        <w:rPr>
          <w:spacing w:val="-2"/>
        </w:rPr>
        <w:t>county.</w:t>
      </w:r>
    </w:p>
    <w:p>
      <w:pPr>
        <w:pStyle w:val="BodyText"/>
        <w:spacing w:before="2"/>
        <w:rPr>
          <w:sz w:val="17"/>
        </w:rPr>
      </w:pPr>
      <w:r>
        <w:rPr>
          <w:sz w:val="17"/>
        </w:rPr>
        <w:drawing>
          <wp:anchor distT="0" distB="0" distL="0" distR="0" allowOverlap="1" layoutInCell="1" locked="0" behindDoc="1" simplePos="0" relativeHeight="487600640">
            <wp:simplePos x="0" y="0"/>
            <wp:positionH relativeFrom="page">
              <wp:posOffset>2154240</wp:posOffset>
            </wp:positionH>
            <wp:positionV relativeFrom="paragraph">
              <wp:posOffset>140821</wp:posOffset>
            </wp:positionV>
            <wp:extent cx="3800475" cy="1838325"/>
            <wp:effectExtent l="0" t="0" r="0" b="0"/>
            <wp:wrapTopAndBottom/>
            <wp:docPr id="54" name="Image 54"/>
            <wp:cNvGraphicFramePr>
              <a:graphicFrameLocks/>
            </wp:cNvGraphicFramePr>
            <a:graphic>
              <a:graphicData uri="http://schemas.openxmlformats.org/drawingml/2006/picture">
                <pic:pic>
                  <pic:nvPicPr>
                    <pic:cNvPr id="54" name="Image 54"/>
                    <pic:cNvPicPr/>
                  </pic:nvPicPr>
                  <pic:blipFill>
                    <a:blip r:embed="rId220" cstate="print"/>
                    <a:stretch>
                      <a:fillRect/>
                    </a:stretch>
                  </pic:blipFill>
                  <pic:spPr>
                    <a:xfrm>
                      <a:off x="0" y="0"/>
                      <a:ext cx="3800475" cy="1838325"/>
                    </a:xfrm>
                    <a:prstGeom prst="rect">
                      <a:avLst/>
                    </a:prstGeom>
                  </pic:spPr>
                </pic:pic>
              </a:graphicData>
            </a:graphic>
          </wp:anchor>
        </w:drawing>
      </w:r>
    </w:p>
    <w:p>
      <w:pPr>
        <w:pStyle w:val="BodyText"/>
        <w:spacing w:before="111"/>
        <w:ind w:left="455" w:right="996"/>
      </w:pPr>
      <w:r>
        <w:rPr/>
        <w:t>On</w:t>
      </w:r>
      <w:r>
        <w:rPr>
          <w:spacing w:val="-4"/>
        </w:rPr>
        <w:t> </w:t>
      </w:r>
      <w:r>
        <w:rPr/>
        <w:t>average,</w:t>
      </w:r>
      <w:r>
        <w:rPr>
          <w:spacing w:val="-4"/>
        </w:rPr>
        <w:t> </w:t>
      </w:r>
      <w:r>
        <w:rPr/>
        <w:t>each</w:t>
      </w:r>
      <w:r>
        <w:rPr>
          <w:spacing w:val="-4"/>
        </w:rPr>
        <w:t> </w:t>
      </w:r>
      <w:r>
        <w:rPr/>
        <w:t>county</w:t>
      </w:r>
      <w:r>
        <w:rPr>
          <w:spacing w:val="-4"/>
        </w:rPr>
        <w:t> </w:t>
      </w:r>
      <w:r>
        <w:rPr/>
        <w:t>experienced</w:t>
      </w:r>
      <w:r>
        <w:rPr>
          <w:spacing w:val="-4"/>
        </w:rPr>
        <w:t> </w:t>
      </w:r>
      <w:r>
        <w:rPr/>
        <w:t>approximately</w:t>
      </w:r>
      <w:r>
        <w:rPr>
          <w:spacing w:val="-4"/>
        </w:rPr>
        <w:t> </w:t>
      </w:r>
      <w:r>
        <w:rPr/>
        <w:t>795</w:t>
      </w:r>
      <w:r>
        <w:rPr>
          <w:spacing w:val="-4"/>
        </w:rPr>
        <w:t> </w:t>
      </w:r>
      <w:r>
        <w:rPr/>
        <w:t>violent</w:t>
      </w:r>
      <w:r>
        <w:rPr>
          <w:spacing w:val="-4"/>
        </w:rPr>
        <w:t> </w:t>
      </w:r>
      <w:r>
        <w:rPr/>
        <w:t>incidents,</w:t>
      </w:r>
      <w:r>
        <w:rPr>
          <w:spacing w:val="-4"/>
        </w:rPr>
        <w:t> </w:t>
      </w:r>
      <w:r>
        <w:rPr/>
        <w:t>with</w:t>
      </w:r>
      <w:r>
        <w:rPr>
          <w:spacing w:val="-4"/>
        </w:rPr>
        <w:t> </w:t>
      </w:r>
      <w:r>
        <w:rPr/>
        <w:t>Sevier</w:t>
      </w:r>
      <w:r>
        <w:rPr>
          <w:spacing w:val="-4"/>
        </w:rPr>
        <w:t> </w:t>
      </w:r>
      <w:r>
        <w:rPr/>
        <w:t>County</w:t>
      </w:r>
      <w:r>
        <w:rPr>
          <w:spacing w:val="-4"/>
        </w:rPr>
        <w:t> </w:t>
      </w:r>
      <w:r>
        <w:rPr/>
        <w:t>reporting the highest number at 1,639 incidents, while Hancock County reported the lowest at 43. Law enforcement agencies face increasing challenges in solving firearm-related crimes quickly and effectively due to</w:t>
      </w:r>
      <w:r>
        <w:rPr>
          <w:spacing w:val="40"/>
        </w:rPr>
        <w:t> </w:t>
      </w:r>
      <w:r>
        <w:rPr/>
        <w:t>limited access to centralized ballistic intelligence systems, fragmented data systems, and delays in firearm</w:t>
      </w:r>
      <w:r>
        <w:rPr>
          <w:spacing w:val="40"/>
        </w:rPr>
        <w:t> </w:t>
      </w:r>
      <w:r>
        <w:rPr/>
        <w:t>tracing.</w:t>
      </w:r>
    </w:p>
    <w:p>
      <w:pPr>
        <w:pStyle w:val="BodyText"/>
        <w:spacing w:after="0"/>
        <w:sectPr>
          <w:pgSz w:w="12240" w:h="15840"/>
          <w:pgMar w:header="0" w:footer="749" w:top="640" w:bottom="960" w:left="720" w:right="0"/>
        </w:sectPr>
      </w:pPr>
    </w:p>
    <w:p>
      <w:pPr>
        <w:pStyle w:val="BodyText"/>
        <w:spacing w:before="60"/>
        <w:ind w:left="455" w:right="1018"/>
        <w:jc w:val="both"/>
      </w:pPr>
      <w:r>
        <w:rPr/>
        <w:t>Over the three-year</w:t>
      </w:r>
      <w:r>
        <w:rPr>
          <w:spacing w:val="-3"/>
        </w:rPr>
        <w:t> </w:t>
      </w:r>
      <w:r>
        <w:rPr/>
        <w:t>period</w:t>
      </w:r>
      <w:r>
        <w:rPr>
          <w:spacing w:val="-3"/>
        </w:rPr>
        <w:t> </w:t>
      </w:r>
      <w:r>
        <w:rPr/>
        <w:t>from</w:t>
      </w:r>
      <w:r>
        <w:rPr>
          <w:spacing w:val="-3"/>
        </w:rPr>
        <w:t> </w:t>
      </w:r>
      <w:r>
        <w:rPr/>
        <w:t>2021</w:t>
      </w:r>
      <w:r>
        <w:rPr>
          <w:spacing w:val="-3"/>
        </w:rPr>
        <w:t> </w:t>
      </w:r>
      <w:r>
        <w:rPr/>
        <w:t>to</w:t>
      </w:r>
      <w:r>
        <w:rPr>
          <w:spacing w:val="-3"/>
        </w:rPr>
        <w:t> </w:t>
      </w:r>
      <w:r>
        <w:rPr/>
        <w:t>2023,</w:t>
      </w:r>
      <w:r>
        <w:rPr>
          <w:spacing w:val="-3"/>
        </w:rPr>
        <w:t> </w:t>
      </w:r>
      <w:r>
        <w:rPr/>
        <w:t>the</w:t>
      </w:r>
      <w:r>
        <w:rPr>
          <w:spacing w:val="-3"/>
        </w:rPr>
        <w:t> </w:t>
      </w:r>
      <w:r>
        <w:rPr/>
        <w:t>counties</w:t>
      </w:r>
      <w:r>
        <w:rPr>
          <w:spacing w:val="-3"/>
        </w:rPr>
        <w:t> </w:t>
      </w:r>
      <w:r>
        <w:rPr/>
        <w:t>of</w:t>
      </w:r>
      <w:r>
        <w:rPr>
          <w:spacing w:val="-3"/>
        </w:rPr>
        <w:t> </w:t>
      </w:r>
      <w:r>
        <w:rPr/>
        <w:t>Hawkins</w:t>
      </w:r>
      <w:r>
        <w:rPr>
          <w:spacing w:val="-3"/>
        </w:rPr>
        <w:t> </w:t>
      </w:r>
      <w:r>
        <w:rPr/>
        <w:t>(4,788),</w:t>
      </w:r>
      <w:r>
        <w:rPr>
          <w:spacing w:val="-3"/>
        </w:rPr>
        <w:t> </w:t>
      </w:r>
      <w:r>
        <w:rPr/>
        <w:t>Sevier</w:t>
      </w:r>
      <w:r>
        <w:rPr>
          <w:spacing w:val="-3"/>
        </w:rPr>
        <w:t> </w:t>
      </w:r>
      <w:r>
        <w:rPr/>
        <w:t>(4,724),</w:t>
      </w:r>
      <w:r>
        <w:rPr>
          <w:spacing w:val="-3"/>
        </w:rPr>
        <w:t> </w:t>
      </w:r>
      <w:r>
        <w:rPr/>
        <w:t>Sullivan (4,571), Hamblen (3,716), and Greene (2,597) consistently ranked among the top five in total violent crime incidents.</w:t>
      </w:r>
    </w:p>
    <w:p>
      <w:pPr>
        <w:pStyle w:val="Heading4"/>
        <w:spacing w:before="189"/>
        <w:ind w:left="455"/>
        <w:jc w:val="both"/>
      </w:pPr>
      <w:r>
        <w:rPr/>
        <w:t>Design and </w:t>
      </w:r>
      <w:r>
        <w:rPr>
          <w:spacing w:val="-2"/>
        </w:rPr>
        <w:t>Implementation</w:t>
      </w:r>
    </w:p>
    <w:p>
      <w:pPr>
        <w:pStyle w:val="BodyText"/>
        <w:spacing w:before="18"/>
        <w:rPr>
          <w:b/>
        </w:rPr>
      </w:pPr>
    </w:p>
    <w:p>
      <w:pPr>
        <w:pStyle w:val="BodyText"/>
        <w:ind w:left="455" w:right="1024"/>
        <w:jc w:val="both"/>
      </w:pPr>
      <w:r>
        <w:rPr/>
        <w:t>The Real Time Crime Center (RTCC) serves as the operational and intelligence hub supporting </w:t>
      </w:r>
      <w:r>
        <w:rPr/>
        <w:t>the regional CGIC. The facility design incorporates both physical and cybersecurity protections, including biometric access controls, surveillance coverage of entry points, secure network segmentation, and encryption of all transmitted data. Fire suppression systems, uninterrupted power supply (UPS), power generators, and redundant internet connections ensure continuous operations during emergencies.</w:t>
      </w:r>
    </w:p>
    <w:p>
      <w:pPr>
        <w:pStyle w:val="BodyText"/>
        <w:spacing w:before="189"/>
        <w:ind w:left="440" w:right="1018" w:firstLine="15"/>
        <w:jc w:val="both"/>
      </w:pPr>
      <w:r>
        <w:rPr/>
        <w:t>The RTCC is enabled with real-time data collection, analysis, and dissemination of </w:t>
      </w:r>
      <w:r>
        <w:rPr/>
        <w:t>actionable intelligence to law enforcement agencies across the thirteen counties in the region and neighboring jurisdictions. The design would integrate advanced information systems with physical infrastructure to enhance situational awareness and response coordination.</w:t>
      </w:r>
    </w:p>
    <w:p>
      <w:pPr>
        <w:pStyle w:val="BodyText"/>
        <w:spacing w:before="188"/>
        <w:ind w:left="455" w:right="1021"/>
        <w:jc w:val="both"/>
      </w:pPr>
      <w:r>
        <w:rPr/>
        <w:t>The RTCC is equipped to interface directly with the Bureau of Alcohol, Tobacco, Firearms </w:t>
      </w:r>
      <w:r>
        <w:rPr/>
        <w:t>and Explosives (ATF) platforms such as NIBIN, eTrace and state and local law enforcement databases to facilitate rapid ballistic and firearm tracing. Additionally, the design also enhances integration with existing law enforcement data sources such as license plate recognition (LPR),</w:t>
      </w:r>
      <w:r>
        <w:rPr>
          <w:spacing w:val="-3"/>
        </w:rPr>
        <w:t> </w:t>
      </w:r>
      <w:r>
        <w:rPr/>
        <w:t>911</w:t>
      </w:r>
      <w:r>
        <w:rPr>
          <w:spacing w:val="-3"/>
        </w:rPr>
        <w:t> </w:t>
      </w:r>
      <w:r>
        <w:rPr/>
        <w:t>call</w:t>
      </w:r>
      <w:r>
        <w:rPr>
          <w:spacing w:val="-3"/>
        </w:rPr>
        <w:t> </w:t>
      </w:r>
      <w:r>
        <w:rPr/>
        <w:t>data,</w:t>
      </w:r>
      <w:r>
        <w:rPr>
          <w:spacing w:val="-3"/>
        </w:rPr>
        <w:t> </w:t>
      </w:r>
      <w:r>
        <w:rPr/>
        <w:t>and</w:t>
      </w:r>
      <w:r>
        <w:rPr>
          <w:spacing w:val="-3"/>
        </w:rPr>
        <w:t> </w:t>
      </w:r>
      <w:r>
        <w:rPr/>
        <w:t>video surveillance feeds, allowing analysts to monitor, assess, and respond to incidents in real time.</w:t>
      </w:r>
    </w:p>
    <w:p>
      <w:pPr>
        <w:pStyle w:val="BodyText"/>
        <w:spacing w:before="189"/>
        <w:ind w:left="455" w:right="1022"/>
        <w:jc w:val="both"/>
      </w:pPr>
      <w:r>
        <w:rPr/>
        <w:t>This design promotes a unified intelligence environment that supports data-driven decision-</w:t>
      </w:r>
      <w:r>
        <w:rPr/>
        <w:t>making, enabling agencies to connect with incidents,</w:t>
      </w:r>
      <w:r>
        <w:rPr>
          <w:spacing w:val="-4"/>
        </w:rPr>
        <w:t> </w:t>
      </w:r>
      <w:r>
        <w:rPr/>
        <w:t>identify</w:t>
      </w:r>
      <w:r>
        <w:rPr>
          <w:spacing w:val="-4"/>
        </w:rPr>
        <w:t> </w:t>
      </w:r>
      <w:r>
        <w:rPr/>
        <w:t>offenders,</w:t>
      </w:r>
      <w:r>
        <w:rPr>
          <w:spacing w:val="-4"/>
        </w:rPr>
        <w:t> </w:t>
      </w:r>
      <w:r>
        <w:rPr/>
        <w:t>and</w:t>
      </w:r>
      <w:r>
        <w:rPr>
          <w:spacing w:val="-4"/>
        </w:rPr>
        <w:t> </w:t>
      </w:r>
      <w:r>
        <w:rPr/>
        <w:t>disrupt</w:t>
      </w:r>
      <w:r>
        <w:rPr>
          <w:spacing w:val="-4"/>
        </w:rPr>
        <w:t> </w:t>
      </w:r>
      <w:r>
        <w:rPr/>
        <w:t>firearm</w:t>
      </w:r>
      <w:r>
        <w:rPr>
          <w:spacing w:val="-4"/>
        </w:rPr>
        <w:t> </w:t>
      </w:r>
      <w:r>
        <w:rPr/>
        <w:t>trafficking</w:t>
      </w:r>
      <w:r>
        <w:rPr>
          <w:spacing w:val="-4"/>
        </w:rPr>
        <w:t> </w:t>
      </w:r>
      <w:r>
        <w:rPr/>
        <w:t>activities </w:t>
      </w:r>
      <w:r>
        <w:rPr>
          <w:spacing w:val="-2"/>
        </w:rPr>
        <w:t>efficiently.</w:t>
      </w:r>
    </w:p>
    <w:p>
      <w:pPr>
        <w:pStyle w:val="Heading4"/>
        <w:spacing w:before="188"/>
        <w:ind w:left="455"/>
        <w:jc w:val="both"/>
      </w:pPr>
      <w:r>
        <w:rPr/>
        <w:t>Facility and Physical </w:t>
      </w:r>
      <w:r>
        <w:rPr>
          <w:spacing w:val="-2"/>
        </w:rPr>
        <w:t>Design</w:t>
      </w:r>
    </w:p>
    <w:p>
      <w:pPr>
        <w:pStyle w:val="BodyText"/>
        <w:spacing w:before="18"/>
        <w:rPr>
          <w:b/>
        </w:rPr>
      </w:pPr>
    </w:p>
    <w:p>
      <w:pPr>
        <w:pStyle w:val="BodyText"/>
        <w:ind w:left="455" w:right="954"/>
      </w:pPr>
      <w:r>
        <w:rPr/>
        <w:t>This</w:t>
      </w:r>
      <w:r>
        <w:rPr>
          <w:spacing w:val="-3"/>
        </w:rPr>
        <w:t> </w:t>
      </w:r>
      <w:r>
        <w:rPr/>
        <w:t>would</w:t>
      </w:r>
      <w:r>
        <w:rPr>
          <w:spacing w:val="-3"/>
        </w:rPr>
        <w:t> </w:t>
      </w:r>
      <w:r>
        <w:rPr/>
        <w:t>include</w:t>
      </w:r>
      <w:r>
        <w:rPr>
          <w:spacing w:val="-3"/>
        </w:rPr>
        <w:t> </w:t>
      </w:r>
      <w:r>
        <w:rPr/>
        <w:t>six</w:t>
      </w:r>
      <w:r>
        <w:rPr>
          <w:spacing w:val="-3"/>
        </w:rPr>
        <w:t> </w:t>
      </w:r>
      <w:r>
        <w:rPr/>
        <w:t>analyst</w:t>
      </w:r>
      <w:r>
        <w:rPr>
          <w:spacing w:val="-3"/>
        </w:rPr>
        <w:t> </w:t>
      </w:r>
      <w:r>
        <w:rPr/>
        <w:t>workstations</w:t>
      </w:r>
      <w:r>
        <w:rPr>
          <w:spacing w:val="-3"/>
        </w:rPr>
        <w:t> </w:t>
      </w:r>
      <w:r>
        <w:rPr/>
        <w:t>with</w:t>
      </w:r>
      <w:r>
        <w:rPr>
          <w:spacing w:val="-3"/>
        </w:rPr>
        <w:t> </w:t>
      </w:r>
      <w:r>
        <w:rPr/>
        <w:t>dual</w:t>
      </w:r>
      <w:r>
        <w:rPr>
          <w:spacing w:val="-3"/>
        </w:rPr>
        <w:t> </w:t>
      </w:r>
      <w:r>
        <w:rPr/>
        <w:t>monitors,</w:t>
      </w:r>
      <w:r>
        <w:rPr>
          <w:spacing w:val="-3"/>
        </w:rPr>
        <w:t> </w:t>
      </w:r>
      <w:r>
        <w:rPr/>
        <w:t>secure</w:t>
      </w:r>
      <w:r>
        <w:rPr>
          <w:spacing w:val="-3"/>
        </w:rPr>
        <w:t> </w:t>
      </w:r>
      <w:r>
        <w:rPr/>
        <w:t>network</w:t>
      </w:r>
      <w:r>
        <w:rPr>
          <w:spacing w:val="-3"/>
        </w:rPr>
        <w:t> </w:t>
      </w:r>
      <w:r>
        <w:rPr/>
        <w:t>access,</w:t>
      </w:r>
      <w:r>
        <w:rPr>
          <w:spacing w:val="-3"/>
        </w:rPr>
        <w:t> </w:t>
      </w:r>
      <w:r>
        <w:rPr/>
        <w:t>and</w:t>
      </w:r>
      <w:r>
        <w:rPr>
          <w:spacing w:val="-3"/>
        </w:rPr>
        <w:t> </w:t>
      </w:r>
      <w:r>
        <w:rPr/>
        <w:t>a</w:t>
      </w:r>
      <w:r>
        <w:rPr>
          <w:spacing w:val="-3"/>
        </w:rPr>
        <w:t> </w:t>
      </w:r>
      <w:r>
        <w:rPr/>
        <w:t>six-</w:t>
      </w:r>
      <w:r>
        <w:rPr/>
        <w:t>screen display system for live feeds and crime analytics. The layout facilitates efficient data processing with workstations on the left wall and large screens on the right, and the entrance is designed for controlled access to ensure security.</w:t>
      </w:r>
    </w:p>
    <w:p>
      <w:pPr>
        <w:pStyle w:val="Heading4"/>
        <w:spacing w:before="192"/>
        <w:ind w:left="455"/>
      </w:pPr>
      <w:r>
        <w:rPr/>
        <w:t>Key Physical </w:t>
      </w:r>
      <w:r>
        <w:rPr>
          <w:spacing w:val="-2"/>
        </w:rPr>
        <w:t>Components</w:t>
      </w:r>
    </w:p>
    <w:p>
      <w:pPr>
        <w:pStyle w:val="BodyText"/>
        <w:spacing w:before="20"/>
        <w:rPr>
          <w:b/>
        </w:rPr>
      </w:pPr>
    </w:p>
    <w:p>
      <w:pPr>
        <w:pStyle w:val="ListParagraph"/>
        <w:numPr>
          <w:ilvl w:val="0"/>
          <w:numId w:val="30"/>
        </w:numPr>
        <w:tabs>
          <w:tab w:pos="1100" w:val="left" w:leader="none"/>
        </w:tabs>
        <w:spacing w:line="240" w:lineRule="auto" w:before="0" w:after="0"/>
        <w:ind w:left="1100" w:right="0" w:hanging="270"/>
        <w:jc w:val="left"/>
        <w:rPr>
          <w:sz w:val="24"/>
        </w:rPr>
      </w:pPr>
      <w:r>
        <w:rPr>
          <w:sz w:val="24"/>
        </w:rPr>
        <w:t>Main Operations Room: Equipped with four analyst workstations arranged in a semi-</w:t>
      </w:r>
      <w:r>
        <w:rPr>
          <w:spacing w:val="-2"/>
          <w:sz w:val="24"/>
        </w:rPr>
        <w:t>circular</w:t>
      </w:r>
    </w:p>
    <w:p>
      <w:pPr>
        <w:pStyle w:val="BodyText"/>
        <w:spacing w:before="173"/>
        <w:ind w:left="830"/>
      </w:pPr>
      <w:r>
        <w:rPr/>
        <w:t>layout</w:t>
      </w:r>
      <w:r>
        <w:rPr>
          <w:spacing w:val="-2"/>
        </w:rPr>
        <w:t> </w:t>
      </w:r>
      <w:r>
        <w:rPr/>
        <w:t>facing</w:t>
      </w:r>
      <w:r>
        <w:rPr>
          <w:spacing w:val="-2"/>
        </w:rPr>
        <w:t> </w:t>
      </w:r>
      <w:r>
        <w:rPr/>
        <w:t>six</w:t>
      </w:r>
      <w:r>
        <w:rPr>
          <w:spacing w:val="-2"/>
        </w:rPr>
        <w:t> </w:t>
      </w:r>
      <w:r>
        <w:rPr/>
        <w:t>wall-mounted</w:t>
      </w:r>
      <w:r>
        <w:rPr>
          <w:spacing w:val="-2"/>
        </w:rPr>
        <w:t> </w:t>
      </w:r>
      <w:r>
        <w:rPr/>
        <w:t>monitors</w:t>
      </w:r>
      <w:r>
        <w:rPr>
          <w:spacing w:val="-1"/>
        </w:rPr>
        <w:t> </w:t>
      </w:r>
      <w:r>
        <w:rPr/>
        <w:t>for</w:t>
      </w:r>
      <w:r>
        <w:rPr>
          <w:spacing w:val="-2"/>
        </w:rPr>
        <w:t> </w:t>
      </w:r>
      <w:r>
        <w:rPr/>
        <w:t>optimal</w:t>
      </w:r>
      <w:r>
        <w:rPr>
          <w:spacing w:val="-2"/>
        </w:rPr>
        <w:t> </w:t>
      </w:r>
      <w:r>
        <w:rPr/>
        <w:t>visibility</w:t>
      </w:r>
      <w:r>
        <w:rPr>
          <w:spacing w:val="-2"/>
        </w:rPr>
        <w:t> </w:t>
      </w:r>
      <w:r>
        <w:rPr/>
        <w:t>and</w:t>
      </w:r>
      <w:r>
        <w:rPr>
          <w:spacing w:val="-1"/>
        </w:rPr>
        <w:t> </w:t>
      </w:r>
      <w:r>
        <w:rPr/>
        <w:t>collaboration.</w:t>
      </w:r>
      <w:r>
        <w:rPr>
          <w:spacing w:val="-2"/>
        </w:rPr>
        <w:t> </w:t>
      </w:r>
      <w:r>
        <w:rPr>
          <w:rFonts w:ascii="Segoe UI Symbol" w:hAnsi="Segoe UI Symbol"/>
        </w:rPr>
        <w:t>❖</w:t>
      </w:r>
      <w:r>
        <w:rPr>
          <w:rFonts w:ascii="Segoe UI Symbol" w:hAnsi="Segoe UI Symbol"/>
          <w:spacing w:val="-6"/>
        </w:rPr>
        <w:t> </w:t>
      </w:r>
      <w:r>
        <w:rPr/>
        <w:t>Video</w:t>
      </w:r>
      <w:r>
        <w:rPr>
          <w:spacing w:val="-2"/>
        </w:rPr>
        <w:t> </w:t>
      </w:r>
      <w:r>
        <w:rPr>
          <w:spacing w:val="-4"/>
        </w:rPr>
        <w:t>Wall</w:t>
      </w:r>
    </w:p>
    <w:p>
      <w:pPr>
        <w:pStyle w:val="BodyText"/>
        <w:spacing w:before="76"/>
        <w:ind w:left="830" w:right="1191"/>
      </w:pPr>
      <w:r>
        <w:rPr/>
        <w:t>Display:</w:t>
      </w:r>
      <w:r>
        <w:rPr>
          <w:spacing w:val="-4"/>
        </w:rPr>
        <w:t> </w:t>
      </w:r>
      <w:r>
        <w:rPr/>
        <w:t>A</w:t>
      </w:r>
      <w:r>
        <w:rPr>
          <w:spacing w:val="-4"/>
        </w:rPr>
        <w:t> </w:t>
      </w:r>
      <w:r>
        <w:rPr/>
        <w:t>six-screen</w:t>
      </w:r>
      <w:r>
        <w:rPr>
          <w:spacing w:val="-4"/>
        </w:rPr>
        <w:t> </w:t>
      </w:r>
      <w:r>
        <w:rPr/>
        <w:t>wall</w:t>
      </w:r>
      <w:r>
        <w:rPr>
          <w:spacing w:val="-4"/>
        </w:rPr>
        <w:t> </w:t>
      </w:r>
      <w:r>
        <w:rPr/>
        <w:t>system</w:t>
      </w:r>
      <w:r>
        <w:rPr>
          <w:spacing w:val="-4"/>
        </w:rPr>
        <w:t> </w:t>
      </w:r>
      <w:r>
        <w:rPr/>
        <w:t>for</w:t>
      </w:r>
      <w:r>
        <w:rPr>
          <w:spacing w:val="-4"/>
        </w:rPr>
        <w:t> </w:t>
      </w:r>
      <w:r>
        <w:rPr/>
        <w:t>real-time</w:t>
      </w:r>
      <w:r>
        <w:rPr>
          <w:spacing w:val="-4"/>
        </w:rPr>
        <w:t> </w:t>
      </w:r>
      <w:r>
        <w:rPr/>
        <w:t>monitoring</w:t>
      </w:r>
      <w:r>
        <w:rPr>
          <w:spacing w:val="-4"/>
        </w:rPr>
        <w:t> </w:t>
      </w:r>
      <w:r>
        <w:rPr/>
        <w:t>of</w:t>
      </w:r>
      <w:r>
        <w:rPr>
          <w:spacing w:val="-4"/>
        </w:rPr>
        <w:t> </w:t>
      </w:r>
      <w:r>
        <w:rPr/>
        <w:t>surveillance</w:t>
      </w:r>
      <w:r>
        <w:rPr>
          <w:spacing w:val="-4"/>
        </w:rPr>
        <w:t> </w:t>
      </w:r>
      <w:r>
        <w:rPr/>
        <w:t>feeds,</w:t>
      </w:r>
      <w:r>
        <w:rPr>
          <w:spacing w:val="-4"/>
        </w:rPr>
        <w:t> </w:t>
      </w:r>
      <w:r>
        <w:rPr/>
        <w:t>ballistic</w:t>
      </w:r>
      <w:r>
        <w:rPr>
          <w:spacing w:val="-4"/>
        </w:rPr>
        <w:t> </w:t>
      </w:r>
      <w:r>
        <w:rPr/>
        <w:t>matches, and active alerts.</w:t>
      </w:r>
    </w:p>
    <w:p>
      <w:pPr>
        <w:pStyle w:val="ListParagraph"/>
        <w:numPr>
          <w:ilvl w:val="0"/>
          <w:numId w:val="30"/>
        </w:numPr>
        <w:tabs>
          <w:tab w:pos="1100" w:val="left" w:leader="none"/>
        </w:tabs>
        <w:spacing w:line="240" w:lineRule="auto" w:before="125" w:after="0"/>
        <w:ind w:left="1100" w:right="0" w:hanging="270"/>
        <w:jc w:val="left"/>
        <w:rPr>
          <w:rFonts w:ascii="Segoe UI Symbol" w:hAnsi="Segoe UI Symbol"/>
          <w:sz w:val="24"/>
        </w:rPr>
      </w:pPr>
      <w:r>
        <w:rPr>
          <w:sz w:val="24"/>
        </w:rPr>
        <w:t>Secure Zone for NIBIN: NIBIN database system is in a secure and well-ventilated room. </w:t>
      </w:r>
      <w:r>
        <w:rPr>
          <w:rFonts w:ascii="Segoe UI Symbol" w:hAnsi="Segoe UI Symbol"/>
          <w:spacing w:val="-10"/>
          <w:sz w:val="24"/>
        </w:rPr>
        <w:t>❖</w:t>
      </w:r>
    </w:p>
    <w:p>
      <w:pPr>
        <w:pStyle w:val="BodyText"/>
        <w:spacing w:before="173"/>
        <w:ind w:left="830"/>
        <w:rPr>
          <w:rFonts w:ascii="Segoe UI Symbol" w:hAnsi="Segoe UI Symbol"/>
        </w:rPr>
      </w:pPr>
      <w:r>
        <w:rPr/>
        <w:t>Command and Briefing Area: Dedicated space for operational briefings and coordination. </w:t>
      </w:r>
      <w:r>
        <w:rPr>
          <w:rFonts w:ascii="Segoe UI Symbol" w:hAnsi="Segoe UI Symbol"/>
          <w:spacing w:val="-10"/>
        </w:rPr>
        <w:t>❖</w:t>
      </w:r>
    </w:p>
    <w:p>
      <w:pPr>
        <w:pStyle w:val="BodyText"/>
        <w:spacing w:before="76"/>
        <w:ind w:left="830" w:right="1191"/>
      </w:pPr>
      <w:r>
        <w:rPr/>
        <w:t>Observation</w:t>
      </w:r>
      <w:r>
        <w:rPr>
          <w:spacing w:val="-4"/>
        </w:rPr>
        <w:t> </w:t>
      </w:r>
      <w:r>
        <w:rPr/>
        <w:t>Zone:</w:t>
      </w:r>
      <w:r>
        <w:rPr>
          <w:spacing w:val="-4"/>
        </w:rPr>
        <w:t> </w:t>
      </w:r>
      <w:r>
        <w:rPr/>
        <w:t>Community</w:t>
      </w:r>
      <w:r>
        <w:rPr>
          <w:spacing w:val="-4"/>
        </w:rPr>
        <w:t> </w:t>
      </w:r>
      <w:r>
        <w:rPr/>
        <w:t>leaders,</w:t>
      </w:r>
      <w:r>
        <w:rPr>
          <w:spacing w:val="-4"/>
        </w:rPr>
        <w:t> </w:t>
      </w:r>
      <w:r>
        <w:rPr/>
        <w:t>guests,</w:t>
      </w:r>
      <w:r>
        <w:rPr>
          <w:spacing w:val="-4"/>
        </w:rPr>
        <w:t> </w:t>
      </w:r>
      <w:r>
        <w:rPr/>
        <w:t>and</w:t>
      </w:r>
      <w:r>
        <w:rPr>
          <w:spacing w:val="-4"/>
        </w:rPr>
        <w:t> </w:t>
      </w:r>
      <w:r>
        <w:rPr/>
        <w:t>student</w:t>
      </w:r>
      <w:r>
        <w:rPr>
          <w:spacing w:val="-4"/>
        </w:rPr>
        <w:t> </w:t>
      </w:r>
      <w:r>
        <w:rPr/>
        <w:t>areas</w:t>
      </w:r>
      <w:r>
        <w:rPr>
          <w:spacing w:val="-4"/>
        </w:rPr>
        <w:t> </w:t>
      </w:r>
      <w:r>
        <w:rPr/>
        <w:t>to</w:t>
      </w:r>
      <w:r>
        <w:rPr>
          <w:spacing w:val="-4"/>
        </w:rPr>
        <w:t> </w:t>
      </w:r>
      <w:r>
        <w:rPr/>
        <w:t>allow</w:t>
      </w:r>
      <w:r>
        <w:rPr>
          <w:spacing w:val="-4"/>
        </w:rPr>
        <w:t> </w:t>
      </w:r>
      <w:r>
        <w:rPr/>
        <w:t>viewing</w:t>
      </w:r>
      <w:r>
        <w:rPr>
          <w:spacing w:val="-4"/>
        </w:rPr>
        <w:t> </w:t>
      </w:r>
      <w:r>
        <w:rPr/>
        <w:t>operations without interfering with them.</w:t>
      </w:r>
    </w:p>
    <w:p>
      <w:pPr>
        <w:pStyle w:val="BodyText"/>
        <w:spacing w:before="56"/>
      </w:pPr>
    </w:p>
    <w:p>
      <w:pPr>
        <w:pStyle w:val="Heading4"/>
        <w:spacing w:before="1"/>
        <w:ind w:left="470"/>
      </w:pPr>
      <w:r>
        <w:rPr>
          <w:spacing w:val="-2"/>
        </w:rPr>
        <w:t>Website</w:t>
      </w:r>
      <w:r>
        <w:rPr>
          <w:spacing w:val="-1"/>
        </w:rPr>
        <w:t> </w:t>
      </w:r>
      <w:r>
        <w:rPr>
          <w:spacing w:val="-2"/>
        </w:rPr>
        <w:t>Tracking</w:t>
      </w:r>
      <w:r>
        <w:rPr>
          <w:spacing w:val="-1"/>
        </w:rPr>
        <w:t> </w:t>
      </w:r>
      <w:r>
        <w:rPr>
          <w:spacing w:val="-2"/>
        </w:rPr>
        <w:t>System</w:t>
      </w:r>
    </w:p>
    <w:p>
      <w:pPr>
        <w:pStyle w:val="BodyText"/>
        <w:spacing w:before="199"/>
        <w:ind w:left="455" w:right="1024"/>
        <w:jc w:val="both"/>
      </w:pPr>
      <w:r>
        <w:rPr/>
        <w:t>Based on</w:t>
      </w:r>
      <w:r>
        <w:rPr>
          <w:spacing w:val="-3"/>
        </w:rPr>
        <w:t> </w:t>
      </w:r>
      <w:r>
        <w:rPr/>
        <w:t>the</w:t>
      </w:r>
      <w:r>
        <w:rPr>
          <w:spacing w:val="-3"/>
        </w:rPr>
        <w:t> </w:t>
      </w:r>
      <w:r>
        <w:rPr/>
        <w:t>gaps</w:t>
      </w:r>
      <w:r>
        <w:rPr>
          <w:spacing w:val="-3"/>
        </w:rPr>
        <w:t> </w:t>
      </w:r>
      <w:r>
        <w:rPr/>
        <w:t>identified,</w:t>
      </w:r>
      <w:r>
        <w:rPr>
          <w:spacing w:val="-3"/>
        </w:rPr>
        <w:t> </w:t>
      </w:r>
      <w:r>
        <w:rPr/>
        <w:t>website</w:t>
      </w:r>
      <w:r>
        <w:rPr>
          <w:spacing w:val="-3"/>
        </w:rPr>
        <w:t> </w:t>
      </w:r>
      <w:r>
        <w:rPr/>
        <w:t>Tracking</w:t>
      </w:r>
      <w:r>
        <w:rPr>
          <w:spacing w:val="-3"/>
        </w:rPr>
        <w:t> </w:t>
      </w:r>
      <w:r>
        <w:rPr/>
        <w:t>System</w:t>
      </w:r>
      <w:r>
        <w:rPr>
          <w:spacing w:val="-3"/>
        </w:rPr>
        <w:t> </w:t>
      </w:r>
      <w:r>
        <w:rPr/>
        <w:t>was</w:t>
      </w:r>
      <w:r>
        <w:rPr>
          <w:spacing w:val="-3"/>
        </w:rPr>
        <w:t> </w:t>
      </w:r>
      <w:r>
        <w:rPr/>
        <w:t>designed</w:t>
      </w:r>
      <w:r>
        <w:rPr>
          <w:spacing w:val="-3"/>
        </w:rPr>
        <w:t> </w:t>
      </w:r>
      <w:r>
        <w:rPr/>
        <w:t>to</w:t>
      </w:r>
      <w:r>
        <w:rPr>
          <w:spacing w:val="-3"/>
        </w:rPr>
        <w:t> </w:t>
      </w:r>
      <w:r>
        <w:rPr/>
        <w:t>support</w:t>
      </w:r>
      <w:r>
        <w:rPr>
          <w:spacing w:val="-3"/>
        </w:rPr>
        <w:t> </w:t>
      </w:r>
      <w:r>
        <w:rPr/>
        <w:t>both</w:t>
      </w:r>
      <w:r>
        <w:rPr>
          <w:spacing w:val="-3"/>
        </w:rPr>
        <w:t> </w:t>
      </w:r>
      <w:r>
        <w:rPr/>
        <w:t>the</w:t>
      </w:r>
      <w:r>
        <w:rPr>
          <w:spacing w:val="-3"/>
        </w:rPr>
        <w:t> </w:t>
      </w:r>
      <w:r>
        <w:rPr/>
        <w:t>operational</w:t>
      </w:r>
      <w:r>
        <w:rPr>
          <w:spacing w:val="-3"/>
        </w:rPr>
        <w:t> </w:t>
      </w:r>
      <w:r>
        <w:rPr/>
        <w:t>and analytical needs of the RTCC and the regional CGIC, while also serving as a platform</w:t>
      </w:r>
      <w:r>
        <w:rPr>
          <w:spacing w:val="-3"/>
        </w:rPr>
        <w:t> </w:t>
      </w:r>
      <w:r>
        <w:rPr/>
        <w:t>to</w:t>
      </w:r>
      <w:r>
        <w:rPr>
          <w:spacing w:val="-3"/>
        </w:rPr>
        <w:t> </w:t>
      </w:r>
      <w:r>
        <w:rPr/>
        <w:t>showcase</w:t>
      </w:r>
      <w:r>
        <w:rPr>
          <w:spacing w:val="-3"/>
        </w:rPr>
        <w:t> </w:t>
      </w:r>
      <w:r>
        <w:rPr/>
        <w:t>the project</w:t>
      </w:r>
      <w:r>
        <w:rPr>
          <w:spacing w:val="12"/>
        </w:rPr>
        <w:t> </w:t>
      </w:r>
      <w:r>
        <w:rPr/>
        <w:t>and</w:t>
      </w:r>
      <w:r>
        <w:rPr>
          <w:spacing w:val="13"/>
        </w:rPr>
        <w:t> </w:t>
      </w:r>
      <w:r>
        <w:rPr/>
        <w:t>its</w:t>
      </w:r>
      <w:r>
        <w:rPr>
          <w:spacing w:val="13"/>
        </w:rPr>
        <w:t> </w:t>
      </w:r>
      <w:r>
        <w:rPr/>
        <w:t>capabilities.</w:t>
      </w:r>
      <w:r>
        <w:rPr>
          <w:spacing w:val="13"/>
        </w:rPr>
        <w:t> </w:t>
      </w:r>
      <w:r>
        <w:rPr/>
        <w:t>The</w:t>
      </w:r>
      <w:r>
        <w:rPr>
          <w:spacing w:val="13"/>
        </w:rPr>
        <w:t> </w:t>
      </w:r>
      <w:r>
        <w:rPr/>
        <w:t>Website</w:t>
      </w:r>
      <w:r>
        <w:rPr>
          <w:spacing w:val="13"/>
        </w:rPr>
        <w:t> </w:t>
      </w:r>
      <w:r>
        <w:rPr/>
        <w:t>Tracking</w:t>
      </w:r>
      <w:r>
        <w:rPr>
          <w:spacing w:val="13"/>
        </w:rPr>
        <w:t> </w:t>
      </w:r>
      <w:r>
        <w:rPr/>
        <w:t>System</w:t>
      </w:r>
      <w:r>
        <w:rPr>
          <w:spacing w:val="13"/>
        </w:rPr>
        <w:t> </w:t>
      </w:r>
      <w:r>
        <w:rPr/>
        <w:t>consists</w:t>
      </w:r>
      <w:r>
        <w:rPr>
          <w:spacing w:val="13"/>
        </w:rPr>
        <w:t> </w:t>
      </w:r>
      <w:r>
        <w:rPr/>
        <w:t>of</w:t>
      </w:r>
      <w:r>
        <w:rPr>
          <w:spacing w:val="-2"/>
        </w:rPr>
        <w:t> </w:t>
      </w:r>
      <w:r>
        <w:rPr/>
        <w:t>a</w:t>
      </w:r>
      <w:r>
        <w:rPr>
          <w:spacing w:val="-2"/>
        </w:rPr>
        <w:t> </w:t>
      </w:r>
      <w:r>
        <w:rPr/>
        <w:t>Home</w:t>
      </w:r>
      <w:r>
        <w:rPr>
          <w:spacing w:val="-1"/>
        </w:rPr>
        <w:t> </w:t>
      </w:r>
      <w:r>
        <w:rPr/>
        <w:t>Page</w:t>
      </w:r>
      <w:r>
        <w:rPr>
          <w:spacing w:val="-2"/>
        </w:rPr>
        <w:t> </w:t>
      </w:r>
      <w:r>
        <w:rPr/>
        <w:t>that</w:t>
      </w:r>
      <w:r>
        <w:rPr>
          <w:spacing w:val="-2"/>
        </w:rPr>
        <w:t> </w:t>
      </w:r>
      <w:r>
        <w:rPr/>
        <w:t>outlines</w:t>
      </w:r>
      <w:r>
        <w:rPr>
          <w:spacing w:val="-1"/>
        </w:rPr>
        <w:t> </w:t>
      </w:r>
      <w:r>
        <w:rPr>
          <w:spacing w:val="-2"/>
        </w:rPr>
        <w:t>project</w:t>
      </w:r>
    </w:p>
    <w:p>
      <w:pPr>
        <w:pStyle w:val="BodyText"/>
        <w:spacing w:after="0"/>
        <w:jc w:val="both"/>
        <w:sectPr>
          <w:pgSz w:w="12240" w:h="15840"/>
          <w:pgMar w:header="0" w:footer="749" w:top="640" w:bottom="940" w:left="720" w:right="0"/>
        </w:sectPr>
      </w:pPr>
    </w:p>
    <w:p>
      <w:pPr>
        <w:pStyle w:val="BodyText"/>
        <w:spacing w:before="60"/>
        <w:ind w:left="455" w:right="1018"/>
        <w:jc w:val="both"/>
      </w:pPr>
      <w:r>
        <w:rPr/>
        <w:t>objectives and system capabilities, a secure Data Submission Portal for firearm-related case intake, </w:t>
      </w:r>
      <w:r>
        <w:rPr/>
        <w:t>an Analytics and Reporting component for case tracking and intelligence analysis, and a Gallery that supports transparency and stakeholder engagement. Collectively, these components extend RTCC and CGIC operations by enabling secure data intake, centralized tracking, and enhanced interagency coordination across jurisdictions.</w:t>
      </w:r>
    </w:p>
    <w:p>
      <w:pPr>
        <w:pStyle w:val="BodyText"/>
        <w:spacing w:before="189"/>
        <w:ind w:left="455"/>
        <w:jc w:val="both"/>
      </w:pPr>
      <w:r>
        <w:rPr/>
        <w:t>Figure</w:t>
      </w:r>
      <w:r>
        <w:rPr>
          <w:spacing w:val="-12"/>
        </w:rPr>
        <w:t> </w:t>
      </w:r>
      <w:r>
        <w:rPr/>
        <w:t>1.2</w:t>
      </w:r>
      <w:r>
        <w:rPr>
          <w:spacing w:val="-11"/>
        </w:rPr>
        <w:t> </w:t>
      </w:r>
      <w:r>
        <w:rPr/>
        <w:t>Website’s</w:t>
      </w:r>
      <w:r>
        <w:rPr>
          <w:spacing w:val="-11"/>
        </w:rPr>
        <w:t> </w:t>
      </w:r>
      <w:r>
        <w:rPr>
          <w:spacing w:val="-2"/>
        </w:rPr>
        <w:t>Homepage</w:t>
      </w:r>
    </w:p>
    <w:p>
      <w:pPr>
        <w:pStyle w:val="BodyText"/>
        <w:spacing w:before="3"/>
        <w:rPr>
          <w:sz w:val="18"/>
        </w:rPr>
      </w:pPr>
      <w:r>
        <w:rPr>
          <w:sz w:val="18"/>
        </w:rPr>
        <w:drawing>
          <wp:anchor distT="0" distB="0" distL="0" distR="0" allowOverlap="1" layoutInCell="1" locked="0" behindDoc="1" simplePos="0" relativeHeight="487601152">
            <wp:simplePos x="0" y="0"/>
            <wp:positionH relativeFrom="page">
              <wp:posOffset>1658940</wp:posOffset>
            </wp:positionH>
            <wp:positionV relativeFrom="paragraph">
              <wp:posOffset>148818</wp:posOffset>
            </wp:positionV>
            <wp:extent cx="4810125" cy="1571625"/>
            <wp:effectExtent l="0" t="0" r="0" b="0"/>
            <wp:wrapTopAndBottom/>
            <wp:docPr id="55" name="Image 55"/>
            <wp:cNvGraphicFramePr>
              <a:graphicFrameLocks/>
            </wp:cNvGraphicFramePr>
            <a:graphic>
              <a:graphicData uri="http://schemas.openxmlformats.org/drawingml/2006/picture">
                <pic:pic>
                  <pic:nvPicPr>
                    <pic:cNvPr id="55" name="Image 55"/>
                    <pic:cNvPicPr/>
                  </pic:nvPicPr>
                  <pic:blipFill>
                    <a:blip r:embed="rId221" cstate="print"/>
                    <a:stretch>
                      <a:fillRect/>
                    </a:stretch>
                  </pic:blipFill>
                  <pic:spPr>
                    <a:xfrm>
                      <a:off x="0" y="0"/>
                      <a:ext cx="4810125" cy="1571625"/>
                    </a:xfrm>
                    <a:prstGeom prst="rect">
                      <a:avLst/>
                    </a:prstGeom>
                  </pic:spPr>
                </pic:pic>
              </a:graphicData>
            </a:graphic>
          </wp:anchor>
        </w:drawing>
      </w:r>
    </w:p>
    <w:p>
      <w:pPr>
        <w:pStyle w:val="BodyText"/>
        <w:spacing w:before="127"/>
      </w:pPr>
    </w:p>
    <w:p>
      <w:pPr>
        <w:pStyle w:val="BodyText"/>
        <w:ind w:left="515"/>
        <w:jc w:val="both"/>
      </w:pPr>
      <w:r>
        <w:rPr/>
        <w:drawing>
          <wp:anchor distT="0" distB="0" distL="0" distR="0" allowOverlap="1" layoutInCell="1" locked="0" behindDoc="1" simplePos="0" relativeHeight="487601664">
            <wp:simplePos x="0" y="0"/>
            <wp:positionH relativeFrom="page">
              <wp:posOffset>1778003</wp:posOffset>
            </wp:positionH>
            <wp:positionV relativeFrom="paragraph">
              <wp:posOffset>194166</wp:posOffset>
            </wp:positionV>
            <wp:extent cx="4610100" cy="1371600"/>
            <wp:effectExtent l="0" t="0" r="0" b="0"/>
            <wp:wrapTopAndBottom/>
            <wp:docPr id="56" name="Image 56"/>
            <wp:cNvGraphicFramePr>
              <a:graphicFrameLocks/>
            </wp:cNvGraphicFramePr>
            <a:graphic>
              <a:graphicData uri="http://schemas.openxmlformats.org/drawingml/2006/picture">
                <pic:pic>
                  <pic:nvPicPr>
                    <pic:cNvPr id="56" name="Image 56"/>
                    <pic:cNvPicPr/>
                  </pic:nvPicPr>
                  <pic:blipFill>
                    <a:blip r:embed="rId222" cstate="print"/>
                    <a:stretch>
                      <a:fillRect/>
                    </a:stretch>
                  </pic:blipFill>
                  <pic:spPr>
                    <a:xfrm>
                      <a:off x="0" y="0"/>
                      <a:ext cx="4610100" cy="1371600"/>
                    </a:xfrm>
                    <a:prstGeom prst="rect">
                      <a:avLst/>
                    </a:prstGeom>
                  </pic:spPr>
                </pic:pic>
              </a:graphicData>
            </a:graphic>
          </wp:anchor>
        </w:drawing>
      </w:r>
      <w:r>
        <w:rPr/>
        <w:t>Figure 1.3 Case Submission </w:t>
      </w:r>
      <w:r>
        <w:rPr>
          <w:spacing w:val="-4"/>
        </w:rPr>
        <w:t>Page</w:t>
      </w:r>
    </w:p>
    <w:p>
      <w:pPr>
        <w:pStyle w:val="BodyText"/>
        <w:spacing w:before="115"/>
        <w:ind w:left="515"/>
        <w:jc w:val="both"/>
      </w:pPr>
      <w:r>
        <w:rPr/>
        <w:t>Figure 1.4 Report </w:t>
      </w:r>
      <w:r>
        <w:rPr>
          <w:spacing w:val="-4"/>
        </w:rPr>
        <w:t>Page</w:t>
      </w:r>
    </w:p>
    <w:p>
      <w:pPr>
        <w:pStyle w:val="BodyText"/>
        <w:rPr>
          <w:sz w:val="6"/>
        </w:rPr>
      </w:pPr>
      <w:r>
        <w:rPr>
          <w:sz w:val="6"/>
        </w:rPr>
        <w:drawing>
          <wp:anchor distT="0" distB="0" distL="0" distR="0" allowOverlap="1" layoutInCell="1" locked="0" behindDoc="1" simplePos="0" relativeHeight="487602176">
            <wp:simplePos x="0" y="0"/>
            <wp:positionH relativeFrom="page">
              <wp:posOffset>1816103</wp:posOffset>
            </wp:positionH>
            <wp:positionV relativeFrom="paragraph">
              <wp:posOffset>59208</wp:posOffset>
            </wp:positionV>
            <wp:extent cx="4533900" cy="1619250"/>
            <wp:effectExtent l="0" t="0" r="0" b="0"/>
            <wp:wrapTopAndBottom/>
            <wp:docPr id="57" name="Image 57"/>
            <wp:cNvGraphicFramePr>
              <a:graphicFrameLocks/>
            </wp:cNvGraphicFramePr>
            <a:graphic>
              <a:graphicData uri="http://schemas.openxmlformats.org/drawingml/2006/picture">
                <pic:pic>
                  <pic:nvPicPr>
                    <pic:cNvPr id="57" name="Image 57"/>
                    <pic:cNvPicPr/>
                  </pic:nvPicPr>
                  <pic:blipFill>
                    <a:blip r:embed="rId223" cstate="print"/>
                    <a:stretch>
                      <a:fillRect/>
                    </a:stretch>
                  </pic:blipFill>
                  <pic:spPr>
                    <a:xfrm>
                      <a:off x="0" y="0"/>
                      <a:ext cx="4533900" cy="1619250"/>
                    </a:xfrm>
                    <a:prstGeom prst="rect">
                      <a:avLst/>
                    </a:prstGeom>
                  </pic:spPr>
                </pic:pic>
              </a:graphicData>
            </a:graphic>
          </wp:anchor>
        </w:drawing>
      </w:r>
    </w:p>
    <w:p>
      <w:pPr>
        <w:pStyle w:val="BodyText"/>
      </w:pPr>
    </w:p>
    <w:p>
      <w:pPr>
        <w:pStyle w:val="BodyText"/>
        <w:spacing w:before="62"/>
      </w:pPr>
    </w:p>
    <w:p>
      <w:pPr>
        <w:pStyle w:val="Heading4"/>
        <w:ind w:left="470"/>
        <w:jc w:val="both"/>
      </w:pPr>
      <w:r>
        <w:rPr/>
        <w:t>Structured</w:t>
      </w:r>
      <w:r>
        <w:rPr>
          <w:spacing w:val="-3"/>
        </w:rPr>
        <w:t> </w:t>
      </w:r>
      <w:r>
        <w:rPr/>
        <w:t>Implementation</w:t>
      </w:r>
      <w:r>
        <w:rPr>
          <w:spacing w:val="-2"/>
        </w:rPr>
        <w:t> Framework</w:t>
      </w:r>
    </w:p>
    <w:p>
      <w:pPr>
        <w:pStyle w:val="BodyText"/>
        <w:spacing w:line="266" w:lineRule="auto" w:before="201"/>
        <w:ind w:left="455" w:right="1020"/>
        <w:jc w:val="both"/>
      </w:pPr>
      <w:r>
        <w:rPr/>
        <w:t>The Real Time Crime Centre implementation follows a five-phase</w:t>
      </w:r>
      <w:r>
        <w:rPr>
          <w:spacing w:val="-4"/>
        </w:rPr>
        <w:t> </w:t>
      </w:r>
      <w:r>
        <w:rPr/>
        <w:t>journey,</w:t>
      </w:r>
      <w:r>
        <w:rPr>
          <w:spacing w:val="-4"/>
        </w:rPr>
        <w:t> </w:t>
      </w:r>
      <w:r>
        <w:rPr/>
        <w:t>each</w:t>
      </w:r>
      <w:r>
        <w:rPr>
          <w:spacing w:val="-4"/>
        </w:rPr>
        <w:t> </w:t>
      </w:r>
      <w:r>
        <w:rPr/>
        <w:t>with</w:t>
      </w:r>
      <w:r>
        <w:rPr>
          <w:spacing w:val="-4"/>
        </w:rPr>
        <w:t> </w:t>
      </w:r>
      <w:r>
        <w:rPr/>
        <w:t>specific</w:t>
      </w:r>
      <w:r>
        <w:rPr>
          <w:spacing w:val="-4"/>
        </w:rPr>
        <w:t> </w:t>
      </w:r>
      <w:r>
        <w:rPr/>
        <w:t>activities and measurable outcomes. The table below outlines this progression from planning to full operational </w:t>
      </w:r>
      <w:r>
        <w:rPr>
          <w:spacing w:val="-2"/>
        </w:rPr>
        <w:t>launch.</w:t>
      </w:r>
    </w:p>
    <w:p>
      <w:pPr>
        <w:pStyle w:val="BodyText"/>
        <w:spacing w:after="0" w:line="266" w:lineRule="auto"/>
        <w:jc w:val="both"/>
        <w:sectPr>
          <w:pgSz w:w="12240" w:h="15840"/>
          <w:pgMar w:header="0" w:footer="749" w:top="640" w:bottom="960" w:left="720" w:right="0"/>
        </w:sectPr>
      </w:pPr>
    </w:p>
    <w:p>
      <w:pPr>
        <w:spacing w:line="240" w:lineRule="auto"/>
        <w:ind w:left="512" w:right="0" w:firstLine="0"/>
        <w:rPr>
          <w:sz w:val="20"/>
        </w:rPr>
      </w:pPr>
      <w:r>
        <w:rPr>
          <w:sz w:val="20"/>
        </w:rPr>
        <w:drawing>
          <wp:inline distT="0" distB="0" distL="0" distR="0">
            <wp:extent cx="6270146" cy="2634996"/>
            <wp:effectExtent l="0" t="0" r="0" b="0"/>
            <wp:docPr id="58" name="Image 58"/>
            <wp:cNvGraphicFramePr>
              <a:graphicFrameLocks/>
            </wp:cNvGraphicFramePr>
            <a:graphic>
              <a:graphicData uri="http://schemas.openxmlformats.org/drawingml/2006/picture">
                <pic:pic>
                  <pic:nvPicPr>
                    <pic:cNvPr id="58" name="Image 58"/>
                    <pic:cNvPicPr/>
                  </pic:nvPicPr>
                  <pic:blipFill>
                    <a:blip r:embed="rId224" cstate="print"/>
                    <a:stretch>
                      <a:fillRect/>
                    </a:stretch>
                  </pic:blipFill>
                  <pic:spPr>
                    <a:xfrm>
                      <a:off x="0" y="0"/>
                      <a:ext cx="6270146" cy="2634996"/>
                    </a:xfrm>
                    <a:prstGeom prst="rect">
                      <a:avLst/>
                    </a:prstGeom>
                  </pic:spPr>
                </pic:pic>
              </a:graphicData>
            </a:graphic>
          </wp:inline>
        </w:drawing>
      </w:r>
      <w:r>
        <w:rPr>
          <w:sz w:val="20"/>
        </w:rPr>
      </w:r>
    </w:p>
    <w:p>
      <w:pPr>
        <w:pStyle w:val="BodyText"/>
      </w:pPr>
    </w:p>
    <w:p>
      <w:pPr>
        <w:pStyle w:val="BodyText"/>
        <w:spacing w:before="15"/>
      </w:pPr>
    </w:p>
    <w:p>
      <w:pPr>
        <w:pStyle w:val="Heading4"/>
        <w:ind w:left="720"/>
      </w:pPr>
      <w:r>
        <w:rPr/>
        <w:t>Performance </w:t>
      </w:r>
      <w:r>
        <w:rPr>
          <w:spacing w:val="-2"/>
        </w:rPr>
        <w:t>Measurement</w:t>
      </w:r>
    </w:p>
    <w:p>
      <w:pPr>
        <w:pStyle w:val="BodyText"/>
        <w:spacing w:before="17"/>
        <w:rPr>
          <w:b/>
        </w:rPr>
      </w:pPr>
    </w:p>
    <w:p>
      <w:pPr>
        <w:pStyle w:val="BodyText"/>
        <w:spacing w:before="1"/>
        <w:ind w:left="720" w:right="1191"/>
      </w:pPr>
      <w:r>
        <w:rPr/>
        <w:t>The</w:t>
      </w:r>
      <w:r>
        <w:rPr>
          <w:spacing w:val="-6"/>
        </w:rPr>
        <w:t> </w:t>
      </w:r>
      <w:r>
        <w:rPr/>
        <w:t>effectiveness</w:t>
      </w:r>
      <w:r>
        <w:rPr>
          <w:spacing w:val="-6"/>
        </w:rPr>
        <w:t> </w:t>
      </w:r>
      <w:r>
        <w:rPr/>
        <w:t>of</w:t>
      </w:r>
      <w:r>
        <w:rPr>
          <w:spacing w:val="-6"/>
        </w:rPr>
        <w:t> </w:t>
      </w:r>
      <w:r>
        <w:rPr/>
        <w:t>the</w:t>
      </w:r>
      <w:r>
        <w:rPr>
          <w:spacing w:val="-6"/>
        </w:rPr>
        <w:t> </w:t>
      </w:r>
      <w:r>
        <w:rPr/>
        <w:t>RTCC</w:t>
      </w:r>
      <w:r>
        <w:rPr>
          <w:spacing w:val="-6"/>
        </w:rPr>
        <w:t> </w:t>
      </w:r>
      <w:r>
        <w:rPr/>
        <w:t>implementation</w:t>
      </w:r>
      <w:r>
        <w:rPr>
          <w:spacing w:val="-6"/>
        </w:rPr>
        <w:t> </w:t>
      </w:r>
      <w:r>
        <w:rPr/>
        <w:t>is</w:t>
      </w:r>
      <w:r>
        <w:rPr>
          <w:spacing w:val="-6"/>
        </w:rPr>
        <w:t> </w:t>
      </w:r>
      <w:r>
        <w:rPr/>
        <w:t>evaluated</w:t>
      </w:r>
      <w:r>
        <w:rPr>
          <w:spacing w:val="-6"/>
        </w:rPr>
        <w:t> </w:t>
      </w:r>
      <w:r>
        <w:rPr/>
        <w:t>through</w:t>
      </w:r>
      <w:r>
        <w:rPr>
          <w:spacing w:val="-6"/>
        </w:rPr>
        <w:t> </w:t>
      </w:r>
      <w:r>
        <w:rPr/>
        <w:t>key</w:t>
      </w:r>
      <w:r>
        <w:rPr>
          <w:spacing w:val="-6"/>
        </w:rPr>
        <w:t> </w:t>
      </w:r>
      <w:r>
        <w:rPr/>
        <w:t>performance</w:t>
      </w:r>
      <w:r>
        <w:rPr>
          <w:spacing w:val="-6"/>
        </w:rPr>
        <w:t> </w:t>
      </w:r>
      <w:r>
        <w:rPr/>
        <w:t>indicators (KPIs)</w:t>
      </w:r>
      <w:r>
        <w:rPr>
          <w:spacing w:val="40"/>
        </w:rPr>
        <w:t> </w:t>
      </w:r>
      <w:r>
        <w:rPr/>
        <w:t>tied to project goals and operational objectives.</w:t>
      </w:r>
    </w:p>
    <w:p>
      <w:pPr>
        <w:pStyle w:val="ListParagraph"/>
        <w:numPr>
          <w:ilvl w:val="0"/>
          <w:numId w:val="31"/>
        </w:numPr>
        <w:tabs>
          <w:tab w:pos="960" w:val="left" w:leader="none"/>
        </w:tabs>
        <w:spacing w:line="240" w:lineRule="auto" w:before="187" w:after="0"/>
        <w:ind w:left="960" w:right="0" w:hanging="240"/>
        <w:jc w:val="left"/>
        <w:rPr>
          <w:sz w:val="24"/>
        </w:rPr>
      </w:pPr>
      <w:r>
        <w:rPr>
          <w:sz w:val="24"/>
        </w:rPr>
        <w:t>Evidence Processing </w:t>
      </w:r>
      <w:r>
        <w:rPr>
          <w:spacing w:val="-2"/>
          <w:sz w:val="24"/>
        </w:rPr>
        <w:t>Efficiency</w:t>
      </w:r>
    </w:p>
    <w:p>
      <w:pPr>
        <w:pStyle w:val="BodyText"/>
        <w:spacing w:before="168"/>
      </w:pPr>
    </w:p>
    <w:p>
      <w:pPr>
        <w:pStyle w:val="ListParagraph"/>
        <w:numPr>
          <w:ilvl w:val="1"/>
          <w:numId w:val="31"/>
        </w:numPr>
        <w:tabs>
          <w:tab w:pos="1019" w:val="left" w:leader="none"/>
        </w:tabs>
        <w:spacing w:line="259" w:lineRule="auto" w:before="1" w:after="0"/>
        <w:ind w:left="720" w:right="1601" w:firstLine="0"/>
        <w:jc w:val="left"/>
        <w:rPr>
          <w:sz w:val="24"/>
        </w:rPr>
      </w:pPr>
      <w:r>
        <w:rPr>
          <w:sz w:val="24"/>
        </w:rPr>
        <w:t>Specific:</w:t>
      </w:r>
      <w:r>
        <w:rPr>
          <w:spacing w:val="-3"/>
          <w:sz w:val="24"/>
        </w:rPr>
        <w:t> </w:t>
      </w:r>
      <w:r>
        <w:rPr>
          <w:sz w:val="24"/>
        </w:rPr>
        <w:t>Measure</w:t>
      </w:r>
      <w:r>
        <w:rPr>
          <w:spacing w:val="-3"/>
          <w:sz w:val="24"/>
        </w:rPr>
        <w:t> </w:t>
      </w:r>
      <w:r>
        <w:rPr>
          <w:sz w:val="24"/>
        </w:rPr>
        <w:t>how</w:t>
      </w:r>
      <w:r>
        <w:rPr>
          <w:spacing w:val="-3"/>
          <w:sz w:val="24"/>
        </w:rPr>
        <w:t> </w:t>
      </w:r>
      <w:r>
        <w:rPr>
          <w:sz w:val="24"/>
        </w:rPr>
        <w:t>quickly</w:t>
      </w:r>
      <w:r>
        <w:rPr>
          <w:spacing w:val="-3"/>
          <w:sz w:val="24"/>
        </w:rPr>
        <w:t> </w:t>
      </w:r>
      <w:r>
        <w:rPr>
          <w:sz w:val="24"/>
        </w:rPr>
        <w:t>cartridge</w:t>
      </w:r>
      <w:r>
        <w:rPr>
          <w:spacing w:val="-3"/>
          <w:sz w:val="24"/>
        </w:rPr>
        <w:t> </w:t>
      </w:r>
      <w:r>
        <w:rPr>
          <w:sz w:val="24"/>
        </w:rPr>
        <w:t>cases</w:t>
      </w:r>
      <w:r>
        <w:rPr>
          <w:spacing w:val="-3"/>
          <w:sz w:val="24"/>
        </w:rPr>
        <w:t> </w:t>
      </w:r>
      <w:r>
        <w:rPr>
          <w:sz w:val="24"/>
        </w:rPr>
        <w:t>are</w:t>
      </w:r>
      <w:r>
        <w:rPr>
          <w:spacing w:val="-3"/>
          <w:sz w:val="24"/>
        </w:rPr>
        <w:t> </w:t>
      </w:r>
      <w:r>
        <w:rPr>
          <w:sz w:val="24"/>
        </w:rPr>
        <w:t>triaged</w:t>
      </w:r>
      <w:r>
        <w:rPr>
          <w:spacing w:val="-3"/>
          <w:sz w:val="24"/>
        </w:rPr>
        <w:t> </w:t>
      </w:r>
      <w:r>
        <w:rPr>
          <w:sz w:val="24"/>
        </w:rPr>
        <w:t>and</w:t>
      </w:r>
      <w:r>
        <w:rPr>
          <w:spacing w:val="-3"/>
          <w:sz w:val="24"/>
        </w:rPr>
        <w:t> </w:t>
      </w:r>
      <w:r>
        <w:rPr>
          <w:sz w:val="24"/>
        </w:rPr>
        <w:t>analyzed</w:t>
      </w:r>
      <w:r>
        <w:rPr>
          <w:spacing w:val="-3"/>
          <w:sz w:val="24"/>
        </w:rPr>
        <w:t> </w:t>
      </w:r>
      <w:r>
        <w:rPr>
          <w:sz w:val="24"/>
        </w:rPr>
        <w:t>using</w:t>
      </w:r>
      <w:r>
        <w:rPr>
          <w:spacing w:val="-3"/>
          <w:sz w:val="24"/>
        </w:rPr>
        <w:t> </w:t>
      </w:r>
      <w:r>
        <w:rPr>
          <w:sz w:val="24"/>
        </w:rPr>
        <w:t>the</w:t>
      </w:r>
      <w:r>
        <w:rPr>
          <w:spacing w:val="-3"/>
          <w:sz w:val="24"/>
        </w:rPr>
        <w:t> </w:t>
      </w:r>
      <w:r>
        <w:rPr>
          <w:sz w:val="24"/>
        </w:rPr>
        <w:t>IBIS</w:t>
      </w:r>
      <w:r>
        <w:rPr>
          <w:spacing w:val="-3"/>
          <w:sz w:val="24"/>
        </w:rPr>
        <w:t> </w:t>
      </w:r>
      <w:r>
        <w:rPr>
          <w:sz w:val="24"/>
        </w:rPr>
        <w:t>Clear Case Triage Solution.</w:t>
      </w:r>
    </w:p>
    <w:p>
      <w:pPr>
        <w:pStyle w:val="ListParagraph"/>
        <w:numPr>
          <w:ilvl w:val="1"/>
          <w:numId w:val="31"/>
        </w:numPr>
        <w:tabs>
          <w:tab w:pos="1019" w:val="left" w:leader="none"/>
        </w:tabs>
        <w:spacing w:line="259" w:lineRule="auto" w:before="161" w:after="0"/>
        <w:ind w:left="720" w:right="2120" w:firstLine="0"/>
        <w:jc w:val="left"/>
        <w:rPr>
          <w:sz w:val="24"/>
        </w:rPr>
      </w:pPr>
      <w:r>
        <w:rPr>
          <w:sz w:val="24"/>
        </w:rPr>
        <w:t>Measurable:</w:t>
      </w:r>
      <w:r>
        <w:rPr>
          <w:spacing w:val="-3"/>
          <w:sz w:val="24"/>
        </w:rPr>
        <w:t> </w:t>
      </w:r>
      <w:r>
        <w:rPr>
          <w:sz w:val="24"/>
        </w:rPr>
        <w:t>Achieve</w:t>
      </w:r>
      <w:r>
        <w:rPr>
          <w:spacing w:val="-3"/>
          <w:sz w:val="24"/>
        </w:rPr>
        <w:t> </w:t>
      </w:r>
      <w:r>
        <w:rPr>
          <w:sz w:val="24"/>
        </w:rPr>
        <w:t>a</w:t>
      </w:r>
      <w:r>
        <w:rPr>
          <w:spacing w:val="-3"/>
          <w:sz w:val="24"/>
        </w:rPr>
        <w:t> </w:t>
      </w:r>
      <w:r>
        <w:rPr>
          <w:sz w:val="24"/>
        </w:rPr>
        <w:t>40%</w:t>
      </w:r>
      <w:r>
        <w:rPr>
          <w:spacing w:val="-3"/>
          <w:sz w:val="24"/>
        </w:rPr>
        <w:t> </w:t>
      </w:r>
      <w:r>
        <w:rPr>
          <w:sz w:val="24"/>
        </w:rPr>
        <w:t>reduction</w:t>
      </w:r>
      <w:r>
        <w:rPr>
          <w:spacing w:val="-3"/>
          <w:sz w:val="24"/>
        </w:rPr>
        <w:t> </w:t>
      </w:r>
      <w:r>
        <w:rPr>
          <w:sz w:val="24"/>
        </w:rPr>
        <w:t>in</w:t>
      </w:r>
      <w:r>
        <w:rPr>
          <w:spacing w:val="-3"/>
          <w:sz w:val="24"/>
        </w:rPr>
        <w:t> </w:t>
      </w:r>
      <w:r>
        <w:rPr>
          <w:sz w:val="24"/>
        </w:rPr>
        <w:t>processing</w:t>
      </w:r>
      <w:r>
        <w:rPr>
          <w:spacing w:val="-3"/>
          <w:sz w:val="24"/>
        </w:rPr>
        <w:t> </w:t>
      </w:r>
      <w:r>
        <w:rPr>
          <w:sz w:val="24"/>
        </w:rPr>
        <w:t>time</w:t>
      </w:r>
      <w:r>
        <w:rPr>
          <w:spacing w:val="-3"/>
          <w:sz w:val="24"/>
        </w:rPr>
        <w:t> </w:t>
      </w:r>
      <w:r>
        <w:rPr>
          <w:sz w:val="24"/>
        </w:rPr>
        <w:t>per</w:t>
      </w:r>
      <w:r>
        <w:rPr>
          <w:spacing w:val="-3"/>
          <w:sz w:val="24"/>
        </w:rPr>
        <w:t> </w:t>
      </w:r>
      <w:r>
        <w:rPr>
          <w:sz w:val="24"/>
        </w:rPr>
        <w:t>case</w:t>
      </w:r>
      <w:r>
        <w:rPr>
          <w:spacing w:val="-3"/>
          <w:sz w:val="24"/>
        </w:rPr>
        <w:t> </w:t>
      </w:r>
      <w:r>
        <w:rPr>
          <w:sz w:val="24"/>
        </w:rPr>
        <w:t>within</w:t>
      </w:r>
      <w:r>
        <w:rPr>
          <w:spacing w:val="-3"/>
          <w:sz w:val="24"/>
        </w:rPr>
        <w:t> </w:t>
      </w:r>
      <w:r>
        <w:rPr>
          <w:sz w:val="24"/>
        </w:rPr>
        <w:t>six</w:t>
      </w:r>
      <w:r>
        <w:rPr>
          <w:spacing w:val="-3"/>
          <w:sz w:val="24"/>
        </w:rPr>
        <w:t> </w:t>
      </w:r>
      <w:r>
        <w:rPr>
          <w:sz w:val="24"/>
        </w:rPr>
        <w:t>months</w:t>
      </w:r>
      <w:r>
        <w:rPr>
          <w:spacing w:val="-3"/>
          <w:sz w:val="24"/>
        </w:rPr>
        <w:t> </w:t>
      </w:r>
      <w:r>
        <w:rPr>
          <w:sz w:val="24"/>
        </w:rPr>
        <w:t>of </w:t>
      </w:r>
      <w:r>
        <w:rPr>
          <w:spacing w:val="-2"/>
          <w:sz w:val="24"/>
        </w:rPr>
        <w:t>implementation.</w:t>
      </w:r>
    </w:p>
    <w:p>
      <w:pPr>
        <w:pStyle w:val="ListParagraph"/>
        <w:numPr>
          <w:ilvl w:val="1"/>
          <w:numId w:val="31"/>
        </w:numPr>
        <w:tabs>
          <w:tab w:pos="1019" w:val="left" w:leader="none"/>
        </w:tabs>
        <w:spacing w:line="240" w:lineRule="auto" w:before="160" w:after="0"/>
        <w:ind w:left="1019" w:right="0" w:hanging="299"/>
        <w:jc w:val="left"/>
        <w:rPr>
          <w:sz w:val="24"/>
        </w:rPr>
      </w:pPr>
      <w:r>
        <w:rPr>
          <w:sz w:val="24"/>
        </w:rPr>
        <w:t>Achievable: Automated triage and casing identification features enable faster </w:t>
      </w:r>
      <w:r>
        <w:rPr>
          <w:spacing w:val="-2"/>
          <w:sz w:val="24"/>
        </w:rPr>
        <w:t>throughput.</w:t>
      </w:r>
    </w:p>
    <w:p>
      <w:pPr>
        <w:pStyle w:val="ListParagraph"/>
        <w:numPr>
          <w:ilvl w:val="1"/>
          <w:numId w:val="31"/>
        </w:numPr>
        <w:tabs>
          <w:tab w:pos="1019" w:val="left" w:leader="none"/>
        </w:tabs>
        <w:spacing w:line="259" w:lineRule="auto" w:before="167" w:after="0"/>
        <w:ind w:left="720" w:right="2154" w:firstLine="0"/>
        <w:jc w:val="left"/>
        <w:rPr>
          <w:sz w:val="24"/>
        </w:rPr>
      </w:pPr>
      <w:r>
        <w:rPr>
          <w:sz w:val="24"/>
        </w:rPr>
        <w:t>Relevant:</w:t>
      </w:r>
      <w:r>
        <w:rPr>
          <w:spacing w:val="-5"/>
          <w:sz w:val="24"/>
        </w:rPr>
        <w:t> </w:t>
      </w:r>
      <w:r>
        <w:rPr>
          <w:sz w:val="24"/>
        </w:rPr>
        <w:t>Faster</w:t>
      </w:r>
      <w:r>
        <w:rPr>
          <w:spacing w:val="-5"/>
          <w:sz w:val="24"/>
        </w:rPr>
        <w:t> </w:t>
      </w:r>
      <w:r>
        <w:rPr>
          <w:sz w:val="24"/>
        </w:rPr>
        <w:t>analysis</w:t>
      </w:r>
      <w:r>
        <w:rPr>
          <w:spacing w:val="-5"/>
          <w:sz w:val="24"/>
        </w:rPr>
        <w:t> </w:t>
      </w:r>
      <w:r>
        <w:rPr>
          <w:sz w:val="24"/>
        </w:rPr>
        <w:t>accelerates</w:t>
      </w:r>
      <w:r>
        <w:rPr>
          <w:spacing w:val="-5"/>
          <w:sz w:val="24"/>
        </w:rPr>
        <w:t> </w:t>
      </w:r>
      <w:r>
        <w:rPr>
          <w:sz w:val="24"/>
        </w:rPr>
        <w:t>investigations</w:t>
      </w:r>
      <w:r>
        <w:rPr>
          <w:spacing w:val="-5"/>
          <w:sz w:val="24"/>
        </w:rPr>
        <w:t> </w:t>
      </w:r>
      <w:r>
        <w:rPr>
          <w:sz w:val="24"/>
        </w:rPr>
        <w:t>and</w:t>
      </w:r>
      <w:r>
        <w:rPr>
          <w:spacing w:val="-5"/>
          <w:sz w:val="24"/>
        </w:rPr>
        <w:t> </w:t>
      </w:r>
      <w:r>
        <w:rPr>
          <w:sz w:val="24"/>
        </w:rPr>
        <w:t>prosecutions</w:t>
      </w:r>
      <w:r>
        <w:rPr>
          <w:spacing w:val="-5"/>
          <w:sz w:val="24"/>
        </w:rPr>
        <w:t> </w:t>
      </w:r>
      <w:r>
        <w:rPr>
          <w:sz w:val="24"/>
        </w:rPr>
        <w:t>of</w:t>
      </w:r>
      <w:r>
        <w:rPr>
          <w:spacing w:val="-5"/>
          <w:sz w:val="24"/>
        </w:rPr>
        <w:t> </w:t>
      </w:r>
      <w:r>
        <w:rPr>
          <w:sz w:val="24"/>
        </w:rPr>
        <w:t>firearm-</w:t>
      </w:r>
      <w:r>
        <w:rPr>
          <w:sz w:val="24"/>
        </w:rPr>
        <w:t>related </w:t>
      </w:r>
      <w:r>
        <w:rPr>
          <w:spacing w:val="-2"/>
          <w:sz w:val="24"/>
        </w:rPr>
        <w:t>crimes.</w:t>
      </w:r>
    </w:p>
    <w:p>
      <w:pPr>
        <w:pStyle w:val="ListParagraph"/>
        <w:numPr>
          <w:ilvl w:val="1"/>
          <w:numId w:val="31"/>
        </w:numPr>
        <w:tabs>
          <w:tab w:pos="1019" w:val="left" w:leader="none"/>
        </w:tabs>
        <w:spacing w:line="240" w:lineRule="auto" w:before="161" w:after="0"/>
        <w:ind w:left="1019" w:right="0" w:hanging="299"/>
        <w:jc w:val="left"/>
        <w:rPr>
          <w:sz w:val="24"/>
        </w:rPr>
      </w:pPr>
      <w:r>
        <w:rPr>
          <w:sz w:val="24"/>
        </w:rPr>
        <w:t>Time-bound:</w:t>
      </w:r>
      <w:r>
        <w:rPr>
          <w:spacing w:val="-3"/>
          <w:sz w:val="24"/>
        </w:rPr>
        <w:t> </w:t>
      </w:r>
      <w:r>
        <w:rPr>
          <w:sz w:val="24"/>
        </w:rPr>
        <w:t>Track</w:t>
      </w:r>
      <w:r>
        <w:rPr>
          <w:spacing w:val="-3"/>
          <w:sz w:val="24"/>
        </w:rPr>
        <w:t> </w:t>
      </w:r>
      <w:r>
        <w:rPr>
          <w:sz w:val="24"/>
        </w:rPr>
        <w:t>and</w:t>
      </w:r>
      <w:r>
        <w:rPr>
          <w:spacing w:val="-2"/>
          <w:sz w:val="24"/>
        </w:rPr>
        <w:t> </w:t>
      </w:r>
      <w:r>
        <w:rPr>
          <w:sz w:val="24"/>
        </w:rPr>
        <w:t>report</w:t>
      </w:r>
      <w:r>
        <w:rPr>
          <w:spacing w:val="-3"/>
          <w:sz w:val="24"/>
        </w:rPr>
        <w:t> </w:t>
      </w:r>
      <w:r>
        <w:rPr>
          <w:sz w:val="24"/>
        </w:rPr>
        <w:t>quarterly</w:t>
      </w:r>
      <w:r>
        <w:rPr>
          <w:spacing w:val="-2"/>
          <w:sz w:val="24"/>
        </w:rPr>
        <w:t> </w:t>
      </w:r>
      <w:r>
        <w:rPr>
          <w:sz w:val="24"/>
        </w:rPr>
        <w:t>results</w:t>
      </w:r>
      <w:r>
        <w:rPr>
          <w:spacing w:val="-3"/>
          <w:sz w:val="24"/>
        </w:rPr>
        <w:t> </w:t>
      </w:r>
      <w:r>
        <w:rPr>
          <w:sz w:val="24"/>
        </w:rPr>
        <w:t>of</w:t>
      </w:r>
      <w:r>
        <w:rPr>
          <w:spacing w:val="-2"/>
          <w:sz w:val="24"/>
        </w:rPr>
        <w:t> </w:t>
      </w:r>
      <w:r>
        <w:rPr>
          <w:sz w:val="24"/>
        </w:rPr>
        <w:t>post-</w:t>
      </w:r>
      <w:r>
        <w:rPr>
          <w:spacing w:val="-2"/>
          <w:sz w:val="24"/>
        </w:rPr>
        <w:t>deployment.</w:t>
      </w:r>
    </w:p>
    <w:p>
      <w:pPr>
        <w:pStyle w:val="BodyText"/>
      </w:pPr>
    </w:p>
    <w:p>
      <w:pPr>
        <w:pStyle w:val="BodyText"/>
        <w:spacing w:before="111"/>
      </w:pPr>
    </w:p>
    <w:p>
      <w:pPr>
        <w:pStyle w:val="ListParagraph"/>
        <w:numPr>
          <w:ilvl w:val="0"/>
          <w:numId w:val="31"/>
        </w:numPr>
        <w:tabs>
          <w:tab w:pos="960" w:val="left" w:leader="none"/>
        </w:tabs>
        <w:spacing w:line="240" w:lineRule="auto" w:before="0" w:after="0"/>
        <w:ind w:left="960" w:right="0" w:hanging="240"/>
        <w:jc w:val="left"/>
        <w:rPr>
          <w:sz w:val="24"/>
        </w:rPr>
      </w:pPr>
      <w:r>
        <w:rPr>
          <w:sz w:val="24"/>
        </w:rPr>
        <w:t>System Integration and Data </w:t>
      </w:r>
      <w:r>
        <w:rPr>
          <w:spacing w:val="-4"/>
          <w:sz w:val="24"/>
        </w:rPr>
        <w:t>Flow</w:t>
      </w:r>
    </w:p>
    <w:p>
      <w:pPr>
        <w:pStyle w:val="ListParagraph"/>
        <w:numPr>
          <w:ilvl w:val="1"/>
          <w:numId w:val="31"/>
        </w:numPr>
        <w:tabs>
          <w:tab w:pos="1019" w:val="left" w:leader="none"/>
        </w:tabs>
        <w:spacing w:line="240" w:lineRule="auto" w:before="182" w:after="0"/>
        <w:ind w:left="1019" w:right="0" w:hanging="299"/>
        <w:jc w:val="left"/>
        <w:rPr>
          <w:sz w:val="24"/>
        </w:rPr>
      </w:pPr>
      <w:r>
        <w:rPr>
          <w:sz w:val="24"/>
        </w:rPr>
        <w:t>Specific:</w:t>
      </w:r>
      <w:r>
        <w:rPr>
          <w:spacing w:val="-1"/>
          <w:sz w:val="24"/>
        </w:rPr>
        <w:t> </w:t>
      </w:r>
      <w:r>
        <w:rPr>
          <w:sz w:val="24"/>
        </w:rPr>
        <w:t>Integrate</w:t>
      </w:r>
      <w:r>
        <w:rPr>
          <w:spacing w:val="-1"/>
          <w:sz w:val="24"/>
        </w:rPr>
        <w:t> </w:t>
      </w:r>
      <w:r>
        <w:rPr>
          <w:sz w:val="24"/>
        </w:rPr>
        <w:t>ETrace</w:t>
      </w:r>
      <w:r>
        <w:rPr>
          <w:spacing w:val="-1"/>
          <w:sz w:val="24"/>
        </w:rPr>
        <w:t> </w:t>
      </w:r>
      <w:r>
        <w:rPr>
          <w:sz w:val="24"/>
        </w:rPr>
        <w:t>Direct into</w:t>
      </w:r>
      <w:r>
        <w:rPr>
          <w:spacing w:val="-1"/>
          <w:sz w:val="24"/>
        </w:rPr>
        <w:t> </w:t>
      </w:r>
      <w:r>
        <w:rPr>
          <w:sz w:val="24"/>
        </w:rPr>
        <w:t>NIBIN</w:t>
      </w:r>
      <w:r>
        <w:rPr>
          <w:spacing w:val="-1"/>
          <w:sz w:val="24"/>
        </w:rPr>
        <w:t> </w:t>
      </w:r>
      <w:r>
        <w:rPr>
          <w:sz w:val="24"/>
        </w:rPr>
        <w:t>for</w:t>
      </w:r>
      <w:r>
        <w:rPr>
          <w:spacing w:val="-1"/>
          <w:sz w:val="24"/>
        </w:rPr>
        <w:t> </w:t>
      </w:r>
      <w:r>
        <w:rPr>
          <w:sz w:val="24"/>
        </w:rPr>
        <w:t>seamless firearm</w:t>
      </w:r>
      <w:r>
        <w:rPr>
          <w:spacing w:val="-1"/>
          <w:sz w:val="24"/>
        </w:rPr>
        <w:t> </w:t>
      </w:r>
      <w:r>
        <w:rPr>
          <w:sz w:val="24"/>
        </w:rPr>
        <w:t>tracing</w:t>
      </w:r>
      <w:r>
        <w:rPr>
          <w:spacing w:val="-1"/>
          <w:sz w:val="24"/>
        </w:rPr>
        <w:t> </w:t>
      </w:r>
      <w:r>
        <w:rPr>
          <w:sz w:val="24"/>
        </w:rPr>
        <w:t>and</w:t>
      </w:r>
      <w:r>
        <w:rPr>
          <w:spacing w:val="-1"/>
          <w:sz w:val="24"/>
        </w:rPr>
        <w:t> </w:t>
      </w:r>
      <w:r>
        <w:rPr>
          <w:sz w:val="24"/>
        </w:rPr>
        <w:t>lead </w:t>
      </w:r>
      <w:r>
        <w:rPr>
          <w:spacing w:val="-2"/>
          <w:sz w:val="24"/>
        </w:rPr>
        <w:t>entry.</w:t>
      </w:r>
    </w:p>
    <w:p>
      <w:pPr>
        <w:pStyle w:val="ListParagraph"/>
        <w:numPr>
          <w:ilvl w:val="1"/>
          <w:numId w:val="31"/>
        </w:numPr>
        <w:tabs>
          <w:tab w:pos="1019" w:val="left" w:leader="none"/>
        </w:tabs>
        <w:spacing w:line="259" w:lineRule="auto" w:before="167" w:after="0"/>
        <w:ind w:left="720" w:right="1441" w:firstLine="0"/>
        <w:jc w:val="left"/>
        <w:rPr>
          <w:sz w:val="24"/>
        </w:rPr>
      </w:pPr>
      <w:r>
        <w:rPr>
          <w:sz w:val="24"/>
        </w:rPr>
        <w:t>Measurable:</w:t>
      </w:r>
      <w:r>
        <w:rPr>
          <w:spacing w:val="-4"/>
          <w:sz w:val="24"/>
        </w:rPr>
        <w:t> </w:t>
      </w:r>
      <w:r>
        <w:rPr>
          <w:sz w:val="24"/>
        </w:rPr>
        <w:t>Achieve</w:t>
      </w:r>
      <w:r>
        <w:rPr>
          <w:spacing w:val="-4"/>
          <w:sz w:val="24"/>
        </w:rPr>
        <w:t> </w:t>
      </w:r>
      <w:r>
        <w:rPr>
          <w:sz w:val="24"/>
        </w:rPr>
        <w:t>100%</w:t>
      </w:r>
      <w:r>
        <w:rPr>
          <w:spacing w:val="-4"/>
          <w:sz w:val="24"/>
        </w:rPr>
        <w:t> </w:t>
      </w:r>
      <w:r>
        <w:rPr>
          <w:sz w:val="24"/>
        </w:rPr>
        <w:t>operational</w:t>
      </w:r>
      <w:r>
        <w:rPr>
          <w:spacing w:val="-4"/>
          <w:sz w:val="24"/>
        </w:rPr>
        <w:t> </w:t>
      </w:r>
      <w:r>
        <w:rPr>
          <w:sz w:val="24"/>
        </w:rPr>
        <w:t>integration</w:t>
      </w:r>
      <w:r>
        <w:rPr>
          <w:spacing w:val="-4"/>
          <w:sz w:val="24"/>
        </w:rPr>
        <w:t> </w:t>
      </w:r>
      <w:r>
        <w:rPr>
          <w:sz w:val="24"/>
        </w:rPr>
        <w:t>and</w:t>
      </w:r>
      <w:r>
        <w:rPr>
          <w:spacing w:val="-4"/>
          <w:sz w:val="24"/>
        </w:rPr>
        <w:t> </w:t>
      </w:r>
      <w:r>
        <w:rPr>
          <w:sz w:val="24"/>
        </w:rPr>
        <w:t>reduce</w:t>
      </w:r>
      <w:r>
        <w:rPr>
          <w:spacing w:val="-4"/>
          <w:sz w:val="24"/>
        </w:rPr>
        <w:t> </w:t>
      </w:r>
      <w:r>
        <w:rPr>
          <w:sz w:val="24"/>
        </w:rPr>
        <w:t>manual</w:t>
      </w:r>
      <w:r>
        <w:rPr>
          <w:spacing w:val="-4"/>
          <w:sz w:val="24"/>
        </w:rPr>
        <w:t> </w:t>
      </w:r>
      <w:r>
        <w:rPr>
          <w:sz w:val="24"/>
        </w:rPr>
        <w:t>data</w:t>
      </w:r>
      <w:r>
        <w:rPr>
          <w:spacing w:val="-4"/>
          <w:sz w:val="24"/>
        </w:rPr>
        <w:t> </w:t>
      </w:r>
      <w:r>
        <w:rPr>
          <w:sz w:val="24"/>
        </w:rPr>
        <w:t>entry</w:t>
      </w:r>
      <w:r>
        <w:rPr>
          <w:spacing w:val="-4"/>
          <w:sz w:val="24"/>
        </w:rPr>
        <w:t> </w:t>
      </w:r>
      <w:r>
        <w:rPr>
          <w:sz w:val="24"/>
        </w:rPr>
        <w:t>workload</w:t>
      </w:r>
      <w:r>
        <w:rPr>
          <w:spacing w:val="-4"/>
          <w:sz w:val="24"/>
        </w:rPr>
        <w:t> </w:t>
      </w:r>
      <w:r>
        <w:rPr>
          <w:sz w:val="24"/>
        </w:rPr>
        <w:t>by 70% within six months.</w:t>
      </w:r>
    </w:p>
    <w:p>
      <w:pPr>
        <w:pStyle w:val="ListParagraph"/>
        <w:numPr>
          <w:ilvl w:val="1"/>
          <w:numId w:val="31"/>
        </w:numPr>
        <w:tabs>
          <w:tab w:pos="1019" w:val="left" w:leader="none"/>
        </w:tabs>
        <w:spacing w:line="259" w:lineRule="auto" w:before="161" w:after="0"/>
        <w:ind w:left="720" w:right="1615" w:firstLine="0"/>
        <w:jc w:val="left"/>
        <w:rPr>
          <w:sz w:val="24"/>
        </w:rPr>
      </w:pPr>
      <w:r>
        <w:rPr>
          <w:sz w:val="24"/>
        </w:rPr>
        <w:t>Achievable: Supported by local PD / ATF / CGIC / RTCC collaboration and system vendor capabilities. Relevant: Streamlined data sharing enhances investigative accuracy and </w:t>
      </w:r>
      <w:r>
        <w:rPr>
          <w:spacing w:val="-4"/>
          <w:sz w:val="24"/>
        </w:rPr>
        <w:t>efficiency.</w:t>
      </w:r>
    </w:p>
    <w:p>
      <w:pPr>
        <w:pStyle w:val="ListParagraph"/>
        <w:numPr>
          <w:ilvl w:val="1"/>
          <w:numId w:val="31"/>
        </w:numPr>
        <w:tabs>
          <w:tab w:pos="1019" w:val="left" w:leader="none"/>
        </w:tabs>
        <w:spacing w:line="240" w:lineRule="auto" w:before="1" w:after="0"/>
        <w:ind w:left="1019" w:right="0" w:hanging="299"/>
        <w:jc w:val="left"/>
        <w:rPr>
          <w:sz w:val="24"/>
        </w:rPr>
      </w:pPr>
      <w:r>
        <w:rPr>
          <w:sz w:val="24"/>
        </w:rPr>
        <w:t>Time-bound:</w:t>
      </w:r>
      <w:r>
        <w:rPr>
          <w:spacing w:val="-2"/>
          <w:sz w:val="24"/>
        </w:rPr>
        <w:t> </w:t>
      </w:r>
      <w:r>
        <w:rPr>
          <w:sz w:val="24"/>
        </w:rPr>
        <w:t>Integration</w:t>
      </w:r>
      <w:r>
        <w:rPr>
          <w:spacing w:val="-1"/>
          <w:sz w:val="24"/>
        </w:rPr>
        <w:t> </w:t>
      </w:r>
      <w:r>
        <w:rPr>
          <w:sz w:val="24"/>
        </w:rPr>
        <w:t>testing</w:t>
      </w:r>
      <w:r>
        <w:rPr>
          <w:spacing w:val="-1"/>
          <w:sz w:val="24"/>
        </w:rPr>
        <w:t> </w:t>
      </w:r>
      <w:r>
        <w:rPr>
          <w:sz w:val="24"/>
        </w:rPr>
        <w:t>and</w:t>
      </w:r>
      <w:r>
        <w:rPr>
          <w:spacing w:val="-1"/>
          <w:sz w:val="24"/>
        </w:rPr>
        <w:t> </w:t>
      </w:r>
      <w:r>
        <w:rPr>
          <w:sz w:val="24"/>
        </w:rPr>
        <w:t>evaluation</w:t>
      </w:r>
      <w:r>
        <w:rPr>
          <w:spacing w:val="-1"/>
          <w:sz w:val="24"/>
        </w:rPr>
        <w:t> </w:t>
      </w:r>
      <w:r>
        <w:rPr>
          <w:sz w:val="24"/>
        </w:rPr>
        <w:t>completed</w:t>
      </w:r>
      <w:r>
        <w:rPr>
          <w:spacing w:val="-1"/>
          <w:sz w:val="24"/>
        </w:rPr>
        <w:t> </w:t>
      </w:r>
      <w:r>
        <w:rPr>
          <w:sz w:val="24"/>
        </w:rPr>
        <w:t>by</w:t>
      </w:r>
      <w:r>
        <w:rPr>
          <w:spacing w:val="-1"/>
          <w:sz w:val="24"/>
        </w:rPr>
        <w:t> </w:t>
      </w:r>
      <w:r>
        <w:rPr>
          <w:sz w:val="24"/>
        </w:rPr>
        <w:t>Q2</w:t>
      </w:r>
      <w:r>
        <w:rPr>
          <w:spacing w:val="-1"/>
          <w:sz w:val="24"/>
        </w:rPr>
        <w:t> </w:t>
      </w:r>
      <w:r>
        <w:rPr>
          <w:spacing w:val="-2"/>
          <w:sz w:val="24"/>
        </w:rPr>
        <w:t>2026.</w:t>
      </w:r>
    </w:p>
    <w:p>
      <w:pPr>
        <w:pStyle w:val="ListParagraph"/>
        <w:spacing w:after="0" w:line="240" w:lineRule="auto"/>
        <w:jc w:val="left"/>
        <w:rPr>
          <w:sz w:val="24"/>
        </w:rPr>
        <w:sectPr>
          <w:pgSz w:w="12240" w:h="15840"/>
          <w:pgMar w:header="0" w:footer="749" w:top="800" w:bottom="960" w:left="720" w:right="0"/>
        </w:sectPr>
      </w:pPr>
    </w:p>
    <w:p>
      <w:pPr>
        <w:pStyle w:val="ListParagraph"/>
        <w:numPr>
          <w:ilvl w:val="0"/>
          <w:numId w:val="31"/>
        </w:numPr>
        <w:tabs>
          <w:tab w:pos="960" w:val="left" w:leader="none"/>
        </w:tabs>
        <w:spacing w:line="240" w:lineRule="auto" w:before="60" w:after="0"/>
        <w:ind w:left="960" w:right="0" w:hanging="240"/>
        <w:jc w:val="left"/>
        <w:rPr>
          <w:sz w:val="24"/>
        </w:rPr>
      </w:pPr>
      <w:r>
        <w:rPr>
          <w:sz w:val="24"/>
        </w:rPr>
        <w:t>Investigative </w:t>
      </w:r>
      <w:r>
        <w:rPr>
          <w:spacing w:val="-2"/>
          <w:sz w:val="24"/>
        </w:rPr>
        <w:t>Productivity</w:t>
      </w:r>
    </w:p>
    <w:p>
      <w:pPr>
        <w:pStyle w:val="ListParagraph"/>
        <w:numPr>
          <w:ilvl w:val="1"/>
          <w:numId w:val="31"/>
        </w:numPr>
        <w:tabs>
          <w:tab w:pos="1019" w:val="left" w:leader="none"/>
        </w:tabs>
        <w:spacing w:line="294" w:lineRule="exact" w:before="169" w:after="0"/>
        <w:ind w:left="1019" w:right="0" w:hanging="299"/>
        <w:jc w:val="left"/>
        <w:rPr>
          <w:sz w:val="24"/>
        </w:rPr>
      </w:pPr>
      <w:r>
        <w:rPr>
          <w:sz w:val="24"/>
        </w:rPr>
        <w:t>Specific: Increase the number of firearm-related leads generated through NIBIN </w:t>
      </w:r>
      <w:r>
        <w:rPr>
          <w:spacing w:val="-2"/>
          <w:sz w:val="24"/>
        </w:rPr>
        <w:t>analysis.</w:t>
      </w:r>
    </w:p>
    <w:p>
      <w:pPr>
        <w:pStyle w:val="ListParagraph"/>
        <w:numPr>
          <w:ilvl w:val="1"/>
          <w:numId w:val="31"/>
        </w:numPr>
        <w:tabs>
          <w:tab w:pos="1019" w:val="left" w:leader="none"/>
        </w:tabs>
        <w:spacing w:line="294" w:lineRule="exact" w:before="0" w:after="0"/>
        <w:ind w:left="1019" w:right="0" w:hanging="299"/>
        <w:jc w:val="left"/>
        <w:rPr>
          <w:sz w:val="24"/>
        </w:rPr>
      </w:pPr>
      <w:r>
        <w:rPr>
          <w:sz w:val="24"/>
        </w:rPr>
        <w:t>Measurable: Produce a 30% increase in actionable leads and a 20% increase in </w:t>
      </w:r>
      <w:r>
        <w:rPr>
          <w:spacing w:val="-2"/>
          <w:sz w:val="24"/>
        </w:rPr>
        <w:t>successful</w:t>
      </w:r>
    </w:p>
    <w:p>
      <w:pPr>
        <w:pStyle w:val="BodyText"/>
        <w:spacing w:before="26"/>
        <w:ind w:left="720"/>
      </w:pPr>
      <w:r>
        <w:rPr/>
        <w:t>case adjudications </w:t>
      </w:r>
      <w:r>
        <w:rPr>
          <w:spacing w:val="-2"/>
        </w:rPr>
        <w:t>annually.</w:t>
      </w:r>
    </w:p>
    <w:p>
      <w:pPr>
        <w:pStyle w:val="ListParagraph"/>
        <w:numPr>
          <w:ilvl w:val="1"/>
          <w:numId w:val="31"/>
        </w:numPr>
        <w:tabs>
          <w:tab w:pos="1019" w:val="left" w:leader="none"/>
        </w:tabs>
        <w:spacing w:line="240" w:lineRule="auto" w:before="182" w:after="0"/>
        <w:ind w:left="1019" w:right="0" w:hanging="299"/>
        <w:jc w:val="left"/>
        <w:rPr>
          <w:sz w:val="24"/>
        </w:rPr>
      </w:pPr>
      <w:r>
        <w:rPr>
          <w:sz w:val="24"/>
        </w:rPr>
        <w:t>Achievable: Supported by new hardware, software, and training </w:t>
      </w:r>
      <w:r>
        <w:rPr>
          <w:spacing w:val="-2"/>
          <w:sz w:val="24"/>
        </w:rPr>
        <w:t>enhancements.</w:t>
      </w:r>
    </w:p>
    <w:p>
      <w:pPr>
        <w:pStyle w:val="ListParagraph"/>
        <w:numPr>
          <w:ilvl w:val="1"/>
          <w:numId w:val="31"/>
        </w:numPr>
        <w:tabs>
          <w:tab w:pos="1019" w:val="left" w:leader="none"/>
        </w:tabs>
        <w:spacing w:line="240" w:lineRule="auto" w:before="166" w:after="0"/>
        <w:ind w:left="1019" w:right="0" w:hanging="299"/>
        <w:jc w:val="left"/>
        <w:rPr>
          <w:sz w:val="24"/>
        </w:rPr>
      </w:pPr>
      <w:r>
        <w:rPr>
          <w:sz w:val="24"/>
        </w:rPr>
        <w:t>Relevant: Directly improves case resolution and community safety </w:t>
      </w:r>
      <w:r>
        <w:rPr>
          <w:spacing w:val="-2"/>
          <w:sz w:val="24"/>
        </w:rPr>
        <w:t>outcomes.</w:t>
      </w:r>
    </w:p>
    <w:p>
      <w:pPr>
        <w:pStyle w:val="ListParagraph"/>
        <w:numPr>
          <w:ilvl w:val="1"/>
          <w:numId w:val="31"/>
        </w:numPr>
        <w:tabs>
          <w:tab w:pos="1019" w:val="left" w:leader="none"/>
        </w:tabs>
        <w:spacing w:line="240" w:lineRule="auto" w:before="167" w:after="0"/>
        <w:ind w:left="1019" w:right="0" w:hanging="299"/>
        <w:jc w:val="left"/>
        <w:rPr>
          <w:sz w:val="24"/>
        </w:rPr>
      </w:pPr>
      <w:r>
        <w:rPr>
          <w:sz w:val="24"/>
        </w:rPr>
        <w:t>Time-bound:</w:t>
      </w:r>
      <w:r>
        <w:rPr>
          <w:spacing w:val="-2"/>
          <w:sz w:val="24"/>
        </w:rPr>
        <w:t> </w:t>
      </w:r>
      <w:r>
        <w:rPr>
          <w:sz w:val="24"/>
        </w:rPr>
        <w:t>Evaluate</w:t>
      </w:r>
      <w:r>
        <w:rPr>
          <w:spacing w:val="-1"/>
          <w:sz w:val="24"/>
        </w:rPr>
        <w:t> </w:t>
      </w:r>
      <w:r>
        <w:rPr>
          <w:sz w:val="24"/>
        </w:rPr>
        <w:t>performance</w:t>
      </w:r>
      <w:r>
        <w:rPr>
          <w:spacing w:val="-2"/>
          <w:sz w:val="24"/>
        </w:rPr>
        <w:t> </w:t>
      </w:r>
      <w:r>
        <w:rPr>
          <w:sz w:val="24"/>
        </w:rPr>
        <w:t>annually</w:t>
      </w:r>
      <w:r>
        <w:rPr>
          <w:spacing w:val="-1"/>
          <w:sz w:val="24"/>
        </w:rPr>
        <w:t> </w:t>
      </w:r>
      <w:r>
        <w:rPr>
          <w:sz w:val="24"/>
        </w:rPr>
        <w:t>starting</w:t>
      </w:r>
      <w:r>
        <w:rPr>
          <w:spacing w:val="-2"/>
          <w:sz w:val="24"/>
        </w:rPr>
        <w:t> </w:t>
      </w:r>
      <w:r>
        <w:rPr>
          <w:sz w:val="24"/>
        </w:rPr>
        <w:t>at</w:t>
      </w:r>
      <w:r>
        <w:rPr>
          <w:spacing w:val="-1"/>
          <w:sz w:val="24"/>
        </w:rPr>
        <w:t> </w:t>
      </w:r>
      <w:r>
        <w:rPr>
          <w:spacing w:val="-2"/>
          <w:sz w:val="24"/>
        </w:rPr>
        <w:t>FY2026</w:t>
      </w:r>
    </w:p>
    <w:p>
      <w:pPr>
        <w:pStyle w:val="BodyText"/>
      </w:pPr>
    </w:p>
    <w:p>
      <w:pPr>
        <w:pStyle w:val="BodyText"/>
        <w:spacing w:before="111"/>
      </w:pPr>
    </w:p>
    <w:p>
      <w:pPr>
        <w:pStyle w:val="ListParagraph"/>
        <w:numPr>
          <w:ilvl w:val="0"/>
          <w:numId w:val="31"/>
        </w:numPr>
        <w:tabs>
          <w:tab w:pos="960" w:val="left" w:leader="none"/>
        </w:tabs>
        <w:spacing w:line="240" w:lineRule="auto" w:before="1" w:after="0"/>
        <w:ind w:left="960" w:right="0" w:hanging="240"/>
        <w:jc w:val="left"/>
        <w:rPr>
          <w:sz w:val="24"/>
        </w:rPr>
      </w:pPr>
      <w:r>
        <w:rPr>
          <w:sz w:val="24"/>
        </w:rPr>
        <w:t>Regional </w:t>
      </w:r>
      <w:r>
        <w:rPr>
          <w:spacing w:val="-2"/>
          <w:sz w:val="24"/>
        </w:rPr>
        <w:t>Collaboration</w:t>
      </w:r>
    </w:p>
    <w:p>
      <w:pPr>
        <w:pStyle w:val="ListParagraph"/>
        <w:numPr>
          <w:ilvl w:val="1"/>
          <w:numId w:val="31"/>
        </w:numPr>
        <w:tabs>
          <w:tab w:pos="1019" w:val="left" w:leader="none"/>
        </w:tabs>
        <w:spacing w:line="240" w:lineRule="auto" w:before="182" w:after="0"/>
        <w:ind w:left="1019" w:right="0" w:hanging="299"/>
        <w:jc w:val="left"/>
        <w:rPr>
          <w:sz w:val="24"/>
        </w:rPr>
      </w:pPr>
      <w:r>
        <w:rPr>
          <w:sz w:val="24"/>
        </w:rPr>
        <w:t>Specific: Expand CGIC services through the mobile shoot trailer to more regional </w:t>
      </w:r>
      <w:r>
        <w:rPr>
          <w:spacing w:val="-2"/>
          <w:sz w:val="24"/>
        </w:rPr>
        <w:t>agencies.</w:t>
      </w:r>
    </w:p>
    <w:p>
      <w:pPr>
        <w:pStyle w:val="ListParagraph"/>
        <w:numPr>
          <w:ilvl w:val="1"/>
          <w:numId w:val="31"/>
        </w:numPr>
        <w:tabs>
          <w:tab w:pos="1019" w:val="left" w:leader="none"/>
        </w:tabs>
        <w:spacing w:line="259" w:lineRule="auto" w:before="166" w:after="0"/>
        <w:ind w:left="720" w:right="1968" w:firstLine="0"/>
        <w:jc w:val="left"/>
        <w:rPr>
          <w:sz w:val="24"/>
        </w:rPr>
      </w:pPr>
      <w:r>
        <w:rPr>
          <w:sz w:val="24"/>
        </w:rPr>
        <w:t>Measurable:</w:t>
      </w:r>
      <w:r>
        <w:rPr>
          <w:spacing w:val="-4"/>
          <w:sz w:val="24"/>
        </w:rPr>
        <w:t> </w:t>
      </w:r>
      <w:r>
        <w:rPr>
          <w:sz w:val="24"/>
        </w:rPr>
        <w:t>Engage</w:t>
      </w:r>
      <w:r>
        <w:rPr>
          <w:spacing w:val="-4"/>
          <w:sz w:val="24"/>
        </w:rPr>
        <w:t> </w:t>
      </w:r>
      <w:r>
        <w:rPr>
          <w:sz w:val="24"/>
        </w:rPr>
        <w:t>at</w:t>
      </w:r>
      <w:r>
        <w:rPr>
          <w:spacing w:val="-4"/>
          <w:sz w:val="24"/>
        </w:rPr>
        <w:t> </w:t>
      </w:r>
      <w:r>
        <w:rPr>
          <w:sz w:val="24"/>
        </w:rPr>
        <w:t>least</w:t>
      </w:r>
      <w:r>
        <w:rPr>
          <w:spacing w:val="-4"/>
          <w:sz w:val="24"/>
        </w:rPr>
        <w:t> </w:t>
      </w:r>
      <w:r>
        <w:rPr>
          <w:sz w:val="24"/>
        </w:rPr>
        <w:t>10</w:t>
      </w:r>
      <w:r>
        <w:rPr>
          <w:spacing w:val="-4"/>
          <w:sz w:val="24"/>
        </w:rPr>
        <w:t> </w:t>
      </w:r>
      <w:r>
        <w:rPr>
          <w:sz w:val="24"/>
        </w:rPr>
        <w:t>new</w:t>
      </w:r>
      <w:r>
        <w:rPr>
          <w:spacing w:val="-4"/>
          <w:sz w:val="24"/>
        </w:rPr>
        <w:t> </w:t>
      </w:r>
      <w:r>
        <w:rPr>
          <w:sz w:val="24"/>
        </w:rPr>
        <w:t>partner</w:t>
      </w:r>
      <w:r>
        <w:rPr>
          <w:spacing w:val="-4"/>
          <w:sz w:val="24"/>
        </w:rPr>
        <w:t> </w:t>
      </w:r>
      <w:r>
        <w:rPr>
          <w:sz w:val="24"/>
        </w:rPr>
        <w:t>agencies</w:t>
      </w:r>
      <w:r>
        <w:rPr>
          <w:spacing w:val="-4"/>
          <w:sz w:val="24"/>
        </w:rPr>
        <w:t> </w:t>
      </w:r>
      <w:r>
        <w:rPr>
          <w:sz w:val="24"/>
        </w:rPr>
        <w:t>and</w:t>
      </w:r>
      <w:r>
        <w:rPr>
          <w:spacing w:val="-4"/>
          <w:sz w:val="24"/>
        </w:rPr>
        <w:t> </w:t>
      </w:r>
      <w:r>
        <w:rPr>
          <w:sz w:val="24"/>
        </w:rPr>
        <w:t>conduct</w:t>
      </w:r>
      <w:r>
        <w:rPr>
          <w:spacing w:val="-4"/>
          <w:sz w:val="24"/>
        </w:rPr>
        <w:t> </w:t>
      </w:r>
      <w:r>
        <w:rPr>
          <w:sz w:val="24"/>
        </w:rPr>
        <w:t>quarterly</w:t>
      </w:r>
      <w:r>
        <w:rPr>
          <w:spacing w:val="-4"/>
          <w:sz w:val="24"/>
        </w:rPr>
        <w:t> </w:t>
      </w:r>
      <w:r>
        <w:rPr>
          <w:sz w:val="24"/>
        </w:rPr>
        <w:t>outreach</w:t>
      </w:r>
      <w:r>
        <w:rPr>
          <w:spacing w:val="-4"/>
          <w:sz w:val="24"/>
        </w:rPr>
        <w:t> </w:t>
      </w:r>
      <w:r>
        <w:rPr>
          <w:sz w:val="24"/>
        </w:rPr>
        <w:t>and evidence collection events.</w:t>
      </w:r>
    </w:p>
    <w:p>
      <w:pPr>
        <w:pStyle w:val="ListParagraph"/>
        <w:numPr>
          <w:ilvl w:val="1"/>
          <w:numId w:val="31"/>
        </w:numPr>
        <w:tabs>
          <w:tab w:pos="1019" w:val="left" w:leader="none"/>
        </w:tabs>
        <w:spacing w:line="240" w:lineRule="auto" w:before="161" w:after="0"/>
        <w:ind w:left="1019" w:right="0" w:hanging="299"/>
        <w:jc w:val="left"/>
        <w:rPr>
          <w:sz w:val="24"/>
        </w:rPr>
      </w:pPr>
      <w:r>
        <w:rPr>
          <w:sz w:val="24"/>
        </w:rPr>
        <w:t>Achievable: Supported by portable ballistic testing and evidence collection </w:t>
      </w:r>
      <w:r>
        <w:rPr>
          <w:spacing w:val="-2"/>
          <w:sz w:val="24"/>
        </w:rPr>
        <w:t>capabilities.</w:t>
      </w:r>
    </w:p>
    <w:p>
      <w:pPr>
        <w:pStyle w:val="ListParagraph"/>
        <w:numPr>
          <w:ilvl w:val="1"/>
          <w:numId w:val="31"/>
        </w:numPr>
        <w:tabs>
          <w:tab w:pos="1019" w:val="left" w:leader="none"/>
        </w:tabs>
        <w:spacing w:line="240" w:lineRule="auto" w:before="167" w:after="0"/>
        <w:ind w:left="1019" w:right="0" w:hanging="299"/>
        <w:jc w:val="left"/>
        <w:rPr>
          <w:sz w:val="24"/>
        </w:rPr>
      </w:pPr>
      <w:r>
        <w:rPr>
          <w:sz w:val="24"/>
        </w:rPr>
        <w:t>Relevant: Builds regional capacity and reduces delays in ballistic </w:t>
      </w:r>
      <w:r>
        <w:rPr>
          <w:spacing w:val="-2"/>
          <w:sz w:val="24"/>
        </w:rPr>
        <w:t>analysis.</w:t>
      </w:r>
    </w:p>
    <w:p>
      <w:pPr>
        <w:pStyle w:val="ListParagraph"/>
        <w:numPr>
          <w:ilvl w:val="1"/>
          <w:numId w:val="31"/>
        </w:numPr>
        <w:tabs>
          <w:tab w:pos="1019" w:val="left" w:leader="none"/>
        </w:tabs>
        <w:spacing w:line="240" w:lineRule="auto" w:before="166" w:after="0"/>
        <w:ind w:left="1019" w:right="0" w:hanging="299"/>
        <w:jc w:val="left"/>
        <w:rPr>
          <w:sz w:val="24"/>
        </w:rPr>
      </w:pPr>
      <w:r>
        <w:rPr>
          <w:sz w:val="24"/>
        </w:rPr>
        <w:t>Time-bound:</w:t>
      </w:r>
      <w:r>
        <w:rPr>
          <w:spacing w:val="-2"/>
          <w:sz w:val="24"/>
        </w:rPr>
        <w:t> </w:t>
      </w:r>
      <w:r>
        <w:rPr>
          <w:sz w:val="24"/>
        </w:rPr>
        <w:t>Reach</w:t>
      </w:r>
      <w:r>
        <w:rPr>
          <w:spacing w:val="-2"/>
          <w:sz w:val="24"/>
        </w:rPr>
        <w:t> </w:t>
      </w:r>
      <w:r>
        <w:rPr>
          <w:sz w:val="24"/>
        </w:rPr>
        <w:t>engagement</w:t>
      </w:r>
      <w:r>
        <w:rPr>
          <w:spacing w:val="-2"/>
          <w:sz w:val="24"/>
        </w:rPr>
        <w:t> </w:t>
      </w:r>
      <w:r>
        <w:rPr>
          <w:sz w:val="24"/>
        </w:rPr>
        <w:t>targets</w:t>
      </w:r>
      <w:r>
        <w:rPr>
          <w:spacing w:val="-1"/>
          <w:sz w:val="24"/>
        </w:rPr>
        <w:t> </w:t>
      </w:r>
      <w:r>
        <w:rPr>
          <w:sz w:val="24"/>
        </w:rPr>
        <w:t>by</w:t>
      </w:r>
      <w:r>
        <w:rPr>
          <w:spacing w:val="-2"/>
          <w:sz w:val="24"/>
        </w:rPr>
        <w:t> </w:t>
      </w:r>
      <w:r>
        <w:rPr>
          <w:sz w:val="24"/>
        </w:rPr>
        <w:t>the</w:t>
      </w:r>
      <w:r>
        <w:rPr>
          <w:spacing w:val="-2"/>
          <w:sz w:val="24"/>
        </w:rPr>
        <w:t> </w:t>
      </w:r>
      <w:r>
        <w:rPr>
          <w:sz w:val="24"/>
        </w:rPr>
        <w:t>end</w:t>
      </w:r>
      <w:r>
        <w:rPr>
          <w:spacing w:val="-2"/>
          <w:sz w:val="24"/>
        </w:rPr>
        <w:t> </w:t>
      </w:r>
      <w:r>
        <w:rPr>
          <w:sz w:val="24"/>
        </w:rPr>
        <w:t>of</w:t>
      </w:r>
      <w:r>
        <w:rPr>
          <w:spacing w:val="-1"/>
          <w:sz w:val="24"/>
        </w:rPr>
        <w:t> </w:t>
      </w:r>
      <w:r>
        <w:rPr>
          <w:spacing w:val="-2"/>
          <w:sz w:val="24"/>
        </w:rPr>
        <w:t>FY2026.</w:t>
      </w:r>
    </w:p>
    <w:p>
      <w:pPr>
        <w:pStyle w:val="BodyText"/>
      </w:pPr>
    </w:p>
    <w:p>
      <w:pPr>
        <w:pStyle w:val="BodyText"/>
        <w:spacing w:before="111"/>
      </w:pPr>
    </w:p>
    <w:p>
      <w:pPr>
        <w:pStyle w:val="ListParagraph"/>
        <w:numPr>
          <w:ilvl w:val="0"/>
          <w:numId w:val="31"/>
        </w:numPr>
        <w:tabs>
          <w:tab w:pos="960" w:val="left" w:leader="none"/>
        </w:tabs>
        <w:spacing w:line="240" w:lineRule="auto" w:before="1" w:after="0"/>
        <w:ind w:left="960" w:right="0" w:hanging="240"/>
        <w:jc w:val="left"/>
        <w:rPr>
          <w:sz w:val="24"/>
        </w:rPr>
      </w:pPr>
      <w:r>
        <w:rPr>
          <w:sz w:val="24"/>
        </w:rPr>
        <w:t>Training</w:t>
      </w:r>
      <w:r>
        <w:rPr>
          <w:spacing w:val="-3"/>
          <w:sz w:val="24"/>
        </w:rPr>
        <w:t> </w:t>
      </w:r>
      <w:r>
        <w:rPr>
          <w:sz w:val="24"/>
        </w:rPr>
        <w:t>and</w:t>
      </w:r>
      <w:r>
        <w:rPr>
          <w:spacing w:val="-3"/>
          <w:sz w:val="24"/>
        </w:rPr>
        <w:t> </w:t>
      </w:r>
      <w:r>
        <w:rPr>
          <w:sz w:val="24"/>
        </w:rPr>
        <w:t>Capacity</w:t>
      </w:r>
      <w:r>
        <w:rPr>
          <w:spacing w:val="-3"/>
          <w:sz w:val="24"/>
        </w:rPr>
        <w:t> </w:t>
      </w:r>
      <w:r>
        <w:rPr>
          <w:spacing w:val="-2"/>
          <w:sz w:val="24"/>
        </w:rPr>
        <w:t>Building</w:t>
      </w:r>
    </w:p>
    <w:p>
      <w:pPr>
        <w:pStyle w:val="ListParagraph"/>
        <w:numPr>
          <w:ilvl w:val="1"/>
          <w:numId w:val="31"/>
        </w:numPr>
        <w:tabs>
          <w:tab w:pos="1019" w:val="left" w:leader="none"/>
        </w:tabs>
        <w:spacing w:line="259" w:lineRule="auto" w:before="181" w:after="0"/>
        <w:ind w:left="720" w:right="1573" w:firstLine="0"/>
        <w:jc w:val="left"/>
        <w:rPr>
          <w:sz w:val="24"/>
        </w:rPr>
      </w:pPr>
      <w:r>
        <w:rPr>
          <w:sz w:val="24"/>
        </w:rPr>
        <w:t>Specific:</w:t>
      </w:r>
      <w:r>
        <w:rPr>
          <w:spacing w:val="-5"/>
          <w:sz w:val="24"/>
        </w:rPr>
        <w:t> </w:t>
      </w:r>
      <w:r>
        <w:rPr>
          <w:sz w:val="24"/>
        </w:rPr>
        <w:t>Provide</w:t>
      </w:r>
      <w:r>
        <w:rPr>
          <w:spacing w:val="-5"/>
          <w:sz w:val="24"/>
        </w:rPr>
        <w:t> </w:t>
      </w:r>
      <w:r>
        <w:rPr>
          <w:sz w:val="24"/>
        </w:rPr>
        <w:t>training</w:t>
      </w:r>
      <w:r>
        <w:rPr>
          <w:spacing w:val="-5"/>
          <w:sz w:val="24"/>
        </w:rPr>
        <w:t> </w:t>
      </w:r>
      <w:r>
        <w:rPr>
          <w:sz w:val="24"/>
        </w:rPr>
        <w:t>on</w:t>
      </w:r>
      <w:r>
        <w:rPr>
          <w:spacing w:val="-5"/>
          <w:sz w:val="24"/>
        </w:rPr>
        <w:t> </w:t>
      </w:r>
      <w:r>
        <w:rPr>
          <w:sz w:val="24"/>
        </w:rPr>
        <w:t>new</w:t>
      </w:r>
      <w:r>
        <w:rPr>
          <w:spacing w:val="-5"/>
          <w:sz w:val="24"/>
        </w:rPr>
        <w:t> </w:t>
      </w:r>
      <w:r>
        <w:rPr>
          <w:sz w:val="24"/>
        </w:rPr>
        <w:t>forensic</w:t>
      </w:r>
      <w:r>
        <w:rPr>
          <w:spacing w:val="-5"/>
          <w:sz w:val="24"/>
        </w:rPr>
        <w:t> </w:t>
      </w:r>
      <w:r>
        <w:rPr>
          <w:sz w:val="24"/>
        </w:rPr>
        <w:t>tools</w:t>
      </w:r>
      <w:r>
        <w:rPr>
          <w:spacing w:val="-5"/>
          <w:sz w:val="24"/>
        </w:rPr>
        <w:t> </w:t>
      </w:r>
      <w:r>
        <w:rPr>
          <w:sz w:val="24"/>
        </w:rPr>
        <w:t>and</w:t>
      </w:r>
      <w:r>
        <w:rPr>
          <w:spacing w:val="-5"/>
          <w:sz w:val="24"/>
        </w:rPr>
        <w:t> </w:t>
      </w:r>
      <w:r>
        <w:rPr>
          <w:sz w:val="24"/>
        </w:rPr>
        <w:t>investigative</w:t>
      </w:r>
      <w:r>
        <w:rPr>
          <w:spacing w:val="-5"/>
          <w:sz w:val="24"/>
        </w:rPr>
        <w:t> </w:t>
      </w:r>
      <w:r>
        <w:rPr>
          <w:sz w:val="24"/>
        </w:rPr>
        <w:t>techniques</w:t>
      </w:r>
      <w:r>
        <w:rPr>
          <w:spacing w:val="-5"/>
          <w:sz w:val="24"/>
        </w:rPr>
        <w:t> </w:t>
      </w:r>
      <w:r>
        <w:rPr>
          <w:sz w:val="24"/>
        </w:rPr>
        <w:t>to</w:t>
      </w:r>
      <w:r>
        <w:rPr>
          <w:spacing w:val="-5"/>
          <w:sz w:val="24"/>
        </w:rPr>
        <w:t> </w:t>
      </w:r>
      <w:r>
        <w:rPr>
          <w:sz w:val="24"/>
        </w:rPr>
        <w:t>CGIC/RTCC and partner personnel.</w:t>
      </w:r>
    </w:p>
    <w:p>
      <w:pPr>
        <w:pStyle w:val="ListParagraph"/>
        <w:numPr>
          <w:ilvl w:val="1"/>
          <w:numId w:val="31"/>
        </w:numPr>
        <w:tabs>
          <w:tab w:pos="1019" w:val="left" w:leader="none"/>
        </w:tabs>
        <w:spacing w:line="259" w:lineRule="auto" w:before="161" w:after="0"/>
        <w:ind w:left="720" w:right="1467" w:firstLine="0"/>
        <w:jc w:val="left"/>
        <w:rPr>
          <w:sz w:val="24"/>
        </w:rPr>
      </w:pPr>
      <w:r>
        <w:rPr>
          <w:sz w:val="24"/>
        </w:rPr>
        <w:t>Measurable:</w:t>
      </w:r>
      <w:r>
        <w:rPr>
          <w:spacing w:val="-5"/>
          <w:sz w:val="24"/>
        </w:rPr>
        <w:t> </w:t>
      </w:r>
      <w:r>
        <w:rPr>
          <w:sz w:val="24"/>
        </w:rPr>
        <w:t>Train</w:t>
      </w:r>
      <w:r>
        <w:rPr>
          <w:spacing w:val="-5"/>
          <w:sz w:val="24"/>
        </w:rPr>
        <w:t> </w:t>
      </w:r>
      <w:r>
        <w:rPr>
          <w:sz w:val="24"/>
        </w:rPr>
        <w:t>100%</w:t>
      </w:r>
      <w:r>
        <w:rPr>
          <w:spacing w:val="-5"/>
          <w:sz w:val="24"/>
        </w:rPr>
        <w:t> </w:t>
      </w:r>
      <w:r>
        <w:rPr>
          <w:sz w:val="24"/>
        </w:rPr>
        <w:t>of</w:t>
      </w:r>
      <w:r>
        <w:rPr>
          <w:spacing w:val="-5"/>
          <w:sz w:val="24"/>
        </w:rPr>
        <w:t> </w:t>
      </w:r>
      <w:r>
        <w:rPr>
          <w:sz w:val="24"/>
        </w:rPr>
        <w:t>CGIC/RTCC</w:t>
      </w:r>
      <w:r>
        <w:rPr>
          <w:spacing w:val="-5"/>
          <w:sz w:val="24"/>
        </w:rPr>
        <w:t> </w:t>
      </w:r>
      <w:r>
        <w:rPr>
          <w:sz w:val="24"/>
        </w:rPr>
        <w:t>staff</w:t>
      </w:r>
      <w:r>
        <w:rPr>
          <w:spacing w:val="-5"/>
          <w:sz w:val="24"/>
        </w:rPr>
        <w:t> </w:t>
      </w:r>
      <w:r>
        <w:rPr>
          <w:sz w:val="24"/>
        </w:rPr>
        <w:t>and</w:t>
      </w:r>
      <w:r>
        <w:rPr>
          <w:spacing w:val="-5"/>
          <w:sz w:val="24"/>
        </w:rPr>
        <w:t> </w:t>
      </w:r>
      <w:r>
        <w:rPr>
          <w:sz w:val="24"/>
        </w:rPr>
        <w:t>at</w:t>
      </w:r>
      <w:r>
        <w:rPr>
          <w:spacing w:val="-5"/>
          <w:sz w:val="24"/>
        </w:rPr>
        <w:t> </w:t>
      </w:r>
      <w:r>
        <w:rPr>
          <w:sz w:val="24"/>
        </w:rPr>
        <w:t>least</w:t>
      </w:r>
      <w:r>
        <w:rPr>
          <w:spacing w:val="-5"/>
          <w:sz w:val="24"/>
        </w:rPr>
        <w:t> </w:t>
      </w:r>
      <w:r>
        <w:rPr>
          <w:sz w:val="24"/>
        </w:rPr>
        <w:t>50</w:t>
      </w:r>
      <w:r>
        <w:rPr>
          <w:spacing w:val="-5"/>
          <w:sz w:val="24"/>
        </w:rPr>
        <w:t> </w:t>
      </w:r>
      <w:r>
        <w:rPr>
          <w:sz w:val="24"/>
        </w:rPr>
        <w:t>regional</w:t>
      </w:r>
      <w:r>
        <w:rPr>
          <w:spacing w:val="-5"/>
          <w:sz w:val="24"/>
        </w:rPr>
        <w:t> </w:t>
      </w:r>
      <w:r>
        <w:rPr>
          <w:sz w:val="24"/>
        </w:rPr>
        <w:t>investigators</w:t>
      </w:r>
      <w:r>
        <w:rPr>
          <w:spacing w:val="-5"/>
          <w:sz w:val="24"/>
        </w:rPr>
        <w:t> </w:t>
      </w:r>
      <w:r>
        <w:rPr>
          <w:sz w:val="24"/>
        </w:rPr>
        <w:t>within</w:t>
      </w:r>
      <w:r>
        <w:rPr>
          <w:spacing w:val="-5"/>
          <w:sz w:val="24"/>
        </w:rPr>
        <w:t> </w:t>
      </w:r>
      <w:r>
        <w:rPr>
          <w:sz w:val="24"/>
        </w:rPr>
        <w:t>the first 12 months.</w:t>
      </w:r>
    </w:p>
    <w:p>
      <w:pPr>
        <w:pStyle w:val="ListParagraph"/>
        <w:numPr>
          <w:ilvl w:val="1"/>
          <w:numId w:val="31"/>
        </w:numPr>
        <w:tabs>
          <w:tab w:pos="1019" w:val="left" w:leader="none"/>
        </w:tabs>
        <w:spacing w:line="240" w:lineRule="auto" w:before="162" w:after="0"/>
        <w:ind w:left="1019" w:right="0" w:hanging="299"/>
        <w:jc w:val="left"/>
        <w:rPr>
          <w:sz w:val="24"/>
        </w:rPr>
      </w:pPr>
      <w:r>
        <w:rPr>
          <w:sz w:val="24"/>
        </w:rPr>
        <w:t>Achievable:</w:t>
      </w:r>
      <w:r>
        <w:rPr>
          <w:spacing w:val="-6"/>
          <w:sz w:val="24"/>
        </w:rPr>
        <w:t> </w:t>
      </w:r>
      <w:r>
        <w:rPr>
          <w:sz w:val="24"/>
        </w:rPr>
        <w:t>Through</w:t>
      </w:r>
      <w:r>
        <w:rPr>
          <w:spacing w:val="-5"/>
          <w:sz w:val="24"/>
        </w:rPr>
        <w:t> </w:t>
      </w:r>
      <w:r>
        <w:rPr>
          <w:sz w:val="24"/>
        </w:rPr>
        <w:t>ATF</w:t>
      </w:r>
      <w:r>
        <w:rPr>
          <w:spacing w:val="-5"/>
          <w:sz w:val="24"/>
        </w:rPr>
        <w:t> </w:t>
      </w:r>
      <w:r>
        <w:rPr>
          <w:sz w:val="24"/>
        </w:rPr>
        <w:t>partnerships</w:t>
      </w:r>
      <w:r>
        <w:rPr>
          <w:spacing w:val="-6"/>
          <w:sz w:val="24"/>
        </w:rPr>
        <w:t> </w:t>
      </w:r>
      <w:r>
        <w:rPr>
          <w:sz w:val="24"/>
        </w:rPr>
        <w:t>and</w:t>
      </w:r>
      <w:r>
        <w:rPr>
          <w:spacing w:val="-5"/>
          <w:sz w:val="24"/>
        </w:rPr>
        <w:t> </w:t>
      </w:r>
      <w:r>
        <w:rPr>
          <w:sz w:val="24"/>
        </w:rPr>
        <w:t>vendor-supported</w:t>
      </w:r>
      <w:r>
        <w:rPr>
          <w:spacing w:val="-5"/>
          <w:sz w:val="24"/>
        </w:rPr>
        <w:t> </w:t>
      </w:r>
      <w:r>
        <w:rPr>
          <w:spacing w:val="-2"/>
          <w:sz w:val="24"/>
        </w:rPr>
        <w:t>sessions.</w:t>
      </w:r>
    </w:p>
    <w:p>
      <w:pPr>
        <w:pStyle w:val="ListParagraph"/>
        <w:numPr>
          <w:ilvl w:val="1"/>
          <w:numId w:val="31"/>
        </w:numPr>
        <w:tabs>
          <w:tab w:pos="1019" w:val="left" w:leader="none"/>
        </w:tabs>
        <w:spacing w:line="240" w:lineRule="auto" w:before="166" w:after="0"/>
        <w:ind w:left="1019" w:right="0" w:hanging="299"/>
        <w:jc w:val="left"/>
        <w:rPr>
          <w:sz w:val="24"/>
        </w:rPr>
      </w:pPr>
      <w:r>
        <w:rPr>
          <w:sz w:val="24"/>
        </w:rPr>
        <w:t>Relevant:</w:t>
      </w:r>
      <w:r>
        <w:rPr>
          <w:spacing w:val="-3"/>
          <w:sz w:val="24"/>
        </w:rPr>
        <w:t> </w:t>
      </w:r>
      <w:r>
        <w:rPr>
          <w:sz w:val="24"/>
        </w:rPr>
        <w:t>Enhances</w:t>
      </w:r>
      <w:r>
        <w:rPr>
          <w:spacing w:val="-3"/>
          <w:sz w:val="24"/>
        </w:rPr>
        <w:t> </w:t>
      </w:r>
      <w:r>
        <w:rPr>
          <w:sz w:val="24"/>
        </w:rPr>
        <w:t>data</w:t>
      </w:r>
      <w:r>
        <w:rPr>
          <w:spacing w:val="-2"/>
          <w:sz w:val="24"/>
        </w:rPr>
        <w:t> </w:t>
      </w:r>
      <w:r>
        <w:rPr>
          <w:sz w:val="24"/>
        </w:rPr>
        <w:t>accuracy,</w:t>
      </w:r>
      <w:r>
        <w:rPr>
          <w:spacing w:val="-3"/>
          <w:sz w:val="24"/>
        </w:rPr>
        <w:t> </w:t>
      </w:r>
      <w:r>
        <w:rPr>
          <w:sz w:val="24"/>
        </w:rPr>
        <w:t>investigative</w:t>
      </w:r>
      <w:r>
        <w:rPr>
          <w:spacing w:val="-3"/>
          <w:sz w:val="24"/>
        </w:rPr>
        <w:t> </w:t>
      </w:r>
      <w:r>
        <w:rPr>
          <w:sz w:val="24"/>
        </w:rPr>
        <w:t>effectiveness,</w:t>
      </w:r>
      <w:r>
        <w:rPr>
          <w:spacing w:val="-2"/>
          <w:sz w:val="24"/>
        </w:rPr>
        <w:t> </w:t>
      </w:r>
      <w:r>
        <w:rPr>
          <w:sz w:val="24"/>
        </w:rPr>
        <w:t>and</w:t>
      </w:r>
      <w:r>
        <w:rPr>
          <w:spacing w:val="-3"/>
          <w:sz w:val="24"/>
        </w:rPr>
        <w:t> </w:t>
      </w:r>
      <w:r>
        <w:rPr>
          <w:sz w:val="24"/>
        </w:rPr>
        <w:t>interagency</w:t>
      </w:r>
      <w:r>
        <w:rPr>
          <w:spacing w:val="-2"/>
          <w:sz w:val="24"/>
        </w:rPr>
        <w:t> coordination.</w:t>
      </w:r>
    </w:p>
    <w:p>
      <w:pPr>
        <w:pStyle w:val="ListParagraph"/>
        <w:numPr>
          <w:ilvl w:val="1"/>
          <w:numId w:val="31"/>
        </w:numPr>
        <w:tabs>
          <w:tab w:pos="1019" w:val="left" w:leader="none"/>
        </w:tabs>
        <w:spacing w:line="240" w:lineRule="auto" w:before="7" w:after="0"/>
        <w:ind w:left="1019" w:right="0" w:hanging="299"/>
        <w:jc w:val="left"/>
        <w:rPr>
          <w:sz w:val="24"/>
        </w:rPr>
      </w:pPr>
      <w:r>
        <w:rPr>
          <w:sz w:val="24"/>
        </w:rPr>
        <w:t>Time-bound:</w:t>
      </w:r>
      <w:r>
        <w:rPr>
          <w:spacing w:val="-1"/>
          <w:sz w:val="24"/>
        </w:rPr>
        <w:t> </w:t>
      </w:r>
      <w:r>
        <w:rPr>
          <w:sz w:val="24"/>
        </w:rPr>
        <w:t>Complete</w:t>
      </w:r>
      <w:r>
        <w:rPr>
          <w:spacing w:val="-1"/>
          <w:sz w:val="24"/>
        </w:rPr>
        <w:t> </w:t>
      </w:r>
      <w:r>
        <w:rPr>
          <w:sz w:val="24"/>
        </w:rPr>
        <w:t>initial</w:t>
      </w:r>
      <w:r>
        <w:rPr>
          <w:spacing w:val="-1"/>
          <w:sz w:val="24"/>
        </w:rPr>
        <w:t> </w:t>
      </w:r>
      <w:r>
        <w:rPr>
          <w:sz w:val="24"/>
        </w:rPr>
        <w:t>training</w:t>
      </w:r>
      <w:r>
        <w:rPr>
          <w:spacing w:val="-1"/>
          <w:sz w:val="24"/>
        </w:rPr>
        <w:t> </w:t>
      </w:r>
      <w:r>
        <w:rPr>
          <w:sz w:val="24"/>
        </w:rPr>
        <w:t>cycle</w:t>
      </w:r>
      <w:r>
        <w:rPr>
          <w:spacing w:val="-1"/>
          <w:sz w:val="24"/>
        </w:rPr>
        <w:t> </w:t>
      </w:r>
      <w:r>
        <w:rPr>
          <w:sz w:val="24"/>
        </w:rPr>
        <w:t>by Q2</w:t>
      </w:r>
      <w:r>
        <w:rPr>
          <w:spacing w:val="-1"/>
          <w:sz w:val="24"/>
        </w:rPr>
        <w:t> </w:t>
      </w:r>
      <w:r>
        <w:rPr>
          <w:sz w:val="24"/>
        </w:rPr>
        <w:t>2027,</w:t>
      </w:r>
      <w:r>
        <w:rPr>
          <w:spacing w:val="-1"/>
          <w:sz w:val="24"/>
        </w:rPr>
        <w:t> </w:t>
      </w:r>
      <w:r>
        <w:rPr>
          <w:sz w:val="24"/>
        </w:rPr>
        <w:t>with</w:t>
      </w:r>
      <w:r>
        <w:rPr>
          <w:spacing w:val="-1"/>
          <w:sz w:val="24"/>
        </w:rPr>
        <w:t> </w:t>
      </w:r>
      <w:r>
        <w:rPr>
          <w:sz w:val="24"/>
        </w:rPr>
        <w:t>annual</w:t>
      </w:r>
      <w:r>
        <w:rPr>
          <w:spacing w:val="-1"/>
          <w:sz w:val="24"/>
        </w:rPr>
        <w:t> </w:t>
      </w:r>
      <w:r>
        <w:rPr>
          <w:sz w:val="24"/>
        </w:rPr>
        <w:t>refreshers </w:t>
      </w:r>
      <w:r>
        <w:rPr>
          <w:spacing w:val="-2"/>
          <w:sz w:val="24"/>
        </w:rPr>
        <w:t>thereafter.</w:t>
      </w:r>
    </w:p>
    <w:p>
      <w:pPr>
        <w:pStyle w:val="Heading4"/>
        <w:spacing w:before="186"/>
        <w:ind w:left="720"/>
      </w:pPr>
      <w:r>
        <w:rPr>
          <w:spacing w:val="-2"/>
        </w:rPr>
        <w:t>Conclusion</w:t>
      </w:r>
    </w:p>
    <w:p>
      <w:pPr>
        <w:pStyle w:val="BodyText"/>
        <w:spacing w:before="20"/>
        <w:rPr>
          <w:b/>
        </w:rPr>
      </w:pPr>
    </w:p>
    <w:p>
      <w:pPr>
        <w:pStyle w:val="BodyText"/>
        <w:ind w:left="720" w:right="1897"/>
      </w:pPr>
      <w:r>
        <w:rPr/>
        <w:t>This</w:t>
      </w:r>
      <w:r>
        <w:rPr>
          <w:spacing w:val="-3"/>
        </w:rPr>
        <w:t> </w:t>
      </w:r>
      <w:r>
        <w:rPr/>
        <w:t>research</w:t>
      </w:r>
      <w:r>
        <w:rPr>
          <w:spacing w:val="-3"/>
        </w:rPr>
        <w:t> </w:t>
      </w:r>
      <w:r>
        <w:rPr/>
        <w:t>assessed</w:t>
      </w:r>
      <w:r>
        <w:rPr>
          <w:spacing w:val="-3"/>
        </w:rPr>
        <w:t> </w:t>
      </w:r>
      <w:r>
        <w:rPr/>
        <w:t>the</w:t>
      </w:r>
      <w:r>
        <w:rPr>
          <w:spacing w:val="-3"/>
        </w:rPr>
        <w:t> </w:t>
      </w:r>
      <w:r>
        <w:rPr/>
        <w:t>need</w:t>
      </w:r>
      <w:r>
        <w:rPr>
          <w:spacing w:val="-3"/>
        </w:rPr>
        <w:t> </w:t>
      </w:r>
      <w:r>
        <w:rPr/>
        <w:t>for</w:t>
      </w:r>
      <w:r>
        <w:rPr>
          <w:spacing w:val="-3"/>
        </w:rPr>
        <w:t> </w:t>
      </w:r>
      <w:r>
        <w:rPr/>
        <w:t>a</w:t>
      </w:r>
      <w:r>
        <w:rPr>
          <w:spacing w:val="-3"/>
        </w:rPr>
        <w:t> </w:t>
      </w:r>
      <w:r>
        <w:rPr/>
        <w:t>Regional</w:t>
      </w:r>
      <w:r>
        <w:rPr>
          <w:spacing w:val="-3"/>
        </w:rPr>
        <w:t> </w:t>
      </w:r>
      <w:r>
        <w:rPr/>
        <w:t>Crime</w:t>
      </w:r>
      <w:r>
        <w:rPr>
          <w:spacing w:val="-3"/>
        </w:rPr>
        <w:t> </w:t>
      </w:r>
      <w:r>
        <w:rPr/>
        <w:t>Gun</w:t>
      </w:r>
      <w:r>
        <w:rPr>
          <w:spacing w:val="-3"/>
        </w:rPr>
        <w:t> </w:t>
      </w:r>
      <w:r>
        <w:rPr/>
        <w:t>Intelligence</w:t>
      </w:r>
      <w:r>
        <w:rPr>
          <w:spacing w:val="-3"/>
        </w:rPr>
        <w:t> </w:t>
      </w:r>
      <w:r>
        <w:rPr/>
        <w:t>Center</w:t>
      </w:r>
      <w:r>
        <w:rPr>
          <w:spacing w:val="-3"/>
        </w:rPr>
        <w:t> </w:t>
      </w:r>
      <w:r>
        <w:rPr/>
        <w:t>and</w:t>
      </w:r>
      <w:r>
        <w:rPr>
          <w:spacing w:val="-3"/>
        </w:rPr>
        <w:t> </w:t>
      </w:r>
      <w:r>
        <w:rPr/>
        <w:t>evaluated how Firearm Investigations through Real-Time Intelligence can enhance investigation in rural jurisdictions.</w:t>
      </w:r>
    </w:p>
    <w:p>
      <w:pPr>
        <w:pStyle w:val="BodyText"/>
        <w:spacing w:before="190"/>
        <w:ind w:left="720" w:right="1725"/>
      </w:pPr>
      <w:r>
        <w:rPr/>
        <w:t>The findings indicate that lack of a CGIC has contributed to delayed firearm tracing, incomplete investigations, and prolonged offender activity across the jurisdiction and its underscore</w:t>
      </w:r>
      <w:r>
        <w:rPr>
          <w:spacing w:val="-4"/>
        </w:rPr>
        <w:t> </w:t>
      </w:r>
      <w:r>
        <w:rPr/>
        <w:t>the</w:t>
      </w:r>
      <w:r>
        <w:rPr>
          <w:spacing w:val="-4"/>
        </w:rPr>
        <w:t> </w:t>
      </w:r>
      <w:r>
        <w:rPr/>
        <w:t>urgent</w:t>
      </w:r>
      <w:r>
        <w:rPr>
          <w:spacing w:val="-4"/>
        </w:rPr>
        <w:t> </w:t>
      </w:r>
      <w:r>
        <w:rPr/>
        <w:t>need</w:t>
      </w:r>
      <w:r>
        <w:rPr>
          <w:spacing w:val="40"/>
        </w:rPr>
        <w:t> </w:t>
      </w:r>
      <w:r>
        <w:rPr/>
        <w:t>for</w:t>
      </w:r>
      <w:r>
        <w:rPr>
          <w:spacing w:val="-4"/>
        </w:rPr>
        <w:t> </w:t>
      </w:r>
      <w:r>
        <w:rPr/>
        <w:t>a</w:t>
      </w:r>
      <w:r>
        <w:rPr>
          <w:spacing w:val="-4"/>
        </w:rPr>
        <w:t> </w:t>
      </w:r>
      <w:r>
        <w:rPr/>
        <w:t>coordinated,</w:t>
      </w:r>
      <w:r>
        <w:rPr>
          <w:spacing w:val="-4"/>
        </w:rPr>
        <w:t> </w:t>
      </w:r>
      <w:r>
        <w:rPr/>
        <w:t>intelligence-driven</w:t>
      </w:r>
      <w:r>
        <w:rPr>
          <w:spacing w:val="-4"/>
        </w:rPr>
        <w:t> </w:t>
      </w:r>
      <w:r>
        <w:rPr/>
        <w:t>response</w:t>
      </w:r>
      <w:r>
        <w:rPr>
          <w:spacing w:val="-4"/>
        </w:rPr>
        <w:t> </w:t>
      </w:r>
      <w:r>
        <w:rPr/>
        <w:t>to</w:t>
      </w:r>
      <w:r>
        <w:rPr>
          <w:spacing w:val="-4"/>
        </w:rPr>
        <w:t> </w:t>
      </w:r>
      <w:r>
        <w:rPr/>
        <w:t>firearm-</w:t>
      </w:r>
      <w:r>
        <w:rPr/>
        <w:t>related crime in the region. The increasing</w:t>
      </w:r>
      <w:r>
        <w:rPr>
          <w:spacing w:val="40"/>
        </w:rPr>
        <w:t> </w:t>
      </w:r>
      <w:r>
        <w:rPr/>
        <w:t>trend in violent crime and the presence of regional hotspots further reinforce the need for a more</w:t>
      </w:r>
      <w:r>
        <w:rPr>
          <w:spacing w:val="40"/>
        </w:rPr>
        <w:t> </w:t>
      </w:r>
      <w:r>
        <w:rPr/>
        <w:t>integrated and collaborative approval</w:t>
      </w:r>
    </w:p>
    <w:p>
      <w:pPr>
        <w:pStyle w:val="BodyText"/>
        <w:spacing w:before="189"/>
        <w:ind w:left="720"/>
      </w:pPr>
      <w:r>
        <w:rPr/>
        <w:t>RTCC,</w:t>
      </w:r>
      <w:r>
        <w:rPr>
          <w:spacing w:val="9"/>
        </w:rPr>
        <w:t> </w:t>
      </w:r>
      <w:r>
        <w:rPr/>
        <w:t>an</w:t>
      </w:r>
      <w:r>
        <w:rPr>
          <w:spacing w:val="-3"/>
        </w:rPr>
        <w:t> </w:t>
      </w:r>
      <w:r>
        <w:rPr/>
        <w:t>initiative</w:t>
      </w:r>
      <w:r>
        <w:rPr>
          <w:spacing w:val="-3"/>
        </w:rPr>
        <w:t> </w:t>
      </w:r>
      <w:r>
        <w:rPr/>
        <w:t>at</w:t>
      </w:r>
      <w:r>
        <w:rPr>
          <w:spacing w:val="-3"/>
        </w:rPr>
        <w:t> </w:t>
      </w:r>
      <w:r>
        <w:rPr/>
        <w:t>East</w:t>
      </w:r>
      <w:r>
        <w:rPr>
          <w:spacing w:val="-2"/>
        </w:rPr>
        <w:t> </w:t>
      </w:r>
      <w:r>
        <w:rPr/>
        <w:t>Tennessee</w:t>
      </w:r>
      <w:r>
        <w:rPr>
          <w:spacing w:val="-3"/>
        </w:rPr>
        <w:t> </w:t>
      </w:r>
      <w:r>
        <w:rPr/>
        <w:t>Region,</w:t>
      </w:r>
      <w:r>
        <w:rPr>
          <w:spacing w:val="-3"/>
        </w:rPr>
        <w:t> </w:t>
      </w:r>
      <w:r>
        <w:rPr/>
        <w:t>provides</w:t>
      </w:r>
      <w:r>
        <w:rPr>
          <w:spacing w:val="-3"/>
        </w:rPr>
        <w:t> </w:t>
      </w:r>
      <w:r>
        <w:rPr/>
        <w:t>a</w:t>
      </w:r>
      <w:r>
        <w:rPr>
          <w:spacing w:val="-3"/>
        </w:rPr>
        <w:t> </w:t>
      </w:r>
      <w:r>
        <w:rPr/>
        <w:t>comprehensive</w:t>
      </w:r>
      <w:r>
        <w:rPr>
          <w:spacing w:val="-3"/>
        </w:rPr>
        <w:t> </w:t>
      </w:r>
      <w:r>
        <w:rPr/>
        <w:t>and</w:t>
      </w:r>
      <w:r>
        <w:rPr>
          <w:spacing w:val="-2"/>
        </w:rPr>
        <w:t> </w:t>
      </w:r>
      <w:r>
        <w:rPr/>
        <w:t>evidence-</w:t>
      </w:r>
      <w:r>
        <w:rPr>
          <w:spacing w:val="-2"/>
        </w:rPr>
        <w:t>based</w:t>
      </w:r>
    </w:p>
    <w:p>
      <w:pPr>
        <w:pStyle w:val="BodyText"/>
        <w:spacing w:after="0"/>
        <w:sectPr>
          <w:footerReference w:type="default" r:id="rId225"/>
          <w:pgSz w:w="12240" w:h="15840"/>
          <w:pgMar w:header="0" w:footer="750" w:top="640" w:bottom="940" w:left="720" w:right="0"/>
        </w:sectPr>
      </w:pPr>
    </w:p>
    <w:p>
      <w:pPr>
        <w:pStyle w:val="BodyText"/>
        <w:spacing w:before="60"/>
        <w:ind w:left="720" w:right="1835"/>
        <w:jc w:val="both"/>
      </w:pPr>
      <w:r>
        <w:rPr/>
        <w:t>approach</w:t>
      </w:r>
      <w:r>
        <w:rPr>
          <w:spacing w:val="40"/>
        </w:rPr>
        <w:t> </w:t>
      </w:r>
      <w:r>
        <w:rPr/>
        <w:t>to addressing these challenges. By leveraging</w:t>
      </w:r>
      <w:r>
        <w:rPr>
          <w:spacing w:val="-3"/>
        </w:rPr>
        <w:t> </w:t>
      </w:r>
      <w:r>
        <w:rPr/>
        <w:t>proven</w:t>
      </w:r>
      <w:r>
        <w:rPr>
          <w:spacing w:val="-3"/>
        </w:rPr>
        <w:t> </w:t>
      </w:r>
      <w:r>
        <w:rPr/>
        <w:t>technologies</w:t>
      </w:r>
      <w:r>
        <w:rPr>
          <w:spacing w:val="-3"/>
        </w:rPr>
        <w:t> </w:t>
      </w:r>
      <w:r>
        <w:rPr/>
        <w:t>such</w:t>
      </w:r>
      <w:r>
        <w:rPr>
          <w:spacing w:val="-3"/>
        </w:rPr>
        <w:t> </w:t>
      </w:r>
      <w:r>
        <w:rPr/>
        <w:t>as</w:t>
      </w:r>
      <w:r>
        <w:rPr>
          <w:spacing w:val="-3"/>
        </w:rPr>
        <w:t> </w:t>
      </w:r>
      <w:r>
        <w:rPr/>
        <w:t>NIBIN and eTrace, integrating</w:t>
      </w:r>
      <w:r>
        <w:rPr>
          <w:spacing w:val="40"/>
        </w:rPr>
        <w:t> </w:t>
      </w:r>
      <w:r>
        <w:rPr/>
        <w:t>real-time data sources, and offering a centralized platform for ballistic analysis and information sharing,</w:t>
      </w:r>
      <w:r>
        <w:rPr>
          <w:spacing w:val="40"/>
        </w:rPr>
        <w:t> </w:t>
      </w:r>
      <w:r>
        <w:rPr/>
        <w:t>the CGIC enhance investigative efficiency, strengthen interagency collaboration, and support regional</w:t>
      </w:r>
      <w:r>
        <w:rPr>
          <w:spacing w:val="40"/>
        </w:rPr>
        <w:t> </w:t>
      </w:r>
      <w:r>
        <w:rPr/>
        <w:t>crime prevention efforts.</w:t>
      </w:r>
    </w:p>
    <w:p>
      <w:pPr>
        <w:pStyle w:val="BodyText"/>
      </w:pPr>
    </w:p>
    <w:p>
      <w:pPr>
        <w:pStyle w:val="BodyText"/>
        <w:spacing w:before="1"/>
        <w:ind w:left="720" w:right="1835"/>
        <w:jc w:val="both"/>
      </w:pPr>
      <w:r>
        <w:rPr/>
        <w:t>Through structured implementation and training, the CGIC enhance firearm-related </w:t>
      </w:r>
      <w:r>
        <w:rPr/>
        <w:t>case resolution,</w:t>
      </w:r>
      <w:r>
        <w:rPr>
          <w:spacing w:val="80"/>
        </w:rPr>
        <w:t> </w:t>
      </w:r>
      <w:r>
        <w:rPr/>
        <w:t>disrupts gun trafficking, and aids in removing violent offenders. A regional CGIC strengthens law</w:t>
      </w:r>
      <w:r>
        <w:rPr>
          <w:spacing w:val="40"/>
        </w:rPr>
        <w:t> </w:t>
      </w:r>
      <w:r>
        <w:rPr/>
        <w:t>enforcement, fosters public trust, and supports a data-driven</w:t>
      </w:r>
      <w:r>
        <w:rPr>
          <w:spacing w:val="-3"/>
        </w:rPr>
        <w:t> </w:t>
      </w:r>
      <w:r>
        <w:rPr/>
        <w:t>method to reduce gun violence in East</w:t>
      </w:r>
      <w:r>
        <w:rPr>
          <w:spacing w:val="40"/>
        </w:rPr>
        <w:t> </w:t>
      </w:r>
      <w:r>
        <w:rPr/>
        <w:t>Tennessee and nearby areas.</w:t>
      </w:r>
    </w:p>
    <w:p>
      <w:pPr>
        <w:pStyle w:val="BodyText"/>
        <w:spacing w:before="191"/>
        <w:ind w:left="720" w:right="1830"/>
        <w:jc w:val="both"/>
      </w:pPr>
      <w:r>
        <w:rPr/>
        <w:t>This study adds to the body of research by offering a scalable, data-driven model </w:t>
      </w:r>
      <w:r>
        <w:rPr/>
        <w:t>for incorporating crime</w:t>
      </w:r>
      <w:r>
        <w:rPr>
          <w:spacing w:val="40"/>
        </w:rPr>
        <w:t> </w:t>
      </w:r>
      <w:r>
        <w:rPr/>
        <w:t>gun intelligence systems in rural areas. The proposed framework is conceptual, but it lays the groundwork</w:t>
      </w:r>
      <w:r>
        <w:rPr>
          <w:spacing w:val="40"/>
        </w:rPr>
        <w:t> </w:t>
      </w:r>
      <w:r>
        <w:rPr/>
        <w:t>for future implementation and assessment.</w:t>
      </w:r>
    </w:p>
    <w:p>
      <w:pPr>
        <w:pStyle w:val="BodyText"/>
        <w:spacing w:before="189"/>
        <w:ind w:left="720" w:right="2174"/>
        <w:jc w:val="both"/>
      </w:pPr>
      <w:r>
        <w:rPr/>
        <w:t>Future research ought to concentrate on the operational implementation of CGIC systems and</w:t>
      </w:r>
      <w:r>
        <w:rPr>
          <w:spacing w:val="-4"/>
        </w:rPr>
        <w:t> </w:t>
      </w:r>
      <w:r>
        <w:rPr/>
        <w:t>evaluate</w:t>
      </w:r>
      <w:r>
        <w:rPr>
          <w:spacing w:val="40"/>
        </w:rPr>
        <w:t> </w:t>
      </w:r>
      <w:r>
        <w:rPr/>
        <w:t>their</w:t>
      </w:r>
      <w:r>
        <w:rPr>
          <w:spacing w:val="-4"/>
        </w:rPr>
        <w:t> </w:t>
      </w:r>
      <w:r>
        <w:rPr/>
        <w:t>influence</w:t>
      </w:r>
      <w:r>
        <w:rPr>
          <w:spacing w:val="-4"/>
        </w:rPr>
        <w:t> </w:t>
      </w:r>
      <w:r>
        <w:rPr/>
        <w:t>on</w:t>
      </w:r>
      <w:r>
        <w:rPr>
          <w:spacing w:val="-4"/>
        </w:rPr>
        <w:t> </w:t>
      </w:r>
      <w:r>
        <w:rPr/>
        <w:t>case</w:t>
      </w:r>
      <w:r>
        <w:rPr>
          <w:spacing w:val="-4"/>
        </w:rPr>
        <w:t> </w:t>
      </w:r>
      <w:r>
        <w:rPr/>
        <w:t>resolution</w:t>
      </w:r>
      <w:r>
        <w:rPr>
          <w:spacing w:val="-4"/>
        </w:rPr>
        <w:t> </w:t>
      </w:r>
      <w:r>
        <w:rPr/>
        <w:t>rates,</w:t>
      </w:r>
      <w:r>
        <w:rPr>
          <w:spacing w:val="-4"/>
        </w:rPr>
        <w:t> </w:t>
      </w:r>
      <w:r>
        <w:rPr/>
        <w:t>investigative</w:t>
      </w:r>
      <w:r>
        <w:rPr>
          <w:spacing w:val="-4"/>
        </w:rPr>
        <w:t> </w:t>
      </w:r>
      <w:r>
        <w:rPr/>
        <w:t>timelines,</w:t>
      </w:r>
      <w:r>
        <w:rPr>
          <w:spacing w:val="-4"/>
        </w:rPr>
        <w:t> </w:t>
      </w:r>
      <w:r>
        <w:rPr/>
        <w:t>and</w:t>
      </w:r>
      <w:r>
        <w:rPr>
          <w:spacing w:val="-4"/>
        </w:rPr>
        <w:t> </w:t>
      </w:r>
      <w:r>
        <w:rPr/>
        <w:t>regional </w:t>
      </w:r>
      <w:r>
        <w:rPr>
          <w:spacing w:val="-2"/>
        </w:rPr>
        <w:t>collaboration.</w:t>
      </w:r>
    </w:p>
    <w:p>
      <w:pPr>
        <w:pStyle w:val="Heading4"/>
        <w:spacing w:before="276"/>
        <w:ind w:left="720"/>
      </w:pPr>
      <w:r>
        <w:rPr>
          <w:spacing w:val="-2"/>
        </w:rPr>
        <w:t>References</w:t>
      </w:r>
    </w:p>
    <w:p>
      <w:pPr>
        <w:pStyle w:val="BodyText"/>
        <w:spacing w:before="200"/>
        <w:ind w:left="720"/>
      </w:pPr>
      <w:r>
        <w:rPr/>
        <w:t>Chattanooga Police Department. (2020). Crime Gun Intelligence Center (CGIC) grant </w:t>
      </w:r>
      <w:r>
        <w:rPr>
          <w:spacing w:val="-2"/>
        </w:rPr>
        <w:t>narrative.</w:t>
      </w:r>
    </w:p>
    <w:p>
      <w:pPr>
        <w:pStyle w:val="BodyText"/>
        <w:spacing w:before="200"/>
        <w:ind w:left="720" w:right="1619"/>
      </w:pPr>
      <w:r>
        <w:rPr/>
        <w:t>Mann,</w:t>
      </w:r>
      <w:r>
        <w:rPr>
          <w:spacing w:val="-6"/>
        </w:rPr>
        <w:t> </w:t>
      </w:r>
      <w:r>
        <w:rPr/>
        <w:t>Alex.</w:t>
      </w:r>
      <w:r>
        <w:rPr>
          <w:spacing w:val="-6"/>
        </w:rPr>
        <w:t> </w:t>
      </w:r>
      <w:r>
        <w:rPr/>
        <w:t>(2022)</w:t>
      </w:r>
      <w:r>
        <w:rPr>
          <w:spacing w:val="-6"/>
        </w:rPr>
        <w:t> </w:t>
      </w:r>
      <w:r>
        <w:rPr/>
        <w:t>“Md.</w:t>
      </w:r>
      <w:r>
        <w:rPr>
          <w:spacing w:val="-6"/>
        </w:rPr>
        <w:t> </w:t>
      </w:r>
      <w:r>
        <w:rPr/>
        <w:t>Court</w:t>
      </w:r>
      <w:r>
        <w:rPr>
          <w:spacing w:val="-6"/>
        </w:rPr>
        <w:t> </w:t>
      </w:r>
      <w:r>
        <w:rPr/>
        <w:t>Weighs</w:t>
      </w:r>
      <w:r>
        <w:rPr>
          <w:spacing w:val="-6"/>
        </w:rPr>
        <w:t> </w:t>
      </w:r>
      <w:r>
        <w:rPr/>
        <w:t>Limiting</w:t>
      </w:r>
      <w:r>
        <w:rPr>
          <w:spacing w:val="-6"/>
        </w:rPr>
        <w:t> </w:t>
      </w:r>
      <w:r>
        <w:rPr/>
        <w:t>Ballistic</w:t>
      </w:r>
      <w:r>
        <w:rPr>
          <w:spacing w:val="-6"/>
        </w:rPr>
        <w:t> </w:t>
      </w:r>
      <w:r>
        <w:rPr/>
        <w:t>Evidence</w:t>
      </w:r>
      <w:r>
        <w:rPr>
          <w:spacing w:val="-6"/>
        </w:rPr>
        <w:t> </w:t>
      </w:r>
      <w:r>
        <w:rPr/>
        <w:t>Linking</w:t>
      </w:r>
      <w:r>
        <w:rPr>
          <w:spacing w:val="-6"/>
        </w:rPr>
        <w:t> </w:t>
      </w:r>
      <w:r>
        <w:rPr/>
        <w:t>Guns</w:t>
      </w:r>
      <w:r>
        <w:rPr>
          <w:spacing w:val="-6"/>
        </w:rPr>
        <w:t> </w:t>
      </w:r>
      <w:r>
        <w:rPr/>
        <w:t>in Shootings.”</w:t>
      </w:r>
      <w:r>
        <w:rPr>
          <w:spacing w:val="40"/>
        </w:rPr>
        <w:t> </w:t>
      </w:r>
      <w:r>
        <w:rPr/>
        <w:t>Baltimore Sun, December 5.</w:t>
      </w:r>
    </w:p>
    <w:p>
      <w:pPr>
        <w:pStyle w:val="BodyText"/>
        <w:tabs>
          <w:tab w:pos="2211" w:val="left" w:leader="none"/>
          <w:tab w:pos="4109" w:val="left" w:leader="none"/>
          <w:tab w:pos="6359" w:val="left" w:leader="none"/>
          <w:tab w:pos="7644" w:val="left" w:leader="none"/>
          <w:tab w:pos="8800" w:val="left" w:leader="none"/>
        </w:tabs>
        <w:spacing w:before="199"/>
        <w:ind w:left="720" w:right="1829"/>
        <w:jc w:val="both"/>
      </w:pPr>
      <w:r>
        <w:rPr/>
        <w:t>Braga, Anthony A. and Philip J. Cook (2018) “The Association of Firearm Caliber </w:t>
      </w:r>
      <w:r>
        <w:rPr/>
        <w:t>with Likelihood of</w:t>
      </w:r>
      <w:r>
        <w:rPr>
          <w:spacing w:val="40"/>
        </w:rPr>
        <w:t> </w:t>
      </w:r>
      <w:r>
        <w:rPr/>
        <w:t>Death from Gunshot Injury in Criminal Assaults.” Journal of the American </w:t>
      </w:r>
      <w:r>
        <w:rPr>
          <w:spacing w:val="-2"/>
        </w:rPr>
        <w:t>Medical</w:t>
      </w:r>
      <w:r>
        <w:rPr/>
        <w:tab/>
      </w:r>
      <w:r>
        <w:rPr>
          <w:spacing w:val="-2"/>
        </w:rPr>
        <w:t>Association,</w:t>
      </w:r>
      <w:r>
        <w:rPr/>
        <w:tab/>
      </w:r>
      <w:r>
        <w:rPr>
          <w:spacing w:val="-2"/>
        </w:rPr>
        <w:t>Network</w:t>
      </w:r>
      <w:r>
        <w:rPr/>
        <w:tab/>
      </w:r>
      <w:r>
        <w:rPr>
          <w:spacing w:val="-2"/>
        </w:rPr>
        <w:t>Open,</w:t>
      </w:r>
      <w:r>
        <w:rPr/>
        <w:tab/>
      </w:r>
      <w:r>
        <w:rPr>
          <w:spacing w:val="-2"/>
        </w:rPr>
        <w:t>1(3):</w:t>
      </w:r>
      <w:r>
        <w:rPr/>
        <w:tab/>
      </w:r>
      <w:r>
        <w:rPr>
          <w:spacing w:val="-2"/>
        </w:rPr>
        <w:t>e180833. doi:10.1001/jamanetworkopen.2018.0833.</w:t>
      </w:r>
    </w:p>
    <w:p>
      <w:pPr>
        <w:pStyle w:val="BodyText"/>
        <w:spacing w:before="201"/>
        <w:ind w:left="720" w:right="1837"/>
        <w:jc w:val="both"/>
      </w:pPr>
      <w:r>
        <w:rPr/>
        <w:t>Bureau of Alcohol, Tobacco, and Firearms (2002) Crime Gun Trace Analysis </w:t>
      </w:r>
      <w:r>
        <w:rPr/>
        <w:t>(2000): National Report.</w:t>
      </w:r>
      <w:r>
        <w:rPr>
          <w:spacing w:val="40"/>
        </w:rPr>
        <w:t> </w:t>
      </w:r>
      <w:r>
        <w:rPr/>
        <w:t>Washington, DC: Bureau of Alcohol, Tobacco and Firearms; Bureau of Alcohol, Tobacco and Firearms</w:t>
      </w:r>
      <w:r>
        <w:rPr>
          <w:spacing w:val="40"/>
        </w:rPr>
        <w:t> </w:t>
      </w:r>
      <w:r>
        <w:rPr/>
        <w:t>2002</w:t>
      </w:r>
    </w:p>
    <w:p>
      <w:pPr>
        <w:pStyle w:val="BodyText"/>
        <w:spacing w:before="199"/>
        <w:ind w:left="720" w:right="1191"/>
      </w:pPr>
      <w:r>
        <w:rPr/>
        <w:t>Federal</w:t>
      </w:r>
      <w:r>
        <w:rPr>
          <w:spacing w:val="-5"/>
        </w:rPr>
        <w:t> </w:t>
      </w:r>
      <w:r>
        <w:rPr/>
        <w:t>Bureau</w:t>
      </w:r>
      <w:r>
        <w:rPr>
          <w:spacing w:val="-5"/>
        </w:rPr>
        <w:t> </w:t>
      </w:r>
      <w:r>
        <w:rPr/>
        <w:t>of</w:t>
      </w:r>
      <w:r>
        <w:rPr>
          <w:spacing w:val="-5"/>
        </w:rPr>
        <w:t> </w:t>
      </w:r>
      <w:r>
        <w:rPr/>
        <w:t>Investigation.</w:t>
      </w:r>
      <w:r>
        <w:rPr>
          <w:spacing w:val="-5"/>
        </w:rPr>
        <w:t> </w:t>
      </w:r>
      <w:r>
        <w:rPr/>
        <w:t>(n.d.).</w:t>
      </w:r>
      <w:r>
        <w:rPr>
          <w:spacing w:val="-5"/>
        </w:rPr>
        <w:t> </w:t>
      </w:r>
      <w:r>
        <w:rPr/>
        <w:t>Crime</w:t>
      </w:r>
      <w:r>
        <w:rPr>
          <w:spacing w:val="-5"/>
        </w:rPr>
        <w:t> </w:t>
      </w:r>
      <w:r>
        <w:rPr/>
        <w:t>Data</w:t>
      </w:r>
      <w:r>
        <w:rPr>
          <w:spacing w:val="-5"/>
        </w:rPr>
        <w:t> </w:t>
      </w:r>
      <w:r>
        <w:rPr/>
        <w:t>Explorer.</w:t>
      </w:r>
      <w:r>
        <w:rPr>
          <w:spacing w:val="-5"/>
        </w:rPr>
        <w:t> </w:t>
      </w:r>
      <w:r>
        <w:rPr/>
        <w:t>U.S.</w:t>
      </w:r>
      <w:r>
        <w:rPr>
          <w:spacing w:val="-5"/>
        </w:rPr>
        <w:t> </w:t>
      </w:r>
      <w:r>
        <w:rPr/>
        <w:t>Department</w:t>
      </w:r>
      <w:r>
        <w:rPr>
          <w:spacing w:val="-5"/>
        </w:rPr>
        <w:t> </w:t>
      </w:r>
      <w:r>
        <w:rPr/>
        <w:t>of</w:t>
      </w:r>
      <w:r>
        <w:rPr>
          <w:spacing w:val="-5"/>
        </w:rPr>
        <w:t> </w:t>
      </w:r>
      <w:r>
        <w:rPr/>
        <w:t>Justice. </w:t>
      </w:r>
      <w:hyperlink r:id="rId226">
        <w:r>
          <w:rPr>
            <w:spacing w:val="-2"/>
          </w:rPr>
          <w:t>https://cde.ucr.cjis.gov</w:t>
        </w:r>
      </w:hyperlink>
    </w:p>
    <w:p>
      <w:pPr>
        <w:pStyle w:val="BodyText"/>
        <w:spacing w:before="201"/>
        <w:ind w:left="720" w:right="1836"/>
        <w:jc w:val="both"/>
      </w:pPr>
      <w:r>
        <w:rPr/>
        <w:t>Bureau of Alcohol, Tobacco and Firearms 1(999) Youth Crime Gun Interdiction </w:t>
      </w:r>
      <w:r>
        <w:rPr/>
        <w:t>Initiative: Performance</w:t>
      </w:r>
      <w:r>
        <w:rPr>
          <w:spacing w:val="40"/>
        </w:rPr>
        <w:t> </w:t>
      </w:r>
      <w:r>
        <w:rPr/>
        <w:t>Report for the Senate and House Committees Pursuant to Conference Report 105-825, October 1998.</w:t>
      </w:r>
      <w:r>
        <w:rPr>
          <w:spacing w:val="40"/>
        </w:rPr>
        <w:t> </w:t>
      </w:r>
      <w:r>
        <w:rPr/>
        <w:t>Washington, DC: Bureau of Alcohol, Tobacco and Firearms.</w:t>
      </w:r>
    </w:p>
    <w:p>
      <w:pPr>
        <w:pStyle w:val="BodyText"/>
        <w:spacing w:after="0"/>
        <w:jc w:val="both"/>
        <w:sectPr>
          <w:pgSz w:w="12240" w:h="15840"/>
          <w:pgMar w:header="0" w:footer="750" w:top="640" w:bottom="960" w:left="720" w:right="0"/>
        </w:sectPr>
      </w:pPr>
    </w:p>
    <w:p>
      <w:pPr>
        <w:pStyle w:val="Heading4"/>
        <w:spacing w:line="228" w:lineRule="auto" w:before="81"/>
        <w:ind w:left="4519" w:right="2135" w:hanging="2150"/>
      </w:pPr>
      <w:bookmarkStart w:name="Trust Under Extreme Conditions: Insights" w:id="91"/>
      <w:bookmarkEnd w:id="91"/>
      <w:r>
        <w:rPr>
          <w:b w:val="0"/>
        </w:rPr>
      </w:r>
      <w:bookmarkStart w:name="h.goqpoemkn3q7" w:id="92"/>
      <w:bookmarkEnd w:id="92"/>
      <w:r>
        <w:rPr>
          <w:b w:val="0"/>
        </w:rPr>
      </w:r>
      <w:r>
        <w:rPr/>
        <w:t>Trust</w:t>
      </w:r>
      <w:r>
        <w:rPr>
          <w:spacing w:val="-9"/>
        </w:rPr>
        <w:t> </w:t>
      </w:r>
      <w:r>
        <w:rPr/>
        <w:t>Under</w:t>
      </w:r>
      <w:r>
        <w:rPr>
          <w:spacing w:val="-10"/>
        </w:rPr>
        <w:t> </w:t>
      </w:r>
      <w:r>
        <w:rPr/>
        <w:t>Extreme</w:t>
      </w:r>
      <w:r>
        <w:rPr>
          <w:spacing w:val="-9"/>
        </w:rPr>
        <w:t> </w:t>
      </w:r>
      <w:r>
        <w:rPr/>
        <w:t>Conditions:</w:t>
      </w:r>
      <w:r>
        <w:rPr>
          <w:spacing w:val="-10"/>
        </w:rPr>
        <w:t> </w:t>
      </w:r>
      <w:r>
        <w:rPr/>
        <w:t>Insights</w:t>
      </w:r>
      <w:r>
        <w:rPr>
          <w:spacing w:val="-9"/>
        </w:rPr>
        <w:t> </w:t>
      </w:r>
      <w:r>
        <w:rPr/>
        <w:t>from</w:t>
      </w:r>
      <w:r>
        <w:rPr>
          <w:spacing w:val="-10"/>
        </w:rPr>
        <w:t> </w:t>
      </w:r>
      <w:r>
        <w:rPr/>
        <w:t>U.S.</w:t>
      </w:r>
      <w:r>
        <w:rPr>
          <w:spacing w:val="-9"/>
        </w:rPr>
        <w:t> </w:t>
      </w:r>
      <w:r>
        <w:rPr/>
        <w:t>Special Operations Forces</w:t>
      </w:r>
    </w:p>
    <w:p>
      <w:pPr>
        <w:pStyle w:val="BodyText"/>
        <w:spacing w:before="41"/>
        <w:rPr>
          <w:b/>
        </w:rPr>
      </w:pPr>
    </w:p>
    <w:p>
      <w:pPr>
        <w:pStyle w:val="BodyText"/>
        <w:ind w:right="718"/>
        <w:jc w:val="center"/>
      </w:pPr>
      <w:r>
        <w:rPr/>
        <w:t>Libutti, Christian </w:t>
      </w:r>
      <w:r>
        <w:rPr>
          <w:spacing w:val="-5"/>
        </w:rPr>
        <w:t>M.</w:t>
      </w:r>
    </w:p>
    <w:p>
      <w:pPr>
        <w:pStyle w:val="BodyText"/>
        <w:spacing w:line="276" w:lineRule="auto" w:before="41"/>
        <w:ind w:left="2580" w:right="3298"/>
        <w:jc w:val="center"/>
      </w:pPr>
      <w:r>
        <w:rPr/>
        <w:t>Department</w:t>
      </w:r>
      <w:r>
        <w:rPr>
          <w:spacing w:val="-7"/>
        </w:rPr>
        <w:t> </w:t>
      </w:r>
      <w:r>
        <w:rPr/>
        <w:t>of</w:t>
      </w:r>
      <w:r>
        <w:rPr>
          <w:spacing w:val="-7"/>
        </w:rPr>
        <w:t> </w:t>
      </w:r>
      <w:r>
        <w:rPr/>
        <w:t>Management</w:t>
      </w:r>
      <w:r>
        <w:rPr>
          <w:spacing w:val="-7"/>
        </w:rPr>
        <w:t> </w:t>
      </w:r>
      <w:r>
        <w:rPr/>
        <w:t>&amp;</w:t>
      </w:r>
      <w:r>
        <w:rPr>
          <w:spacing w:val="-7"/>
        </w:rPr>
        <w:t> </w:t>
      </w:r>
      <w:r>
        <w:rPr/>
        <w:t>Supply</w:t>
      </w:r>
      <w:r>
        <w:rPr>
          <w:spacing w:val="-7"/>
        </w:rPr>
        <w:t> </w:t>
      </w:r>
      <w:r>
        <w:rPr/>
        <w:t>Chain</w:t>
      </w:r>
      <w:r>
        <w:rPr>
          <w:spacing w:val="-7"/>
        </w:rPr>
        <w:t> </w:t>
      </w:r>
      <w:r>
        <w:rPr/>
        <w:t>Management College of Business and Technology</w:t>
      </w:r>
    </w:p>
    <w:p>
      <w:pPr>
        <w:pStyle w:val="BodyText"/>
        <w:spacing w:line="276" w:lineRule="auto"/>
        <w:ind w:left="3865" w:right="4583"/>
        <w:jc w:val="center"/>
      </w:pPr>
      <w:r>
        <w:rPr/>
        <w:t>East</w:t>
      </w:r>
      <w:r>
        <w:rPr>
          <w:spacing w:val="-15"/>
        </w:rPr>
        <w:t> </w:t>
      </w:r>
      <w:r>
        <w:rPr/>
        <w:t>Tennessee</w:t>
      </w:r>
      <w:r>
        <w:rPr>
          <w:spacing w:val="-15"/>
        </w:rPr>
        <w:t> </w:t>
      </w:r>
      <w:r>
        <w:rPr/>
        <w:t>State</w:t>
      </w:r>
      <w:r>
        <w:rPr>
          <w:spacing w:val="-15"/>
        </w:rPr>
        <w:t> </w:t>
      </w:r>
      <w:r>
        <w:rPr/>
        <w:t>University PO Box 70625</w:t>
      </w:r>
    </w:p>
    <w:p>
      <w:pPr>
        <w:pStyle w:val="BodyText"/>
        <w:spacing w:line="276" w:lineRule="auto"/>
        <w:ind w:left="4227" w:right="4945"/>
        <w:jc w:val="center"/>
      </w:pPr>
      <w:r>
        <w:rPr/>
        <w:t>Johnson</w:t>
      </w:r>
      <w:r>
        <w:rPr>
          <w:spacing w:val="-15"/>
        </w:rPr>
        <w:t> </w:t>
      </w:r>
      <w:r>
        <w:rPr/>
        <w:t>City,</w:t>
      </w:r>
      <w:r>
        <w:rPr>
          <w:spacing w:val="-15"/>
        </w:rPr>
        <w:t> </w:t>
      </w:r>
      <w:r>
        <w:rPr/>
        <w:t>TN</w:t>
      </w:r>
      <w:r>
        <w:rPr>
          <w:spacing w:val="-15"/>
        </w:rPr>
        <w:t> </w:t>
      </w:r>
      <w:r>
        <w:rPr/>
        <w:t>37614 </w:t>
      </w:r>
      <w:hyperlink r:id="rId227">
        <w:r>
          <w:rPr>
            <w:spacing w:val="-2"/>
          </w:rPr>
          <w:t>Libutti@etsu.edu</w:t>
        </w:r>
      </w:hyperlink>
    </w:p>
    <w:p>
      <w:pPr>
        <w:pStyle w:val="BodyText"/>
        <w:spacing w:before="1"/>
        <w:ind w:right="719"/>
        <w:jc w:val="center"/>
      </w:pPr>
      <w:r>
        <w:rPr/>
        <w:t>689-766-2766 (Contact </w:t>
      </w:r>
      <w:r>
        <w:rPr>
          <w:spacing w:val="-2"/>
        </w:rPr>
        <w:t>Author)</w:t>
      </w:r>
    </w:p>
    <w:p>
      <w:pPr>
        <w:pStyle w:val="BodyText"/>
        <w:spacing w:before="82"/>
      </w:pPr>
    </w:p>
    <w:p>
      <w:pPr>
        <w:pStyle w:val="BodyText"/>
        <w:ind w:right="719"/>
        <w:jc w:val="center"/>
      </w:pPr>
      <w:r>
        <w:rPr/>
        <w:t>Hall, Kelly </w:t>
      </w:r>
      <w:r>
        <w:rPr>
          <w:spacing w:val="-5"/>
        </w:rPr>
        <w:t>R.</w:t>
      </w:r>
    </w:p>
    <w:p>
      <w:pPr>
        <w:pStyle w:val="BodyText"/>
        <w:spacing w:line="276" w:lineRule="auto" w:before="41"/>
        <w:ind w:left="2580" w:right="3298"/>
        <w:jc w:val="center"/>
      </w:pPr>
      <w:r>
        <w:rPr/>
        <w:t>Department</w:t>
      </w:r>
      <w:r>
        <w:rPr>
          <w:spacing w:val="-7"/>
        </w:rPr>
        <w:t> </w:t>
      </w:r>
      <w:r>
        <w:rPr/>
        <w:t>of</w:t>
      </w:r>
      <w:r>
        <w:rPr>
          <w:spacing w:val="-7"/>
        </w:rPr>
        <w:t> </w:t>
      </w:r>
      <w:r>
        <w:rPr/>
        <w:t>Management</w:t>
      </w:r>
      <w:r>
        <w:rPr>
          <w:spacing w:val="-7"/>
        </w:rPr>
        <w:t> </w:t>
      </w:r>
      <w:r>
        <w:rPr/>
        <w:t>&amp;</w:t>
      </w:r>
      <w:r>
        <w:rPr>
          <w:spacing w:val="-7"/>
        </w:rPr>
        <w:t> </w:t>
      </w:r>
      <w:r>
        <w:rPr/>
        <w:t>Supply</w:t>
      </w:r>
      <w:r>
        <w:rPr>
          <w:spacing w:val="-7"/>
        </w:rPr>
        <w:t> </w:t>
      </w:r>
      <w:r>
        <w:rPr/>
        <w:t>Chain</w:t>
      </w:r>
      <w:r>
        <w:rPr>
          <w:spacing w:val="-7"/>
        </w:rPr>
        <w:t> </w:t>
      </w:r>
      <w:r>
        <w:rPr/>
        <w:t>Management College of Business and Technology</w:t>
      </w:r>
    </w:p>
    <w:p>
      <w:pPr>
        <w:pStyle w:val="BodyText"/>
        <w:spacing w:line="276" w:lineRule="auto"/>
        <w:ind w:left="3865" w:right="4583"/>
        <w:jc w:val="center"/>
      </w:pPr>
      <w:r>
        <w:rPr/>
        <w:t>East</w:t>
      </w:r>
      <w:r>
        <w:rPr>
          <w:spacing w:val="-15"/>
        </w:rPr>
        <w:t> </w:t>
      </w:r>
      <w:r>
        <w:rPr/>
        <w:t>Tennessee</w:t>
      </w:r>
      <w:r>
        <w:rPr>
          <w:spacing w:val="-15"/>
        </w:rPr>
        <w:t> </w:t>
      </w:r>
      <w:r>
        <w:rPr/>
        <w:t>State</w:t>
      </w:r>
      <w:r>
        <w:rPr>
          <w:spacing w:val="-15"/>
        </w:rPr>
        <w:t> </w:t>
      </w:r>
      <w:r>
        <w:rPr/>
        <w:t>University PO Box 70625</w:t>
      </w:r>
    </w:p>
    <w:p>
      <w:pPr>
        <w:pStyle w:val="BodyText"/>
        <w:spacing w:line="276" w:lineRule="auto" w:before="1"/>
        <w:ind w:left="4227" w:right="4945"/>
        <w:jc w:val="center"/>
      </w:pPr>
      <w:r>
        <w:rPr/>
        <w:t>Johnson</w:t>
      </w:r>
      <w:r>
        <w:rPr>
          <w:spacing w:val="-15"/>
        </w:rPr>
        <w:t> </w:t>
      </w:r>
      <w:r>
        <w:rPr/>
        <w:t>City,</w:t>
      </w:r>
      <w:r>
        <w:rPr>
          <w:spacing w:val="-15"/>
        </w:rPr>
        <w:t> </w:t>
      </w:r>
      <w:r>
        <w:rPr/>
        <w:t>TN</w:t>
      </w:r>
      <w:r>
        <w:rPr>
          <w:spacing w:val="-15"/>
        </w:rPr>
        <w:t> </w:t>
      </w:r>
      <w:r>
        <w:rPr/>
        <w:t>37614 </w:t>
      </w:r>
      <w:hyperlink r:id="rId228">
        <w:r>
          <w:rPr>
            <w:spacing w:val="-2"/>
          </w:rPr>
          <w:t>Hallkr3@etsu.edu</w:t>
        </w:r>
      </w:hyperlink>
    </w:p>
    <w:p>
      <w:pPr>
        <w:pStyle w:val="BodyText"/>
        <w:spacing w:before="41"/>
      </w:pPr>
    </w:p>
    <w:p>
      <w:pPr>
        <w:pStyle w:val="BodyText"/>
        <w:ind w:right="719"/>
        <w:jc w:val="center"/>
      </w:pPr>
      <w:r>
        <w:rPr/>
        <w:t>Jenkins, Mathew </w:t>
      </w:r>
      <w:r>
        <w:rPr>
          <w:spacing w:val="-5"/>
        </w:rPr>
        <w:t>T.</w:t>
      </w:r>
    </w:p>
    <w:p>
      <w:pPr>
        <w:pStyle w:val="BodyText"/>
        <w:spacing w:line="276" w:lineRule="auto" w:before="41"/>
        <w:ind w:left="2580" w:right="3298"/>
        <w:jc w:val="center"/>
      </w:pPr>
      <w:r>
        <w:rPr/>
        <w:t>Department</w:t>
      </w:r>
      <w:r>
        <w:rPr>
          <w:spacing w:val="-7"/>
        </w:rPr>
        <w:t> </w:t>
      </w:r>
      <w:r>
        <w:rPr/>
        <w:t>of</w:t>
      </w:r>
      <w:r>
        <w:rPr>
          <w:spacing w:val="-7"/>
        </w:rPr>
        <w:t> </w:t>
      </w:r>
      <w:r>
        <w:rPr/>
        <w:t>Management</w:t>
      </w:r>
      <w:r>
        <w:rPr>
          <w:spacing w:val="-7"/>
        </w:rPr>
        <w:t> </w:t>
      </w:r>
      <w:r>
        <w:rPr/>
        <w:t>&amp;</w:t>
      </w:r>
      <w:r>
        <w:rPr>
          <w:spacing w:val="-7"/>
        </w:rPr>
        <w:t> </w:t>
      </w:r>
      <w:r>
        <w:rPr/>
        <w:t>Supply</w:t>
      </w:r>
      <w:r>
        <w:rPr>
          <w:spacing w:val="-7"/>
        </w:rPr>
        <w:t> </w:t>
      </w:r>
      <w:r>
        <w:rPr/>
        <w:t>Chain</w:t>
      </w:r>
      <w:r>
        <w:rPr>
          <w:spacing w:val="-7"/>
        </w:rPr>
        <w:t> </w:t>
      </w:r>
      <w:r>
        <w:rPr/>
        <w:t>Management College of Business and Technology</w:t>
      </w:r>
    </w:p>
    <w:p>
      <w:pPr>
        <w:pStyle w:val="BodyText"/>
        <w:spacing w:line="276" w:lineRule="auto"/>
        <w:ind w:left="3865" w:right="4583"/>
        <w:jc w:val="center"/>
      </w:pPr>
      <w:r>
        <w:rPr/>
        <w:t>East</w:t>
      </w:r>
      <w:r>
        <w:rPr>
          <w:spacing w:val="-15"/>
        </w:rPr>
        <w:t> </w:t>
      </w:r>
      <w:r>
        <w:rPr/>
        <w:t>Tennessee</w:t>
      </w:r>
      <w:r>
        <w:rPr>
          <w:spacing w:val="-15"/>
        </w:rPr>
        <w:t> </w:t>
      </w:r>
      <w:r>
        <w:rPr/>
        <w:t>State</w:t>
      </w:r>
      <w:r>
        <w:rPr>
          <w:spacing w:val="-15"/>
        </w:rPr>
        <w:t> </w:t>
      </w:r>
      <w:r>
        <w:rPr/>
        <w:t>University PO Box 70625</w:t>
      </w:r>
    </w:p>
    <w:p>
      <w:pPr>
        <w:pStyle w:val="BodyText"/>
        <w:spacing w:line="276" w:lineRule="auto" w:before="1"/>
        <w:ind w:left="4227" w:right="4945"/>
        <w:jc w:val="center"/>
      </w:pPr>
      <w:r>
        <w:rPr/>
        <w:t>Johnson</w:t>
      </w:r>
      <w:r>
        <w:rPr>
          <w:spacing w:val="-15"/>
        </w:rPr>
        <w:t> </w:t>
      </w:r>
      <w:r>
        <w:rPr/>
        <w:t>City,</w:t>
      </w:r>
      <w:r>
        <w:rPr>
          <w:spacing w:val="-15"/>
        </w:rPr>
        <w:t> </w:t>
      </w:r>
      <w:r>
        <w:rPr/>
        <w:t>TN</w:t>
      </w:r>
      <w:r>
        <w:rPr>
          <w:spacing w:val="-15"/>
        </w:rPr>
        <w:t> </w:t>
      </w:r>
      <w:r>
        <w:rPr/>
        <w:t>37614 </w:t>
      </w:r>
      <w:hyperlink r:id="rId229">
        <w:r>
          <w:rPr>
            <w:spacing w:val="-2"/>
          </w:rPr>
          <w:t>Jenkinsmt@etsu.edu</w:t>
        </w:r>
      </w:hyperlink>
    </w:p>
    <w:p>
      <w:pPr>
        <w:pStyle w:val="BodyText"/>
        <w:spacing w:before="275"/>
        <w:ind w:left="720" w:right="1381"/>
      </w:pPr>
      <w:r>
        <w:rPr/>
        <w:t>Key</w:t>
      </w:r>
      <w:r>
        <w:rPr>
          <w:spacing w:val="-7"/>
        </w:rPr>
        <w:t> </w:t>
      </w:r>
      <w:r>
        <w:rPr/>
        <w:t>words:</w:t>
      </w:r>
      <w:r>
        <w:rPr>
          <w:spacing w:val="-7"/>
        </w:rPr>
        <w:t> </w:t>
      </w:r>
      <w:r>
        <w:rPr/>
        <w:t>Trust</w:t>
      </w:r>
      <w:r>
        <w:rPr>
          <w:spacing w:val="-7"/>
        </w:rPr>
        <w:t> </w:t>
      </w:r>
      <w:r>
        <w:rPr/>
        <w:t>development,</w:t>
      </w:r>
      <w:r>
        <w:rPr>
          <w:spacing w:val="-7"/>
        </w:rPr>
        <w:t> </w:t>
      </w:r>
      <w:r>
        <w:rPr/>
        <w:t>High-performance</w:t>
      </w:r>
      <w:r>
        <w:rPr>
          <w:spacing w:val="-7"/>
        </w:rPr>
        <w:t> </w:t>
      </w:r>
      <w:r>
        <w:rPr/>
        <w:t>teams,</w:t>
      </w:r>
      <w:r>
        <w:rPr>
          <w:spacing w:val="-7"/>
        </w:rPr>
        <w:t> </w:t>
      </w:r>
      <w:r>
        <w:rPr/>
        <w:t>Extreme</w:t>
      </w:r>
      <w:r>
        <w:rPr>
          <w:spacing w:val="-7"/>
        </w:rPr>
        <w:t> </w:t>
      </w:r>
      <w:r>
        <w:rPr/>
        <w:t>contexts,</w:t>
      </w:r>
      <w:r>
        <w:rPr>
          <w:spacing w:val="-7"/>
        </w:rPr>
        <w:t> </w:t>
      </w:r>
      <w:r>
        <w:rPr/>
        <w:t>Grounded</w:t>
      </w:r>
      <w:r>
        <w:rPr>
          <w:spacing w:val="-7"/>
        </w:rPr>
        <w:t> </w:t>
      </w:r>
      <w:r>
        <w:rPr/>
        <w:t>theory, Team</w:t>
      </w:r>
      <w:r>
        <w:rPr>
          <w:spacing w:val="40"/>
        </w:rPr>
        <w:t> </w:t>
      </w:r>
      <w:r>
        <w:rPr/>
        <w:t>processes</w:t>
      </w:r>
    </w:p>
    <w:p>
      <w:pPr>
        <w:pStyle w:val="BodyText"/>
        <w:spacing w:before="10"/>
      </w:pPr>
    </w:p>
    <w:p>
      <w:pPr>
        <w:pStyle w:val="BodyText"/>
        <w:spacing w:line="283" w:lineRule="auto" w:before="1"/>
        <w:ind w:left="720" w:right="2445"/>
      </w:pPr>
      <w:r>
        <w:rPr>
          <w:color w:val="0D0D0D"/>
        </w:rPr>
        <w:t>Trust is widely recognized as essential for high-performing teams, yet organizational research</w:t>
      </w:r>
      <w:r>
        <w:rPr>
          <w:color w:val="0D0D0D"/>
          <w:spacing w:val="-3"/>
        </w:rPr>
        <w:t> </w:t>
      </w:r>
      <w:r>
        <w:rPr>
          <w:color w:val="0D0D0D"/>
        </w:rPr>
        <w:t>provides</w:t>
      </w:r>
      <w:r>
        <w:rPr>
          <w:color w:val="0D0D0D"/>
          <w:spacing w:val="-3"/>
        </w:rPr>
        <w:t> </w:t>
      </w:r>
      <w:r>
        <w:rPr>
          <w:color w:val="0D0D0D"/>
        </w:rPr>
        <w:t>limited</w:t>
      </w:r>
      <w:r>
        <w:rPr>
          <w:color w:val="0D0D0D"/>
          <w:spacing w:val="-3"/>
        </w:rPr>
        <w:t> </w:t>
      </w:r>
      <w:r>
        <w:rPr>
          <w:color w:val="0D0D0D"/>
        </w:rPr>
        <w:t>empirical</w:t>
      </w:r>
      <w:r>
        <w:rPr>
          <w:color w:val="0D0D0D"/>
          <w:spacing w:val="-3"/>
        </w:rPr>
        <w:t> </w:t>
      </w:r>
      <w:r>
        <w:rPr>
          <w:color w:val="0D0D0D"/>
        </w:rPr>
        <w:t>detail</w:t>
      </w:r>
      <w:r>
        <w:rPr>
          <w:color w:val="0D0D0D"/>
          <w:spacing w:val="-3"/>
        </w:rPr>
        <w:t> </w:t>
      </w:r>
      <w:r>
        <w:rPr>
          <w:color w:val="0D0D0D"/>
        </w:rPr>
        <w:t>on</w:t>
      </w:r>
      <w:r>
        <w:rPr>
          <w:color w:val="0D0D0D"/>
          <w:spacing w:val="-3"/>
        </w:rPr>
        <w:t> </w:t>
      </w:r>
      <w:r>
        <w:rPr>
          <w:color w:val="0D0D0D"/>
        </w:rPr>
        <w:t>how</w:t>
      </w:r>
      <w:r>
        <w:rPr>
          <w:color w:val="0D0D0D"/>
          <w:spacing w:val="-3"/>
        </w:rPr>
        <w:t> </w:t>
      </w:r>
      <w:r>
        <w:rPr>
          <w:color w:val="0D0D0D"/>
        </w:rPr>
        <w:t>trust</w:t>
      </w:r>
      <w:r>
        <w:rPr>
          <w:color w:val="0D0D0D"/>
          <w:spacing w:val="-3"/>
        </w:rPr>
        <w:t> </w:t>
      </w:r>
      <w:r>
        <w:rPr>
          <w:color w:val="0D0D0D"/>
        </w:rPr>
        <w:t>is</w:t>
      </w:r>
      <w:r>
        <w:rPr>
          <w:color w:val="0D0D0D"/>
          <w:spacing w:val="-3"/>
        </w:rPr>
        <w:t> </w:t>
      </w:r>
      <w:r>
        <w:rPr>
          <w:color w:val="0D0D0D"/>
        </w:rPr>
        <w:t>built</w:t>
      </w:r>
      <w:r>
        <w:rPr>
          <w:color w:val="0D0D0D"/>
          <w:spacing w:val="-3"/>
        </w:rPr>
        <w:t> </w:t>
      </w:r>
      <w:r>
        <w:rPr>
          <w:color w:val="0D0D0D"/>
        </w:rPr>
        <w:t>and</w:t>
      </w:r>
      <w:r>
        <w:rPr>
          <w:color w:val="0D0D0D"/>
          <w:spacing w:val="-3"/>
        </w:rPr>
        <w:t> </w:t>
      </w:r>
      <w:r>
        <w:rPr>
          <w:color w:val="0D0D0D"/>
        </w:rPr>
        <w:t>sustained</w:t>
      </w:r>
      <w:r>
        <w:rPr>
          <w:color w:val="0D0D0D"/>
          <w:spacing w:val="-3"/>
        </w:rPr>
        <w:t> </w:t>
      </w:r>
      <w:r>
        <w:rPr>
          <w:color w:val="0D0D0D"/>
        </w:rPr>
        <w:t>over</w:t>
      </w:r>
      <w:r>
        <w:rPr>
          <w:color w:val="0D0D0D"/>
          <w:spacing w:val="-3"/>
        </w:rPr>
        <w:t> </w:t>
      </w:r>
      <w:r>
        <w:rPr>
          <w:color w:val="0D0D0D"/>
        </w:rPr>
        <w:t>time in contexts marked by intense time pressure, high interdependence, and severe consequences for failure. Elite teams such as U.S. Special Operations Forces (SOF) offer a</w:t>
      </w:r>
      <w:r>
        <w:rPr>
          <w:color w:val="0D0D0D"/>
          <w:spacing w:val="40"/>
        </w:rPr>
        <w:t> </w:t>
      </w:r>
      <w:r>
        <w:rPr>
          <w:color w:val="0D0D0D"/>
        </w:rPr>
        <w:t>theoretically revealing setting because trust failures are immediately consequential,</w:t>
      </w:r>
      <w:r>
        <w:rPr>
          <w:color w:val="0D0D0D"/>
          <w:spacing w:val="40"/>
        </w:rPr>
        <w:t> </w:t>
      </w:r>
      <w:r>
        <w:rPr>
          <w:color w:val="0D0D0D"/>
        </w:rPr>
        <w:t>compressing learning cycles and making underlying mechanisms </w:t>
      </w:r>
      <w:r>
        <w:rPr>
          <w:color w:val="0D0D0D"/>
          <w:spacing w:val="-2"/>
        </w:rPr>
        <w:t>observable.</w:t>
      </w:r>
    </w:p>
    <w:p>
      <w:pPr>
        <w:pStyle w:val="BodyText"/>
        <w:spacing w:line="283" w:lineRule="auto" w:before="132"/>
        <w:ind w:left="720" w:right="2135"/>
      </w:pPr>
      <w:r>
        <w:rPr>
          <w:color w:val="0D0D0D"/>
        </w:rPr>
        <w:t>Using</w:t>
      </w:r>
      <w:r>
        <w:rPr>
          <w:color w:val="0D0D0D"/>
          <w:spacing w:val="-3"/>
        </w:rPr>
        <w:t> </w:t>
      </w:r>
      <w:r>
        <w:rPr>
          <w:color w:val="0D0D0D"/>
        </w:rPr>
        <w:t>grounded</w:t>
      </w:r>
      <w:r>
        <w:rPr>
          <w:color w:val="0D0D0D"/>
          <w:spacing w:val="-3"/>
        </w:rPr>
        <w:t> </w:t>
      </w:r>
      <w:r>
        <w:rPr>
          <w:color w:val="0D0D0D"/>
        </w:rPr>
        <w:t>theory</w:t>
      </w:r>
      <w:r>
        <w:rPr>
          <w:color w:val="0D0D0D"/>
          <w:spacing w:val="-3"/>
        </w:rPr>
        <w:t> </w:t>
      </w:r>
      <w:r>
        <w:rPr>
          <w:color w:val="0D0D0D"/>
        </w:rPr>
        <w:t>methods,</w:t>
      </w:r>
      <w:r>
        <w:rPr>
          <w:color w:val="0D0D0D"/>
          <w:spacing w:val="-3"/>
        </w:rPr>
        <w:t> </w:t>
      </w:r>
      <w:r>
        <w:rPr>
          <w:color w:val="0D0D0D"/>
        </w:rPr>
        <w:t>we</w:t>
      </w:r>
      <w:r>
        <w:rPr>
          <w:color w:val="0D0D0D"/>
          <w:spacing w:val="-3"/>
        </w:rPr>
        <w:t> </w:t>
      </w:r>
      <w:r>
        <w:rPr>
          <w:color w:val="0D0D0D"/>
        </w:rPr>
        <w:t>conducted</w:t>
      </w:r>
      <w:r>
        <w:rPr>
          <w:color w:val="0D0D0D"/>
          <w:spacing w:val="-3"/>
        </w:rPr>
        <w:t> </w:t>
      </w:r>
      <w:r>
        <w:rPr>
          <w:color w:val="0D0D0D"/>
        </w:rPr>
        <w:t>in-depth</w:t>
      </w:r>
      <w:r>
        <w:rPr>
          <w:color w:val="0D0D0D"/>
          <w:spacing w:val="-3"/>
        </w:rPr>
        <w:t> </w:t>
      </w:r>
      <w:r>
        <w:rPr>
          <w:color w:val="0D0D0D"/>
        </w:rPr>
        <w:t>semi-structured</w:t>
      </w:r>
      <w:r>
        <w:rPr>
          <w:color w:val="0D0D0D"/>
          <w:spacing w:val="-3"/>
        </w:rPr>
        <w:t> </w:t>
      </w:r>
      <w:r>
        <w:rPr>
          <w:color w:val="0D0D0D"/>
        </w:rPr>
        <w:t>interviews</w:t>
      </w:r>
      <w:r>
        <w:rPr>
          <w:color w:val="0D0D0D"/>
          <w:spacing w:val="-3"/>
        </w:rPr>
        <w:t> </w:t>
      </w:r>
      <w:r>
        <w:rPr>
          <w:color w:val="0D0D0D"/>
        </w:rPr>
        <w:t>with 26 experienced SOF operators (each with 8+ years of service and multiple combat deployments). The study traced trust from initial entry into a new team through early operational integration to sustained performance under uncertainty. Analysis conceptualizes</w:t>
      </w:r>
      <w:r>
        <w:rPr>
          <w:color w:val="0D0D0D"/>
          <w:spacing w:val="-3"/>
        </w:rPr>
        <w:t> </w:t>
      </w:r>
      <w:r>
        <w:rPr>
          <w:color w:val="0D0D0D"/>
        </w:rPr>
        <w:t>trust</w:t>
      </w:r>
      <w:r>
        <w:rPr>
          <w:color w:val="0D0D0D"/>
          <w:spacing w:val="-3"/>
        </w:rPr>
        <w:t> </w:t>
      </w:r>
      <w:r>
        <w:rPr>
          <w:color w:val="0D0D0D"/>
        </w:rPr>
        <w:t>not</w:t>
      </w:r>
      <w:r>
        <w:rPr>
          <w:color w:val="0D0D0D"/>
          <w:spacing w:val="-3"/>
        </w:rPr>
        <w:t> </w:t>
      </w:r>
      <w:r>
        <w:rPr>
          <w:color w:val="0D0D0D"/>
        </w:rPr>
        <w:t>as</w:t>
      </w:r>
      <w:r>
        <w:rPr>
          <w:color w:val="0D0D0D"/>
          <w:spacing w:val="-3"/>
        </w:rPr>
        <w:t> </w:t>
      </w:r>
      <w:r>
        <w:rPr>
          <w:color w:val="0D0D0D"/>
        </w:rPr>
        <w:t>a</w:t>
      </w:r>
      <w:r>
        <w:rPr>
          <w:color w:val="0D0D0D"/>
          <w:spacing w:val="-3"/>
        </w:rPr>
        <w:t> </w:t>
      </w:r>
      <w:r>
        <w:rPr>
          <w:color w:val="0D0D0D"/>
        </w:rPr>
        <w:t>static</w:t>
      </w:r>
      <w:r>
        <w:rPr>
          <w:color w:val="0D0D0D"/>
          <w:spacing w:val="-3"/>
        </w:rPr>
        <w:t> </w:t>
      </w:r>
      <w:r>
        <w:rPr>
          <w:color w:val="0D0D0D"/>
        </w:rPr>
        <w:t>antecedent</w:t>
      </w:r>
      <w:r>
        <w:rPr>
          <w:color w:val="0D0D0D"/>
          <w:spacing w:val="-3"/>
        </w:rPr>
        <w:t> </w:t>
      </w:r>
      <w:r>
        <w:rPr>
          <w:color w:val="0D0D0D"/>
        </w:rPr>
        <w:t>but</w:t>
      </w:r>
      <w:r>
        <w:rPr>
          <w:color w:val="0D0D0D"/>
          <w:spacing w:val="-3"/>
        </w:rPr>
        <w:t> </w:t>
      </w:r>
      <w:r>
        <w:rPr>
          <w:color w:val="0D0D0D"/>
        </w:rPr>
        <w:t>as</w:t>
      </w:r>
      <w:r>
        <w:rPr>
          <w:color w:val="0D0D0D"/>
          <w:spacing w:val="-3"/>
        </w:rPr>
        <w:t> </w:t>
      </w:r>
      <w:r>
        <w:rPr>
          <w:color w:val="0D0D0D"/>
        </w:rPr>
        <w:t>a</w:t>
      </w:r>
      <w:r>
        <w:rPr>
          <w:color w:val="0D0D0D"/>
          <w:spacing w:val="-3"/>
        </w:rPr>
        <w:t> </w:t>
      </w:r>
      <w:r>
        <w:rPr>
          <w:color w:val="0D0D0D"/>
        </w:rPr>
        <w:t>dynamic</w:t>
      </w:r>
      <w:r>
        <w:rPr>
          <w:color w:val="0D0D0D"/>
          <w:spacing w:val="-3"/>
        </w:rPr>
        <w:t> </w:t>
      </w:r>
      <w:r>
        <w:rPr>
          <w:color w:val="0D0D0D"/>
        </w:rPr>
        <w:t>process</w:t>
      </w:r>
      <w:r>
        <w:rPr>
          <w:color w:val="0D0D0D"/>
          <w:spacing w:val="-3"/>
        </w:rPr>
        <w:t> </w:t>
      </w:r>
      <w:r>
        <w:rPr>
          <w:color w:val="0D0D0D"/>
        </w:rPr>
        <w:t>that</w:t>
      </w:r>
      <w:r>
        <w:rPr>
          <w:color w:val="0D0D0D"/>
          <w:spacing w:val="-3"/>
        </w:rPr>
        <w:t> </w:t>
      </w:r>
      <w:r>
        <w:rPr>
          <w:color w:val="0D0D0D"/>
        </w:rPr>
        <w:t>is</w:t>
      </w:r>
      <w:r>
        <w:rPr>
          <w:color w:val="0D0D0D"/>
          <w:spacing w:val="-3"/>
        </w:rPr>
        <w:t> </w:t>
      </w:r>
      <w:r>
        <w:rPr>
          <w:color w:val="0D0D0D"/>
        </w:rPr>
        <w:t>repeatedly enacted, evaluated, reinforced, and protected.</w:t>
      </w:r>
    </w:p>
    <w:p>
      <w:pPr>
        <w:pStyle w:val="BodyText"/>
        <w:spacing w:after="0" w:line="283" w:lineRule="auto"/>
        <w:sectPr>
          <w:pgSz w:w="12240" w:h="15840"/>
          <w:pgMar w:header="0" w:footer="750" w:top="620" w:bottom="960" w:left="720" w:right="0"/>
        </w:sectPr>
      </w:pPr>
    </w:p>
    <w:p>
      <w:pPr>
        <w:pStyle w:val="BodyText"/>
        <w:spacing w:line="283" w:lineRule="auto" w:before="60"/>
        <w:ind w:left="720" w:right="2273"/>
      </w:pPr>
      <w:r>
        <w:rPr>
          <w:color w:val="0D0D0D"/>
        </w:rPr>
        <w:t>Findings depict a staged trust trajectory. Initial trust forms rapidly when members demonstrate</w:t>
      </w:r>
      <w:r>
        <w:rPr>
          <w:color w:val="0D0D0D"/>
          <w:spacing w:val="-5"/>
        </w:rPr>
        <w:t> </w:t>
      </w:r>
      <w:r>
        <w:rPr>
          <w:color w:val="0D0D0D"/>
        </w:rPr>
        <w:t>role</w:t>
      </w:r>
      <w:r>
        <w:rPr>
          <w:color w:val="0D0D0D"/>
          <w:spacing w:val="-5"/>
        </w:rPr>
        <w:t> </w:t>
      </w:r>
      <w:r>
        <w:rPr>
          <w:color w:val="0D0D0D"/>
        </w:rPr>
        <w:t>competence</w:t>
      </w:r>
      <w:r>
        <w:rPr>
          <w:color w:val="0D0D0D"/>
          <w:spacing w:val="-5"/>
        </w:rPr>
        <w:t> </w:t>
      </w:r>
      <w:r>
        <w:rPr>
          <w:color w:val="0D0D0D"/>
        </w:rPr>
        <w:t>under</w:t>
      </w:r>
      <w:r>
        <w:rPr>
          <w:color w:val="0D0D0D"/>
          <w:spacing w:val="-5"/>
        </w:rPr>
        <w:t> </w:t>
      </w:r>
      <w:r>
        <w:rPr>
          <w:color w:val="0D0D0D"/>
        </w:rPr>
        <w:t>pressure</w:t>
      </w:r>
      <w:r>
        <w:rPr>
          <w:color w:val="0D0D0D"/>
          <w:spacing w:val="-5"/>
        </w:rPr>
        <w:t> </w:t>
      </w:r>
      <w:r>
        <w:rPr>
          <w:color w:val="0D0D0D"/>
        </w:rPr>
        <w:t>and</w:t>
      </w:r>
      <w:r>
        <w:rPr>
          <w:color w:val="0D0D0D"/>
          <w:spacing w:val="-5"/>
        </w:rPr>
        <w:t> </w:t>
      </w:r>
      <w:r>
        <w:rPr>
          <w:color w:val="0D0D0D"/>
        </w:rPr>
        <w:t>signal</w:t>
      </w:r>
      <w:r>
        <w:rPr>
          <w:color w:val="0D0D0D"/>
          <w:spacing w:val="-5"/>
        </w:rPr>
        <w:t> </w:t>
      </w:r>
      <w:r>
        <w:rPr>
          <w:color w:val="0D0D0D"/>
        </w:rPr>
        <w:t>trustworthiness</w:t>
      </w:r>
      <w:r>
        <w:rPr>
          <w:color w:val="0D0D0D"/>
          <w:spacing w:val="-5"/>
        </w:rPr>
        <w:t> </w:t>
      </w:r>
      <w:r>
        <w:rPr>
          <w:color w:val="0D0D0D"/>
        </w:rPr>
        <w:t>through</w:t>
      </w:r>
      <w:r>
        <w:rPr>
          <w:color w:val="0D0D0D"/>
          <w:spacing w:val="-5"/>
        </w:rPr>
        <w:t> </w:t>
      </w:r>
      <w:r>
        <w:rPr>
          <w:color w:val="0D0D0D"/>
        </w:rPr>
        <w:t>integrity and goodwill (e.g., honesty, humility, and commitment to shared values). This early confidence supports immediate coordination when there is insufficient time for gradual relationship-building. Over time, trust is reinforced through collective adversity and supportive action: members reliably support one another during high-stress events, maintain disciplined preparation and execution, and enact accountability through consistent follow-through. Participants emphasized a learning orientation in which failures</w:t>
      </w:r>
      <w:r>
        <w:rPr>
          <w:color w:val="0D0D0D"/>
          <w:spacing w:val="40"/>
        </w:rPr>
        <w:t> </w:t>
      </w:r>
      <w:r>
        <w:rPr>
          <w:color w:val="0D0D0D"/>
        </w:rPr>
        <w:t>are discussed as feedback rather than treated as grounds for blame, and trust is further</w:t>
      </w:r>
      <w:r>
        <w:rPr>
          <w:color w:val="0D0D0D"/>
          <w:spacing w:val="40"/>
        </w:rPr>
        <w:t> </w:t>
      </w:r>
      <w:r>
        <w:rPr>
          <w:color w:val="0D0D0D"/>
        </w:rPr>
        <w:t>stabilized by cultural practices of open communication, transparency, and</w:t>
      </w:r>
      <w:r>
        <w:rPr>
          <w:color w:val="0D0D0D"/>
          <w:spacing w:val="40"/>
        </w:rPr>
        <w:t> </w:t>
      </w:r>
      <w:r>
        <w:rPr>
          <w:color w:val="0D0D0D"/>
        </w:rPr>
        <w:t>mutual respect.</w:t>
      </w:r>
      <w:r>
        <w:rPr>
          <w:color w:val="0D0D0D"/>
          <w:spacing w:val="40"/>
        </w:rPr>
        <w:t> </w:t>
      </w:r>
      <w:r>
        <w:rPr>
          <w:color w:val="0D0D0D"/>
        </w:rPr>
        <w:t>In contrast, arrogance, lack of preparation, unreliability, and failure to meet role</w:t>
      </w:r>
      <w:r>
        <w:rPr>
          <w:color w:val="0D0D0D"/>
          <w:spacing w:val="40"/>
        </w:rPr>
        <w:t> </w:t>
      </w:r>
      <w:r>
        <w:rPr>
          <w:color w:val="0D0D0D"/>
        </w:rPr>
        <w:t>expectations accelerate trust erosion, underscoring the fragile and dynamic nature of trust</w:t>
      </w:r>
      <w:r>
        <w:rPr>
          <w:color w:val="0D0D0D"/>
          <w:spacing w:val="40"/>
        </w:rPr>
        <w:t> </w:t>
      </w:r>
      <w:r>
        <w:rPr>
          <w:color w:val="0D0D0D"/>
        </w:rPr>
        <w:t>in high-stakes teams.</w:t>
      </w:r>
    </w:p>
    <w:p>
      <w:pPr>
        <w:pStyle w:val="BodyText"/>
        <w:spacing w:line="283" w:lineRule="auto" w:before="129"/>
        <w:ind w:left="720" w:right="2445"/>
      </w:pPr>
      <w:r>
        <w:rPr>
          <w:color w:val="0D0D0D"/>
        </w:rPr>
        <w:t>This study contributes a process model specifying how individual excellence, shared values, and collective practices interact to produce resilient trust under extreme conditions. The mechanisms identified have practical and theoretical relevance for project</w:t>
      </w:r>
      <w:r>
        <w:rPr>
          <w:color w:val="0D0D0D"/>
          <w:spacing w:val="40"/>
        </w:rPr>
        <w:t> </w:t>
      </w:r>
      <w:r>
        <w:rPr>
          <w:color w:val="0D0D0D"/>
        </w:rPr>
        <w:t>teams, healthcare and emergency units, and other organizations that must coordinate</w:t>
      </w:r>
      <w:r>
        <w:rPr>
          <w:color w:val="0D0D0D"/>
          <w:spacing w:val="40"/>
        </w:rPr>
        <w:t> </w:t>
      </w:r>
      <w:r>
        <w:rPr>
          <w:color w:val="0D0D0D"/>
        </w:rPr>
        <w:t>rapidly under uncertainty and cannot afford trust breakdowns. To examine transferability</w:t>
      </w:r>
      <w:r>
        <w:rPr>
          <w:color w:val="0D0D0D"/>
          <w:spacing w:val="40"/>
        </w:rPr>
        <w:t> </w:t>
      </w:r>
      <w:r>
        <w:rPr>
          <w:color w:val="0D0D0D"/>
        </w:rPr>
        <w:t>and</w:t>
      </w:r>
      <w:r>
        <w:rPr>
          <w:color w:val="0D0D0D"/>
          <w:spacing w:val="-7"/>
        </w:rPr>
        <w:t> </w:t>
      </w:r>
      <w:r>
        <w:rPr>
          <w:color w:val="0D0D0D"/>
        </w:rPr>
        <w:t>boundary</w:t>
      </w:r>
      <w:r>
        <w:rPr>
          <w:color w:val="0D0D0D"/>
          <w:spacing w:val="-7"/>
        </w:rPr>
        <w:t> </w:t>
      </w:r>
      <w:r>
        <w:rPr>
          <w:color w:val="0D0D0D"/>
        </w:rPr>
        <w:t>conditions</w:t>
      </w:r>
      <w:r>
        <w:rPr>
          <w:color w:val="0D0D0D"/>
          <w:spacing w:val="-7"/>
        </w:rPr>
        <w:t> </w:t>
      </w:r>
      <w:r>
        <w:rPr>
          <w:color w:val="0D0D0D"/>
        </w:rPr>
        <w:t>beyond</w:t>
      </w:r>
      <w:r>
        <w:rPr>
          <w:color w:val="0D0D0D"/>
          <w:spacing w:val="-7"/>
        </w:rPr>
        <w:t> </w:t>
      </w:r>
      <w:r>
        <w:rPr>
          <w:color w:val="0D0D0D"/>
        </w:rPr>
        <w:t>SOF,</w:t>
      </w:r>
      <w:r>
        <w:rPr>
          <w:color w:val="0D0D0D"/>
          <w:spacing w:val="-7"/>
        </w:rPr>
        <w:t> </w:t>
      </w:r>
      <w:r>
        <w:rPr>
          <w:color w:val="0D0D0D"/>
        </w:rPr>
        <w:t>a</w:t>
      </w:r>
      <w:r>
        <w:rPr>
          <w:color w:val="0D0D0D"/>
          <w:spacing w:val="-7"/>
        </w:rPr>
        <w:t> </w:t>
      </w:r>
      <w:r>
        <w:rPr>
          <w:color w:val="0D0D0D"/>
        </w:rPr>
        <w:t>planned</w:t>
      </w:r>
      <w:r>
        <w:rPr>
          <w:color w:val="0D0D0D"/>
          <w:spacing w:val="-7"/>
        </w:rPr>
        <w:t> </w:t>
      </w:r>
      <w:r>
        <w:rPr>
          <w:color w:val="0D0D0D"/>
        </w:rPr>
        <w:t>exploratory-</w:t>
      </w:r>
      <w:r>
        <w:rPr>
          <w:color w:val="0D0D0D"/>
        </w:rPr>
        <w:t>sequential mixed-methods</w:t>
      </w:r>
      <w:r>
        <w:rPr>
          <w:color w:val="0D0D0D"/>
          <w:spacing w:val="40"/>
        </w:rPr>
        <w:t> </w:t>
      </w:r>
      <w:r>
        <w:rPr>
          <w:color w:val="0D0D0D"/>
        </w:rPr>
        <w:t>follow-on survey will translate emergent themes into validated constructs and test whether</w:t>
      </w:r>
      <w:r>
        <w:rPr>
          <w:color w:val="0D0D0D"/>
          <w:spacing w:val="40"/>
        </w:rPr>
        <w:t> </w:t>
      </w:r>
      <w:r>
        <w:rPr>
          <w:color w:val="0D0D0D"/>
        </w:rPr>
        <w:t>the identified mechanisms predict team trust across additional high-reliability and</w:t>
      </w:r>
      <w:r>
        <w:rPr>
          <w:color w:val="0D0D0D"/>
          <w:spacing w:val="40"/>
        </w:rPr>
        <w:t> </w:t>
      </w:r>
      <w:r>
        <w:rPr>
          <w:color w:val="0D0D0D"/>
        </w:rPr>
        <w:t>emergency-response teams.</w:t>
      </w:r>
    </w:p>
    <w:p>
      <w:pPr>
        <w:pStyle w:val="BodyText"/>
        <w:spacing w:after="0" w:line="283" w:lineRule="auto"/>
        <w:sectPr>
          <w:pgSz w:w="12240" w:h="15840"/>
          <w:pgMar w:header="0" w:footer="750" w:top="640" w:bottom="960" w:left="720" w:right="0"/>
        </w:sectPr>
      </w:pPr>
    </w:p>
    <w:p>
      <w:pPr>
        <w:pStyle w:val="Heading3"/>
        <w:spacing w:line="230" w:lineRule="auto" w:before="80"/>
        <w:ind w:left="2286" w:right="2974"/>
      </w:pPr>
      <w:bookmarkStart w:name="AI Touchpoints for Small Business Growth" w:id="93"/>
      <w:bookmarkEnd w:id="93"/>
      <w:r>
        <w:rPr>
          <w:b w:val="0"/>
        </w:rPr>
      </w:r>
      <w:bookmarkStart w:name="h.kg7ngrmn12oz" w:id="94"/>
      <w:bookmarkEnd w:id="94"/>
      <w:r>
        <w:rPr>
          <w:b w:val="0"/>
        </w:rPr>
      </w:r>
      <w:r>
        <w:rPr/>
        <w:t>AI</w:t>
      </w:r>
      <w:r>
        <w:rPr>
          <w:spacing w:val="-17"/>
        </w:rPr>
        <w:t> </w:t>
      </w:r>
      <w:r>
        <w:rPr/>
        <w:t>Touchpoints</w:t>
      </w:r>
      <w:r>
        <w:rPr>
          <w:spacing w:val="-17"/>
        </w:rPr>
        <w:t> </w:t>
      </w:r>
      <w:r>
        <w:rPr/>
        <w:t>for</w:t>
      </w:r>
      <w:r>
        <w:rPr>
          <w:spacing w:val="-17"/>
        </w:rPr>
        <w:t> </w:t>
      </w:r>
      <w:r>
        <w:rPr/>
        <w:t>Small</w:t>
      </w:r>
      <w:r>
        <w:rPr>
          <w:spacing w:val="-17"/>
        </w:rPr>
        <w:t> </w:t>
      </w:r>
      <w:r>
        <w:rPr/>
        <w:t>Business</w:t>
      </w:r>
      <w:r>
        <w:rPr>
          <w:spacing w:val="-17"/>
        </w:rPr>
        <w:t> </w:t>
      </w:r>
      <w:r>
        <w:rPr/>
        <w:t>Growth:</w:t>
      </w:r>
      <w:r>
        <w:rPr>
          <w:spacing w:val="-17"/>
        </w:rPr>
        <w:t> </w:t>
      </w:r>
      <w:r>
        <w:rPr/>
        <w:t>Turning Customer Inquiries Into Conversions</w:t>
      </w:r>
    </w:p>
    <w:p>
      <w:pPr>
        <w:pStyle w:val="BodyText"/>
        <w:spacing w:before="275"/>
        <w:ind w:right="719"/>
        <w:jc w:val="center"/>
      </w:pPr>
      <w:r>
        <w:rPr/>
        <w:t>Luke Liska, Andrea Stanaland and Bryson </w:t>
      </w:r>
      <w:r>
        <w:rPr>
          <w:spacing w:val="-2"/>
        </w:rPr>
        <w:t>Hilton</w:t>
      </w:r>
    </w:p>
    <w:p>
      <w:pPr>
        <w:pStyle w:val="BodyText"/>
        <w:spacing w:before="67"/>
      </w:pPr>
    </w:p>
    <w:p>
      <w:pPr>
        <w:pStyle w:val="BodyText"/>
        <w:spacing w:line="230" w:lineRule="auto" w:before="1"/>
        <w:ind w:left="720" w:right="2190"/>
        <w:jc w:val="both"/>
      </w:pPr>
      <w:r>
        <w:rPr/>
        <w:t>Small e-commerce businesses increasingly face a paradox in customer </w:t>
      </w:r>
      <w:r>
        <w:rPr/>
        <w:t>communication: customer</w:t>
      </w:r>
      <w:r>
        <w:rPr>
          <w:spacing w:val="40"/>
        </w:rPr>
        <w:t> </w:t>
      </w:r>
      <w:r>
        <w:rPr/>
        <w:t>inquiries represent high-intent moments in the conversion funnel, yet responding to</w:t>
      </w:r>
      <w:r>
        <w:rPr>
          <w:spacing w:val="-3"/>
        </w:rPr>
        <w:t> </w:t>
      </w:r>
      <w:r>
        <w:rPr/>
        <w:t>them</w:t>
      </w:r>
      <w:r>
        <w:rPr>
          <w:spacing w:val="-3"/>
        </w:rPr>
        <w:t> </w:t>
      </w:r>
      <w:r>
        <w:rPr/>
        <w:t>quickly</w:t>
      </w:r>
      <w:r>
        <w:rPr>
          <w:spacing w:val="40"/>
        </w:rPr>
        <w:t> </w:t>
      </w:r>
      <w:r>
        <w:rPr/>
        <w:t>and</w:t>
      </w:r>
      <w:r>
        <w:rPr>
          <w:spacing w:val="-3"/>
        </w:rPr>
        <w:t> </w:t>
      </w:r>
      <w:r>
        <w:rPr/>
        <w:t>personally</w:t>
      </w:r>
      <w:r>
        <w:rPr>
          <w:spacing w:val="-3"/>
        </w:rPr>
        <w:t> </w:t>
      </w:r>
      <w:r>
        <w:rPr/>
        <w:t>is</w:t>
      </w:r>
      <w:r>
        <w:rPr>
          <w:spacing w:val="-3"/>
        </w:rPr>
        <w:t> </w:t>
      </w:r>
      <w:r>
        <w:rPr/>
        <w:t>often</w:t>
      </w:r>
      <w:r>
        <w:rPr>
          <w:spacing w:val="-3"/>
        </w:rPr>
        <w:t> </w:t>
      </w:r>
      <w:r>
        <w:rPr/>
        <w:t>constrained</w:t>
      </w:r>
      <w:r>
        <w:rPr>
          <w:spacing w:val="-3"/>
        </w:rPr>
        <w:t> </w:t>
      </w:r>
      <w:r>
        <w:rPr/>
        <w:t>by</w:t>
      </w:r>
      <w:r>
        <w:rPr>
          <w:spacing w:val="-3"/>
        </w:rPr>
        <w:t> </w:t>
      </w:r>
      <w:r>
        <w:rPr/>
        <w:t>limited</w:t>
      </w:r>
      <w:r>
        <w:rPr>
          <w:spacing w:val="-3"/>
        </w:rPr>
        <w:t> </w:t>
      </w:r>
      <w:r>
        <w:rPr/>
        <w:t>time</w:t>
      </w:r>
      <w:r>
        <w:rPr>
          <w:spacing w:val="-3"/>
        </w:rPr>
        <w:t> </w:t>
      </w:r>
      <w:r>
        <w:rPr/>
        <w:t>and</w:t>
      </w:r>
      <w:r>
        <w:rPr>
          <w:spacing w:val="-3"/>
        </w:rPr>
        <w:t> </w:t>
      </w:r>
      <w:r>
        <w:rPr/>
        <w:t>labor resources. Delayed or inconsistent</w:t>
      </w:r>
      <w:r>
        <w:rPr>
          <w:spacing w:val="40"/>
        </w:rPr>
        <w:t> </w:t>
      </w:r>
      <w:r>
        <w:rPr/>
        <w:t>inquiry responses can weaken trust, slow purchase decisions, and result in lost sales, particularly</w:t>
      </w:r>
      <w:r>
        <w:rPr>
          <w:spacing w:val="80"/>
        </w:rPr>
        <w:t> </w:t>
      </w:r>
      <w:r>
        <w:rPr/>
        <w:t>for businesses offering customized or high-involvement products.</w:t>
      </w:r>
      <w:r>
        <w:rPr>
          <w:spacing w:val="-4"/>
        </w:rPr>
        <w:t> </w:t>
      </w:r>
      <w:r>
        <w:rPr/>
        <w:t>While</w:t>
      </w:r>
      <w:r>
        <w:rPr>
          <w:spacing w:val="-4"/>
        </w:rPr>
        <w:t> </w:t>
      </w:r>
      <w:r>
        <w:rPr/>
        <w:t>artificial</w:t>
      </w:r>
      <w:r>
        <w:rPr>
          <w:spacing w:val="-4"/>
        </w:rPr>
        <w:t> </w:t>
      </w:r>
      <w:r>
        <w:rPr/>
        <w:t>intelligence</w:t>
      </w:r>
      <w:r>
        <w:rPr>
          <w:spacing w:val="-4"/>
        </w:rPr>
        <w:t> </w:t>
      </w:r>
      <w:r>
        <w:rPr/>
        <w:t>(AI)</w:t>
      </w:r>
      <w:r>
        <w:rPr>
          <w:spacing w:val="40"/>
        </w:rPr>
        <w:t> </w:t>
      </w:r>
      <w:r>
        <w:rPr/>
        <w:t>offers</w:t>
      </w:r>
      <w:r>
        <w:rPr>
          <w:spacing w:val="-4"/>
        </w:rPr>
        <w:t> </w:t>
      </w:r>
      <w:r>
        <w:rPr/>
        <w:t>promise</w:t>
      </w:r>
      <w:r>
        <w:rPr>
          <w:spacing w:val="-4"/>
        </w:rPr>
        <w:t> </w:t>
      </w:r>
      <w:r>
        <w:rPr/>
        <w:t>as</w:t>
      </w:r>
      <w:r>
        <w:rPr>
          <w:spacing w:val="-4"/>
        </w:rPr>
        <w:t> </w:t>
      </w:r>
      <w:r>
        <w:rPr/>
        <w:t>a</w:t>
      </w:r>
      <w:r>
        <w:rPr>
          <w:spacing w:val="-4"/>
        </w:rPr>
        <w:t> </w:t>
      </w:r>
      <w:r>
        <w:rPr/>
        <w:t>scalable communication solution, many small and medium-sized enterprises</w:t>
      </w:r>
      <w:r>
        <w:rPr>
          <w:spacing w:val="40"/>
        </w:rPr>
        <w:t> </w:t>
      </w:r>
      <w:r>
        <w:rPr/>
        <w:t>(SMEs) struggle to implement AI effectively, and poorly designed</w:t>
      </w:r>
      <w:r>
        <w:rPr>
          <w:spacing w:val="-5"/>
        </w:rPr>
        <w:t> </w:t>
      </w:r>
      <w:r>
        <w:rPr/>
        <w:t>automation</w:t>
      </w:r>
      <w:r>
        <w:rPr>
          <w:spacing w:val="-5"/>
        </w:rPr>
        <w:t> </w:t>
      </w:r>
      <w:r>
        <w:rPr/>
        <w:t>risks</w:t>
      </w:r>
      <w:r>
        <w:rPr>
          <w:spacing w:val="-5"/>
        </w:rPr>
        <w:t> </w:t>
      </w:r>
      <w:r>
        <w:rPr/>
        <w:t>eroding</w:t>
      </w:r>
      <w:r>
        <w:rPr>
          <w:spacing w:val="-5"/>
        </w:rPr>
        <w:t> </w:t>
      </w:r>
      <w:r>
        <w:rPr/>
        <w:t>the</w:t>
      </w:r>
      <w:r>
        <w:rPr>
          <w:spacing w:val="40"/>
        </w:rPr>
        <w:t> </w:t>
      </w:r>
      <w:r>
        <w:rPr/>
        <w:t>authenticity and relational quality that often differentiates small businesses from larger</w:t>
      </w:r>
      <w:r>
        <w:rPr>
          <w:spacing w:val="40"/>
        </w:rPr>
        <w:t> </w:t>
      </w:r>
      <w:r>
        <w:rPr/>
        <w:t>competitors. This study examines how SMEs can strategically deploy AI-enabled touchpoints to improve inquiry responsiveness and conversion outcomes without sacrificing perceived </w:t>
      </w:r>
      <w:r>
        <w:rPr>
          <w:spacing w:val="-2"/>
        </w:rPr>
        <w:t>personalization.</w:t>
      </w:r>
    </w:p>
    <w:p>
      <w:pPr>
        <w:pStyle w:val="BodyText"/>
        <w:spacing w:line="230" w:lineRule="auto" w:before="158"/>
        <w:ind w:left="720" w:right="2188"/>
        <w:jc w:val="both"/>
      </w:pPr>
      <w:r>
        <w:rPr/>
        <w:t>Drawing on literature on the digital conversion funnel, customer touchpoints, and </w:t>
      </w:r>
      <w:r>
        <w:rPr/>
        <w:t>AI communication capabilities, we present an in-depth</w:t>
      </w:r>
      <w:r>
        <w:rPr>
          <w:spacing w:val="-3"/>
        </w:rPr>
        <w:t> </w:t>
      </w:r>
      <w:r>
        <w:rPr/>
        <w:t>case</w:t>
      </w:r>
      <w:r>
        <w:rPr>
          <w:spacing w:val="-3"/>
        </w:rPr>
        <w:t> </w:t>
      </w:r>
      <w:r>
        <w:rPr/>
        <w:t>study</w:t>
      </w:r>
      <w:r>
        <w:rPr>
          <w:spacing w:val="-3"/>
        </w:rPr>
        <w:t> </w:t>
      </w:r>
      <w:r>
        <w:rPr/>
        <w:t>of</w:t>
      </w:r>
      <w:r>
        <w:rPr>
          <w:spacing w:val="-3"/>
        </w:rPr>
        <w:t> </w:t>
      </w:r>
      <w:r>
        <w:rPr/>
        <w:t>a</w:t>
      </w:r>
      <w:r>
        <w:rPr>
          <w:spacing w:val="-3"/>
        </w:rPr>
        <w:t> </w:t>
      </w:r>
      <w:r>
        <w:rPr/>
        <w:t>small</w:t>
      </w:r>
      <w:r>
        <w:rPr>
          <w:spacing w:val="-3"/>
        </w:rPr>
        <w:t> </w:t>
      </w:r>
      <w:r>
        <w:rPr/>
        <w:t>online</w:t>
      </w:r>
      <w:r>
        <w:rPr>
          <w:spacing w:val="-3"/>
        </w:rPr>
        <w:t> </w:t>
      </w:r>
      <w:r>
        <w:rPr/>
        <w:t>artisan</w:t>
      </w:r>
      <w:r>
        <w:rPr>
          <w:spacing w:val="-3"/>
        </w:rPr>
        <w:t> </w:t>
      </w:r>
      <w:r>
        <w:rPr/>
        <w:t>e commerce</w:t>
      </w:r>
      <w:r>
        <w:rPr>
          <w:spacing w:val="40"/>
        </w:rPr>
        <w:t> </w:t>
      </w:r>
      <w:r>
        <w:rPr/>
        <w:t>business</w:t>
      </w:r>
      <w:r>
        <w:rPr>
          <w:spacing w:val="40"/>
        </w:rPr>
        <w:t> </w:t>
      </w:r>
      <w:r>
        <w:rPr/>
        <w:t>specializing</w:t>
      </w:r>
      <w:r>
        <w:rPr>
          <w:spacing w:val="40"/>
        </w:rPr>
        <w:t> </w:t>
      </w:r>
      <w:r>
        <w:rPr/>
        <w:t>in</w:t>
      </w:r>
      <w:r>
        <w:rPr>
          <w:spacing w:val="40"/>
        </w:rPr>
        <w:t> </w:t>
      </w:r>
      <w:r>
        <w:rPr/>
        <w:t>custom</w:t>
      </w:r>
      <w:r>
        <w:rPr>
          <w:spacing w:val="40"/>
        </w:rPr>
        <w:t> </w:t>
      </w:r>
      <w:r>
        <w:rPr/>
        <w:t>wildlife</w:t>
      </w:r>
      <w:r>
        <w:rPr>
          <w:spacing w:val="40"/>
        </w:rPr>
        <w:t> </w:t>
      </w:r>
      <w:r>
        <w:rPr/>
        <w:t>artwork.</w:t>
      </w:r>
      <w:r>
        <w:rPr>
          <w:spacing w:val="40"/>
        </w:rPr>
        <w:t> </w:t>
      </w:r>
      <w:r>
        <w:rPr/>
        <w:t>Using</w:t>
      </w:r>
      <w:r>
        <w:rPr>
          <w:spacing w:val="40"/>
        </w:rPr>
        <w:t> </w:t>
      </w:r>
      <w:r>
        <w:rPr/>
        <w:t>a</w:t>
      </w:r>
      <w:r>
        <w:rPr>
          <w:spacing w:val="40"/>
        </w:rPr>
        <w:t> </w:t>
      </w:r>
      <w:r>
        <w:rPr/>
        <w:t>year-over-year, pre-post</w:t>
      </w:r>
      <w:r>
        <w:rPr>
          <w:spacing w:val="40"/>
        </w:rPr>
        <w:t> </w:t>
      </w:r>
      <w:r>
        <w:rPr/>
        <w:t>design, we compare inquiry handling and sales outcomes before and after the implementation of a</w:t>
      </w:r>
      <w:r>
        <w:rPr>
          <w:spacing w:val="40"/>
        </w:rPr>
        <w:t> </w:t>
      </w:r>
      <w:r>
        <w:rPr/>
        <w:t>hybrid AI–human inquiry response system. The system was designed using an AI adoption</w:t>
      </w:r>
      <w:r>
        <w:rPr>
          <w:spacing w:val="40"/>
        </w:rPr>
        <w:t> </w:t>
      </w:r>
      <w:r>
        <w:rPr/>
        <w:t>roadmap informed by Huang and Rust’s (2018) framework of mechanical, analytical, intuitive,</w:t>
      </w:r>
      <w:r>
        <w:rPr>
          <w:spacing w:val="80"/>
        </w:rPr>
        <w:t> </w:t>
      </w:r>
      <w:r>
        <w:rPr/>
        <w:t>and empathetic intelligences. Routine and rule-based inquiries were fully automated, analytically</w:t>
      </w:r>
      <w:r>
        <w:rPr>
          <w:spacing w:val="80"/>
        </w:rPr>
        <w:t> </w:t>
      </w:r>
      <w:r>
        <w:rPr/>
        <w:t>driven inquiries were</w:t>
      </w:r>
      <w:r>
        <w:rPr>
          <w:spacing w:val="40"/>
        </w:rPr>
        <w:t> </w:t>
      </w:r>
      <w:r>
        <w:rPr/>
        <w:t>handled via AI-assisted decision</w:t>
      </w:r>
      <w:r>
        <w:rPr>
          <w:spacing w:val="-3"/>
        </w:rPr>
        <w:t> </w:t>
      </w:r>
      <w:r>
        <w:rPr/>
        <w:t>logic,</w:t>
      </w:r>
      <w:r>
        <w:rPr>
          <w:spacing w:val="-3"/>
        </w:rPr>
        <w:t> </w:t>
      </w:r>
      <w:r>
        <w:rPr/>
        <w:t>and</w:t>
      </w:r>
      <w:r>
        <w:rPr>
          <w:spacing w:val="-3"/>
        </w:rPr>
        <w:t> </w:t>
      </w:r>
      <w:r>
        <w:rPr/>
        <w:t>emotionally</w:t>
      </w:r>
      <w:r>
        <w:rPr>
          <w:spacing w:val="-3"/>
        </w:rPr>
        <w:t> </w:t>
      </w:r>
      <w:r>
        <w:rPr/>
        <w:t>sensitive</w:t>
      </w:r>
      <w:r>
        <w:rPr>
          <w:spacing w:val="-3"/>
        </w:rPr>
        <w:t> </w:t>
      </w:r>
      <w:r>
        <w:rPr/>
        <w:t>or</w:t>
      </w:r>
      <w:r>
        <w:rPr>
          <w:spacing w:val="-3"/>
        </w:rPr>
        <w:t> </w:t>
      </w:r>
      <w:r>
        <w:rPr/>
        <w:t>novel</w:t>
      </w:r>
      <w:r>
        <w:rPr>
          <w:spacing w:val="40"/>
        </w:rPr>
        <w:t> </w:t>
      </w:r>
      <w:r>
        <w:rPr/>
        <w:t>inquiries</w:t>
      </w:r>
      <w:r>
        <w:rPr>
          <w:spacing w:val="-3"/>
        </w:rPr>
        <w:t> </w:t>
      </w:r>
      <w:r>
        <w:rPr/>
        <w:t>were routed to human review or augmented with AI-generated empathetic language.</w:t>
      </w:r>
    </w:p>
    <w:p>
      <w:pPr>
        <w:pStyle w:val="BodyText"/>
        <w:spacing w:line="230" w:lineRule="auto" w:before="160"/>
        <w:ind w:left="720" w:right="2193"/>
        <w:jc w:val="both"/>
      </w:pPr>
      <w:r>
        <w:rPr/>
        <w:t>Empirical results demonstrate that AI adoption reduced average inquiry response </w:t>
      </w:r>
      <w:r>
        <w:rPr/>
        <w:t>times by</w:t>
      </w:r>
      <w:r>
        <w:rPr>
          <w:spacing w:val="40"/>
        </w:rPr>
        <w:t> </w:t>
      </w:r>
      <w:r>
        <w:rPr/>
        <w:t>approximately 94%, from over 26 hours to under two hours. Conversion rates increased from</w:t>
      </w:r>
      <w:r>
        <w:rPr>
          <w:spacing w:val="40"/>
        </w:rPr>
        <w:t> </w:t>
      </w:r>
      <w:r>
        <w:rPr/>
        <w:t>14.1% to 16.6%, representing an 18% relative improvement, and the average inquiry-to-purchase</w:t>
      </w:r>
      <w:r>
        <w:rPr>
          <w:spacing w:val="40"/>
        </w:rPr>
        <w:t> </w:t>
      </w:r>
      <w:r>
        <w:rPr/>
        <w:t>time decreased by nearly 25%. Importantly, AI-augmented responses that included customized</w:t>
      </w:r>
      <w:r>
        <w:rPr>
          <w:spacing w:val="40"/>
        </w:rPr>
        <w:t> </w:t>
      </w:r>
      <w:r>
        <w:rPr/>
        <w:t>emotional framing achieved the highest conversion rates, suggesting that AI can enhance relationship-oriented communication when deployed selectively.</w:t>
      </w:r>
      <w:r>
        <w:rPr>
          <w:spacing w:val="-4"/>
        </w:rPr>
        <w:t> </w:t>
      </w:r>
      <w:r>
        <w:rPr/>
        <w:t>The</w:t>
      </w:r>
      <w:r>
        <w:rPr>
          <w:spacing w:val="-4"/>
        </w:rPr>
        <w:t> </w:t>
      </w:r>
      <w:r>
        <w:rPr/>
        <w:t>system</w:t>
      </w:r>
      <w:r>
        <w:rPr>
          <w:spacing w:val="-4"/>
        </w:rPr>
        <w:t> </w:t>
      </w:r>
      <w:r>
        <w:rPr/>
        <w:t>also</w:t>
      </w:r>
      <w:r>
        <w:rPr>
          <w:spacing w:val="-4"/>
        </w:rPr>
        <w:t> </w:t>
      </w:r>
      <w:r>
        <w:rPr/>
        <w:t>eliminated</w:t>
      </w:r>
      <w:r>
        <w:rPr>
          <w:spacing w:val="-4"/>
        </w:rPr>
        <w:t> </w:t>
      </w:r>
      <w:r>
        <w:rPr/>
        <w:t>more</w:t>
      </w:r>
      <w:r>
        <w:rPr>
          <w:spacing w:val="40"/>
        </w:rPr>
        <w:t> </w:t>
      </w:r>
      <w:r>
        <w:rPr/>
        <w:t>than</w:t>
      </w:r>
      <w:r>
        <w:rPr>
          <w:spacing w:val="-4"/>
        </w:rPr>
        <w:t> </w:t>
      </w:r>
      <w:r>
        <w:rPr/>
        <w:t>eight</w:t>
      </w:r>
      <w:r>
        <w:rPr>
          <w:spacing w:val="-4"/>
        </w:rPr>
        <w:t> </w:t>
      </w:r>
      <w:r>
        <w:rPr/>
        <w:t>hours</w:t>
      </w:r>
      <w:r>
        <w:rPr>
          <w:spacing w:val="-4"/>
        </w:rPr>
        <w:t> </w:t>
      </w:r>
      <w:r>
        <w:rPr/>
        <w:t>of</w:t>
      </w:r>
      <w:r>
        <w:rPr>
          <w:spacing w:val="-4"/>
        </w:rPr>
        <w:t> </w:t>
      </w:r>
      <w:r>
        <w:rPr/>
        <w:t>weekly</w:t>
      </w:r>
      <w:r>
        <w:rPr>
          <w:spacing w:val="-4"/>
        </w:rPr>
        <w:t> </w:t>
      </w:r>
      <w:r>
        <w:rPr/>
        <w:t>owner labor, substantially improving operational capacity.</w:t>
      </w:r>
    </w:p>
    <w:p>
      <w:pPr>
        <w:pStyle w:val="BodyText"/>
        <w:spacing w:line="230" w:lineRule="auto" w:before="162"/>
        <w:ind w:left="720" w:right="2188"/>
        <w:jc w:val="both"/>
      </w:pPr>
      <w:r>
        <w:rPr/>
        <w:t>This research contributes to understanding how AI-enabled communication </w:t>
      </w:r>
      <w:r>
        <w:rPr/>
        <w:t>touchpoints can</w:t>
      </w:r>
      <w:r>
        <w:rPr>
          <w:spacing w:val="40"/>
        </w:rPr>
        <w:t> </w:t>
      </w:r>
      <w:r>
        <w:rPr/>
        <w:t>function as conversion accelerators in small-business e-commerce contexts. The findings will be</w:t>
      </w:r>
      <w:r>
        <w:rPr>
          <w:spacing w:val="80"/>
        </w:rPr>
        <w:t> </w:t>
      </w:r>
      <w:r>
        <w:rPr/>
        <w:t>of interest to marketing scholars, information systems researchers, small-business owners, digital</w:t>
      </w:r>
      <w:r>
        <w:rPr>
          <w:spacing w:val="40"/>
        </w:rPr>
        <w:t> </w:t>
      </w:r>
      <w:r>
        <w:rPr/>
        <w:t>strategy practitioners, and policymakers focused on technology adoption among SMEs. By</w:t>
      </w:r>
      <w:r>
        <w:rPr>
          <w:spacing w:val="40"/>
        </w:rPr>
        <w:t> </w:t>
      </w:r>
      <w:r>
        <w:rPr/>
        <w:t>demonstrating a practical hybrid model for inquiry management, this study offers actionable</w:t>
      </w:r>
      <w:r>
        <w:rPr>
          <w:spacing w:val="40"/>
        </w:rPr>
        <w:t> </w:t>
      </w:r>
      <w:r>
        <w:rPr/>
        <w:t>guidance for leveraging AI to scale responsiveness while preserving the relational value critical to</w:t>
      </w:r>
      <w:r>
        <w:rPr>
          <w:spacing w:val="40"/>
        </w:rPr>
        <w:t> </w:t>
      </w:r>
      <w:r>
        <w:rPr/>
        <w:t>small-business success.</w:t>
      </w:r>
    </w:p>
    <w:p>
      <w:pPr>
        <w:pStyle w:val="BodyText"/>
        <w:spacing w:after="0" w:line="230" w:lineRule="auto"/>
        <w:jc w:val="both"/>
        <w:sectPr>
          <w:pgSz w:w="12240" w:h="15840"/>
          <w:pgMar w:header="0" w:footer="750" w:top="620" w:bottom="960" w:left="720" w:right="0"/>
        </w:sectPr>
      </w:pPr>
    </w:p>
    <w:p>
      <w:pPr>
        <w:pStyle w:val="Heading3"/>
        <w:spacing w:line="230" w:lineRule="auto" w:before="80"/>
        <w:ind w:left="3675" w:right="1948" w:hanging="1502"/>
        <w:jc w:val="left"/>
      </w:pPr>
      <w:bookmarkStart w:name="Identifying Bottlenecks Limiting Spatial" w:id="95"/>
      <w:bookmarkEnd w:id="95"/>
      <w:r>
        <w:rPr>
          <w:b w:val="0"/>
        </w:rPr>
      </w:r>
      <w:bookmarkStart w:name="h.55fd2m7o06ra" w:id="96"/>
      <w:bookmarkEnd w:id="96"/>
      <w:r>
        <w:rPr>
          <w:b w:val="0"/>
        </w:rPr>
      </w:r>
      <w:r>
        <w:rPr/>
        <w:t>Identifying</w:t>
      </w:r>
      <w:r>
        <w:rPr>
          <w:spacing w:val="-8"/>
        </w:rPr>
        <w:t> </w:t>
      </w:r>
      <w:r>
        <w:rPr/>
        <w:t>Bottlenecks</w:t>
      </w:r>
      <w:r>
        <w:rPr>
          <w:spacing w:val="-8"/>
        </w:rPr>
        <w:t> </w:t>
      </w:r>
      <w:r>
        <w:rPr/>
        <w:t>Limiting</w:t>
      </w:r>
      <w:r>
        <w:rPr>
          <w:spacing w:val="-8"/>
        </w:rPr>
        <w:t> </w:t>
      </w:r>
      <w:r>
        <w:rPr/>
        <w:t>Spatial</w:t>
      </w:r>
      <w:r>
        <w:rPr>
          <w:spacing w:val="-8"/>
        </w:rPr>
        <w:t> </w:t>
      </w:r>
      <w:r>
        <w:rPr/>
        <w:t>Accessibility</w:t>
      </w:r>
      <w:r>
        <w:rPr>
          <w:spacing w:val="-8"/>
        </w:rPr>
        <w:t> </w:t>
      </w:r>
      <w:r>
        <w:rPr/>
        <w:t>to Dental Care in North Carolina</w:t>
      </w:r>
    </w:p>
    <w:p>
      <w:pPr>
        <w:pStyle w:val="BodyText"/>
        <w:spacing w:before="290"/>
        <w:ind w:left="2902"/>
      </w:pPr>
      <w:r>
        <w:rPr/>
        <w:t>Harley</w:t>
      </w:r>
      <w:r>
        <w:rPr>
          <w:spacing w:val="-2"/>
        </w:rPr>
        <w:t> </w:t>
      </w:r>
      <w:r>
        <w:rPr/>
        <w:t>Locklear,</w:t>
      </w:r>
      <w:r>
        <w:rPr>
          <w:spacing w:val="-2"/>
        </w:rPr>
        <w:t> </w:t>
      </w:r>
      <w:r>
        <w:rPr/>
        <w:t>Shishir</w:t>
      </w:r>
      <w:r>
        <w:rPr>
          <w:spacing w:val="-1"/>
        </w:rPr>
        <w:t> </w:t>
      </w:r>
      <w:r>
        <w:rPr/>
        <w:t>Shakya</w:t>
      </w:r>
      <w:r>
        <w:rPr>
          <w:spacing w:val="-2"/>
        </w:rPr>
        <w:t> </w:t>
      </w:r>
      <w:r>
        <w:rPr/>
        <w:t>and</w:t>
      </w:r>
      <w:r>
        <w:rPr>
          <w:spacing w:val="-2"/>
        </w:rPr>
        <w:t> </w:t>
      </w:r>
      <w:r>
        <w:rPr/>
        <w:t>Santosh</w:t>
      </w:r>
      <w:r>
        <w:rPr>
          <w:spacing w:val="-1"/>
        </w:rPr>
        <w:t> </w:t>
      </w:r>
      <w:r>
        <w:rPr>
          <w:spacing w:val="-2"/>
        </w:rPr>
        <w:t>Nandi</w:t>
      </w:r>
    </w:p>
    <w:p>
      <w:pPr>
        <w:pStyle w:val="BodyText"/>
        <w:spacing w:before="191"/>
        <w:ind w:left="720" w:right="2118"/>
        <w:jc w:val="both"/>
      </w:pPr>
      <w:r>
        <w:rPr/>
        <w:t>North Carolina contains numerous dental Health Professional Shortage Areas </w:t>
      </w:r>
      <w:r>
        <w:rPr/>
        <w:t>(HPSAs). Existing</w:t>
      </w:r>
      <w:r>
        <w:rPr>
          <w:spacing w:val="40"/>
        </w:rPr>
        <w:t> </w:t>
      </w:r>
      <w:r>
        <w:rPr/>
        <w:t>studies demonstrate</w:t>
      </w:r>
      <w:r>
        <w:rPr>
          <w:spacing w:val="-3"/>
        </w:rPr>
        <w:t> </w:t>
      </w:r>
      <w:r>
        <w:rPr/>
        <w:t>where</w:t>
      </w:r>
      <w:r>
        <w:rPr>
          <w:spacing w:val="-3"/>
        </w:rPr>
        <w:t> </w:t>
      </w:r>
      <w:r>
        <w:rPr/>
        <w:t>shortages</w:t>
      </w:r>
      <w:r>
        <w:rPr>
          <w:spacing w:val="-3"/>
        </w:rPr>
        <w:t> </w:t>
      </w:r>
      <w:r>
        <w:rPr/>
        <w:t>are</w:t>
      </w:r>
      <w:r>
        <w:rPr>
          <w:spacing w:val="-3"/>
        </w:rPr>
        <w:t> </w:t>
      </w:r>
      <w:r>
        <w:rPr/>
        <w:t>and</w:t>
      </w:r>
      <w:r>
        <w:rPr>
          <w:spacing w:val="-3"/>
        </w:rPr>
        <w:t> </w:t>
      </w:r>
      <w:r>
        <w:rPr/>
        <w:t>who</w:t>
      </w:r>
      <w:r>
        <w:rPr>
          <w:spacing w:val="-3"/>
        </w:rPr>
        <w:t> </w:t>
      </w:r>
      <w:r>
        <w:rPr/>
        <w:t>faces</w:t>
      </w:r>
      <w:r>
        <w:rPr>
          <w:spacing w:val="-3"/>
        </w:rPr>
        <w:t> </w:t>
      </w:r>
      <w:r>
        <w:rPr/>
        <w:t>the</w:t>
      </w:r>
      <w:r>
        <w:rPr>
          <w:spacing w:val="-3"/>
        </w:rPr>
        <w:t> </w:t>
      </w:r>
      <w:r>
        <w:rPr/>
        <w:t>disparities</w:t>
      </w:r>
      <w:r>
        <w:rPr>
          <w:spacing w:val="-3"/>
        </w:rPr>
        <w:t> </w:t>
      </w:r>
      <w:r>
        <w:rPr/>
        <w:t>caused</w:t>
      </w:r>
      <w:r>
        <w:rPr>
          <w:spacing w:val="-3"/>
        </w:rPr>
        <w:t> </w:t>
      </w:r>
      <w:r>
        <w:rPr/>
        <w:t>by these shortages,</w:t>
      </w:r>
      <w:r>
        <w:rPr>
          <w:spacing w:val="40"/>
        </w:rPr>
        <w:t> </w:t>
      </w:r>
      <w:r>
        <w:rPr/>
        <w:t>often discussing geographical</w:t>
      </w:r>
      <w:r>
        <w:rPr>
          <w:spacing w:val="-3"/>
        </w:rPr>
        <w:t> </w:t>
      </w:r>
      <w:r>
        <w:rPr/>
        <w:t>barriers</w:t>
      </w:r>
      <w:r>
        <w:rPr>
          <w:spacing w:val="-3"/>
        </w:rPr>
        <w:t> </w:t>
      </w:r>
      <w:r>
        <w:rPr/>
        <w:t>in</w:t>
      </w:r>
      <w:r>
        <w:rPr>
          <w:spacing w:val="-3"/>
        </w:rPr>
        <w:t> </w:t>
      </w:r>
      <w:r>
        <w:rPr/>
        <w:t>terms</w:t>
      </w:r>
      <w:r>
        <w:rPr>
          <w:spacing w:val="-3"/>
        </w:rPr>
        <w:t> </w:t>
      </w:r>
      <w:r>
        <w:rPr/>
        <w:t>of</w:t>
      </w:r>
      <w:r>
        <w:rPr>
          <w:spacing w:val="-3"/>
        </w:rPr>
        <w:t> </w:t>
      </w:r>
      <w:r>
        <w:rPr/>
        <w:t>socioeconomic</w:t>
      </w:r>
      <w:r>
        <w:rPr>
          <w:spacing w:val="-3"/>
        </w:rPr>
        <w:t> </w:t>
      </w:r>
      <w:r>
        <w:rPr/>
        <w:t>factors (such as income and</w:t>
      </w:r>
      <w:r>
        <w:rPr>
          <w:spacing w:val="40"/>
        </w:rPr>
        <w:t> </w:t>
      </w:r>
      <w:r>
        <w:rPr/>
        <w:t>education</w:t>
      </w:r>
      <w:r>
        <w:rPr>
          <w:spacing w:val="-2"/>
        </w:rPr>
        <w:t> </w:t>
      </w:r>
      <w:r>
        <w:rPr/>
        <w:t>level),</w:t>
      </w:r>
      <w:r>
        <w:rPr>
          <w:spacing w:val="-2"/>
        </w:rPr>
        <w:t> </w:t>
      </w:r>
      <w:r>
        <w:rPr/>
        <w:t>lack</w:t>
      </w:r>
      <w:r>
        <w:rPr>
          <w:spacing w:val="-2"/>
        </w:rPr>
        <w:t> </w:t>
      </w:r>
      <w:r>
        <w:rPr/>
        <w:t>of</w:t>
      </w:r>
      <w:r>
        <w:rPr>
          <w:spacing w:val="-2"/>
        </w:rPr>
        <w:t> </w:t>
      </w:r>
      <w:r>
        <w:rPr/>
        <w:t>dental</w:t>
      </w:r>
      <w:r>
        <w:rPr>
          <w:spacing w:val="-2"/>
        </w:rPr>
        <w:t> </w:t>
      </w:r>
      <w:r>
        <w:rPr/>
        <w:t>utilization,</w:t>
      </w:r>
      <w:r>
        <w:rPr>
          <w:spacing w:val="-2"/>
        </w:rPr>
        <w:t> </w:t>
      </w:r>
      <w:r>
        <w:rPr/>
        <w:t>and</w:t>
      </w:r>
      <w:r>
        <w:rPr>
          <w:spacing w:val="-2"/>
        </w:rPr>
        <w:t> </w:t>
      </w:r>
      <w:r>
        <w:rPr/>
        <w:t>disparities</w:t>
      </w:r>
      <w:r>
        <w:rPr>
          <w:spacing w:val="-2"/>
        </w:rPr>
        <w:t> </w:t>
      </w:r>
      <w:r>
        <w:rPr/>
        <w:t>in</w:t>
      </w:r>
      <w:r>
        <w:rPr>
          <w:spacing w:val="-2"/>
        </w:rPr>
        <w:t> </w:t>
      </w:r>
      <w:r>
        <w:rPr/>
        <w:t>clinical outcomes. These geographic</w:t>
      </w:r>
      <w:r>
        <w:rPr>
          <w:spacing w:val="40"/>
        </w:rPr>
        <w:t> </w:t>
      </w:r>
      <w:r>
        <w:rPr/>
        <w:t>barriers, or “</w:t>
      </w:r>
      <w:r>
        <w:rPr>
          <w:i/>
        </w:rPr>
        <w:t>bottlenecks</w:t>
      </w:r>
      <w:r>
        <w:rPr/>
        <w:t>,” in North Carolina dental service locations prevent marginalized</w:t>
      </w:r>
      <w:r>
        <w:rPr>
          <w:spacing w:val="40"/>
        </w:rPr>
        <w:t> </w:t>
      </w:r>
      <w:r>
        <w:rPr/>
        <w:t>socio-economic communities from having consistent</w:t>
      </w:r>
      <w:r>
        <w:rPr>
          <w:spacing w:val="-4"/>
        </w:rPr>
        <w:t> </w:t>
      </w:r>
      <w:r>
        <w:rPr/>
        <w:t>and reliable access to dental care, resulting</w:t>
      </w:r>
      <w:r>
        <w:rPr>
          <w:spacing w:val="40"/>
        </w:rPr>
        <w:t> </w:t>
      </w:r>
      <w:r>
        <w:rPr/>
        <w:t>in disparities in oral health among underserved </w:t>
      </w:r>
      <w:r>
        <w:rPr>
          <w:spacing w:val="-2"/>
        </w:rPr>
        <w:t>areas.</w:t>
      </w:r>
    </w:p>
    <w:p>
      <w:pPr>
        <w:pStyle w:val="BodyText"/>
        <w:spacing w:before="193"/>
        <w:ind w:left="720" w:right="2550"/>
      </w:pPr>
      <w:r>
        <w:rPr/>
        <w:t>Studying</w:t>
      </w:r>
      <w:r>
        <w:rPr>
          <w:spacing w:val="-4"/>
        </w:rPr>
        <w:t> </w:t>
      </w:r>
      <w:r>
        <w:rPr/>
        <w:t>the</w:t>
      </w:r>
      <w:r>
        <w:rPr>
          <w:spacing w:val="-4"/>
        </w:rPr>
        <w:t> </w:t>
      </w:r>
      <w:r>
        <w:rPr/>
        <w:t>locations</w:t>
      </w:r>
      <w:r>
        <w:rPr>
          <w:spacing w:val="-4"/>
        </w:rPr>
        <w:t> </w:t>
      </w:r>
      <w:r>
        <w:rPr/>
        <w:t>of</w:t>
      </w:r>
      <w:r>
        <w:rPr>
          <w:spacing w:val="-4"/>
        </w:rPr>
        <w:t> </w:t>
      </w:r>
      <w:r>
        <w:rPr/>
        <w:t>geographic</w:t>
      </w:r>
      <w:r>
        <w:rPr>
          <w:spacing w:val="-4"/>
        </w:rPr>
        <w:t> </w:t>
      </w:r>
      <w:r>
        <w:rPr/>
        <w:t>bottlenecks</w:t>
      </w:r>
      <w:r>
        <w:rPr>
          <w:spacing w:val="-4"/>
        </w:rPr>
        <w:t> </w:t>
      </w:r>
      <w:r>
        <w:rPr/>
        <w:t>is</w:t>
      </w:r>
      <w:r>
        <w:rPr>
          <w:spacing w:val="-4"/>
        </w:rPr>
        <w:t> </w:t>
      </w:r>
      <w:r>
        <w:rPr/>
        <w:t>critical</w:t>
      </w:r>
      <w:r>
        <w:rPr>
          <w:spacing w:val="-4"/>
        </w:rPr>
        <w:t> </w:t>
      </w:r>
      <w:r>
        <w:rPr/>
        <w:t>for</w:t>
      </w:r>
      <w:r>
        <w:rPr>
          <w:spacing w:val="-4"/>
        </w:rPr>
        <w:t> </w:t>
      </w:r>
      <w:r>
        <w:rPr/>
        <w:t>understanding</w:t>
      </w:r>
      <w:r>
        <w:rPr>
          <w:spacing w:val="-4"/>
        </w:rPr>
        <w:t> </w:t>
      </w:r>
      <w:r>
        <w:rPr/>
        <w:t>the structural</w:t>
      </w:r>
      <w:r>
        <w:rPr>
          <w:spacing w:val="40"/>
        </w:rPr>
        <w:t> </w:t>
      </w:r>
      <w:r>
        <w:rPr/>
        <w:t>barriers that continue to limit dental access in North Carolina’s most underserved communities.</w:t>
      </w:r>
    </w:p>
    <w:p>
      <w:pPr>
        <w:pStyle w:val="BodyText"/>
        <w:spacing w:before="193"/>
        <w:ind w:left="720" w:right="2114"/>
        <w:jc w:val="both"/>
      </w:pPr>
      <w:r>
        <w:rPr/>
        <w:t>This study aims to investigate spatial accessibility to dentists in</w:t>
      </w:r>
      <w:r>
        <w:rPr>
          <w:spacing w:val="-2"/>
        </w:rPr>
        <w:t> </w:t>
      </w:r>
      <w:r>
        <w:rPr/>
        <w:t>North</w:t>
      </w:r>
      <w:r>
        <w:rPr>
          <w:spacing w:val="-2"/>
        </w:rPr>
        <w:t> </w:t>
      </w:r>
      <w:r>
        <w:rPr/>
        <w:t>Carolina,</w:t>
      </w:r>
      <w:r>
        <w:rPr>
          <w:spacing w:val="-2"/>
        </w:rPr>
        <w:t> </w:t>
      </w:r>
      <w:r>
        <w:rPr/>
        <w:t>focusing on the</w:t>
      </w:r>
      <w:r>
        <w:rPr>
          <w:spacing w:val="40"/>
        </w:rPr>
        <w:t> </w:t>
      </w:r>
      <w:r>
        <w:rPr/>
        <w:t>period from 2016 to 2025. Utilizing the Two-Step Floating Catchment Area (2SFCA) method, the</w:t>
      </w:r>
      <w:r>
        <w:rPr>
          <w:spacing w:val="40"/>
        </w:rPr>
        <w:t> </w:t>
      </w:r>
      <w:r>
        <w:rPr/>
        <w:t>high-resolution accessibility scores at the ZIP code level shall </w:t>
      </w:r>
      <w:r>
        <w:rPr/>
        <w:t>be calculated by integrating the</w:t>
      </w:r>
      <w:r>
        <w:rPr>
          <w:spacing w:val="40"/>
        </w:rPr>
        <w:t> </w:t>
      </w:r>
      <w:r>
        <w:rPr/>
        <w:t>National Plan and Provider Enumeration System provider data</w:t>
      </w:r>
      <w:r>
        <w:rPr>
          <w:spacing w:val="80"/>
        </w:rPr>
        <w:t> </w:t>
      </w:r>
      <w:r>
        <w:rPr/>
        <w:t>with</w:t>
      </w:r>
      <w:r>
        <w:rPr>
          <w:spacing w:val="80"/>
        </w:rPr>
        <w:t> </w:t>
      </w:r>
      <w:r>
        <w:rPr/>
        <w:t>United</w:t>
      </w:r>
      <w:r>
        <w:rPr>
          <w:spacing w:val="80"/>
        </w:rPr>
        <w:t> </w:t>
      </w:r>
      <w:r>
        <w:rPr/>
        <w:t>States</w:t>
      </w:r>
      <w:r>
        <w:rPr>
          <w:spacing w:val="80"/>
        </w:rPr>
        <w:t> </w:t>
      </w:r>
      <w:r>
        <w:rPr/>
        <w:t>Department</w:t>
      </w:r>
      <w:r>
        <w:rPr>
          <w:spacing w:val="80"/>
        </w:rPr>
        <w:t> </w:t>
      </w:r>
      <w:r>
        <w:rPr/>
        <w:t>of</w:t>
      </w:r>
      <w:r>
        <w:rPr>
          <w:spacing w:val="80"/>
        </w:rPr>
        <w:t>  </w:t>
      </w:r>
      <w:r>
        <w:rPr/>
        <w:t>Housing</w:t>
      </w:r>
      <w:r>
        <w:rPr>
          <w:spacing w:val="80"/>
        </w:rPr>
        <w:t> </w:t>
      </w:r>
      <w:r>
        <w:rPr/>
        <w:t>and</w:t>
      </w:r>
      <w:r>
        <w:rPr>
          <w:spacing w:val="80"/>
        </w:rPr>
        <w:t> </w:t>
      </w:r>
      <w:r>
        <w:rPr/>
        <w:t>Urban</w:t>
      </w:r>
      <w:r>
        <w:rPr>
          <w:spacing w:val="40"/>
        </w:rPr>
        <w:t> </w:t>
      </w:r>
      <w:r>
        <w:rPr/>
        <w:t>Development population-weighted centroids. The bottlenecks in service</w:t>
      </w:r>
      <w:r>
        <w:rPr>
          <w:spacing w:val="40"/>
        </w:rPr>
        <w:t> </w:t>
      </w:r>
      <w:r>
        <w:rPr/>
        <w:t>locations that disproportionately affect high-need communities will be examined by regressing</w:t>
      </w:r>
      <w:r>
        <w:rPr>
          <w:spacing w:val="40"/>
        </w:rPr>
        <w:t> </w:t>
      </w:r>
      <w:r>
        <w:rPr/>
        <w:t>these scores against socio-economic variables from the American Community Survey (ACS).</w:t>
      </w:r>
    </w:p>
    <w:p>
      <w:pPr>
        <w:pStyle w:val="BodyText"/>
        <w:spacing w:before="193"/>
        <w:ind w:left="720" w:right="2118"/>
        <w:jc w:val="both"/>
      </w:pPr>
      <w:r>
        <w:rPr/>
        <w:t>Findings shall contribute to the literature on supply-side healthcare </w:t>
      </w:r>
      <w:r>
        <w:rPr/>
        <w:t>regulations,</w:t>
      </w:r>
      <w:r>
        <w:rPr>
          <w:spacing w:val="40"/>
        </w:rPr>
        <w:t> </w:t>
      </w:r>
      <w:r>
        <w:rPr/>
        <w:t>addressing how</w:t>
      </w:r>
      <w:r>
        <w:rPr>
          <w:spacing w:val="40"/>
        </w:rPr>
        <w:t> </w:t>
      </w:r>
      <w:r>
        <w:rPr/>
        <w:t>workforce dynamics and regulatory landscapes influence community wellness in the</w:t>
      </w:r>
      <w:r>
        <w:rPr>
          <w:spacing w:val="40"/>
        </w:rPr>
        <w:t> </w:t>
      </w:r>
      <w:r>
        <w:rPr/>
        <w:t>post-COVID-19 era.</w:t>
      </w:r>
      <w:r>
        <w:rPr>
          <w:spacing w:val="-3"/>
        </w:rPr>
        <w:t> </w:t>
      </w:r>
      <w:r>
        <w:rPr/>
        <w:t>This</w:t>
      </w:r>
      <w:r>
        <w:rPr>
          <w:spacing w:val="-3"/>
        </w:rPr>
        <w:t> </w:t>
      </w:r>
      <w:r>
        <w:rPr/>
        <w:t>research</w:t>
      </w:r>
      <w:r>
        <w:rPr>
          <w:spacing w:val="-3"/>
        </w:rPr>
        <w:t> </w:t>
      </w:r>
      <w:r>
        <w:rPr/>
        <w:t>should</w:t>
      </w:r>
      <w:r>
        <w:rPr>
          <w:spacing w:val="-3"/>
        </w:rPr>
        <w:t> </w:t>
      </w:r>
      <w:r>
        <w:rPr/>
        <w:t>provide</w:t>
      </w:r>
      <w:r>
        <w:rPr>
          <w:spacing w:val="-3"/>
        </w:rPr>
        <w:t> </w:t>
      </w:r>
      <w:r>
        <w:rPr/>
        <w:t>a</w:t>
      </w:r>
      <w:r>
        <w:rPr>
          <w:spacing w:val="-3"/>
        </w:rPr>
        <w:t> </w:t>
      </w:r>
      <w:r>
        <w:rPr/>
        <w:t>foundation</w:t>
      </w:r>
      <w:r>
        <w:rPr>
          <w:spacing w:val="-3"/>
        </w:rPr>
        <w:t> </w:t>
      </w:r>
      <w:r>
        <w:rPr/>
        <w:t>for</w:t>
      </w:r>
      <w:r>
        <w:rPr>
          <w:spacing w:val="-3"/>
        </w:rPr>
        <w:t> </w:t>
      </w:r>
      <w:r>
        <w:rPr/>
        <w:t>future investigations and</w:t>
      </w:r>
      <w:r>
        <w:rPr>
          <w:spacing w:val="40"/>
        </w:rPr>
        <w:t> </w:t>
      </w:r>
      <w:r>
        <w:rPr/>
        <w:t>policy interventions aimed at improving dental care accessibility.</w:t>
      </w:r>
    </w:p>
    <w:p>
      <w:pPr>
        <w:pStyle w:val="BodyText"/>
        <w:spacing w:after="0"/>
        <w:jc w:val="both"/>
        <w:sectPr>
          <w:pgSz w:w="12240" w:h="15840"/>
          <w:pgMar w:header="0" w:footer="750" w:top="620" w:bottom="960" w:left="720" w:right="0"/>
        </w:sectPr>
      </w:pPr>
    </w:p>
    <w:p>
      <w:pPr>
        <w:pStyle w:val="Heading3"/>
        <w:spacing w:line="220" w:lineRule="auto" w:before="81"/>
        <w:ind w:left="3753" w:right="2207" w:hanging="1835"/>
        <w:jc w:val="left"/>
      </w:pPr>
      <w:bookmarkStart w:name="Tariff Risk Exposure in Supply Chain Res" w:id="97"/>
      <w:bookmarkEnd w:id="97"/>
      <w:r>
        <w:rPr>
          <w:b w:val="0"/>
        </w:rPr>
      </w:r>
      <w:r>
        <w:rPr/>
        <w:t>Tariff</w:t>
      </w:r>
      <w:r>
        <w:rPr>
          <w:spacing w:val="-11"/>
        </w:rPr>
        <w:t> </w:t>
      </w:r>
      <w:r>
        <w:rPr/>
        <w:t>Risk</w:t>
      </w:r>
      <w:r>
        <w:rPr>
          <w:spacing w:val="-11"/>
        </w:rPr>
        <w:t> </w:t>
      </w:r>
      <w:r>
        <w:rPr/>
        <w:t>Exposure</w:t>
      </w:r>
      <w:r>
        <w:rPr>
          <w:spacing w:val="-11"/>
        </w:rPr>
        <w:t> </w:t>
      </w:r>
      <w:r>
        <w:rPr/>
        <w:t>in</w:t>
      </w:r>
      <w:r>
        <w:rPr>
          <w:spacing w:val="-11"/>
        </w:rPr>
        <w:t> </w:t>
      </w:r>
      <w:r>
        <w:rPr/>
        <w:t>Supply</w:t>
      </w:r>
      <w:r>
        <w:rPr>
          <w:spacing w:val="-11"/>
        </w:rPr>
        <w:t> </w:t>
      </w:r>
      <w:r>
        <w:rPr/>
        <w:t>Chain</w:t>
      </w:r>
      <w:r>
        <w:rPr>
          <w:spacing w:val="-11"/>
        </w:rPr>
        <w:t> </w:t>
      </w:r>
      <w:r>
        <w:rPr/>
        <w:t>Reshoring</w:t>
      </w:r>
      <w:r>
        <w:rPr>
          <w:spacing w:val="-11"/>
        </w:rPr>
        <w:t> </w:t>
      </w:r>
      <w:r>
        <w:rPr/>
        <w:t>Decisions: </w:t>
      </w:r>
      <w:bookmarkStart w:name="h.kb190fx494y2" w:id="98"/>
      <w:bookmarkEnd w:id="98"/>
      <w:r>
        <w:rPr/>
        <w:t>A</w:t>
      </w:r>
      <w:r>
        <w:rPr/>
        <w:t>n AI</w:t>
      </w:r>
      <w:r>
        <w:rPr>
          <w:rFonts w:ascii="Segoe UI Symbol" w:hAnsi="Segoe UI Symbol"/>
          <w:b w:val="0"/>
        </w:rPr>
        <w:t>‑</w:t>
      </w:r>
      <w:r>
        <w:rPr/>
        <w:t>Ensemble Perspective</w:t>
      </w:r>
    </w:p>
    <w:p>
      <w:pPr>
        <w:pStyle w:val="BodyText"/>
        <w:spacing w:before="298"/>
        <w:ind w:left="3660"/>
      </w:pPr>
      <w:r>
        <w:rPr/>
        <w:t>Jenkins Matthew and Allen </w:t>
      </w:r>
      <w:r>
        <w:rPr>
          <w:spacing w:val="-2"/>
        </w:rPr>
        <w:t>Gorman</w:t>
      </w:r>
    </w:p>
    <w:p>
      <w:pPr>
        <w:pStyle w:val="BodyText"/>
        <w:spacing w:before="181"/>
        <w:ind w:left="720" w:right="2220"/>
        <w:jc w:val="both"/>
      </w:pPr>
      <w:r>
        <w:rPr/>
        <w:t>The impact of tariffs on supply chain</w:t>
      </w:r>
      <w:r>
        <w:rPr>
          <w:spacing w:val="-3"/>
        </w:rPr>
        <w:t> </w:t>
      </w:r>
      <w:r>
        <w:rPr/>
        <w:t>decisions,</w:t>
      </w:r>
      <w:r>
        <w:rPr>
          <w:spacing w:val="-3"/>
        </w:rPr>
        <w:t> </w:t>
      </w:r>
      <w:r>
        <w:rPr/>
        <w:t>including</w:t>
      </w:r>
      <w:r>
        <w:rPr>
          <w:spacing w:val="-3"/>
        </w:rPr>
        <w:t> </w:t>
      </w:r>
      <w:r>
        <w:rPr/>
        <w:t>asset</w:t>
      </w:r>
      <w:r>
        <w:rPr>
          <w:spacing w:val="-3"/>
        </w:rPr>
        <w:t> </w:t>
      </w:r>
      <w:r>
        <w:rPr/>
        <w:t>placement</w:t>
      </w:r>
      <w:r>
        <w:rPr>
          <w:spacing w:val="-3"/>
        </w:rPr>
        <w:t> </w:t>
      </w:r>
      <w:r>
        <w:rPr/>
        <w:t>and</w:t>
      </w:r>
      <w:r>
        <w:rPr>
          <w:spacing w:val="-3"/>
        </w:rPr>
        <w:t> </w:t>
      </w:r>
      <w:r>
        <w:rPr/>
        <w:t>reshoring decisions, has dominated the news cycle in recent months. In this research, we</w:t>
      </w:r>
      <w:r>
        <w:rPr>
          <w:spacing w:val="-3"/>
        </w:rPr>
        <w:t> </w:t>
      </w:r>
      <w:r>
        <w:rPr/>
        <w:t>examine the</w:t>
      </w:r>
      <w:r>
        <w:rPr>
          <w:spacing w:val="40"/>
        </w:rPr>
        <w:t> </w:t>
      </w:r>
      <w:r>
        <w:rPr/>
        <w:t>underexplored concept of tariff risk exposure, comprising two dimensions: tariff volatility and</w:t>
      </w:r>
      <w:r>
        <w:rPr>
          <w:spacing w:val="40"/>
        </w:rPr>
        <w:t> </w:t>
      </w:r>
      <w:r>
        <w:rPr/>
        <w:t>tariff intensity. Both tariff volatility (i.e., the level of unpredictability in tariff</w:t>
      </w:r>
      <w:r>
        <w:rPr>
          <w:spacing w:val="-3"/>
        </w:rPr>
        <w:t> </w:t>
      </w:r>
      <w:r>
        <w:rPr/>
        <w:t>enactment</w:t>
      </w:r>
      <w:r>
        <w:rPr>
          <w:spacing w:val="-3"/>
        </w:rPr>
        <w:t> </w:t>
      </w:r>
      <w:r>
        <w:rPr/>
        <w:t>and</w:t>
      </w:r>
      <w:r>
        <w:rPr>
          <w:spacing w:val="40"/>
        </w:rPr>
        <w:t> </w:t>
      </w:r>
      <w:r>
        <w:rPr/>
        <w:t>levels,</w:t>
      </w:r>
      <w:r>
        <w:rPr>
          <w:spacing w:val="-3"/>
        </w:rPr>
        <w:t> </w:t>
      </w:r>
      <w:r>
        <w:rPr/>
        <w:t>as</w:t>
      </w:r>
      <w:r>
        <w:rPr>
          <w:spacing w:val="-3"/>
        </w:rPr>
        <w:t> </w:t>
      </w:r>
      <w:r>
        <w:rPr/>
        <w:t>well</w:t>
      </w:r>
      <w:r>
        <w:rPr>
          <w:spacing w:val="-3"/>
        </w:rPr>
        <w:t> </w:t>
      </w:r>
      <w:r>
        <w:rPr/>
        <w:t>as</w:t>
      </w:r>
      <w:r>
        <w:rPr>
          <w:spacing w:val="-3"/>
        </w:rPr>
        <w:t> </w:t>
      </w:r>
      <w:r>
        <w:rPr/>
        <w:t>the</w:t>
      </w:r>
      <w:r>
        <w:rPr>
          <w:spacing w:val="-3"/>
        </w:rPr>
        <w:t> </w:t>
      </w:r>
      <w:r>
        <w:rPr/>
        <w:t>perceived</w:t>
      </w:r>
      <w:r>
        <w:rPr>
          <w:spacing w:val="-3"/>
        </w:rPr>
        <w:t> </w:t>
      </w:r>
      <w:r>
        <w:rPr/>
        <w:t>permanence</w:t>
      </w:r>
      <w:r>
        <w:rPr>
          <w:spacing w:val="-3"/>
        </w:rPr>
        <w:t> </w:t>
      </w:r>
      <w:r>
        <w:rPr/>
        <w:t>of</w:t>
      </w:r>
      <w:r>
        <w:rPr>
          <w:spacing w:val="-3"/>
        </w:rPr>
        <w:t> </w:t>
      </w:r>
      <w:r>
        <w:rPr/>
        <w:t>tariff</w:t>
      </w:r>
      <w:r>
        <w:rPr>
          <w:spacing w:val="-3"/>
        </w:rPr>
        <w:t> </w:t>
      </w:r>
      <w:r>
        <w:rPr/>
        <w:t>conditions)</w:t>
      </w:r>
      <w:r>
        <w:rPr>
          <w:spacing w:val="-3"/>
        </w:rPr>
        <w:t> </w:t>
      </w:r>
      <w:r>
        <w:rPr/>
        <w:t>and tariff intensity</w:t>
      </w:r>
      <w:r>
        <w:rPr>
          <w:spacing w:val="-3"/>
        </w:rPr>
        <w:t> </w:t>
      </w:r>
      <w:r>
        <w:rPr/>
        <w:t>(i.e.,</w:t>
      </w:r>
      <w:r>
        <w:rPr>
          <w:spacing w:val="-3"/>
        </w:rPr>
        <w:t> </w:t>
      </w:r>
      <w:r>
        <w:rPr/>
        <w:t>the</w:t>
      </w:r>
      <w:r>
        <w:rPr>
          <w:spacing w:val="-3"/>
        </w:rPr>
        <w:t> </w:t>
      </w:r>
      <w:r>
        <w:rPr/>
        <w:t>total</w:t>
      </w:r>
      <w:r>
        <w:rPr>
          <w:spacing w:val="40"/>
        </w:rPr>
        <w:t> </w:t>
      </w:r>
      <w:r>
        <w:rPr/>
        <w:t>cost</w:t>
      </w:r>
      <w:r>
        <w:rPr>
          <w:spacing w:val="-3"/>
        </w:rPr>
        <w:t> </w:t>
      </w:r>
      <w:r>
        <w:rPr/>
        <w:t>burdens,</w:t>
      </w:r>
      <w:r>
        <w:rPr>
          <w:spacing w:val="-3"/>
        </w:rPr>
        <w:t> </w:t>
      </w:r>
      <w:r>
        <w:rPr/>
        <w:t>both</w:t>
      </w:r>
      <w:r>
        <w:rPr>
          <w:spacing w:val="-3"/>
        </w:rPr>
        <w:t> </w:t>
      </w:r>
      <w:r>
        <w:rPr/>
        <w:t>direct</w:t>
      </w:r>
      <w:r>
        <w:rPr>
          <w:spacing w:val="-3"/>
        </w:rPr>
        <w:t> </w:t>
      </w:r>
      <w:r>
        <w:rPr/>
        <w:t>and</w:t>
      </w:r>
      <w:r>
        <w:rPr>
          <w:spacing w:val="-3"/>
        </w:rPr>
        <w:t> </w:t>
      </w:r>
      <w:r>
        <w:rPr/>
        <w:t>indirect,</w:t>
      </w:r>
      <w:r>
        <w:rPr>
          <w:spacing w:val="-3"/>
        </w:rPr>
        <w:t> </w:t>
      </w:r>
      <w:r>
        <w:rPr/>
        <w:t>related</w:t>
      </w:r>
      <w:r>
        <w:rPr>
          <w:spacing w:val="-3"/>
        </w:rPr>
        <w:t> </w:t>
      </w:r>
      <w:r>
        <w:rPr/>
        <w:t>to</w:t>
      </w:r>
      <w:r>
        <w:rPr>
          <w:spacing w:val="-3"/>
        </w:rPr>
        <w:t> </w:t>
      </w:r>
      <w:r>
        <w:rPr/>
        <w:t>compliance activities, duties, and taxes) have</w:t>
      </w:r>
      <w:r>
        <w:rPr>
          <w:spacing w:val="40"/>
        </w:rPr>
        <w:t> </w:t>
      </w:r>
      <w:r>
        <w:rPr/>
        <w:t>introduced heightened forms of supply</w:t>
      </w:r>
      <w:r>
        <w:rPr>
          <w:spacing w:val="-2"/>
        </w:rPr>
        <w:t> </w:t>
      </w:r>
      <w:r>
        <w:rPr/>
        <w:t>chain</w:t>
      </w:r>
      <w:r>
        <w:rPr>
          <w:spacing w:val="-2"/>
        </w:rPr>
        <w:t> </w:t>
      </w:r>
      <w:r>
        <w:rPr/>
        <w:t>risk</w:t>
      </w:r>
      <w:r>
        <w:rPr>
          <w:spacing w:val="-2"/>
        </w:rPr>
        <w:t> </w:t>
      </w:r>
      <w:r>
        <w:rPr/>
        <w:t>and cost shocks into global supply chains.</w:t>
      </w:r>
      <w:r>
        <w:rPr>
          <w:spacing w:val="40"/>
        </w:rPr>
        <w:t> </w:t>
      </w:r>
      <w:r>
        <w:rPr/>
        <w:t>Artificial intelligence (AI) has been lauded as a next-generation tool for developing sophisticated</w:t>
      </w:r>
      <w:r>
        <w:rPr>
          <w:spacing w:val="40"/>
        </w:rPr>
        <w:t> </w:t>
      </w:r>
      <w:r>
        <w:rPr/>
        <w:t>machine learning models and early warning systems to mitigate</w:t>
      </w:r>
      <w:r>
        <w:rPr>
          <w:spacing w:val="-4"/>
        </w:rPr>
        <w:t> </w:t>
      </w:r>
      <w:r>
        <w:rPr/>
        <w:t>uncertainty</w:t>
      </w:r>
      <w:r>
        <w:rPr>
          <w:spacing w:val="-4"/>
        </w:rPr>
        <w:t> </w:t>
      </w:r>
      <w:r>
        <w:rPr/>
        <w:t>regarding</w:t>
      </w:r>
      <w:r>
        <w:rPr>
          <w:spacing w:val="-4"/>
        </w:rPr>
        <w:t> </w:t>
      </w:r>
      <w:r>
        <w:rPr/>
        <w:t>tariff</w:t>
      </w:r>
      <w:r>
        <w:rPr>
          <w:spacing w:val="-4"/>
        </w:rPr>
        <w:t> </w:t>
      </w:r>
      <w:r>
        <w:rPr/>
        <w:t>risk</w:t>
      </w:r>
      <w:r>
        <w:rPr>
          <w:spacing w:val="40"/>
        </w:rPr>
        <w:t> </w:t>
      </w:r>
      <w:r>
        <w:rPr/>
        <w:t>exposure.</w:t>
      </w:r>
      <w:r>
        <w:rPr>
          <w:spacing w:val="-4"/>
        </w:rPr>
        <w:t> </w:t>
      </w:r>
      <w:r>
        <w:rPr/>
        <w:t>However,</w:t>
      </w:r>
      <w:r>
        <w:rPr>
          <w:spacing w:val="-4"/>
        </w:rPr>
        <w:t> </w:t>
      </w:r>
      <w:r>
        <w:rPr/>
        <w:t>little</w:t>
      </w:r>
      <w:r>
        <w:rPr>
          <w:spacing w:val="-4"/>
        </w:rPr>
        <w:t> </w:t>
      </w:r>
      <w:r>
        <w:rPr/>
        <w:t>is known about how managers collaborate with AI to reach final</w:t>
      </w:r>
      <w:r>
        <w:rPr>
          <w:spacing w:val="40"/>
        </w:rPr>
        <w:t> </w:t>
      </w:r>
      <w:r>
        <w:rPr/>
        <w:t>decisions in high-stakes scenarios, such as managing unpredictable shifts in tariff environments.</w:t>
      </w:r>
      <w:r>
        <w:rPr>
          <w:spacing w:val="40"/>
        </w:rPr>
        <w:t> </w:t>
      </w:r>
      <w:r>
        <w:rPr/>
        <w:t>In this exploratory study, we examine levels of AI diversity (i.e., AI-ensemble) and human integration</w:t>
      </w:r>
      <w:r>
        <w:rPr>
          <w:spacing w:val="80"/>
          <w:w w:val="150"/>
        </w:rPr>
        <w:t> </w:t>
      </w:r>
      <w:r>
        <w:rPr/>
        <w:t>authority,</w:t>
      </w:r>
      <w:r>
        <w:rPr>
          <w:spacing w:val="80"/>
          <w:w w:val="150"/>
        </w:rPr>
        <w:t> </w:t>
      </w:r>
      <w:r>
        <w:rPr/>
        <w:t>and</w:t>
      </w:r>
      <w:r>
        <w:rPr>
          <w:spacing w:val="80"/>
          <w:w w:val="150"/>
        </w:rPr>
        <w:t> </w:t>
      </w:r>
      <w:r>
        <w:rPr/>
        <w:t>assess</w:t>
      </w:r>
      <w:r>
        <w:rPr>
          <w:spacing w:val="80"/>
          <w:w w:val="150"/>
        </w:rPr>
        <w:t> </w:t>
      </w:r>
      <w:r>
        <w:rPr/>
        <w:t>supply</w:t>
      </w:r>
      <w:r>
        <w:rPr>
          <w:spacing w:val="80"/>
          <w:w w:val="150"/>
        </w:rPr>
        <w:t> </w:t>
      </w:r>
      <w:r>
        <w:rPr/>
        <w:t>chain</w:t>
      </w:r>
      <w:r>
        <w:rPr>
          <w:spacing w:val="80"/>
          <w:w w:val="150"/>
        </w:rPr>
        <w:t> </w:t>
      </w:r>
      <w:r>
        <w:rPr/>
        <w:t>managers’</w:t>
      </w:r>
      <w:r>
        <w:rPr>
          <w:spacing w:val="80"/>
        </w:rPr>
        <w:t> </w:t>
      </w:r>
      <w:r>
        <w:rPr/>
        <w:t>propensity</w:t>
      </w:r>
      <w:r>
        <w:rPr>
          <w:spacing w:val="80"/>
        </w:rPr>
        <w:t> </w:t>
      </w:r>
      <w:r>
        <w:rPr/>
        <w:t>to</w:t>
      </w:r>
      <w:r>
        <w:rPr>
          <w:spacing w:val="80"/>
        </w:rPr>
        <w:t> </w:t>
      </w:r>
      <w:r>
        <w:rPr/>
        <w:t>accept AI-generated</w:t>
      </w:r>
      <w:r>
        <w:rPr>
          <w:spacing w:val="40"/>
        </w:rPr>
        <w:t> </w:t>
      </w:r>
      <w:r>
        <w:rPr/>
        <w:t>solutions or to rely on human intervention as a form of decision control (similar to</w:t>
      </w:r>
      <w:r>
        <w:rPr>
          <w:spacing w:val="-3"/>
        </w:rPr>
        <w:t> </w:t>
      </w:r>
      <w:r>
        <w:rPr/>
        <w:t>quality</w:t>
      </w:r>
      <w:r>
        <w:rPr>
          <w:spacing w:val="40"/>
        </w:rPr>
        <w:t> </w:t>
      </w:r>
      <w:r>
        <w:rPr/>
        <w:t>control)</w:t>
      </w:r>
      <w:r>
        <w:rPr>
          <w:spacing w:val="-3"/>
        </w:rPr>
        <w:t> </w:t>
      </w:r>
      <w:r>
        <w:rPr/>
        <w:t>over</w:t>
      </w:r>
      <w:r>
        <w:rPr>
          <w:spacing w:val="-3"/>
        </w:rPr>
        <w:t> </w:t>
      </w:r>
      <w:r>
        <w:rPr/>
        <w:t>the</w:t>
      </w:r>
      <w:r>
        <w:rPr>
          <w:spacing w:val="-3"/>
        </w:rPr>
        <w:t> </w:t>
      </w:r>
      <w:r>
        <w:rPr/>
        <w:t>AI-generated</w:t>
      </w:r>
      <w:r>
        <w:rPr>
          <w:spacing w:val="-3"/>
        </w:rPr>
        <w:t> </w:t>
      </w:r>
      <w:r>
        <w:rPr/>
        <w:t>solution.</w:t>
      </w:r>
      <w:r>
        <w:rPr>
          <w:spacing w:val="-3"/>
        </w:rPr>
        <w:t> </w:t>
      </w:r>
      <w:r>
        <w:rPr/>
        <w:t>Using</w:t>
      </w:r>
      <w:r>
        <w:rPr>
          <w:spacing w:val="-3"/>
        </w:rPr>
        <w:t> </w:t>
      </w:r>
      <w:r>
        <w:rPr/>
        <w:t>real</w:t>
      </w:r>
      <w:r>
        <w:rPr>
          <w:spacing w:val="-3"/>
        </w:rPr>
        <w:t> </w:t>
      </w:r>
      <w:r>
        <w:rPr/>
        <w:t>options</w:t>
      </w:r>
      <w:r>
        <w:rPr>
          <w:spacing w:val="-3"/>
        </w:rPr>
        <w:t> </w:t>
      </w:r>
      <w:r>
        <w:rPr/>
        <w:t>theory</w:t>
      </w:r>
      <w:r>
        <w:rPr>
          <w:spacing w:val="-3"/>
        </w:rPr>
        <w:t> </w:t>
      </w:r>
      <w:r>
        <w:rPr/>
        <w:t>and attributional process</w:t>
      </w:r>
      <w:r>
        <w:rPr>
          <w:spacing w:val="40"/>
        </w:rPr>
        <w:t> </w:t>
      </w:r>
      <w:r>
        <w:rPr/>
        <w:t>theorizing as a lens, we also examine how AI-ensemble configurations influence the manager’s</w:t>
      </w:r>
      <w:r>
        <w:rPr>
          <w:spacing w:val="40"/>
        </w:rPr>
        <w:t> </w:t>
      </w:r>
      <w:r>
        <w:rPr/>
        <w:t>strategic response to the reshoring decision: whether to defer (not reshore), maintain (partially</w:t>
      </w:r>
      <w:r>
        <w:rPr>
          <w:spacing w:val="40"/>
        </w:rPr>
        <w:t> </w:t>
      </w:r>
      <w:r>
        <w:rPr/>
        <w:t>reshore or wait-and-see), or attack (fully reshore or make a full manufacturing investment).</w:t>
      </w:r>
      <w:r>
        <w:rPr>
          <w:spacing w:val="40"/>
        </w:rPr>
        <w:t> </w:t>
      </w:r>
      <w:r>
        <w:rPr/>
        <w:t>Consequently, our research helps unpack the black box of managers’ sensemaking processes and</w:t>
      </w:r>
      <w:r>
        <w:rPr>
          <w:spacing w:val="40"/>
        </w:rPr>
        <w:t> </w:t>
      </w:r>
      <w:r>
        <w:rPr/>
        <w:t>AI’s role in</w:t>
      </w:r>
      <w:r>
        <w:rPr>
          <w:spacing w:val="-3"/>
        </w:rPr>
        <w:t> </w:t>
      </w:r>
      <w:r>
        <w:rPr/>
        <w:t>them within a high-stakes event scenario. Additionally, our research helps managers</w:t>
      </w:r>
      <w:r>
        <w:rPr>
          <w:spacing w:val="40"/>
        </w:rPr>
        <w:t> </w:t>
      </w:r>
      <w:r>
        <w:rPr/>
        <w:t>by providing insights into how AI can be used to inform</w:t>
      </w:r>
      <w:r>
        <w:rPr>
          <w:spacing w:val="-3"/>
        </w:rPr>
        <w:t> </w:t>
      </w:r>
      <w:r>
        <w:rPr/>
        <w:t>decision-making.</w:t>
      </w:r>
      <w:r>
        <w:rPr>
          <w:spacing w:val="-3"/>
        </w:rPr>
        <w:t> </w:t>
      </w:r>
      <w:r>
        <w:rPr/>
        <w:t>By</w:t>
      </w:r>
      <w:r>
        <w:rPr>
          <w:spacing w:val="-3"/>
        </w:rPr>
        <w:t> </w:t>
      </w:r>
      <w:r>
        <w:rPr/>
        <w:t>doing</w:t>
      </w:r>
      <w:r>
        <w:rPr>
          <w:spacing w:val="-3"/>
        </w:rPr>
        <w:t> </w:t>
      </w:r>
      <w:r>
        <w:rPr/>
        <w:t>so,</w:t>
      </w:r>
      <w:r>
        <w:rPr>
          <w:spacing w:val="-3"/>
        </w:rPr>
        <w:t> </w:t>
      </w:r>
      <w:r>
        <w:rPr/>
        <w:t>we contribute to the</w:t>
      </w:r>
      <w:r>
        <w:rPr>
          <w:spacing w:val="-3"/>
        </w:rPr>
        <w:t> </w:t>
      </w:r>
      <w:r>
        <w:rPr/>
        <w:t>supply</w:t>
      </w:r>
      <w:r>
        <w:rPr>
          <w:spacing w:val="-3"/>
        </w:rPr>
        <w:t> </w:t>
      </w:r>
      <w:r>
        <w:rPr/>
        <w:t>chain</w:t>
      </w:r>
      <w:r>
        <w:rPr>
          <w:spacing w:val="-3"/>
        </w:rPr>
        <w:t> </w:t>
      </w:r>
      <w:r>
        <w:rPr/>
        <w:t>management,</w:t>
      </w:r>
      <w:r>
        <w:rPr>
          <w:spacing w:val="-3"/>
        </w:rPr>
        <w:t> </w:t>
      </w:r>
      <w:r>
        <w:rPr/>
        <w:t>AI,</w:t>
      </w:r>
      <w:r>
        <w:rPr>
          <w:spacing w:val="-3"/>
        </w:rPr>
        <w:t> </w:t>
      </w:r>
      <w:r>
        <w:rPr/>
        <w:t>behavioral</w:t>
      </w:r>
      <w:r>
        <w:rPr>
          <w:spacing w:val="-3"/>
        </w:rPr>
        <w:t> </w:t>
      </w:r>
      <w:r>
        <w:rPr/>
        <w:t>science,</w:t>
      </w:r>
      <w:r>
        <w:rPr>
          <w:spacing w:val="-3"/>
        </w:rPr>
        <w:t> </w:t>
      </w:r>
      <w:r>
        <w:rPr/>
        <w:t>and</w:t>
      </w:r>
      <w:r>
        <w:rPr>
          <w:spacing w:val="-3"/>
        </w:rPr>
        <w:t> </w:t>
      </w:r>
      <w:r>
        <w:rPr/>
        <w:t>decision-making literatures and offer strong managerial implications.</w:t>
      </w:r>
    </w:p>
    <w:p>
      <w:pPr>
        <w:pStyle w:val="BodyText"/>
        <w:spacing w:after="0"/>
        <w:jc w:val="both"/>
        <w:sectPr>
          <w:pgSz w:w="12240" w:h="15840"/>
          <w:pgMar w:header="0" w:footer="750" w:top="640" w:bottom="960" w:left="720" w:right="0"/>
        </w:sectPr>
      </w:pPr>
    </w:p>
    <w:p>
      <w:pPr>
        <w:pStyle w:val="Heading3"/>
        <w:spacing w:before="69"/>
        <w:ind w:right="597"/>
      </w:pPr>
      <w:bookmarkStart w:name="Integrating AI for Scalable Workforce Re" w:id="99"/>
      <w:bookmarkEnd w:id="99"/>
      <w:r>
        <w:rPr>
          <w:b w:val="0"/>
        </w:rPr>
      </w:r>
      <w:bookmarkStart w:name="h.5w43s0z2fdfs" w:id="100"/>
      <w:bookmarkEnd w:id="100"/>
      <w:r>
        <w:rPr>
          <w:b w:val="0"/>
        </w:rPr>
      </w:r>
      <w:r>
        <w:rPr/>
        <w:t>Integrating</w:t>
      </w:r>
      <w:r>
        <w:rPr>
          <w:spacing w:val="-13"/>
        </w:rPr>
        <w:t> </w:t>
      </w:r>
      <w:r>
        <w:rPr/>
        <w:t>AI</w:t>
      </w:r>
      <w:r>
        <w:rPr>
          <w:spacing w:val="-11"/>
        </w:rPr>
        <w:t> </w:t>
      </w:r>
      <w:r>
        <w:rPr/>
        <w:t>for</w:t>
      </w:r>
      <w:r>
        <w:rPr>
          <w:spacing w:val="-10"/>
        </w:rPr>
        <w:t> </w:t>
      </w:r>
      <w:r>
        <w:rPr/>
        <w:t>Scalable</w:t>
      </w:r>
      <w:r>
        <w:rPr>
          <w:spacing w:val="-11"/>
        </w:rPr>
        <w:t> </w:t>
      </w:r>
      <w:r>
        <w:rPr/>
        <w:t>Workforce</w:t>
      </w:r>
      <w:r>
        <w:rPr>
          <w:spacing w:val="-10"/>
        </w:rPr>
        <w:t> </w:t>
      </w:r>
      <w:r>
        <w:rPr>
          <w:spacing w:val="-2"/>
        </w:rPr>
        <w:t>Readiness</w:t>
      </w:r>
    </w:p>
    <w:p>
      <w:pPr>
        <w:pStyle w:val="BodyText"/>
        <w:spacing w:before="251"/>
        <w:ind w:left="1174" w:right="1532"/>
        <w:jc w:val="center"/>
      </w:pPr>
      <w:r>
        <w:rPr/>
        <w:t>Brenna McNamara, Claire Parson, Lilly Basler, Leah Hughes, Tony Grebentsov, Manny Golfe,</w:t>
      </w:r>
      <w:r>
        <w:rPr>
          <w:spacing w:val="-6"/>
        </w:rPr>
        <w:t> </w:t>
      </w:r>
      <w:r>
        <w:rPr/>
        <w:t>Abby</w:t>
      </w:r>
      <w:r>
        <w:rPr>
          <w:spacing w:val="-6"/>
        </w:rPr>
        <w:t> </w:t>
      </w:r>
      <w:r>
        <w:rPr/>
        <w:t>Crane,</w:t>
      </w:r>
      <w:r>
        <w:rPr>
          <w:spacing w:val="-6"/>
        </w:rPr>
        <w:t> </w:t>
      </w:r>
      <w:r>
        <w:rPr/>
        <w:t>Shawn</w:t>
      </w:r>
      <w:r>
        <w:rPr>
          <w:spacing w:val="-6"/>
        </w:rPr>
        <w:t> </w:t>
      </w:r>
      <w:r>
        <w:rPr/>
        <w:t>Bergman,</w:t>
      </w:r>
      <w:r>
        <w:rPr>
          <w:spacing w:val="-6"/>
        </w:rPr>
        <w:t> </w:t>
      </w:r>
      <w:r>
        <w:rPr/>
        <w:t>Jamie</w:t>
      </w:r>
      <w:r>
        <w:rPr>
          <w:spacing w:val="-6"/>
        </w:rPr>
        <w:t> </w:t>
      </w:r>
      <w:r>
        <w:rPr/>
        <w:t>Da</w:t>
      </w:r>
      <w:r>
        <w:rPr>
          <w:spacing w:val="-6"/>
        </w:rPr>
        <w:t> </w:t>
      </w:r>
      <w:r>
        <w:rPr/>
        <w:t>Costa,</w:t>
      </w:r>
      <w:r>
        <w:rPr>
          <w:spacing w:val="-6"/>
        </w:rPr>
        <w:t> </w:t>
      </w:r>
      <w:r>
        <w:rPr/>
        <w:t>Lauryn</w:t>
      </w:r>
      <w:r>
        <w:rPr>
          <w:spacing w:val="40"/>
        </w:rPr>
        <w:t> </w:t>
      </w:r>
      <w:r>
        <w:rPr/>
        <w:t>Womble,</w:t>
      </w:r>
      <w:r>
        <w:rPr>
          <w:spacing w:val="-6"/>
        </w:rPr>
        <w:t> </w:t>
      </w:r>
      <w:r>
        <w:rPr/>
        <w:t>Ella</w:t>
      </w:r>
      <w:r>
        <w:rPr>
          <w:spacing w:val="-6"/>
        </w:rPr>
        <w:t> </w:t>
      </w:r>
      <w:r>
        <w:rPr/>
        <w:t>Drawbridge and Caroline Hill</w:t>
      </w:r>
    </w:p>
    <w:p>
      <w:pPr>
        <w:pStyle w:val="BodyText"/>
        <w:spacing w:line="230" w:lineRule="auto" w:before="93"/>
        <w:ind w:left="720" w:right="2191"/>
        <w:jc w:val="both"/>
      </w:pPr>
      <w:r>
        <w:rPr/>
        <w:t>Underemployment among college graduates remains a persistent workforce challenge, with many students failing to translate academic learning into market-relevant </w:t>
      </w:r>
      <w:r>
        <w:rPr/>
        <w:t>skills despite</w:t>
      </w:r>
      <w:r>
        <w:rPr>
          <w:spacing w:val="40"/>
        </w:rPr>
        <w:t> </w:t>
      </w:r>
      <w:r>
        <w:rPr/>
        <w:t>possessing competencies valued by employers (Burning Glass Institute, 2024). This disconnect</w:t>
      </w:r>
      <w:r>
        <w:rPr>
          <w:spacing w:val="40"/>
        </w:rPr>
        <w:t> </w:t>
      </w:r>
      <w:r>
        <w:rPr/>
        <w:t>reflects a broader business problem: educational institutions often lack scalable, efficient systems</w:t>
      </w:r>
      <w:r>
        <w:rPr>
          <w:spacing w:val="40"/>
        </w:rPr>
        <w:t> </w:t>
      </w:r>
      <w:r>
        <w:rPr/>
        <w:t>for mapping learning outcomes to workforce needs. To address this</w:t>
      </w:r>
      <w:r>
        <w:rPr>
          <w:spacing w:val="-3"/>
        </w:rPr>
        <w:t> </w:t>
      </w:r>
      <w:r>
        <w:rPr/>
        <w:t>gap,</w:t>
      </w:r>
      <w:r>
        <w:rPr>
          <w:spacing w:val="-3"/>
        </w:rPr>
        <w:t> </w:t>
      </w:r>
      <w:r>
        <w:rPr/>
        <w:t>we</w:t>
      </w:r>
      <w:r>
        <w:rPr>
          <w:spacing w:val="-3"/>
        </w:rPr>
        <w:t> </w:t>
      </w:r>
      <w:r>
        <w:rPr/>
        <w:t>examine</w:t>
      </w:r>
      <w:r>
        <w:rPr>
          <w:spacing w:val="-3"/>
        </w:rPr>
        <w:t> </w:t>
      </w:r>
      <w:r>
        <w:rPr/>
        <w:t>the</w:t>
      </w:r>
      <w:r>
        <w:rPr>
          <w:spacing w:val="40"/>
        </w:rPr>
        <w:t> </w:t>
      </w:r>
      <w:r>
        <w:rPr/>
        <w:t>continued</w:t>
      </w:r>
      <w:r>
        <w:rPr>
          <w:spacing w:val="-3"/>
        </w:rPr>
        <w:t> </w:t>
      </w:r>
      <w:r>
        <w:rPr/>
        <w:t>development</w:t>
      </w:r>
      <w:r>
        <w:rPr>
          <w:spacing w:val="-3"/>
        </w:rPr>
        <w:t> </w:t>
      </w:r>
      <w:r>
        <w:rPr/>
        <w:t>of</w:t>
      </w:r>
      <w:r>
        <w:rPr>
          <w:spacing w:val="-3"/>
        </w:rPr>
        <w:t> </w:t>
      </w:r>
      <w:r>
        <w:rPr>
          <w:i/>
        </w:rPr>
        <w:t>Eugene</w:t>
      </w:r>
      <w:r>
        <w:rPr/>
        <w:t>,</w:t>
      </w:r>
      <w:r>
        <w:rPr>
          <w:spacing w:val="-3"/>
        </w:rPr>
        <w:t> </w:t>
      </w:r>
      <w:r>
        <w:rPr/>
        <w:t>a</w:t>
      </w:r>
      <w:r>
        <w:rPr>
          <w:spacing w:val="-3"/>
        </w:rPr>
        <w:t> </w:t>
      </w:r>
      <w:r>
        <w:rPr/>
        <w:t>career</w:t>
      </w:r>
      <w:r>
        <w:rPr>
          <w:spacing w:val="-3"/>
        </w:rPr>
        <w:t> </w:t>
      </w:r>
      <w:r>
        <w:rPr/>
        <w:t>exploration platform</w:t>
      </w:r>
      <w:r>
        <w:rPr>
          <w:spacing w:val="-4"/>
        </w:rPr>
        <w:t> </w:t>
      </w:r>
      <w:r>
        <w:rPr/>
        <w:t>designed</w:t>
      </w:r>
      <w:r>
        <w:rPr>
          <w:spacing w:val="-4"/>
        </w:rPr>
        <w:t> </w:t>
      </w:r>
      <w:r>
        <w:rPr/>
        <w:t>to</w:t>
      </w:r>
      <w:r>
        <w:rPr>
          <w:spacing w:val="-4"/>
        </w:rPr>
        <w:t> </w:t>
      </w:r>
      <w:r>
        <w:rPr/>
        <w:t>translate</w:t>
      </w:r>
      <w:r>
        <w:rPr>
          <w:spacing w:val="40"/>
        </w:rPr>
        <w:t> </w:t>
      </w:r>
      <w:r>
        <w:rPr/>
        <w:t>coursework</w:t>
      </w:r>
      <w:r>
        <w:rPr>
          <w:spacing w:val="-4"/>
        </w:rPr>
        <w:t> </w:t>
      </w:r>
      <w:r>
        <w:rPr/>
        <w:t>into</w:t>
      </w:r>
      <w:r>
        <w:rPr>
          <w:spacing w:val="-4"/>
        </w:rPr>
        <w:t> </w:t>
      </w:r>
      <w:r>
        <w:rPr/>
        <w:t>actionable</w:t>
      </w:r>
      <w:r>
        <w:rPr>
          <w:spacing w:val="-4"/>
        </w:rPr>
        <w:t> </w:t>
      </w:r>
      <w:r>
        <w:rPr/>
        <w:t>knowledge,</w:t>
      </w:r>
      <w:r>
        <w:rPr>
          <w:spacing w:val="-4"/>
        </w:rPr>
        <w:t> </w:t>
      </w:r>
      <w:r>
        <w:rPr/>
        <w:t>skills,</w:t>
      </w:r>
      <w:r>
        <w:rPr>
          <w:spacing w:val="-4"/>
        </w:rPr>
        <w:t> </w:t>
      </w:r>
      <w:r>
        <w:rPr/>
        <w:t>and</w:t>
      </w:r>
      <w:r>
        <w:rPr>
          <w:spacing w:val="-4"/>
        </w:rPr>
        <w:t> </w:t>
      </w:r>
      <w:r>
        <w:rPr/>
        <w:t>abilities (KSAs) and align them with potential</w:t>
      </w:r>
      <w:r>
        <w:rPr>
          <w:spacing w:val="40"/>
        </w:rPr>
        <w:t> </w:t>
      </w:r>
      <w:r>
        <w:rPr/>
        <w:t>career pathways based on information from the Occupational Information Network (O*NET).</w:t>
      </w:r>
    </w:p>
    <w:p>
      <w:pPr>
        <w:pStyle w:val="BodyText"/>
        <w:spacing w:line="230" w:lineRule="auto" w:before="201"/>
        <w:ind w:left="720" w:right="2189"/>
        <w:jc w:val="both"/>
      </w:pPr>
      <w:r>
        <w:rPr/>
        <w:t>This research integrates two complementary artificial intelligence (AI) initiatives </w:t>
      </w:r>
      <w:r>
        <w:rPr/>
        <w:t>aimed at improving both backend process efficiency and frontend user experience. First, we introduce an AI-assisted framework for automating KSA extraction from course syllabi. Traditionally, KSA reconciliation requires a time-intensive faculty consensus process. The proposed human-AI hybrid model trains an AI agent to independently rate KSAs based on course materials, such as syllabi and assignment instructions, and provide transparent rationales for its ratings. These</w:t>
      </w:r>
      <w:r>
        <w:rPr>
          <w:spacing w:val="40"/>
        </w:rPr>
        <w:t> </w:t>
      </w:r>
      <w:r>
        <w:rPr/>
        <w:t>AI-generated evaluations</w:t>
      </w:r>
      <w:r>
        <w:rPr>
          <w:spacing w:val="-2"/>
        </w:rPr>
        <w:t> </w:t>
      </w:r>
      <w:r>
        <w:rPr/>
        <w:t>are</w:t>
      </w:r>
      <w:r>
        <w:rPr>
          <w:spacing w:val="-2"/>
        </w:rPr>
        <w:t> </w:t>
      </w:r>
      <w:r>
        <w:rPr/>
        <w:t>compared</w:t>
      </w:r>
      <w:r>
        <w:rPr>
          <w:spacing w:val="-2"/>
        </w:rPr>
        <w:t> </w:t>
      </w:r>
      <w:r>
        <w:rPr/>
        <w:t>with faculty ratings and returned to faculty for review</w:t>
      </w:r>
      <w:r>
        <w:rPr>
          <w:spacing w:val="40"/>
        </w:rPr>
        <w:t> </w:t>
      </w:r>
      <w:r>
        <w:rPr/>
        <w:t>and final decision-making (Speed &amp; Metwally, 2025). This approach draws on emerging</w:t>
      </w:r>
      <w:r>
        <w:rPr>
          <w:spacing w:val="40"/>
        </w:rPr>
        <w:t> </w:t>
      </w:r>
      <w:r>
        <w:rPr/>
        <w:t>research</w:t>
      </w:r>
      <w:r>
        <w:rPr>
          <w:spacing w:val="-4"/>
        </w:rPr>
        <w:t> </w:t>
      </w:r>
      <w:r>
        <w:rPr/>
        <w:t>in</w:t>
      </w:r>
      <w:r>
        <w:rPr>
          <w:spacing w:val="-4"/>
        </w:rPr>
        <w:t> </w:t>
      </w:r>
      <w:r>
        <w:rPr/>
        <w:t>hybrid</w:t>
      </w:r>
      <w:r>
        <w:rPr>
          <w:spacing w:val="-4"/>
        </w:rPr>
        <w:t> </w:t>
      </w:r>
      <w:r>
        <w:rPr/>
        <w:t>expert</w:t>
      </w:r>
      <w:r>
        <w:rPr>
          <w:spacing w:val="-4"/>
        </w:rPr>
        <w:t> </w:t>
      </w:r>
      <w:r>
        <w:rPr/>
        <w:t>consensus models, leveraging AI to enhance efficiency while</w:t>
      </w:r>
      <w:r>
        <w:rPr>
          <w:spacing w:val="40"/>
        </w:rPr>
        <w:t> </w:t>
      </w:r>
      <w:r>
        <w:rPr/>
        <w:t>preserving human oversight and </w:t>
      </w:r>
      <w:r>
        <w:rPr>
          <w:spacing w:val="-2"/>
        </w:rPr>
        <w:t>accountability.</w:t>
      </w:r>
    </w:p>
    <w:p>
      <w:pPr>
        <w:pStyle w:val="BodyText"/>
        <w:spacing w:line="230" w:lineRule="auto" w:before="199"/>
        <w:ind w:left="720" w:right="2188"/>
        <w:jc w:val="both"/>
      </w:pPr>
      <w:r>
        <w:rPr/>
        <w:t>Second, we integrate an AI-powered chatbot within </w:t>
      </w:r>
      <w:r>
        <w:rPr>
          <w:i/>
        </w:rPr>
        <w:t>Eugene </w:t>
      </w:r>
      <w:r>
        <w:rPr/>
        <w:t>to improve </w:t>
      </w:r>
      <w:r>
        <w:rPr/>
        <w:t>platform usability,</w:t>
      </w:r>
      <w:r>
        <w:rPr>
          <w:spacing w:val="40"/>
        </w:rPr>
        <w:t> </w:t>
      </w:r>
      <w:r>
        <w:rPr/>
        <w:t>instructional clarity, and user engagement. Built using Microsoft Copilot, the chatbot delivers</w:t>
      </w:r>
      <w:r>
        <w:rPr>
          <w:spacing w:val="40"/>
        </w:rPr>
        <w:t> </w:t>
      </w:r>
      <w:r>
        <w:rPr/>
        <w:t>real-time guidance, explains KSA outputs,</w:t>
      </w:r>
      <w:r>
        <w:rPr>
          <w:spacing w:val="-3"/>
        </w:rPr>
        <w:t> </w:t>
      </w:r>
      <w:r>
        <w:rPr/>
        <w:t>and</w:t>
      </w:r>
      <w:r>
        <w:rPr>
          <w:spacing w:val="-3"/>
        </w:rPr>
        <w:t> </w:t>
      </w:r>
      <w:r>
        <w:rPr/>
        <w:t>responds</w:t>
      </w:r>
      <w:r>
        <w:rPr>
          <w:spacing w:val="-3"/>
        </w:rPr>
        <w:t> </w:t>
      </w:r>
      <w:r>
        <w:rPr/>
        <w:t>to</w:t>
      </w:r>
      <w:r>
        <w:rPr>
          <w:spacing w:val="-3"/>
        </w:rPr>
        <w:t> </w:t>
      </w:r>
      <w:r>
        <w:rPr/>
        <w:t>user</w:t>
      </w:r>
      <w:r>
        <w:rPr>
          <w:spacing w:val="-3"/>
        </w:rPr>
        <w:t> </w:t>
      </w:r>
      <w:r>
        <w:rPr/>
        <w:t>queries throughout the career</w:t>
      </w:r>
      <w:r>
        <w:rPr>
          <w:spacing w:val="40"/>
        </w:rPr>
        <w:t> </w:t>
      </w:r>
      <w:r>
        <w:rPr/>
        <w:t>exploration process. Iterative training and testing</w:t>
      </w:r>
      <w:r>
        <w:rPr>
          <w:spacing w:val="-3"/>
        </w:rPr>
        <w:t> </w:t>
      </w:r>
      <w:r>
        <w:rPr/>
        <w:t>ensure</w:t>
      </w:r>
      <w:r>
        <w:rPr>
          <w:spacing w:val="-3"/>
        </w:rPr>
        <w:t> </w:t>
      </w:r>
      <w:r>
        <w:rPr/>
        <w:t>response accuracy, while evaluation</w:t>
      </w:r>
      <w:r>
        <w:rPr>
          <w:spacing w:val="40"/>
        </w:rPr>
        <w:t> </w:t>
      </w:r>
      <w:r>
        <w:rPr/>
        <w:t>combines survey-based user feedback</w:t>
      </w:r>
      <w:r>
        <w:rPr>
          <w:spacing w:val="-4"/>
        </w:rPr>
        <w:t> </w:t>
      </w:r>
      <w:r>
        <w:rPr/>
        <w:t>with</w:t>
      </w:r>
      <w:r>
        <w:rPr>
          <w:spacing w:val="-4"/>
        </w:rPr>
        <w:t> </w:t>
      </w:r>
      <w:r>
        <w:rPr/>
        <w:t>website</w:t>
      </w:r>
      <w:r>
        <w:rPr>
          <w:spacing w:val="-4"/>
        </w:rPr>
        <w:t> </w:t>
      </w:r>
      <w:r>
        <w:rPr/>
        <w:t>analytics to assess perceived usefulness,</w:t>
      </w:r>
      <w:r>
        <w:rPr>
          <w:spacing w:val="40"/>
        </w:rPr>
        <w:t> </w:t>
      </w:r>
      <w:r>
        <w:rPr/>
        <w:t>efficiency, satisfaction, and engagement.</w:t>
      </w:r>
    </w:p>
    <w:p>
      <w:pPr>
        <w:pStyle w:val="BodyText"/>
        <w:spacing w:line="230" w:lineRule="auto" w:before="203"/>
        <w:ind w:left="720" w:right="2190"/>
        <w:jc w:val="both"/>
      </w:pPr>
      <w:r>
        <w:rPr/>
        <w:t>Collectively, these initiatives position </w:t>
      </w:r>
      <w:r>
        <w:rPr>
          <w:i/>
        </w:rPr>
        <w:t>Eugene </w:t>
      </w:r>
      <w:r>
        <w:rPr/>
        <w:t>as a scalable workforce readiness and career</w:t>
      </w:r>
      <w:r>
        <w:rPr>
          <w:spacing w:val="40"/>
        </w:rPr>
        <w:t> </w:t>
      </w:r>
      <w:r>
        <w:rPr/>
        <w:t>exploration system relevant to business education and students. </w:t>
      </w:r>
      <w:r>
        <w:rPr/>
        <w:t>Expected outcomes include</w:t>
      </w:r>
      <w:r>
        <w:rPr>
          <w:spacing w:val="40"/>
        </w:rPr>
        <w:t> </w:t>
      </w:r>
      <w:r>
        <w:rPr/>
        <w:t>reduced administrative burden for subject-matter experts, increased adoption through improved</w:t>
      </w:r>
      <w:r>
        <w:rPr>
          <w:spacing w:val="40"/>
        </w:rPr>
        <w:t> </w:t>
      </w:r>
      <w:r>
        <w:rPr/>
        <w:t>user experience, and stronger alignment between academic training and labor market needs. By</w:t>
      </w:r>
      <w:r>
        <w:rPr>
          <w:spacing w:val="40"/>
        </w:rPr>
        <w:t> </w:t>
      </w:r>
      <w:r>
        <w:rPr/>
        <w:t>demonstrating</w:t>
      </w:r>
      <w:r>
        <w:rPr>
          <w:spacing w:val="-3"/>
        </w:rPr>
        <w:t> </w:t>
      </w:r>
      <w:r>
        <w:rPr/>
        <w:t>how</w:t>
      </w:r>
      <w:r>
        <w:rPr>
          <w:spacing w:val="-3"/>
        </w:rPr>
        <w:t> </w:t>
      </w:r>
      <w:r>
        <w:rPr/>
        <w:t>AI</w:t>
      </w:r>
      <w:r>
        <w:rPr>
          <w:spacing w:val="-3"/>
        </w:rPr>
        <w:t> </w:t>
      </w:r>
      <w:r>
        <w:rPr/>
        <w:t>can</w:t>
      </w:r>
      <w:r>
        <w:rPr>
          <w:spacing w:val="-3"/>
        </w:rPr>
        <w:t> </w:t>
      </w:r>
      <w:r>
        <w:rPr/>
        <w:t>support</w:t>
      </w:r>
      <w:r>
        <w:rPr>
          <w:spacing w:val="-3"/>
        </w:rPr>
        <w:t> </w:t>
      </w:r>
      <w:r>
        <w:rPr/>
        <w:t>skill</w:t>
      </w:r>
      <w:r>
        <w:rPr>
          <w:spacing w:val="-3"/>
        </w:rPr>
        <w:t> </w:t>
      </w:r>
      <w:r>
        <w:rPr/>
        <w:t>translation, process optimization, and user-centered</w:t>
      </w:r>
      <w:r>
        <w:rPr>
          <w:spacing w:val="40"/>
        </w:rPr>
        <w:t> </w:t>
      </w:r>
      <w:r>
        <w:rPr/>
        <w:t>design, this research contributes to broader conversations in management, information systems, and workforce development regarding the strategic use of AI to improve talent readiness.</w:t>
      </w:r>
    </w:p>
    <w:p>
      <w:pPr>
        <w:pStyle w:val="Heading4"/>
        <w:spacing w:before="272"/>
        <w:ind w:left="720"/>
      </w:pPr>
      <w:r>
        <w:rPr>
          <w:spacing w:val="-2"/>
        </w:rPr>
        <w:t>References</w:t>
      </w:r>
    </w:p>
    <w:p>
      <w:pPr>
        <w:pStyle w:val="BodyText"/>
        <w:spacing w:line="230" w:lineRule="auto" w:before="195"/>
        <w:ind w:left="720" w:right="2135"/>
      </w:pPr>
      <w:r>
        <w:rPr/>
        <w:t>Burning Glass Institute and Strada Institute for the Future of Work (2024). Talent Disrupted:</w:t>
      </w:r>
      <w:r>
        <w:rPr>
          <w:spacing w:val="40"/>
        </w:rPr>
        <w:t> </w:t>
      </w:r>
      <w:r>
        <w:rPr/>
        <w:t>Underemployment, College Graduates, and the Way Forward. </w:t>
      </w:r>
      <w:hyperlink r:id="rId230">
        <w:r>
          <w:rPr>
            <w:spacing w:val="-2"/>
          </w:rPr>
          <w:t>https://static1.squarespace.com/static/6197797102be715f55c0e0a1/t/65d7705653660e65</w:t>
        </w:r>
      </w:hyperlink>
      <w:r>
        <w:rPr>
          <w:spacing w:val="-2"/>
        </w:rPr>
        <w:t> </w:t>
      </w:r>
      <w:r>
        <w:rPr/>
        <w:t>2db9830 6/1708617815952/Talent+Disrupted+02222024.pdf</w:t>
      </w:r>
    </w:p>
    <w:p>
      <w:pPr>
        <w:pStyle w:val="BodyText"/>
        <w:spacing w:line="230" w:lineRule="auto" w:before="204"/>
        <w:ind w:left="720" w:right="3286"/>
        <w:jc w:val="both"/>
      </w:pPr>
      <w:r>
        <w:rPr/>
        <w:t>Speed,</w:t>
      </w:r>
      <w:r>
        <w:rPr>
          <w:spacing w:val="-3"/>
        </w:rPr>
        <w:t> </w:t>
      </w:r>
      <w:r>
        <w:rPr/>
        <w:t>C.,</w:t>
      </w:r>
      <w:r>
        <w:rPr>
          <w:spacing w:val="-3"/>
        </w:rPr>
        <w:t> </w:t>
      </w:r>
      <w:r>
        <w:rPr/>
        <w:t>&amp;</w:t>
      </w:r>
      <w:r>
        <w:rPr>
          <w:spacing w:val="-3"/>
        </w:rPr>
        <w:t> </w:t>
      </w:r>
      <w:r>
        <w:rPr/>
        <w:t>Metwally,</w:t>
      </w:r>
      <w:r>
        <w:rPr>
          <w:spacing w:val="-3"/>
        </w:rPr>
        <w:t> </w:t>
      </w:r>
      <w:r>
        <w:rPr/>
        <w:t>A.</w:t>
      </w:r>
      <w:r>
        <w:rPr>
          <w:spacing w:val="-3"/>
        </w:rPr>
        <w:t> </w:t>
      </w:r>
      <w:r>
        <w:rPr/>
        <w:t>A.</w:t>
      </w:r>
      <w:r>
        <w:rPr>
          <w:spacing w:val="-3"/>
        </w:rPr>
        <w:t> </w:t>
      </w:r>
      <w:r>
        <w:rPr/>
        <w:t>(2025).</w:t>
      </w:r>
      <w:r>
        <w:rPr>
          <w:spacing w:val="-3"/>
        </w:rPr>
        <w:t> </w:t>
      </w:r>
      <w:r>
        <w:rPr/>
        <w:t>The</w:t>
      </w:r>
      <w:r>
        <w:rPr>
          <w:spacing w:val="-3"/>
        </w:rPr>
        <w:t> </w:t>
      </w:r>
      <w:r>
        <w:rPr/>
        <w:t>human–AI</w:t>
      </w:r>
      <w:r>
        <w:rPr>
          <w:spacing w:val="-3"/>
        </w:rPr>
        <w:t> </w:t>
      </w:r>
      <w:r>
        <w:rPr/>
        <w:t>hybrid</w:t>
      </w:r>
      <w:r>
        <w:rPr>
          <w:spacing w:val="-3"/>
        </w:rPr>
        <w:t> </w:t>
      </w:r>
      <w:r>
        <w:rPr/>
        <w:t>Delphi</w:t>
      </w:r>
      <w:r>
        <w:rPr>
          <w:spacing w:val="-3"/>
        </w:rPr>
        <w:t> </w:t>
      </w:r>
      <w:r>
        <w:rPr/>
        <w:t>model:</w:t>
      </w:r>
      <w:r>
        <w:rPr>
          <w:spacing w:val="-3"/>
        </w:rPr>
        <w:t> </w:t>
      </w:r>
      <w:r>
        <w:rPr/>
        <w:t>A structured</w:t>
      </w:r>
      <w:r>
        <w:rPr>
          <w:spacing w:val="40"/>
        </w:rPr>
        <w:t> </w:t>
      </w:r>
      <w:r>
        <w:rPr/>
        <w:t>framework</w:t>
      </w:r>
      <w:r>
        <w:rPr>
          <w:spacing w:val="-5"/>
        </w:rPr>
        <w:t> </w:t>
      </w:r>
      <w:r>
        <w:rPr/>
        <w:t>for</w:t>
      </w:r>
      <w:r>
        <w:rPr>
          <w:spacing w:val="-5"/>
        </w:rPr>
        <w:t> </w:t>
      </w:r>
      <w:r>
        <w:rPr/>
        <w:t>context-rich,</w:t>
      </w:r>
      <w:r>
        <w:rPr>
          <w:spacing w:val="-5"/>
        </w:rPr>
        <w:t> </w:t>
      </w:r>
      <w:r>
        <w:rPr/>
        <w:t>expert</w:t>
      </w:r>
      <w:r>
        <w:rPr>
          <w:spacing w:val="-5"/>
        </w:rPr>
        <w:t> </w:t>
      </w:r>
      <w:r>
        <w:rPr/>
        <w:t>consensus</w:t>
      </w:r>
      <w:r>
        <w:rPr>
          <w:spacing w:val="-5"/>
        </w:rPr>
        <w:t> </w:t>
      </w:r>
      <w:r>
        <w:rPr/>
        <w:t>in</w:t>
      </w:r>
      <w:r>
        <w:rPr>
          <w:spacing w:val="-5"/>
        </w:rPr>
        <w:t> </w:t>
      </w:r>
      <w:r>
        <w:rPr/>
        <w:t>complex</w:t>
      </w:r>
      <w:r>
        <w:rPr>
          <w:spacing w:val="-5"/>
        </w:rPr>
        <w:t> </w:t>
      </w:r>
      <w:r>
        <w:rPr/>
        <w:t>domains. </w:t>
      </w:r>
      <w:r>
        <w:rPr>
          <w:i/>
        </w:rPr>
        <w:t>arXiv</w:t>
      </w:r>
      <w:r>
        <w:rPr/>
        <w:t>.</w:t>
      </w:r>
      <w:r>
        <w:rPr>
          <w:spacing w:val="40"/>
        </w:rPr>
        <w:t> </w:t>
      </w:r>
      <w:hyperlink r:id="rId231">
        <w:r>
          <w:rPr/>
          <w:t>https://doi.org/10.48550/arXiv.2508.09349</w:t>
        </w:r>
      </w:hyperlink>
    </w:p>
    <w:p>
      <w:pPr>
        <w:pStyle w:val="BodyText"/>
        <w:spacing w:after="0" w:line="230" w:lineRule="auto"/>
        <w:jc w:val="both"/>
        <w:sectPr>
          <w:pgSz w:w="12240" w:h="15840"/>
          <w:pgMar w:header="0" w:footer="750" w:top="620" w:bottom="960" w:left="720" w:right="0"/>
        </w:sectPr>
      </w:pPr>
    </w:p>
    <w:p>
      <w:pPr>
        <w:pStyle w:val="Heading4"/>
        <w:spacing w:before="60"/>
        <w:ind w:left="4257" w:right="2135" w:hanging="2635"/>
      </w:pPr>
      <w:bookmarkStart w:name="Why or Why Not Accounting? An Interview-" w:id="101"/>
      <w:bookmarkEnd w:id="101"/>
      <w:r>
        <w:rPr>
          <w:b w:val="0"/>
        </w:rPr>
      </w:r>
      <w:r>
        <w:rPr/>
        <w:t>Why</w:t>
      </w:r>
      <w:r>
        <w:rPr>
          <w:spacing w:val="-5"/>
        </w:rPr>
        <w:t> </w:t>
      </w:r>
      <w:r>
        <w:rPr/>
        <w:t>or</w:t>
      </w:r>
      <w:r>
        <w:rPr>
          <w:spacing w:val="-5"/>
        </w:rPr>
        <w:t> </w:t>
      </w:r>
      <w:r>
        <w:rPr/>
        <w:t>Why</w:t>
      </w:r>
      <w:r>
        <w:rPr>
          <w:spacing w:val="-5"/>
        </w:rPr>
        <w:t> </w:t>
      </w:r>
      <w:r>
        <w:rPr/>
        <w:t>Not</w:t>
      </w:r>
      <w:r>
        <w:rPr>
          <w:spacing w:val="-5"/>
        </w:rPr>
        <w:t> </w:t>
      </w:r>
      <w:r>
        <w:rPr/>
        <w:t>Accounting?</w:t>
      </w:r>
      <w:r>
        <w:rPr>
          <w:spacing w:val="-5"/>
        </w:rPr>
        <w:t> </w:t>
      </w:r>
      <w:r>
        <w:rPr/>
        <w:t>An</w:t>
      </w:r>
      <w:r>
        <w:rPr>
          <w:spacing w:val="-5"/>
        </w:rPr>
        <w:t> </w:t>
      </w:r>
      <w:r>
        <w:rPr/>
        <w:t>Interview-Based</w:t>
      </w:r>
      <w:r>
        <w:rPr>
          <w:spacing w:val="-5"/>
        </w:rPr>
        <w:t> </w:t>
      </w:r>
      <w:r>
        <w:rPr/>
        <w:t>Field</w:t>
      </w:r>
      <w:r>
        <w:rPr>
          <w:spacing w:val="-5"/>
        </w:rPr>
        <w:t> </w:t>
      </w:r>
      <w:r>
        <w:rPr/>
        <w:t>Study</w:t>
      </w:r>
      <w:r>
        <w:rPr>
          <w:spacing w:val="40"/>
        </w:rPr>
        <w:t> </w:t>
      </w:r>
      <w:r>
        <w:rPr/>
        <w:t>With </w:t>
      </w:r>
      <w:bookmarkStart w:name="h.s0wrzkc9jv95" w:id="102"/>
      <w:bookmarkEnd w:id="102"/>
      <w:r>
        <w:rPr/>
        <w:t>Business</w:t>
      </w:r>
      <w:r>
        <w:rPr/>
        <w:t> Students</w:t>
      </w:r>
    </w:p>
    <w:p>
      <w:pPr>
        <w:pStyle w:val="BodyText"/>
        <w:spacing w:before="42"/>
        <w:rPr>
          <w:b/>
        </w:rPr>
      </w:pPr>
    </w:p>
    <w:p>
      <w:pPr>
        <w:pStyle w:val="BodyText"/>
        <w:spacing w:line="276" w:lineRule="auto"/>
        <w:ind w:left="3987" w:right="4705"/>
        <w:jc w:val="center"/>
      </w:pPr>
      <w:r>
        <w:rPr/>
        <w:t>Kassandra Mendez Salinas Department of Accounting Walker College of Business Appalachian</w:t>
      </w:r>
      <w:r>
        <w:rPr>
          <w:spacing w:val="-15"/>
        </w:rPr>
        <w:t> </w:t>
      </w:r>
      <w:r>
        <w:rPr/>
        <w:t>State</w:t>
      </w:r>
      <w:r>
        <w:rPr>
          <w:spacing w:val="-15"/>
        </w:rPr>
        <w:t> </w:t>
      </w:r>
      <w:r>
        <w:rPr/>
        <w:t>University 416 Howard Street</w:t>
      </w:r>
    </w:p>
    <w:p>
      <w:pPr>
        <w:pStyle w:val="BodyText"/>
        <w:spacing w:line="276" w:lineRule="auto"/>
        <w:ind w:left="3916" w:right="4574" w:hanging="60"/>
        <w:jc w:val="center"/>
      </w:pPr>
      <w:r>
        <w:rPr/>
        <w:t>Boone, NC 28608 </w:t>
      </w:r>
      <w:hyperlink r:id="rId232">
        <w:r>
          <w:rPr>
            <w:spacing w:val="-2"/>
          </w:rPr>
          <w:t>mendezsalinask@appstate.edu</w:t>
        </w:r>
      </w:hyperlink>
      <w:r>
        <w:rPr>
          <w:spacing w:val="-2"/>
        </w:rPr>
        <w:t> </w:t>
      </w:r>
      <w:r>
        <w:rPr/>
        <w:t>980.319.0390 (Contact </w:t>
      </w:r>
      <w:r>
        <w:rPr>
          <w:spacing w:val="-2"/>
        </w:rPr>
        <w:t>Author)</w:t>
      </w:r>
    </w:p>
    <w:p>
      <w:pPr>
        <w:pStyle w:val="BodyText"/>
        <w:spacing w:before="41"/>
      </w:pPr>
    </w:p>
    <w:p>
      <w:pPr>
        <w:pStyle w:val="BodyText"/>
        <w:spacing w:line="276" w:lineRule="auto"/>
        <w:ind w:left="3987" w:right="4296" w:firstLine="616"/>
      </w:pPr>
      <w:r>
        <w:rPr/>
        <w:t>Brian K. Hasson Department of Accounting Walker College of Business Appalachian</w:t>
      </w:r>
      <w:r>
        <w:rPr>
          <w:spacing w:val="-15"/>
        </w:rPr>
        <w:t> </w:t>
      </w:r>
      <w:r>
        <w:rPr/>
        <w:t>State</w:t>
      </w:r>
      <w:r>
        <w:rPr>
          <w:spacing w:val="-15"/>
        </w:rPr>
        <w:t> </w:t>
      </w:r>
      <w:r>
        <w:rPr/>
        <w:t>University</w:t>
      </w:r>
    </w:p>
    <w:p>
      <w:pPr>
        <w:pStyle w:val="BodyText"/>
        <w:ind w:left="4493"/>
      </w:pPr>
      <w:r>
        <w:rPr/>
        <w:t>416 Howard </w:t>
      </w:r>
      <w:r>
        <w:rPr>
          <w:spacing w:val="-2"/>
        </w:rPr>
        <w:t>Street</w:t>
      </w:r>
    </w:p>
    <w:p>
      <w:pPr>
        <w:pStyle w:val="BodyText"/>
        <w:spacing w:line="276" w:lineRule="auto" w:before="42"/>
        <w:ind w:left="3886" w:right="4604"/>
        <w:jc w:val="center"/>
      </w:pPr>
      <w:r>
        <w:rPr/>
        <w:t>Boone, NC 28608 </w:t>
      </w:r>
      <w:hyperlink r:id="rId233">
        <w:r>
          <w:rPr>
            <w:spacing w:val="-2"/>
          </w:rPr>
          <w:t>hassonbk@appstate.edu</w:t>
        </w:r>
      </w:hyperlink>
      <w:r>
        <w:rPr>
          <w:spacing w:val="-2"/>
        </w:rPr>
        <w:t> </w:t>
      </w:r>
      <w:r>
        <w:rPr/>
        <w:t>828.262.4084</w:t>
      </w:r>
      <w:r>
        <w:rPr>
          <w:spacing w:val="-15"/>
        </w:rPr>
        <w:t> </w:t>
      </w:r>
      <w:r>
        <w:rPr/>
        <w:t>(Contact</w:t>
      </w:r>
      <w:r>
        <w:rPr>
          <w:spacing w:val="-15"/>
        </w:rPr>
        <w:t> </w:t>
      </w:r>
      <w:r>
        <w:rPr/>
        <w:t>Author)</w:t>
      </w:r>
    </w:p>
    <w:p>
      <w:pPr>
        <w:pStyle w:val="BodyText"/>
        <w:spacing w:before="15"/>
      </w:pPr>
    </w:p>
    <w:p>
      <w:pPr>
        <w:pStyle w:val="Heading4"/>
        <w:ind w:left="0" w:right="718"/>
        <w:jc w:val="center"/>
      </w:pPr>
      <w:r>
        <w:rPr>
          <w:spacing w:val="-2"/>
        </w:rPr>
        <w:t>ABSTRACT</w:t>
      </w:r>
    </w:p>
    <w:p>
      <w:pPr>
        <w:pStyle w:val="BodyText"/>
        <w:rPr>
          <w:b/>
        </w:rPr>
      </w:pPr>
    </w:p>
    <w:p>
      <w:pPr>
        <w:pStyle w:val="BodyText"/>
        <w:spacing w:line="230" w:lineRule="auto"/>
        <w:ind w:left="720" w:right="2173"/>
        <w:jc w:val="both"/>
      </w:pPr>
      <w:r>
        <w:rPr/>
        <w:t>The steady decline in accounting majors has intensified concerns regarding </w:t>
      </w:r>
      <w:r>
        <w:rPr/>
        <w:t>the</w:t>
      </w:r>
      <w:r>
        <w:rPr>
          <w:spacing w:val="80"/>
        </w:rPr>
        <w:t> </w:t>
      </w:r>
      <w:r>
        <w:rPr/>
        <w:t>endurance of the accounting pipeline, encouraging educators and professionals to seek new</w:t>
      </w:r>
      <w:r>
        <w:rPr>
          <w:spacing w:val="40"/>
        </w:rPr>
        <w:t> </w:t>
      </w:r>
      <w:r>
        <w:rPr/>
        <w:t>strategies for attracting students to the field. While prior research has offered guidance on</w:t>
      </w:r>
      <w:r>
        <w:rPr>
          <w:spacing w:val="80"/>
        </w:rPr>
        <w:t> </w:t>
      </w:r>
      <w:r>
        <w:rPr/>
        <w:t>recruitment initiatives, few studies have explored students’ own perspectives on why they</w:t>
      </w:r>
      <w:r>
        <w:rPr>
          <w:spacing w:val="40"/>
        </w:rPr>
        <w:t> </w:t>
      </w:r>
      <w:r>
        <w:rPr/>
        <w:t>choose, or avoid, accounting as a major. This</w:t>
      </w:r>
      <w:r>
        <w:rPr>
          <w:spacing w:val="-3"/>
        </w:rPr>
        <w:t> </w:t>
      </w:r>
      <w:r>
        <w:rPr/>
        <w:t>study</w:t>
      </w:r>
      <w:r>
        <w:rPr>
          <w:spacing w:val="-4"/>
        </w:rPr>
        <w:t> </w:t>
      </w:r>
      <w:r>
        <w:rPr/>
        <w:t>addresses that gap by investigating the</w:t>
      </w:r>
      <w:r>
        <w:rPr>
          <w:spacing w:val="40"/>
        </w:rPr>
        <w:t> </w:t>
      </w:r>
      <w:r>
        <w:rPr/>
        <w:t>factors that influence undergraduate business students’ decision-making behaviors when</w:t>
      </w:r>
      <w:r>
        <w:rPr>
          <w:spacing w:val="40"/>
        </w:rPr>
        <w:t> </w:t>
      </w:r>
      <w:r>
        <w:rPr/>
        <w:t>selecting a major after having the opportunity</w:t>
      </w:r>
      <w:r>
        <w:rPr>
          <w:spacing w:val="-2"/>
        </w:rPr>
        <w:t> </w:t>
      </w:r>
      <w:r>
        <w:rPr/>
        <w:t>to</w:t>
      </w:r>
      <w:r>
        <w:rPr>
          <w:spacing w:val="-2"/>
        </w:rPr>
        <w:t> </w:t>
      </w:r>
      <w:r>
        <w:rPr/>
        <w:t>learn about the accounting profession at an</w:t>
      </w:r>
      <w:r>
        <w:rPr>
          <w:spacing w:val="40"/>
        </w:rPr>
        <w:t> </w:t>
      </w:r>
      <w:r>
        <w:rPr/>
        <w:t>invite-only event. Using a field-based,</w:t>
      </w:r>
      <w:r>
        <w:rPr>
          <w:spacing w:val="-2"/>
        </w:rPr>
        <w:t> </w:t>
      </w:r>
      <w:r>
        <w:rPr/>
        <w:t>qualitative approach, I conducted semi</w:t>
      </w:r>
      <w:r>
        <w:rPr>
          <w:rFonts w:ascii="Segoe UI Symbol" w:hAnsi="Segoe UI Symbol"/>
        </w:rPr>
        <w:t>‑</w:t>
      </w:r>
      <w:r>
        <w:rPr/>
        <w:t>structured</w:t>
      </w:r>
      <w:r>
        <w:rPr>
          <w:spacing w:val="40"/>
        </w:rPr>
        <w:t> </w:t>
      </w:r>
      <w:r>
        <w:rPr/>
        <w:t>interviews with students invited to attend an Accounting Principles Dinner at a large</w:t>
      </w:r>
      <w:r>
        <w:rPr>
          <w:spacing w:val="40"/>
        </w:rPr>
        <w:t> </w:t>
      </w:r>
      <w:r>
        <w:rPr/>
        <w:t>southeastern university between the years</w:t>
      </w:r>
      <w:r>
        <w:rPr>
          <w:spacing w:val="-3"/>
        </w:rPr>
        <w:t> </w:t>
      </w:r>
      <w:r>
        <w:rPr/>
        <w:t>2023 and 2025. These interviews aimed to identify</w:t>
      </w:r>
      <w:r>
        <w:rPr>
          <w:spacing w:val="40"/>
        </w:rPr>
        <w:t> </w:t>
      </w:r>
      <w:r>
        <w:rPr/>
        <w:t>the motivating factors behind major selection. Data analysis suggests that perceptions of</w:t>
      </w:r>
      <w:r>
        <w:rPr>
          <w:spacing w:val="40"/>
        </w:rPr>
        <w:t> </w:t>
      </w:r>
      <w:r>
        <w:rPr/>
        <w:t>accounting’s versatility and its alignment with personal values play a significant role in</w:t>
      </w:r>
      <w:r>
        <w:rPr>
          <w:spacing w:val="40"/>
        </w:rPr>
        <w:t> </w:t>
      </w:r>
      <w:r>
        <w:rPr/>
        <w:t>shaping students’ decisions. Interviews with students reveal three overarching themes that</w:t>
      </w:r>
      <w:r>
        <w:rPr>
          <w:spacing w:val="40"/>
        </w:rPr>
        <w:t> </w:t>
      </w:r>
      <w:r>
        <w:rPr/>
        <w:t>represent the “human,” “functional,” and “societal” elements of the accounting major and</w:t>
      </w:r>
      <w:r>
        <w:rPr>
          <w:spacing w:val="40"/>
        </w:rPr>
        <w:t> </w:t>
      </w:r>
      <w:r>
        <w:rPr/>
        <w:t>profession. Based</w:t>
      </w:r>
      <w:r>
        <w:rPr>
          <w:spacing w:val="-2"/>
        </w:rPr>
        <w:t> </w:t>
      </w:r>
      <w:r>
        <w:rPr/>
        <w:t>on these findings, this study underscores that general misconceptions</w:t>
      </w:r>
      <w:r>
        <w:rPr>
          <w:spacing w:val="40"/>
        </w:rPr>
        <w:t> </w:t>
      </w:r>
      <w:r>
        <w:rPr/>
        <w:t>surrounding accounting involve a lack of understanding of what the profession entails.</w:t>
      </w:r>
      <w:r>
        <w:rPr>
          <w:spacing w:val="40"/>
        </w:rPr>
        <w:t> </w:t>
      </w:r>
      <w:r>
        <w:rPr/>
        <w:t>Proposed actionable recommendations include establishing peer-mentoring programs with upperclassmen, integrating an exploratory accounting seminar into general education requirements for undergraduate students, and developing college outreach programs to visit</w:t>
      </w:r>
      <w:r>
        <w:rPr>
          <w:spacing w:val="80"/>
        </w:rPr>
        <w:t> </w:t>
      </w:r>
      <w:r>
        <w:rPr/>
        <w:t>high schools. By focusing on student experiences, this research contributes enhanced insight</w:t>
      </w:r>
      <w:r>
        <w:rPr>
          <w:spacing w:val="40"/>
        </w:rPr>
        <w:t> </w:t>
      </w:r>
      <w:r>
        <w:rPr/>
        <w:t>into how the accounting pipeline might be improved through more informed and</w:t>
      </w:r>
      <w:r>
        <w:rPr>
          <w:spacing w:val="40"/>
        </w:rPr>
        <w:t> </w:t>
      </w:r>
      <w:r>
        <w:rPr/>
        <w:t>student-aligned recruitment strategies.</w:t>
      </w:r>
    </w:p>
    <w:p>
      <w:pPr>
        <w:pStyle w:val="BodyText"/>
        <w:spacing w:line="230" w:lineRule="auto" w:before="216"/>
        <w:ind w:left="720" w:right="2181"/>
        <w:jc w:val="both"/>
      </w:pPr>
      <w:r>
        <w:rPr>
          <w:b/>
        </w:rPr>
        <w:t>Keywords: </w:t>
      </w:r>
      <w:r>
        <w:rPr/>
        <w:t>Accounting pipeline, accounting education, accounting students, </w:t>
      </w:r>
      <w:r>
        <w:rPr/>
        <w:t>qualitative </w:t>
      </w:r>
      <w:r>
        <w:rPr>
          <w:spacing w:val="-2"/>
        </w:rPr>
        <w:t>interview</w:t>
      </w:r>
    </w:p>
    <w:p>
      <w:pPr>
        <w:pStyle w:val="BodyText"/>
        <w:spacing w:after="0" w:line="230" w:lineRule="auto"/>
        <w:jc w:val="both"/>
        <w:sectPr>
          <w:pgSz w:w="12240" w:h="15840"/>
          <w:pgMar w:header="0" w:footer="750" w:top="640" w:bottom="960" w:left="720" w:right="0"/>
        </w:sectPr>
      </w:pPr>
    </w:p>
    <w:p>
      <w:pPr>
        <w:pStyle w:val="Heading4"/>
        <w:spacing w:before="60"/>
        <w:ind w:left="720"/>
      </w:pPr>
      <w:r>
        <w:rPr>
          <w:spacing w:val="-2"/>
        </w:rPr>
        <w:t>INTRODUCTION</w:t>
      </w:r>
    </w:p>
    <w:p>
      <w:pPr>
        <w:pStyle w:val="BodyText"/>
        <w:spacing w:line="276" w:lineRule="auto" w:before="202"/>
        <w:ind w:left="720" w:right="1440"/>
        <w:jc w:val="both"/>
      </w:pPr>
      <w:r>
        <w:rPr/>
        <w:t>The decision to major in accounting can lead to an array of rewarding, impactful</w:t>
      </w:r>
      <w:r>
        <w:rPr>
          <w:spacing w:val="40"/>
        </w:rPr>
        <w:t> </w:t>
      </w:r>
      <w:r>
        <w:rPr/>
        <w:t>opportunities for undergraduate students. The accounting pipeline, however, has suffered in</w:t>
      </w:r>
      <w:r>
        <w:rPr>
          <w:spacing w:val="40"/>
        </w:rPr>
        <w:t> </w:t>
      </w:r>
      <w:r>
        <w:rPr/>
        <w:t>recent years as</w:t>
      </w:r>
      <w:r>
        <w:rPr>
          <w:spacing w:val="-3"/>
        </w:rPr>
        <w:t> </w:t>
      </w:r>
      <w:r>
        <w:rPr/>
        <w:t>a growing preference for other business</w:t>
      </w:r>
      <w:r>
        <w:rPr>
          <w:spacing w:val="-3"/>
        </w:rPr>
        <w:t> </w:t>
      </w:r>
      <w:r>
        <w:rPr/>
        <w:t>majors</w:t>
      </w:r>
      <w:r>
        <w:rPr>
          <w:spacing w:val="-3"/>
        </w:rPr>
        <w:t> </w:t>
      </w:r>
      <w:r>
        <w:rPr/>
        <w:t>has</w:t>
      </w:r>
      <w:r>
        <w:rPr>
          <w:spacing w:val="-3"/>
        </w:rPr>
        <w:t> </w:t>
      </w:r>
      <w:r>
        <w:rPr/>
        <w:t>led</w:t>
      </w:r>
      <w:r>
        <w:rPr>
          <w:spacing w:val="-3"/>
        </w:rPr>
        <w:t> </w:t>
      </w:r>
      <w:r>
        <w:rPr/>
        <w:t>to</w:t>
      </w:r>
      <w:r>
        <w:rPr>
          <w:spacing w:val="-3"/>
        </w:rPr>
        <w:t> </w:t>
      </w:r>
      <w:r>
        <w:rPr/>
        <w:t>a</w:t>
      </w:r>
      <w:r>
        <w:rPr>
          <w:spacing w:val="-3"/>
        </w:rPr>
        <w:t> </w:t>
      </w:r>
      <w:r>
        <w:rPr/>
        <w:t>shortage</w:t>
      </w:r>
      <w:r>
        <w:rPr>
          <w:spacing w:val="-3"/>
        </w:rPr>
        <w:t> </w:t>
      </w:r>
      <w:r>
        <w:rPr/>
        <w:t>of</w:t>
      </w:r>
      <w:r>
        <w:rPr>
          <w:spacing w:val="40"/>
        </w:rPr>
        <w:t> </w:t>
      </w:r>
      <w:r>
        <w:rPr/>
        <w:t>students</w:t>
      </w:r>
      <w:r>
        <w:rPr>
          <w:spacing w:val="-3"/>
        </w:rPr>
        <w:t> </w:t>
      </w:r>
      <w:r>
        <w:rPr/>
        <w:t>entering</w:t>
      </w:r>
      <w:r>
        <w:rPr>
          <w:spacing w:val="-3"/>
        </w:rPr>
        <w:t> </w:t>
      </w:r>
      <w:r>
        <w:rPr/>
        <w:t>the</w:t>
      </w:r>
      <w:r>
        <w:rPr>
          <w:spacing w:val="-3"/>
        </w:rPr>
        <w:t> </w:t>
      </w:r>
      <w:r>
        <w:rPr/>
        <w:t>field. While prior research, which will be explored in later parts of the</w:t>
      </w:r>
      <w:r>
        <w:rPr>
          <w:spacing w:val="40"/>
        </w:rPr>
        <w:t> </w:t>
      </w:r>
      <w:r>
        <w:rPr/>
        <w:t>paper,</w:t>
      </w:r>
      <w:r>
        <w:rPr>
          <w:spacing w:val="-3"/>
        </w:rPr>
        <w:t> </w:t>
      </w:r>
      <w:r>
        <w:rPr/>
        <w:t>has</w:t>
      </w:r>
      <w:r>
        <w:rPr>
          <w:spacing w:val="-3"/>
        </w:rPr>
        <w:t> </w:t>
      </w:r>
      <w:r>
        <w:rPr/>
        <w:t>offered</w:t>
      </w:r>
      <w:r>
        <w:rPr>
          <w:spacing w:val="-3"/>
        </w:rPr>
        <w:t> </w:t>
      </w:r>
      <w:r>
        <w:rPr/>
        <w:t>guidance</w:t>
      </w:r>
      <w:r>
        <w:rPr>
          <w:spacing w:val="-3"/>
        </w:rPr>
        <w:t> </w:t>
      </w:r>
      <w:r>
        <w:rPr/>
        <w:t>to improve the pipeline, few studies</w:t>
      </w:r>
      <w:r>
        <w:rPr>
          <w:spacing w:val="-3"/>
        </w:rPr>
        <w:t> </w:t>
      </w:r>
      <w:r>
        <w:rPr/>
        <w:t>have</w:t>
      </w:r>
      <w:r>
        <w:rPr>
          <w:spacing w:val="-3"/>
        </w:rPr>
        <w:t> </w:t>
      </w:r>
      <w:r>
        <w:rPr/>
        <w:t>asked</w:t>
      </w:r>
      <w:r>
        <w:rPr>
          <w:spacing w:val="-3"/>
        </w:rPr>
        <w:t> </w:t>
      </w:r>
      <w:r>
        <w:rPr/>
        <w:t>students</w:t>
      </w:r>
      <w:r>
        <w:rPr>
          <w:spacing w:val="-3"/>
        </w:rPr>
        <w:t> </w:t>
      </w:r>
      <w:r>
        <w:rPr/>
        <w:t>for</w:t>
      </w:r>
      <w:r>
        <w:rPr>
          <w:spacing w:val="-3"/>
        </w:rPr>
        <w:t> </w:t>
      </w:r>
      <w:r>
        <w:rPr/>
        <w:t>their</w:t>
      </w:r>
      <w:r>
        <w:rPr>
          <w:spacing w:val="40"/>
        </w:rPr>
        <w:t> </w:t>
      </w:r>
      <w:r>
        <w:rPr/>
        <w:t>views</w:t>
      </w:r>
      <w:r>
        <w:rPr>
          <w:spacing w:val="-3"/>
        </w:rPr>
        <w:t> </w:t>
      </w:r>
      <w:r>
        <w:rPr/>
        <w:t>on</w:t>
      </w:r>
      <w:r>
        <w:rPr>
          <w:spacing w:val="-3"/>
        </w:rPr>
        <w:t> </w:t>
      </w:r>
      <w:r>
        <w:rPr/>
        <w:t>their</w:t>
      </w:r>
      <w:r>
        <w:rPr>
          <w:spacing w:val="-3"/>
        </w:rPr>
        <w:t> </w:t>
      </w:r>
      <w:r>
        <w:rPr/>
        <w:t>choice</w:t>
      </w:r>
      <w:r>
        <w:rPr>
          <w:spacing w:val="-3"/>
        </w:rPr>
        <w:t> </w:t>
      </w:r>
      <w:r>
        <w:rPr/>
        <w:t>of</w:t>
      </w:r>
      <w:r>
        <w:rPr>
          <w:spacing w:val="-3"/>
        </w:rPr>
        <w:t> </w:t>
      </w:r>
      <w:r>
        <w:rPr/>
        <w:t>business major. This study seeks to understand the factors</w:t>
      </w:r>
      <w:r>
        <w:rPr>
          <w:spacing w:val="40"/>
        </w:rPr>
        <w:t> </w:t>
      </w:r>
      <w:r>
        <w:rPr/>
        <w:t>influencing undergraduate business students’ choice of major through qualitative interviews.</w:t>
      </w:r>
      <w:r>
        <w:rPr>
          <w:spacing w:val="40"/>
        </w:rPr>
        <w:t> </w:t>
      </w:r>
      <w:r>
        <w:rPr/>
        <w:t>I seek to contribute to the literature by offering enhanced suggestions based on students’</w:t>
      </w:r>
      <w:r>
        <w:rPr>
          <w:spacing w:val="40"/>
        </w:rPr>
        <w:t> </w:t>
      </w:r>
      <w:r>
        <w:rPr/>
        <w:t>experiences and perceptions, specifically those who have been presented with information</w:t>
      </w:r>
      <w:r>
        <w:rPr>
          <w:spacing w:val="80"/>
        </w:rPr>
        <w:t> </w:t>
      </w:r>
      <w:r>
        <w:rPr/>
        <w:t>regarding</w:t>
      </w:r>
      <w:r>
        <w:rPr>
          <w:spacing w:val="-2"/>
        </w:rPr>
        <w:t> </w:t>
      </w:r>
      <w:r>
        <w:rPr/>
        <w:t>the</w:t>
      </w:r>
      <w:r>
        <w:rPr>
          <w:spacing w:val="-2"/>
        </w:rPr>
        <w:t> </w:t>
      </w:r>
      <w:r>
        <w:rPr/>
        <w:t>accounting</w:t>
      </w:r>
      <w:r>
        <w:rPr>
          <w:spacing w:val="-2"/>
        </w:rPr>
        <w:t> </w:t>
      </w:r>
      <w:r>
        <w:rPr/>
        <w:t>major</w:t>
      </w:r>
      <w:r>
        <w:rPr>
          <w:spacing w:val="-2"/>
        </w:rPr>
        <w:t> </w:t>
      </w:r>
      <w:r>
        <w:rPr/>
        <w:t>and</w:t>
      </w:r>
      <w:r>
        <w:rPr>
          <w:spacing w:val="-2"/>
        </w:rPr>
        <w:t> </w:t>
      </w:r>
      <w:r>
        <w:rPr/>
        <w:t>careers</w:t>
      </w:r>
      <w:r>
        <w:rPr>
          <w:spacing w:val="-2"/>
        </w:rPr>
        <w:t> </w:t>
      </w:r>
      <w:r>
        <w:rPr/>
        <w:t>in</w:t>
      </w:r>
      <w:r>
        <w:rPr>
          <w:spacing w:val="-2"/>
        </w:rPr>
        <w:t> </w:t>
      </w:r>
      <w:r>
        <w:rPr/>
        <w:t>accounting at an invitation-only event.</w:t>
      </w:r>
    </w:p>
    <w:p>
      <w:pPr>
        <w:pStyle w:val="Heading4"/>
        <w:spacing w:before="160"/>
        <w:ind w:left="720"/>
        <w:jc w:val="both"/>
      </w:pPr>
      <w:r>
        <w:rPr/>
        <w:t>Statement of the </w:t>
      </w:r>
      <w:r>
        <w:rPr>
          <w:spacing w:val="-2"/>
        </w:rPr>
        <w:t>Problem</w:t>
      </w:r>
    </w:p>
    <w:p>
      <w:pPr>
        <w:pStyle w:val="BodyText"/>
        <w:spacing w:line="276" w:lineRule="auto" w:before="201"/>
        <w:ind w:left="720" w:right="1439"/>
        <w:jc w:val="both"/>
      </w:pPr>
      <w:r>
        <w:rPr/>
        <w:t>Every student’s journey in selecting a college major looks different. While this</w:t>
      </w:r>
      <w:r>
        <w:rPr>
          <w:spacing w:val="40"/>
        </w:rPr>
        <w:t> </w:t>
      </w:r>
      <w:r>
        <w:rPr/>
        <w:t>decision may come easier to some, for others, it may be a challenging process. Factors</w:t>
      </w:r>
      <w:r>
        <w:rPr>
          <w:spacing w:val="40"/>
        </w:rPr>
        <w:t> </w:t>
      </w:r>
      <w:r>
        <w:rPr/>
        <w:t>ranging from</w:t>
      </w:r>
      <w:r>
        <w:rPr>
          <w:spacing w:val="40"/>
        </w:rPr>
        <w:t> </w:t>
      </w:r>
      <w:r>
        <w:rPr/>
        <w:t>familiarity with career</w:t>
      </w:r>
      <w:r>
        <w:rPr>
          <w:spacing w:val="-2"/>
        </w:rPr>
        <w:t> </w:t>
      </w:r>
      <w:r>
        <w:rPr/>
        <w:t>opportunities</w:t>
      </w:r>
      <w:r>
        <w:rPr>
          <w:spacing w:val="-2"/>
        </w:rPr>
        <w:t> </w:t>
      </w:r>
      <w:r>
        <w:rPr/>
        <w:t>to</w:t>
      </w:r>
      <w:r>
        <w:rPr>
          <w:spacing w:val="-2"/>
        </w:rPr>
        <w:t> </w:t>
      </w:r>
      <w:r>
        <w:rPr/>
        <w:t>personal</w:t>
      </w:r>
      <w:r>
        <w:rPr>
          <w:spacing w:val="-2"/>
        </w:rPr>
        <w:t> </w:t>
      </w:r>
      <w:r>
        <w:rPr/>
        <w:t>interest</w:t>
      </w:r>
      <w:r>
        <w:rPr>
          <w:spacing w:val="-2"/>
        </w:rPr>
        <w:t> </w:t>
      </w:r>
      <w:r>
        <w:rPr/>
        <w:t>in</w:t>
      </w:r>
      <w:r>
        <w:rPr>
          <w:spacing w:val="-2"/>
        </w:rPr>
        <w:t> </w:t>
      </w:r>
      <w:r>
        <w:rPr/>
        <w:t>certain</w:t>
      </w:r>
      <w:r>
        <w:rPr>
          <w:spacing w:val="-2"/>
        </w:rPr>
        <w:t> </w:t>
      </w:r>
      <w:r>
        <w:rPr/>
        <w:t>professions</w:t>
      </w:r>
      <w:r>
        <w:rPr>
          <w:spacing w:val="40"/>
        </w:rPr>
        <w:t> </w:t>
      </w:r>
      <w:r>
        <w:rPr/>
        <w:t>all</w:t>
      </w:r>
      <w:r>
        <w:rPr>
          <w:spacing w:val="-2"/>
        </w:rPr>
        <w:t> </w:t>
      </w:r>
      <w:r>
        <w:rPr/>
        <w:t>play</w:t>
      </w:r>
      <w:r>
        <w:rPr>
          <w:spacing w:val="-2"/>
        </w:rPr>
        <w:t> </w:t>
      </w:r>
      <w:r>
        <w:rPr/>
        <w:t>a</w:t>
      </w:r>
      <w:r>
        <w:rPr>
          <w:spacing w:val="-2"/>
        </w:rPr>
        <w:t> </w:t>
      </w:r>
      <w:r>
        <w:rPr/>
        <w:t>role</w:t>
      </w:r>
      <w:r>
        <w:rPr>
          <w:spacing w:val="-2"/>
        </w:rPr>
        <w:t> </w:t>
      </w:r>
      <w:r>
        <w:rPr/>
        <w:t>in</w:t>
      </w:r>
      <w:r>
        <w:rPr>
          <w:spacing w:val="-2"/>
        </w:rPr>
        <w:t> </w:t>
      </w:r>
      <w:r>
        <w:rPr/>
        <w:t>a student’s major selection process (Crampton, Walstrom, &amp; Schambach,</w:t>
      </w:r>
      <w:r>
        <w:rPr>
          <w:spacing w:val="40"/>
        </w:rPr>
        <w:t> </w:t>
      </w:r>
      <w:r>
        <w:rPr/>
        <w:t>2006). </w:t>
      </w:r>
      <w:r>
        <w:rPr/>
        <w:t>Understanding the factors involved in major selection is important for educators</w:t>
      </w:r>
      <w:r>
        <w:rPr>
          <w:spacing w:val="40"/>
        </w:rPr>
        <w:t> </w:t>
      </w:r>
      <w:r>
        <w:rPr/>
        <w:t>seeking to attract and retain students in academic programs. Results from a study that applied</w:t>
      </w:r>
      <w:r>
        <w:rPr>
          <w:spacing w:val="80"/>
        </w:rPr>
        <w:t> </w:t>
      </w:r>
      <w:r>
        <w:rPr/>
        <w:t>the Theory of Reasoned Action (TRA) consumer decision-making model to examine</w:t>
      </w:r>
      <w:r>
        <w:rPr>
          <w:spacing w:val="40"/>
        </w:rPr>
        <w:t> </w:t>
      </w:r>
      <w:r>
        <w:rPr/>
        <w:t>influencing factors on students’ intended choice of business major concluded that social</w:t>
      </w:r>
      <w:r>
        <w:rPr>
          <w:spacing w:val="40"/>
        </w:rPr>
        <w:t> </w:t>
      </w:r>
      <w:r>
        <w:rPr/>
        <w:t>image, job availability, and aptitude were significant contributors (A. Kumar &amp; P. Kumar,</w:t>
      </w:r>
      <w:r>
        <w:rPr>
          <w:spacing w:val="40"/>
        </w:rPr>
        <w:t> </w:t>
      </w:r>
      <w:r>
        <w:rPr/>
        <w:t>2013).</w:t>
      </w:r>
    </w:p>
    <w:p>
      <w:pPr>
        <w:pStyle w:val="BodyText"/>
        <w:spacing w:line="276" w:lineRule="auto" w:before="160"/>
        <w:ind w:left="720" w:right="1439"/>
        <w:jc w:val="both"/>
      </w:pPr>
      <w:r>
        <w:rPr/>
        <w:t>Regarding self-selection in the accounting major, Blay &amp; Fennema (2017) expanded</w:t>
      </w:r>
      <w:r>
        <w:rPr>
          <w:spacing w:val="40"/>
        </w:rPr>
        <w:t> </w:t>
      </w:r>
      <w:r>
        <w:rPr/>
        <w:t>on </w:t>
      </w:r>
      <w:r>
        <w:rPr/>
        <w:t>the correlation between personality characteristics and choice of major by measuring</w:t>
      </w:r>
      <w:r>
        <w:rPr>
          <w:spacing w:val="40"/>
        </w:rPr>
        <w:t> </w:t>
      </w:r>
      <w:r>
        <w:rPr/>
        <w:t>students’ ability to perform financial and managerial accounting tasks. While the result from</w:t>
      </w:r>
      <w:r>
        <w:rPr>
          <w:spacing w:val="40"/>
        </w:rPr>
        <w:t> </w:t>
      </w:r>
      <w:r>
        <w:rPr/>
        <w:t>this study</w:t>
      </w:r>
      <w:r>
        <w:rPr>
          <w:spacing w:val="80"/>
        </w:rPr>
        <w:t> </w:t>
      </w:r>
      <w:r>
        <w:rPr/>
        <w:t>did not indicate a relationship between self-selection into the accounting major and</w:t>
      </w:r>
      <w:r>
        <w:rPr>
          <w:spacing w:val="40"/>
        </w:rPr>
        <w:t> </w:t>
      </w:r>
      <w:r>
        <w:rPr/>
        <w:t>a student’s ability to perform these tasks, it did highlight a positive correlation between</w:t>
      </w:r>
      <w:r>
        <w:rPr>
          <w:spacing w:val="40"/>
        </w:rPr>
        <w:t> </w:t>
      </w:r>
      <w:r>
        <w:rPr/>
        <w:t>performance on accounting-related tasks and performance on</w:t>
      </w:r>
      <w:r>
        <w:rPr>
          <w:spacing w:val="-4"/>
        </w:rPr>
        <w:t> </w:t>
      </w:r>
      <w:r>
        <w:rPr/>
        <w:t>introductory</w:t>
      </w:r>
      <w:r>
        <w:rPr>
          <w:spacing w:val="-4"/>
        </w:rPr>
        <w:t> </w:t>
      </w:r>
      <w:r>
        <w:rPr/>
        <w:t>accounting</w:t>
      </w:r>
      <w:r>
        <w:rPr>
          <w:spacing w:val="40"/>
        </w:rPr>
        <w:t> </w:t>
      </w:r>
      <w:r>
        <w:rPr/>
        <w:t>courses,</w:t>
      </w:r>
      <w:r>
        <w:rPr>
          <w:spacing w:val="-4"/>
        </w:rPr>
        <w:t> </w:t>
      </w:r>
      <w:r>
        <w:rPr/>
        <w:t>major</w:t>
      </w:r>
      <w:r>
        <w:rPr>
          <w:spacing w:val="-4"/>
        </w:rPr>
        <w:t> </w:t>
      </w:r>
      <w:r>
        <w:rPr/>
        <w:t>accounting courses, and two of four sections of the Uniform Certified Public</w:t>
      </w:r>
      <w:r>
        <w:rPr>
          <w:spacing w:val="40"/>
        </w:rPr>
        <w:t> </w:t>
      </w:r>
      <w:r>
        <w:rPr/>
        <w:t>Accountant (CPA) Examination. Additional literature delves deeper into understanding</w:t>
      </w:r>
      <w:r>
        <w:rPr>
          <w:spacing w:val="40"/>
        </w:rPr>
        <w:t> </w:t>
      </w:r>
      <w:r>
        <w:rPr/>
        <w:t>student preferences for</w:t>
      </w:r>
      <w:r>
        <w:rPr>
          <w:spacing w:val="-2"/>
        </w:rPr>
        <w:t> </w:t>
      </w:r>
      <w:r>
        <w:rPr/>
        <w:t>the accounting major by considering the role of differential career</w:t>
      </w:r>
      <w:r>
        <w:rPr>
          <w:spacing w:val="40"/>
        </w:rPr>
        <w:t> </w:t>
      </w:r>
      <w:r>
        <w:rPr/>
        <w:t>beliefs between accounting and finance (Jordan, Kaplan, &amp; Samuels, 2023). Ultimately, this</w:t>
      </w:r>
      <w:r>
        <w:rPr>
          <w:spacing w:val="40"/>
        </w:rPr>
        <w:t> </w:t>
      </w:r>
      <w:r>
        <w:rPr/>
        <w:t>study identifies “interesting</w:t>
      </w:r>
      <w:r>
        <w:rPr>
          <w:spacing w:val="-4"/>
        </w:rPr>
        <w:t> </w:t>
      </w:r>
      <w:r>
        <w:rPr/>
        <w:t>work” as the</w:t>
      </w:r>
      <w:r>
        <w:rPr>
          <w:spacing w:val="-3"/>
        </w:rPr>
        <w:t> </w:t>
      </w:r>
      <w:r>
        <w:rPr/>
        <w:t>most</w:t>
      </w:r>
      <w:r>
        <w:rPr>
          <w:spacing w:val="-3"/>
        </w:rPr>
        <w:t> </w:t>
      </w:r>
      <w:r>
        <w:rPr/>
        <w:t>important</w:t>
      </w:r>
      <w:r>
        <w:rPr>
          <w:spacing w:val="-3"/>
        </w:rPr>
        <w:t> </w:t>
      </w:r>
      <w:r>
        <w:rPr/>
        <w:t>differential</w:t>
      </w:r>
      <w:r>
        <w:rPr>
          <w:spacing w:val="-3"/>
        </w:rPr>
        <w:t> </w:t>
      </w:r>
      <w:r>
        <w:rPr/>
        <w:t>career</w:t>
      </w:r>
      <w:r>
        <w:rPr>
          <w:spacing w:val="-3"/>
        </w:rPr>
        <w:t> </w:t>
      </w:r>
      <w:r>
        <w:rPr/>
        <w:t>belief,</w:t>
      </w:r>
      <w:r>
        <w:rPr>
          <w:spacing w:val="-3"/>
        </w:rPr>
        <w:t> </w:t>
      </w:r>
      <w:r>
        <w:rPr/>
        <w:t>with</w:t>
      </w:r>
      <w:r>
        <w:rPr>
          <w:spacing w:val="-3"/>
        </w:rPr>
        <w:t> </w:t>
      </w:r>
      <w:r>
        <w:rPr/>
        <w:t>many</w:t>
      </w:r>
      <w:r>
        <w:rPr>
          <w:spacing w:val="40"/>
        </w:rPr>
        <w:t> </w:t>
      </w:r>
      <w:r>
        <w:rPr/>
        <w:t>finance</w:t>
      </w:r>
      <w:r>
        <w:rPr>
          <w:spacing w:val="-3"/>
        </w:rPr>
        <w:t> </w:t>
      </w:r>
      <w:r>
        <w:rPr/>
        <w:t>majors</w:t>
      </w:r>
      <w:r>
        <w:rPr>
          <w:spacing w:val="-3"/>
        </w:rPr>
        <w:t> </w:t>
      </w:r>
      <w:r>
        <w:rPr/>
        <w:t>labeling</w:t>
      </w:r>
      <w:r>
        <w:rPr>
          <w:spacing w:val="-3"/>
        </w:rPr>
        <w:t> </w:t>
      </w:r>
      <w:r>
        <w:rPr/>
        <w:t>accounting</w:t>
      </w:r>
      <w:r>
        <w:rPr>
          <w:spacing w:val="-3"/>
        </w:rPr>
        <w:t> </w:t>
      </w:r>
      <w:r>
        <w:rPr/>
        <w:t>as boring and overly rule-focused. While this label may</w:t>
      </w:r>
      <w:r>
        <w:rPr>
          <w:spacing w:val="40"/>
        </w:rPr>
        <w:t> </w:t>
      </w:r>
      <w:r>
        <w:rPr/>
        <w:t>stem from a lack of familiarity with the accounting profession, another study found that a</w:t>
      </w:r>
      <w:r>
        <w:rPr>
          <w:spacing w:val="40"/>
        </w:rPr>
        <w:t> </w:t>
      </w:r>
      <w:r>
        <w:rPr/>
        <w:t>positive image of accounting strengthens the positive influence of work-life balance on</w:t>
      </w:r>
      <w:r>
        <w:rPr>
          <w:spacing w:val="40"/>
        </w:rPr>
        <w:t> </w:t>
      </w:r>
      <w:r>
        <w:rPr/>
        <w:t>pursuing accounting careers (Hatane, Emerson, Soesanto, Gunawan, &amp; Semuel, 2022).</w:t>
      </w:r>
      <w:r>
        <w:rPr>
          <w:spacing w:val="40"/>
        </w:rPr>
        <w:t> </w:t>
      </w:r>
      <w:r>
        <w:rPr/>
        <w:t>During an interview, Frank K. Ross, co-founder of the National Association of Black</w:t>
      </w:r>
      <w:r>
        <w:rPr>
          <w:spacing w:val="40"/>
        </w:rPr>
        <w:t> </w:t>
      </w:r>
      <w:r>
        <w:rPr/>
        <w:t>Accountants (NABA), states that the accounting profession will continue to offer many</w:t>
      </w:r>
      <w:r>
        <w:rPr>
          <w:spacing w:val="40"/>
        </w:rPr>
        <w:t> </w:t>
      </w:r>
      <w:r>
        <w:rPr/>
        <w:t>opportunities</w:t>
      </w:r>
      <w:r>
        <w:rPr>
          <w:spacing w:val="-3"/>
        </w:rPr>
        <w:t> </w:t>
      </w:r>
      <w:r>
        <w:rPr/>
        <w:t>as</w:t>
      </w:r>
      <w:r>
        <w:rPr>
          <w:spacing w:val="-3"/>
        </w:rPr>
        <w:t> </w:t>
      </w:r>
      <w:r>
        <w:rPr/>
        <w:t>long</w:t>
      </w:r>
      <w:r>
        <w:rPr>
          <w:spacing w:val="-3"/>
        </w:rPr>
        <w:t> </w:t>
      </w:r>
      <w:r>
        <w:rPr/>
        <w:t>as</w:t>
      </w:r>
      <w:r>
        <w:rPr>
          <w:spacing w:val="-3"/>
        </w:rPr>
        <w:t> </w:t>
      </w:r>
      <w:r>
        <w:rPr/>
        <w:t>it</w:t>
      </w:r>
      <w:r>
        <w:rPr>
          <w:spacing w:val="-3"/>
        </w:rPr>
        <w:t> </w:t>
      </w:r>
      <w:r>
        <w:rPr/>
        <w:t>stays</w:t>
      </w:r>
      <w:r>
        <w:rPr>
          <w:spacing w:val="-3"/>
        </w:rPr>
        <w:t> </w:t>
      </w:r>
      <w:r>
        <w:rPr/>
        <w:t>current</w:t>
      </w:r>
      <w:r>
        <w:rPr>
          <w:spacing w:val="-3"/>
        </w:rPr>
        <w:t> </w:t>
      </w:r>
      <w:r>
        <w:rPr/>
        <w:t>with</w:t>
      </w:r>
      <w:r>
        <w:rPr>
          <w:spacing w:val="-3"/>
        </w:rPr>
        <w:t> </w:t>
      </w:r>
      <w:r>
        <w:rPr/>
        <w:t>changes</w:t>
      </w:r>
      <w:r>
        <w:rPr>
          <w:spacing w:val="-3"/>
        </w:rPr>
        <w:t> </w:t>
      </w:r>
      <w:r>
        <w:rPr/>
        <w:t>in</w:t>
      </w:r>
      <w:r>
        <w:rPr>
          <w:spacing w:val="-3"/>
        </w:rPr>
        <w:t> </w:t>
      </w:r>
      <w:r>
        <w:rPr/>
        <w:t>demand</w:t>
      </w:r>
      <w:r>
        <w:rPr>
          <w:spacing w:val="-3"/>
        </w:rPr>
        <w:t> </w:t>
      </w:r>
      <w:r>
        <w:rPr/>
        <w:t>(Mayse, 2024). While</w:t>
      </w:r>
      <w:r>
        <w:rPr>
          <w:spacing w:val="40"/>
        </w:rPr>
        <w:t> </w:t>
      </w:r>
      <w:r>
        <w:rPr/>
        <w:t>previous research has focused on structural barriers to entering the accounting pipeline, there</w:t>
      </w:r>
      <w:r>
        <w:rPr>
          <w:spacing w:val="40"/>
        </w:rPr>
        <w:t> </w:t>
      </w:r>
      <w:r>
        <w:rPr/>
        <w:t>remains a critical need to understand the subjective decision-making process of high-potential students who had an opportunity to enter the pipeline.</w:t>
      </w:r>
    </w:p>
    <w:p>
      <w:pPr>
        <w:pStyle w:val="BodyText"/>
        <w:spacing w:before="160"/>
        <w:ind w:left="720"/>
        <w:jc w:val="both"/>
      </w:pPr>
      <w:r>
        <w:rPr/>
        <w:t>This</w:t>
      </w:r>
      <w:r>
        <w:rPr>
          <w:spacing w:val="15"/>
        </w:rPr>
        <w:t> </w:t>
      </w:r>
      <w:r>
        <w:rPr/>
        <w:t>focus</w:t>
      </w:r>
      <w:r>
        <w:rPr>
          <w:spacing w:val="15"/>
        </w:rPr>
        <w:t> </w:t>
      </w:r>
      <w:r>
        <w:rPr/>
        <w:t>on</w:t>
      </w:r>
      <w:r>
        <w:rPr>
          <w:spacing w:val="15"/>
        </w:rPr>
        <w:t> </w:t>
      </w:r>
      <w:r>
        <w:rPr/>
        <w:t>students</w:t>
      </w:r>
      <w:r>
        <w:rPr>
          <w:spacing w:val="15"/>
        </w:rPr>
        <w:t> </w:t>
      </w:r>
      <w:r>
        <w:rPr/>
        <w:t>in</w:t>
      </w:r>
      <w:r>
        <w:rPr>
          <w:spacing w:val="15"/>
        </w:rPr>
        <w:t> </w:t>
      </w:r>
      <w:r>
        <w:rPr/>
        <w:t>the</w:t>
      </w:r>
      <w:r>
        <w:rPr>
          <w:spacing w:val="15"/>
        </w:rPr>
        <w:t> </w:t>
      </w:r>
      <w:r>
        <w:rPr/>
        <w:t>early</w:t>
      </w:r>
      <w:r>
        <w:rPr>
          <w:spacing w:val="15"/>
        </w:rPr>
        <w:t> </w:t>
      </w:r>
      <w:r>
        <w:rPr/>
        <w:t>stages</w:t>
      </w:r>
      <w:r>
        <w:rPr>
          <w:spacing w:val="15"/>
        </w:rPr>
        <w:t> </w:t>
      </w:r>
      <w:r>
        <w:rPr/>
        <w:t>of</w:t>
      </w:r>
      <w:r>
        <w:rPr>
          <w:spacing w:val="15"/>
        </w:rPr>
        <w:t> </w:t>
      </w:r>
      <w:r>
        <w:rPr/>
        <w:t>the pipeline is further necessitated by</w:t>
      </w:r>
      <w:r>
        <w:rPr>
          <w:spacing w:val="60"/>
        </w:rPr>
        <w:t> </w:t>
      </w:r>
      <w:r>
        <w:rPr>
          <w:spacing w:val="-2"/>
        </w:rPr>
        <w:t>demographic</w:t>
      </w:r>
    </w:p>
    <w:p>
      <w:pPr>
        <w:pStyle w:val="BodyText"/>
        <w:spacing w:after="0"/>
        <w:jc w:val="both"/>
        <w:sectPr>
          <w:pgSz w:w="12240" w:h="15840"/>
          <w:pgMar w:header="0" w:footer="750" w:top="640" w:bottom="960" w:left="720" w:right="0"/>
        </w:sectPr>
      </w:pPr>
    </w:p>
    <w:p>
      <w:pPr>
        <w:pStyle w:val="BodyText"/>
        <w:spacing w:line="276" w:lineRule="auto" w:before="60"/>
        <w:ind w:left="720" w:right="1438"/>
        <w:jc w:val="both"/>
      </w:pPr>
      <w:r>
        <w:rPr/>
        <w:t>changes, as more individuals in the</w:t>
      </w:r>
      <w:r>
        <w:rPr>
          <w:spacing w:val="-3"/>
        </w:rPr>
        <w:t> </w:t>
      </w:r>
      <w:r>
        <w:rPr/>
        <w:t>accounting</w:t>
      </w:r>
      <w:r>
        <w:rPr>
          <w:spacing w:val="-3"/>
        </w:rPr>
        <w:t> </w:t>
      </w:r>
      <w:r>
        <w:rPr/>
        <w:t>profession</w:t>
      </w:r>
      <w:r>
        <w:rPr>
          <w:spacing w:val="-3"/>
        </w:rPr>
        <w:t> </w:t>
      </w:r>
      <w:r>
        <w:rPr/>
        <w:t>reach</w:t>
      </w:r>
      <w:r>
        <w:rPr>
          <w:spacing w:val="-3"/>
        </w:rPr>
        <w:t> </w:t>
      </w:r>
      <w:r>
        <w:rPr/>
        <w:t>retirement</w:t>
      </w:r>
      <w:r>
        <w:rPr>
          <w:spacing w:val="-3"/>
        </w:rPr>
        <w:t> </w:t>
      </w:r>
      <w:r>
        <w:rPr/>
        <w:t>age</w:t>
      </w:r>
      <w:r>
        <w:rPr>
          <w:spacing w:val="-3"/>
        </w:rPr>
        <w:t> </w:t>
      </w:r>
      <w:r>
        <w:rPr/>
        <w:t>and</w:t>
      </w:r>
      <w:r>
        <w:rPr>
          <w:spacing w:val="-3"/>
        </w:rPr>
        <w:t> </w:t>
      </w:r>
      <w:r>
        <w:rPr/>
        <w:t>create</w:t>
      </w:r>
      <w:r>
        <w:rPr>
          <w:spacing w:val="-3"/>
        </w:rPr>
        <w:t> </w:t>
      </w:r>
      <w:r>
        <w:rPr/>
        <w:t>a</w:t>
      </w:r>
      <w:r>
        <w:rPr>
          <w:spacing w:val="-3"/>
        </w:rPr>
        <w:t> </w:t>
      </w:r>
      <w:r>
        <w:rPr/>
        <w:t>need for replacement by partner-level talent (Putney &amp; Sinkin, 2009). However,</w:t>
      </w:r>
      <w:r>
        <w:rPr>
          <w:spacing w:val="40"/>
        </w:rPr>
        <w:t> </w:t>
      </w:r>
      <w:r>
        <w:rPr/>
        <w:t>public accounting firms</w:t>
      </w:r>
      <w:r>
        <w:rPr>
          <w:spacing w:val="-3"/>
        </w:rPr>
        <w:t> </w:t>
      </w:r>
      <w:r>
        <w:rPr/>
        <w:t>will</w:t>
      </w:r>
      <w:r>
        <w:rPr>
          <w:spacing w:val="-3"/>
        </w:rPr>
        <w:t> </w:t>
      </w:r>
      <w:r>
        <w:rPr/>
        <w:t>not</w:t>
      </w:r>
      <w:r>
        <w:rPr>
          <w:spacing w:val="-3"/>
        </w:rPr>
        <w:t> </w:t>
      </w:r>
      <w:r>
        <w:rPr/>
        <w:t>be</w:t>
      </w:r>
      <w:r>
        <w:rPr>
          <w:spacing w:val="-3"/>
        </w:rPr>
        <w:t> </w:t>
      </w:r>
      <w:r>
        <w:rPr/>
        <w:t>the</w:t>
      </w:r>
      <w:r>
        <w:rPr>
          <w:spacing w:val="-3"/>
        </w:rPr>
        <w:t> </w:t>
      </w:r>
      <w:r>
        <w:rPr/>
        <w:t>only</w:t>
      </w:r>
      <w:r>
        <w:rPr>
          <w:spacing w:val="-3"/>
        </w:rPr>
        <w:t> </w:t>
      </w:r>
      <w:r>
        <w:rPr/>
        <w:t>business</w:t>
      </w:r>
      <w:r>
        <w:rPr>
          <w:spacing w:val="-3"/>
        </w:rPr>
        <w:t> </w:t>
      </w:r>
      <w:r>
        <w:rPr/>
        <w:t>entities</w:t>
      </w:r>
      <w:r>
        <w:rPr>
          <w:spacing w:val="-3"/>
        </w:rPr>
        <w:t> </w:t>
      </w:r>
      <w:r>
        <w:rPr/>
        <w:t>who</w:t>
      </w:r>
      <w:r>
        <w:rPr>
          <w:spacing w:val="-3"/>
        </w:rPr>
        <w:t> </w:t>
      </w:r>
      <w:r>
        <w:rPr/>
        <w:t>suffer</w:t>
      </w:r>
      <w:r>
        <w:rPr>
          <w:spacing w:val="-3"/>
        </w:rPr>
        <w:t> </w:t>
      </w:r>
      <w:r>
        <w:rPr/>
        <w:t>because</w:t>
      </w:r>
      <w:r>
        <w:rPr>
          <w:spacing w:val="-3"/>
        </w:rPr>
        <w:t> </w:t>
      </w:r>
      <w:r>
        <w:rPr/>
        <w:t>of</w:t>
      </w:r>
      <w:r>
        <w:rPr>
          <w:spacing w:val="-3"/>
        </w:rPr>
        <w:t> </w:t>
      </w:r>
      <w:r>
        <w:rPr/>
        <w:t>this</w:t>
      </w:r>
      <w:r>
        <w:rPr>
          <w:spacing w:val="-3"/>
        </w:rPr>
        <w:t> </w:t>
      </w:r>
      <w:r>
        <w:rPr/>
        <w:t>gap</w:t>
      </w:r>
      <w:r>
        <w:rPr>
          <w:spacing w:val="40"/>
        </w:rPr>
        <w:t> </w:t>
      </w:r>
      <w:r>
        <w:rPr/>
        <w:t>between</w:t>
      </w:r>
      <w:r>
        <w:rPr>
          <w:spacing w:val="-3"/>
        </w:rPr>
        <w:t> </w:t>
      </w:r>
      <w:r>
        <w:rPr/>
        <w:t>future</w:t>
      </w:r>
      <w:r>
        <w:rPr>
          <w:spacing w:val="-3"/>
        </w:rPr>
        <w:t> </w:t>
      </w:r>
      <w:r>
        <w:rPr/>
        <w:t>retirees and potential talent, as small businesses may also be</w:t>
      </w:r>
      <w:r>
        <w:rPr>
          <w:spacing w:val="-3"/>
        </w:rPr>
        <w:t> </w:t>
      </w:r>
      <w:r>
        <w:rPr/>
        <w:t>impacted</w:t>
      </w:r>
      <w:r>
        <w:rPr>
          <w:spacing w:val="40"/>
        </w:rPr>
        <w:t> </w:t>
      </w:r>
      <w:r>
        <w:rPr/>
        <w:t>(Weigel</w:t>
      </w:r>
      <w:r>
        <w:rPr>
          <w:spacing w:val="-3"/>
        </w:rPr>
        <w:t> </w:t>
      </w:r>
      <w:r>
        <w:rPr/>
        <w:t>&amp;</w:t>
      </w:r>
      <w:r>
        <w:rPr>
          <w:spacing w:val="-3"/>
        </w:rPr>
        <w:t> </w:t>
      </w:r>
      <w:r>
        <w:rPr/>
        <w:t>Hiebl,</w:t>
      </w:r>
      <w:r>
        <w:rPr>
          <w:spacing w:val="-3"/>
        </w:rPr>
        <w:t> </w:t>
      </w:r>
      <w:r>
        <w:rPr/>
        <w:t>2023).</w:t>
      </w:r>
      <w:r>
        <w:rPr>
          <w:spacing w:val="-3"/>
        </w:rPr>
        <w:t> </w:t>
      </w:r>
      <w:r>
        <w:rPr/>
        <w:t>A</w:t>
      </w:r>
      <w:r>
        <w:rPr>
          <w:spacing w:val="-3"/>
        </w:rPr>
        <w:t> </w:t>
      </w:r>
      <w:r>
        <w:rPr/>
        <w:t>study conducted by Weigel &amp; Hiebl (2023) demonstrated that</w:t>
      </w:r>
      <w:r>
        <w:rPr>
          <w:spacing w:val="40"/>
        </w:rPr>
        <w:t> </w:t>
      </w:r>
      <w:r>
        <w:rPr/>
        <w:t>accountants serve</w:t>
      </w:r>
      <w:r>
        <w:rPr>
          <w:spacing w:val="-4"/>
        </w:rPr>
        <w:t> </w:t>
      </w:r>
      <w:r>
        <w:rPr/>
        <w:t>as</w:t>
      </w:r>
      <w:r>
        <w:rPr>
          <w:spacing w:val="-4"/>
        </w:rPr>
        <w:t> </w:t>
      </w:r>
      <w:r>
        <w:rPr/>
        <w:t>vital</w:t>
      </w:r>
      <w:r>
        <w:rPr>
          <w:spacing w:val="-4"/>
        </w:rPr>
        <w:t> </w:t>
      </w:r>
      <w:r>
        <w:rPr/>
        <w:t>resources</w:t>
      </w:r>
      <w:r>
        <w:rPr>
          <w:spacing w:val="-4"/>
        </w:rPr>
        <w:t> </w:t>
      </w:r>
      <w:r>
        <w:rPr/>
        <w:t>for small businesses by supporting processes such as</w:t>
      </w:r>
      <w:r>
        <w:rPr>
          <w:spacing w:val="40"/>
        </w:rPr>
        <w:t> </w:t>
      </w:r>
      <w:r>
        <w:rPr/>
        <w:t>ownership transfer and financial survival. Regardless</w:t>
      </w:r>
      <w:r>
        <w:rPr>
          <w:spacing w:val="25"/>
        </w:rPr>
        <w:t> </w:t>
      </w:r>
      <w:r>
        <w:rPr/>
        <w:t>of</w:t>
      </w:r>
      <w:r>
        <w:rPr>
          <w:spacing w:val="25"/>
        </w:rPr>
        <w:t> </w:t>
      </w:r>
      <w:r>
        <w:rPr/>
        <w:t>the size of organizations, Frezatti,</w:t>
      </w:r>
      <w:r>
        <w:rPr>
          <w:spacing w:val="80"/>
        </w:rPr>
        <w:t> </w:t>
      </w:r>
      <w:r>
        <w:rPr/>
        <w:t>Carter, &amp; Barroso (2014) describe accounting as a “colonizer,” as</w:t>
      </w:r>
      <w:r>
        <w:rPr>
          <w:spacing w:val="-3"/>
        </w:rPr>
        <w:t> </w:t>
      </w:r>
      <w:r>
        <w:rPr/>
        <w:t>even</w:t>
      </w:r>
      <w:r>
        <w:rPr>
          <w:spacing w:val="-3"/>
        </w:rPr>
        <w:t> </w:t>
      </w:r>
      <w:r>
        <w:rPr/>
        <w:t>entities</w:t>
      </w:r>
      <w:r>
        <w:rPr>
          <w:spacing w:val="-3"/>
        </w:rPr>
        <w:t> </w:t>
      </w:r>
      <w:r>
        <w:rPr/>
        <w:t>that</w:t>
      </w:r>
      <w:r>
        <w:rPr>
          <w:spacing w:val="-3"/>
        </w:rPr>
        <w:t> </w:t>
      </w:r>
      <w:r>
        <w:rPr/>
        <w:t>do</w:t>
      </w:r>
      <w:r>
        <w:rPr>
          <w:spacing w:val="-3"/>
        </w:rPr>
        <w:t> </w:t>
      </w:r>
      <w:r>
        <w:rPr/>
        <w:t>not</w:t>
      </w:r>
      <w:r>
        <w:rPr>
          <w:spacing w:val="40"/>
        </w:rPr>
        <w:t> </w:t>
      </w:r>
      <w:r>
        <w:rPr/>
        <w:t>practice</w:t>
      </w:r>
      <w:r>
        <w:rPr>
          <w:spacing w:val="-3"/>
        </w:rPr>
        <w:t> </w:t>
      </w:r>
      <w:r>
        <w:rPr/>
        <w:t>traditional</w:t>
      </w:r>
      <w:r>
        <w:rPr>
          <w:spacing w:val="-3"/>
        </w:rPr>
        <w:t> </w:t>
      </w:r>
      <w:r>
        <w:rPr/>
        <w:t>accounting</w:t>
      </w:r>
      <w:r>
        <w:rPr>
          <w:spacing w:val="-3"/>
        </w:rPr>
        <w:t> </w:t>
      </w:r>
      <w:r>
        <w:rPr/>
        <w:t>are</w:t>
      </w:r>
      <w:r>
        <w:rPr>
          <w:spacing w:val="-3"/>
        </w:rPr>
        <w:t> </w:t>
      </w:r>
      <w:r>
        <w:rPr/>
        <w:t>influenced</w:t>
      </w:r>
      <w:r>
        <w:rPr>
          <w:spacing w:val="-3"/>
        </w:rPr>
        <w:t> </w:t>
      </w:r>
      <w:r>
        <w:rPr/>
        <w:t>by</w:t>
      </w:r>
      <w:r>
        <w:rPr>
          <w:spacing w:val="-3"/>
        </w:rPr>
        <w:t> </w:t>
      </w:r>
      <w:r>
        <w:rPr/>
        <w:t>the historicity</w:t>
      </w:r>
      <w:r>
        <w:rPr>
          <w:spacing w:val="-3"/>
        </w:rPr>
        <w:t> </w:t>
      </w:r>
      <w:r>
        <w:rPr/>
        <w:t>of</w:t>
      </w:r>
      <w:r>
        <w:rPr>
          <w:spacing w:val="-3"/>
        </w:rPr>
        <w:t> </w:t>
      </w:r>
      <w:r>
        <w:rPr/>
        <w:t>accounting</w:t>
      </w:r>
      <w:r>
        <w:rPr>
          <w:spacing w:val="-3"/>
        </w:rPr>
        <w:t> </w:t>
      </w:r>
      <w:r>
        <w:rPr/>
        <w:t>through</w:t>
      </w:r>
      <w:r>
        <w:rPr>
          <w:spacing w:val="40"/>
        </w:rPr>
        <w:t> </w:t>
      </w:r>
      <w:r>
        <w:rPr/>
        <w:t>discourse,</w:t>
      </w:r>
      <w:r>
        <w:rPr>
          <w:spacing w:val="-3"/>
        </w:rPr>
        <w:t> </w:t>
      </w:r>
      <w:r>
        <w:rPr/>
        <w:t>an</w:t>
      </w:r>
      <w:r>
        <w:rPr>
          <w:spacing w:val="-3"/>
        </w:rPr>
        <w:t> </w:t>
      </w:r>
      <w:r>
        <w:rPr/>
        <w:t>example</w:t>
      </w:r>
      <w:r>
        <w:rPr>
          <w:spacing w:val="-3"/>
        </w:rPr>
        <w:t> </w:t>
      </w:r>
      <w:r>
        <w:rPr/>
        <w:t>being</w:t>
      </w:r>
      <w:r>
        <w:rPr>
          <w:spacing w:val="-3"/>
        </w:rPr>
        <w:t> </w:t>
      </w:r>
      <w:r>
        <w:rPr/>
        <w:t>the</w:t>
      </w:r>
      <w:r>
        <w:rPr>
          <w:spacing w:val="-3"/>
        </w:rPr>
        <w:t> </w:t>
      </w:r>
      <w:r>
        <w:rPr/>
        <w:t>phrase</w:t>
      </w:r>
      <w:r>
        <w:rPr>
          <w:spacing w:val="-3"/>
        </w:rPr>
        <w:t> </w:t>
      </w:r>
      <w:r>
        <w:rPr/>
        <w:t>“we</w:t>
      </w:r>
      <w:r>
        <w:rPr>
          <w:spacing w:val="-3"/>
        </w:rPr>
        <w:t> </w:t>
      </w:r>
      <w:r>
        <w:rPr/>
        <w:t>have</w:t>
      </w:r>
      <w:r>
        <w:rPr>
          <w:spacing w:val="-3"/>
        </w:rPr>
        <w:t> </w:t>
      </w:r>
      <w:r>
        <w:rPr/>
        <w:t>a</w:t>
      </w:r>
      <w:r>
        <w:rPr>
          <w:spacing w:val="-3"/>
        </w:rPr>
        <w:t> </w:t>
      </w:r>
      <w:r>
        <w:rPr/>
        <w:t>competitive advantage.” This study</w:t>
      </w:r>
      <w:r>
        <w:rPr>
          <w:spacing w:val="40"/>
        </w:rPr>
        <w:t> </w:t>
      </w:r>
      <w:r>
        <w:rPr/>
        <w:t>stresses the importance of accounting knowledge in understanding business functions, which</w:t>
      </w:r>
      <w:r>
        <w:rPr>
          <w:spacing w:val="40"/>
        </w:rPr>
        <w:t> </w:t>
      </w:r>
      <w:r>
        <w:rPr/>
        <w:t>cannot be done if the accounting shortage persists in academia in addition to the workforce.</w:t>
      </w:r>
      <w:r>
        <w:rPr>
          <w:spacing w:val="40"/>
        </w:rPr>
        <w:t> </w:t>
      </w:r>
      <w:r>
        <w:rPr/>
        <w:t>In response to the lack of accounting graduates pursuing doctoral degrees, some researchers</w:t>
      </w:r>
      <w:r>
        <w:rPr>
          <w:spacing w:val="40"/>
        </w:rPr>
        <w:t> </w:t>
      </w:r>
      <w:r>
        <w:rPr/>
        <w:t>have suggested</w:t>
      </w:r>
      <w:r>
        <w:rPr>
          <w:spacing w:val="-3"/>
        </w:rPr>
        <w:t> </w:t>
      </w:r>
      <w:r>
        <w:rPr/>
        <w:t>a</w:t>
      </w:r>
      <w:r>
        <w:rPr>
          <w:spacing w:val="-3"/>
        </w:rPr>
        <w:t> </w:t>
      </w:r>
      <w:r>
        <w:rPr/>
        <w:t>transition</w:t>
      </w:r>
      <w:r>
        <w:rPr>
          <w:spacing w:val="-3"/>
        </w:rPr>
        <w:t> </w:t>
      </w:r>
      <w:r>
        <w:rPr/>
        <w:t>path</w:t>
      </w:r>
      <w:r>
        <w:rPr>
          <w:spacing w:val="-3"/>
        </w:rPr>
        <w:t> </w:t>
      </w:r>
      <w:r>
        <w:rPr/>
        <w:t>from</w:t>
      </w:r>
      <w:r>
        <w:rPr>
          <w:spacing w:val="-3"/>
        </w:rPr>
        <w:t> </w:t>
      </w:r>
      <w:r>
        <w:rPr/>
        <w:t>practitioner</w:t>
      </w:r>
      <w:r>
        <w:rPr>
          <w:spacing w:val="-3"/>
        </w:rPr>
        <w:t> </w:t>
      </w:r>
      <w:r>
        <w:rPr/>
        <w:t>to</w:t>
      </w:r>
      <w:r>
        <w:rPr>
          <w:spacing w:val="-3"/>
        </w:rPr>
        <w:t> </w:t>
      </w:r>
      <w:r>
        <w:rPr/>
        <w:t>professor,</w:t>
      </w:r>
      <w:r>
        <w:rPr>
          <w:spacing w:val="-3"/>
        </w:rPr>
        <w:t> </w:t>
      </w:r>
      <w:r>
        <w:rPr/>
        <w:t>which would greatly benefit</w:t>
      </w:r>
      <w:r>
        <w:rPr>
          <w:spacing w:val="40"/>
        </w:rPr>
        <w:t> </w:t>
      </w:r>
      <w:r>
        <w:rPr/>
        <w:t>students and expose them to practical experiences in accounting (Boyle, Carpenter,</w:t>
      </w:r>
      <w:r>
        <w:rPr>
          <w:spacing w:val="40"/>
        </w:rPr>
        <w:t> </w:t>
      </w:r>
      <w:r>
        <w:rPr/>
        <w:t>Hermanson, &amp; Mensah, 2013). This</w:t>
      </w:r>
      <w:r>
        <w:rPr>
          <w:spacing w:val="-3"/>
        </w:rPr>
        <w:t> </w:t>
      </w:r>
      <w:r>
        <w:rPr/>
        <w:t>highlights</w:t>
      </w:r>
      <w:r>
        <w:rPr>
          <w:spacing w:val="-3"/>
        </w:rPr>
        <w:t> </w:t>
      </w:r>
      <w:r>
        <w:rPr/>
        <w:t>the</w:t>
      </w:r>
      <w:r>
        <w:rPr>
          <w:spacing w:val="-3"/>
        </w:rPr>
        <w:t> </w:t>
      </w:r>
      <w:r>
        <w:rPr/>
        <w:t>need</w:t>
      </w:r>
      <w:r>
        <w:rPr>
          <w:spacing w:val="-3"/>
        </w:rPr>
        <w:t> </w:t>
      </w:r>
      <w:r>
        <w:rPr/>
        <w:t>to</w:t>
      </w:r>
      <w:r>
        <w:rPr>
          <w:spacing w:val="-3"/>
        </w:rPr>
        <w:t> </w:t>
      </w:r>
      <w:r>
        <w:rPr/>
        <w:t>contribute</w:t>
      </w:r>
      <w:r>
        <w:rPr>
          <w:spacing w:val="-3"/>
        </w:rPr>
        <w:t> </w:t>
      </w:r>
      <w:r>
        <w:rPr/>
        <w:t>to</w:t>
      </w:r>
      <w:r>
        <w:rPr>
          <w:spacing w:val="-3"/>
        </w:rPr>
        <w:t> </w:t>
      </w:r>
      <w:r>
        <w:rPr/>
        <w:t>the</w:t>
      </w:r>
      <w:r>
        <w:rPr>
          <w:spacing w:val="-3"/>
        </w:rPr>
        <w:t> </w:t>
      </w:r>
      <w:r>
        <w:rPr/>
        <w:t>literature and</w:t>
      </w:r>
      <w:r>
        <w:rPr>
          <w:spacing w:val="40"/>
        </w:rPr>
        <w:t> </w:t>
      </w:r>
      <w:r>
        <w:rPr/>
        <w:t>develop actionable solutions to address the pipeline issue.</w:t>
      </w:r>
    </w:p>
    <w:p>
      <w:pPr>
        <w:pStyle w:val="Heading4"/>
        <w:spacing w:before="160"/>
        <w:ind w:left="720"/>
        <w:jc w:val="both"/>
      </w:pPr>
      <w:r>
        <w:rPr/>
        <w:t>Significance of the </w:t>
      </w:r>
      <w:r>
        <w:rPr>
          <w:spacing w:val="-2"/>
        </w:rPr>
        <w:t>Study</w:t>
      </w:r>
    </w:p>
    <w:p>
      <w:pPr>
        <w:pStyle w:val="BodyText"/>
        <w:spacing w:line="276" w:lineRule="auto" w:before="202"/>
        <w:ind w:left="720" w:right="1438"/>
        <w:jc w:val="both"/>
      </w:pPr>
      <w:r>
        <w:rPr/>
        <w:t>The decision to select a college major is one of the most important choices an</w:t>
      </w:r>
      <w:r>
        <w:rPr>
          <w:spacing w:val="40"/>
        </w:rPr>
        <w:t> </w:t>
      </w:r>
      <w:r>
        <w:rPr/>
        <w:t>undergraduate student makes, as it heavily influences career trajectory. Understanding the</w:t>
      </w:r>
      <w:r>
        <w:rPr>
          <w:spacing w:val="40"/>
        </w:rPr>
        <w:t> </w:t>
      </w:r>
      <w:r>
        <w:rPr/>
        <w:t>factors involved in this selection process is essential, especially in accounting. While the</w:t>
      </w:r>
      <w:r>
        <w:rPr>
          <w:spacing w:val="40"/>
        </w:rPr>
        <w:t> </w:t>
      </w:r>
      <w:r>
        <w:rPr/>
        <w:t>profession is known to offer job security, the “accounting pipeline” continues to suffer</w:t>
      </w:r>
      <w:r>
        <w:rPr>
          <w:spacing w:val="40"/>
        </w:rPr>
        <w:t> </w:t>
      </w:r>
      <w:r>
        <w:rPr/>
        <w:t>significant leaks as students choose not to pursue the accounting major (Jordan et al. 2023).</w:t>
      </w:r>
      <w:r>
        <w:rPr>
          <w:spacing w:val="40"/>
        </w:rPr>
        <w:t> </w:t>
      </w:r>
      <w:r>
        <w:rPr/>
        <w:t>This study responds to this concern by offering a student’s perspective on the factors that led them to choose their current major. The benefit of conducting qualitative, semi-structured</w:t>
      </w:r>
      <w:r>
        <w:rPr>
          <w:spacing w:val="40"/>
        </w:rPr>
        <w:t> </w:t>
      </w:r>
      <w:r>
        <w:rPr/>
        <w:t>interviews to obtain this information is that it helps reveal why students are not entering</w:t>
      </w:r>
      <w:r>
        <w:rPr>
          <w:spacing w:val="-2"/>
        </w:rPr>
        <w:t> </w:t>
      </w:r>
      <w:r>
        <w:rPr/>
        <w:t>the</w:t>
      </w:r>
      <w:r>
        <w:rPr>
          <w:spacing w:val="40"/>
        </w:rPr>
        <w:t> </w:t>
      </w:r>
      <w:r>
        <w:rPr/>
        <w:t>pipeline</w:t>
      </w:r>
      <w:r>
        <w:rPr>
          <w:spacing w:val="-2"/>
        </w:rPr>
        <w:t> </w:t>
      </w:r>
      <w:r>
        <w:rPr/>
        <w:t>and</w:t>
      </w:r>
      <w:r>
        <w:rPr>
          <w:spacing w:val="-2"/>
        </w:rPr>
        <w:t> </w:t>
      </w:r>
      <w:r>
        <w:rPr/>
        <w:t>why</w:t>
      </w:r>
      <w:r>
        <w:rPr>
          <w:spacing w:val="-2"/>
        </w:rPr>
        <w:t> </w:t>
      </w:r>
      <w:r>
        <w:rPr/>
        <w:t>they</w:t>
      </w:r>
      <w:r>
        <w:rPr>
          <w:spacing w:val="-2"/>
        </w:rPr>
        <w:t> </w:t>
      </w:r>
      <w:r>
        <w:rPr/>
        <w:t>enter and choose to stay in the pipeline. By directly engaging with</w:t>
      </w:r>
      <w:r>
        <w:rPr>
          <w:spacing w:val="40"/>
        </w:rPr>
        <w:t> </w:t>
      </w:r>
      <w:r>
        <w:rPr/>
        <w:t>students who performed well in their introductory</w:t>
      </w:r>
      <w:r>
        <w:rPr>
          <w:spacing w:val="-3"/>
        </w:rPr>
        <w:t> </w:t>
      </w:r>
      <w:r>
        <w:rPr/>
        <w:t>accounting</w:t>
      </w:r>
      <w:r>
        <w:rPr>
          <w:spacing w:val="-3"/>
        </w:rPr>
        <w:t> </w:t>
      </w:r>
      <w:r>
        <w:rPr/>
        <w:t>classes</w:t>
      </w:r>
      <w:r>
        <w:rPr>
          <w:spacing w:val="-3"/>
        </w:rPr>
        <w:t> </w:t>
      </w:r>
      <w:r>
        <w:rPr/>
        <w:t>and</w:t>
      </w:r>
      <w:r>
        <w:rPr>
          <w:spacing w:val="-3"/>
        </w:rPr>
        <w:t> </w:t>
      </w:r>
      <w:r>
        <w:rPr/>
        <w:t>were</w:t>
      </w:r>
      <w:r>
        <w:rPr>
          <w:spacing w:val="-3"/>
        </w:rPr>
        <w:t> </w:t>
      </w:r>
      <w:r>
        <w:rPr/>
        <w:t>invited</w:t>
      </w:r>
      <w:r>
        <w:rPr>
          <w:spacing w:val="-3"/>
        </w:rPr>
        <w:t> </w:t>
      </w:r>
      <w:r>
        <w:rPr/>
        <w:t>to</w:t>
      </w:r>
      <w:r>
        <w:rPr>
          <w:spacing w:val="40"/>
        </w:rPr>
        <w:t> </w:t>
      </w:r>
      <w:r>
        <w:rPr/>
        <w:t>attend</w:t>
      </w:r>
      <w:r>
        <w:rPr>
          <w:spacing w:val="-3"/>
        </w:rPr>
        <w:t> </w:t>
      </w:r>
      <w:r>
        <w:rPr/>
        <w:t>an</w:t>
      </w:r>
      <w:r>
        <w:rPr>
          <w:spacing w:val="-3"/>
        </w:rPr>
        <w:t> </w:t>
      </w:r>
      <w:r>
        <w:rPr/>
        <w:t>accounting</w:t>
      </w:r>
      <w:r>
        <w:rPr>
          <w:spacing w:val="-3"/>
        </w:rPr>
        <w:t> </w:t>
      </w:r>
      <w:r>
        <w:rPr/>
        <w:t>recruitment</w:t>
      </w:r>
      <w:r>
        <w:rPr>
          <w:spacing w:val="-3"/>
        </w:rPr>
        <w:t> </w:t>
      </w:r>
      <w:r>
        <w:rPr/>
        <w:t>event, I obtained evidence from those who are candidates</w:t>
      </w:r>
      <w:r>
        <w:rPr>
          <w:spacing w:val="40"/>
        </w:rPr>
        <w:t> </w:t>
      </w:r>
      <w:r>
        <w:rPr/>
        <w:t>for the pipeline.</w:t>
      </w:r>
    </w:p>
    <w:p>
      <w:pPr>
        <w:pStyle w:val="BodyText"/>
      </w:pPr>
    </w:p>
    <w:p>
      <w:pPr>
        <w:pStyle w:val="BodyText"/>
        <w:spacing w:before="85"/>
      </w:pPr>
    </w:p>
    <w:p>
      <w:pPr>
        <w:pStyle w:val="Heading4"/>
        <w:ind w:left="720"/>
        <w:jc w:val="both"/>
      </w:pPr>
      <w:r>
        <w:rPr>
          <w:spacing w:val="-2"/>
        </w:rPr>
        <w:t>LITERATURE</w:t>
      </w:r>
      <w:r>
        <w:rPr>
          <w:spacing w:val="2"/>
        </w:rPr>
        <w:t> </w:t>
      </w:r>
      <w:r>
        <w:rPr>
          <w:spacing w:val="-2"/>
        </w:rPr>
        <w:t>REVIEW</w:t>
      </w:r>
    </w:p>
    <w:p>
      <w:pPr>
        <w:spacing w:before="202"/>
        <w:ind w:left="720" w:right="0" w:firstLine="0"/>
        <w:jc w:val="both"/>
        <w:rPr>
          <w:b/>
          <w:sz w:val="24"/>
        </w:rPr>
      </w:pPr>
      <w:r>
        <w:rPr>
          <w:b/>
          <w:sz w:val="24"/>
        </w:rPr>
        <w:t>The Accounting Pipeline </w:t>
      </w:r>
      <w:r>
        <w:rPr>
          <w:b/>
          <w:spacing w:val="-2"/>
          <w:sz w:val="24"/>
        </w:rPr>
        <w:t>Issue</w:t>
      </w:r>
    </w:p>
    <w:p>
      <w:pPr>
        <w:pStyle w:val="BodyText"/>
        <w:spacing w:line="276" w:lineRule="auto" w:before="201"/>
        <w:ind w:left="720" w:right="1439"/>
        <w:jc w:val="both"/>
      </w:pPr>
      <w:r>
        <w:rPr/>
        <w:t>Evaluating the lack of engagement in accounting encourages a greater understanding</w:t>
      </w:r>
      <w:r>
        <w:rPr>
          <w:spacing w:val="40"/>
        </w:rPr>
        <w:t> </w:t>
      </w:r>
      <w:r>
        <w:rPr/>
        <w:t>of </w:t>
      </w:r>
      <w:r>
        <w:rPr/>
        <w:t>the pipeline’s entry points and the factors that influence a student’s decision to enter the</w:t>
      </w:r>
      <w:r>
        <w:rPr>
          <w:spacing w:val="40"/>
        </w:rPr>
        <w:t> </w:t>
      </w:r>
      <w:r>
        <w:rPr/>
        <w:t>field. For years, members of various</w:t>
      </w:r>
      <w:r>
        <w:rPr>
          <w:spacing w:val="-3"/>
        </w:rPr>
        <w:t> </w:t>
      </w:r>
      <w:r>
        <w:rPr/>
        <w:t>accounting</w:t>
      </w:r>
      <w:r>
        <w:rPr>
          <w:spacing w:val="-3"/>
        </w:rPr>
        <w:t> </w:t>
      </w:r>
      <w:r>
        <w:rPr/>
        <w:t>communities</w:t>
      </w:r>
      <w:r>
        <w:rPr>
          <w:spacing w:val="-3"/>
        </w:rPr>
        <w:t> </w:t>
      </w:r>
      <w:r>
        <w:rPr/>
        <w:t>(e.g.,</w:t>
      </w:r>
      <w:r>
        <w:rPr>
          <w:spacing w:val="-3"/>
        </w:rPr>
        <w:t> </w:t>
      </w:r>
      <w:r>
        <w:rPr/>
        <w:t>academics,</w:t>
      </w:r>
      <w:r>
        <w:rPr>
          <w:spacing w:val="-3"/>
        </w:rPr>
        <w:t> </w:t>
      </w:r>
      <w:r>
        <w:rPr/>
        <w:t>regulators,</w:t>
      </w:r>
      <w:r>
        <w:rPr>
          <w:spacing w:val="40"/>
        </w:rPr>
        <w:t> </w:t>
      </w:r>
      <w:r>
        <w:rPr/>
        <w:t>members</w:t>
      </w:r>
      <w:r>
        <w:rPr>
          <w:spacing w:val="-3"/>
        </w:rPr>
        <w:t> </w:t>
      </w:r>
      <w:r>
        <w:rPr/>
        <w:t>of</w:t>
      </w:r>
      <w:r>
        <w:rPr>
          <w:spacing w:val="-3"/>
        </w:rPr>
        <w:t> </w:t>
      </w:r>
      <w:r>
        <w:rPr/>
        <w:t>the accounting profession) have expressed concern regarding the long-term</w:t>
      </w:r>
      <w:r>
        <w:rPr>
          <w:spacing w:val="40"/>
        </w:rPr>
        <w:t> </w:t>
      </w:r>
      <w:r>
        <w:rPr/>
        <w:t>decline in accounting graduates, which has generally been referred to as the accounting</w:t>
      </w:r>
      <w:r>
        <w:rPr>
          <w:spacing w:val="40"/>
        </w:rPr>
        <w:t> </w:t>
      </w:r>
      <w:r>
        <w:rPr/>
        <w:t>pipeline issue (Tucci, 2024). The accounting pipeline, which can be thought of as the</w:t>
      </w:r>
      <w:r>
        <w:rPr>
          <w:spacing w:val="40"/>
        </w:rPr>
        <w:t> </w:t>
      </w:r>
      <w:r>
        <w:rPr/>
        <w:t>collective institutions of higher education that offer accounting education, aims to transform</w:t>
      </w:r>
      <w:r>
        <w:rPr>
          <w:spacing w:val="40"/>
        </w:rPr>
        <w:t> </w:t>
      </w:r>
      <w:r>
        <w:rPr/>
        <w:t>individuals into successful accountants by attracting, developing, and retaining new talent</w:t>
      </w:r>
      <w:r>
        <w:rPr>
          <w:spacing w:val="40"/>
        </w:rPr>
        <w:t> </w:t>
      </w:r>
      <w:r>
        <w:rPr/>
        <w:t>(Comunale, Irving, &amp; Trainor, 2023). While some may receive earlier exposure to the</w:t>
      </w:r>
      <w:r>
        <w:rPr>
          <w:spacing w:val="40"/>
        </w:rPr>
        <w:t> </w:t>
      </w:r>
      <w:r>
        <w:rPr/>
        <w:t>accounting profession than others, including</w:t>
      </w:r>
      <w:r>
        <w:rPr>
          <w:spacing w:val="15"/>
        </w:rPr>
        <w:t> </w:t>
      </w:r>
      <w:r>
        <w:rPr/>
        <w:t>exposure</w:t>
      </w:r>
      <w:r>
        <w:rPr>
          <w:spacing w:val="15"/>
        </w:rPr>
        <w:t> </w:t>
      </w:r>
      <w:r>
        <w:rPr/>
        <w:t>to</w:t>
      </w:r>
      <w:r>
        <w:rPr>
          <w:spacing w:val="15"/>
        </w:rPr>
        <w:t> </w:t>
      </w:r>
      <w:r>
        <w:rPr/>
        <w:t>accounting</w:t>
      </w:r>
      <w:r>
        <w:rPr>
          <w:spacing w:val="15"/>
        </w:rPr>
        <w:t> </w:t>
      </w:r>
      <w:r>
        <w:rPr/>
        <w:t>concepts</w:t>
      </w:r>
      <w:r>
        <w:rPr>
          <w:spacing w:val="15"/>
        </w:rPr>
        <w:t> </w:t>
      </w:r>
      <w:r>
        <w:rPr/>
        <w:t>in</w:t>
      </w:r>
      <w:r>
        <w:rPr>
          <w:spacing w:val="15"/>
        </w:rPr>
        <w:t> </w:t>
      </w:r>
      <w:r>
        <w:rPr/>
        <w:t>high</w:t>
      </w:r>
      <w:r>
        <w:rPr>
          <w:spacing w:val="15"/>
        </w:rPr>
        <w:t> </w:t>
      </w:r>
      <w:r>
        <w:rPr/>
        <w:t>school,</w:t>
      </w:r>
      <w:r>
        <w:rPr>
          <w:spacing w:val="60"/>
          <w:w w:val="150"/>
        </w:rPr>
        <w:t> </w:t>
      </w:r>
      <w:r>
        <w:rPr/>
        <w:t>the</w:t>
      </w:r>
      <w:r>
        <w:rPr>
          <w:spacing w:val="15"/>
        </w:rPr>
        <w:t> </w:t>
      </w:r>
      <w:r>
        <w:rPr/>
        <w:t>pipeline</w:t>
      </w:r>
      <w:r>
        <w:rPr>
          <w:spacing w:val="15"/>
        </w:rPr>
        <w:t> </w:t>
      </w:r>
      <w:r>
        <w:rPr/>
        <w:t>continues</w:t>
      </w:r>
      <w:r>
        <w:rPr>
          <w:spacing w:val="15"/>
        </w:rPr>
        <w:t> </w:t>
      </w:r>
      <w:r>
        <w:rPr/>
        <w:t>to</w:t>
      </w:r>
      <w:r>
        <w:rPr>
          <w:spacing w:val="15"/>
        </w:rPr>
        <w:t> </w:t>
      </w:r>
      <w:r>
        <w:rPr/>
        <w:t>produce </w:t>
      </w:r>
      <w:r>
        <w:rPr>
          <w:spacing w:val="-5"/>
        </w:rPr>
        <w:t>an</w:t>
      </w:r>
    </w:p>
    <w:p>
      <w:pPr>
        <w:pStyle w:val="BodyText"/>
        <w:spacing w:after="0" w:line="276" w:lineRule="auto"/>
        <w:jc w:val="both"/>
        <w:sectPr>
          <w:pgSz w:w="12240" w:h="15840"/>
          <w:pgMar w:header="0" w:footer="750" w:top="640" w:bottom="960" w:left="720" w:right="0"/>
        </w:sectPr>
      </w:pPr>
    </w:p>
    <w:p>
      <w:pPr>
        <w:pStyle w:val="BodyText"/>
        <w:spacing w:line="276" w:lineRule="auto" w:before="60"/>
        <w:ind w:left="720" w:right="1441"/>
        <w:jc w:val="both"/>
      </w:pPr>
      <w:r>
        <w:rPr/>
        <w:t>insufficient number of accounting graduates to meet</w:t>
      </w:r>
      <w:r>
        <w:rPr>
          <w:spacing w:val="40"/>
        </w:rPr>
        <w:t> </w:t>
      </w:r>
      <w:r>
        <w:rPr/>
        <w:t>demand. As the number of </w:t>
      </w:r>
      <w:r>
        <w:rPr/>
        <w:t>students graduating from accounting</w:t>
      </w:r>
      <w:r>
        <w:rPr>
          <w:spacing w:val="-5"/>
        </w:rPr>
        <w:t> </w:t>
      </w:r>
      <w:r>
        <w:rPr/>
        <w:t>programs</w:t>
      </w:r>
      <w:r>
        <w:rPr>
          <w:spacing w:val="-5"/>
        </w:rPr>
        <w:t> </w:t>
      </w:r>
      <w:r>
        <w:rPr/>
        <w:t>decreases,</w:t>
      </w:r>
      <w:r>
        <w:rPr>
          <w:spacing w:val="-5"/>
        </w:rPr>
        <w:t> </w:t>
      </w:r>
      <w:r>
        <w:rPr/>
        <w:t>sectors</w:t>
      </w:r>
      <w:r>
        <w:rPr>
          <w:spacing w:val="40"/>
        </w:rPr>
        <w:t> </w:t>
      </w:r>
      <w:r>
        <w:rPr/>
        <w:t>such</w:t>
      </w:r>
      <w:r>
        <w:rPr>
          <w:spacing w:val="-5"/>
        </w:rPr>
        <w:t> </w:t>
      </w:r>
      <w:r>
        <w:rPr/>
        <w:t>as</w:t>
      </w:r>
      <w:r>
        <w:rPr>
          <w:spacing w:val="-5"/>
        </w:rPr>
        <w:t> </w:t>
      </w:r>
      <w:r>
        <w:rPr/>
        <w:t>industry,</w:t>
      </w:r>
      <w:r>
        <w:rPr>
          <w:spacing w:val="-5"/>
        </w:rPr>
        <w:t> </w:t>
      </w:r>
      <w:r>
        <w:rPr/>
        <w:t>non-profits,</w:t>
      </w:r>
      <w:r>
        <w:rPr>
          <w:spacing w:val="-5"/>
        </w:rPr>
        <w:t> </w:t>
      </w:r>
      <w:r>
        <w:rPr/>
        <w:t>academia, and</w:t>
      </w:r>
      <w:r>
        <w:rPr>
          <w:spacing w:val="-4"/>
        </w:rPr>
        <w:t> </w:t>
      </w:r>
      <w:r>
        <w:rPr/>
        <w:t>government</w:t>
      </w:r>
      <w:r>
        <w:rPr>
          <w:spacing w:val="-4"/>
        </w:rPr>
        <w:t> </w:t>
      </w:r>
      <w:r>
        <w:rPr/>
        <w:t>are</w:t>
      </w:r>
      <w:r>
        <w:rPr>
          <w:spacing w:val="-4"/>
        </w:rPr>
        <w:t> </w:t>
      </w:r>
      <w:r>
        <w:rPr/>
        <w:t>adversely</w:t>
      </w:r>
      <w:r>
        <w:rPr>
          <w:spacing w:val="-4"/>
        </w:rPr>
        <w:t> </w:t>
      </w:r>
      <w:r>
        <w:rPr/>
        <w:t>affected</w:t>
      </w:r>
      <w:r>
        <w:rPr>
          <w:spacing w:val="-4"/>
        </w:rPr>
        <w:t> </w:t>
      </w:r>
      <w:r>
        <w:rPr/>
        <w:t>(Hagen,</w:t>
      </w:r>
      <w:r>
        <w:rPr>
          <w:spacing w:val="40"/>
        </w:rPr>
        <w:t> </w:t>
      </w:r>
      <w:r>
        <w:rPr/>
        <w:t>2024).</w:t>
      </w:r>
      <w:r>
        <w:rPr>
          <w:spacing w:val="-4"/>
        </w:rPr>
        <w:t> </w:t>
      </w:r>
      <w:r>
        <w:rPr/>
        <w:t>Previous</w:t>
      </w:r>
      <w:r>
        <w:rPr>
          <w:spacing w:val="-4"/>
        </w:rPr>
        <w:t> </w:t>
      </w:r>
      <w:r>
        <w:rPr/>
        <w:t>efforts</w:t>
      </w:r>
      <w:r>
        <w:rPr>
          <w:spacing w:val="-4"/>
        </w:rPr>
        <w:t> </w:t>
      </w:r>
      <w:r>
        <w:rPr/>
        <w:t>to</w:t>
      </w:r>
      <w:r>
        <w:rPr>
          <w:spacing w:val="-4"/>
        </w:rPr>
        <w:t> </w:t>
      </w:r>
      <w:r>
        <w:rPr/>
        <w:t>address</w:t>
      </w:r>
      <w:r>
        <w:rPr>
          <w:spacing w:val="-4"/>
        </w:rPr>
        <w:t> </w:t>
      </w:r>
      <w:r>
        <w:rPr/>
        <w:t>the</w:t>
      </w:r>
      <w:r>
        <w:rPr>
          <w:spacing w:val="-4"/>
        </w:rPr>
        <w:t> </w:t>
      </w:r>
      <w:r>
        <w:rPr/>
        <w:t>accounting pipeline issue have included implementing introductory accounting courses at the high school level, revising the CPA Exam</w:t>
      </w:r>
      <w:r>
        <w:rPr>
          <w:spacing w:val="40"/>
        </w:rPr>
        <w:t> </w:t>
      </w:r>
      <w:r>
        <w:rPr/>
        <w:t>requirements, and increasing diversity outreach (Comunale et al. </w:t>
      </w:r>
      <w:r>
        <w:rPr>
          <w:spacing w:val="-2"/>
        </w:rPr>
        <w:t>2023).</w:t>
      </w:r>
    </w:p>
    <w:p>
      <w:pPr>
        <w:pStyle w:val="BodyText"/>
        <w:spacing w:line="276" w:lineRule="auto" w:before="160"/>
        <w:ind w:left="720" w:right="1438"/>
        <w:jc w:val="both"/>
      </w:pPr>
      <w:r>
        <w:rPr/>
        <w:t>Assessing the pipeline issue is a multifaceted process that extends beyond </w:t>
      </w:r>
      <w:r>
        <w:rPr/>
        <w:t>educational recruitment efforts and involves an understanding of current career values</w:t>
      </w:r>
      <w:r>
        <w:rPr>
          <w:spacing w:val="-2"/>
        </w:rPr>
        <w:t> </w:t>
      </w:r>
      <w:r>
        <w:rPr/>
        <w:t>and</w:t>
      </w:r>
      <w:r>
        <w:rPr>
          <w:spacing w:val="-2"/>
        </w:rPr>
        <w:t> </w:t>
      </w:r>
      <w:r>
        <w:rPr/>
        <w:t>preferences.</w:t>
      </w:r>
      <w:r>
        <w:rPr>
          <w:spacing w:val="-2"/>
        </w:rPr>
        <w:t> </w:t>
      </w:r>
      <w:r>
        <w:rPr/>
        <w:t>In</w:t>
      </w:r>
      <w:r>
        <w:rPr>
          <w:spacing w:val="40"/>
        </w:rPr>
        <w:t> </w:t>
      </w:r>
      <w:r>
        <w:rPr/>
        <w:t>a recent</w:t>
      </w:r>
      <w:r>
        <w:rPr>
          <w:spacing w:val="40"/>
        </w:rPr>
        <w:t> </w:t>
      </w:r>
      <w:r>
        <w:rPr/>
        <w:t>study</w:t>
      </w:r>
      <w:r>
        <w:rPr>
          <w:spacing w:val="40"/>
        </w:rPr>
        <w:t> </w:t>
      </w:r>
      <w:r>
        <w:rPr/>
        <w:t>that</w:t>
      </w:r>
      <w:r>
        <w:rPr>
          <w:spacing w:val="40"/>
        </w:rPr>
        <w:t> </w:t>
      </w:r>
      <w:r>
        <w:rPr/>
        <w:t>used</w:t>
      </w:r>
      <w:r>
        <w:rPr>
          <w:spacing w:val="40"/>
        </w:rPr>
        <w:t> </w:t>
      </w:r>
      <w:r>
        <w:rPr/>
        <w:t>social</w:t>
      </w:r>
      <w:r>
        <w:rPr>
          <w:spacing w:val="40"/>
        </w:rPr>
        <w:t> </w:t>
      </w:r>
      <w:r>
        <w:rPr/>
        <w:t>cognitive career theory and person-organization fit theory to explore the relationship between early career accountants (ECA) and their expectations and experiences when entering the profession, researchers found that ECAs achieved greater</w:t>
      </w:r>
      <w:r>
        <w:rPr>
          <w:spacing w:val="40"/>
        </w:rPr>
        <w:t> </w:t>
      </w:r>
      <w:r>
        <w:rPr/>
        <w:t>career satisfaction in Big Four firm settings than those in not-for-profit organizations</w:t>
      </w:r>
      <w:r>
        <w:rPr>
          <w:spacing w:val="40"/>
        </w:rPr>
        <w:t> </w:t>
      </w:r>
      <w:r>
        <w:rPr/>
        <w:t>(Jackson, Richardson, Michelson, &amp; Munir, 2023). Despite advances in addressing the</w:t>
      </w:r>
      <w:r>
        <w:rPr>
          <w:spacing w:val="40"/>
        </w:rPr>
        <w:t> </w:t>
      </w:r>
      <w:r>
        <w:rPr/>
        <w:t>accounting</w:t>
      </w:r>
      <w:r>
        <w:rPr>
          <w:spacing w:val="40"/>
        </w:rPr>
        <w:t> </w:t>
      </w:r>
      <w:r>
        <w:rPr/>
        <w:t>pipeline, the profession itself continues to struggle with an outdated image that</w:t>
      </w:r>
      <w:r>
        <w:rPr>
          <w:spacing w:val="40"/>
        </w:rPr>
        <w:t> </w:t>
      </w:r>
      <w:r>
        <w:rPr/>
        <w:t>often deters student interest. One qualitative study found that accountants were often placed</w:t>
      </w:r>
      <w:r>
        <w:rPr>
          <w:spacing w:val="40"/>
        </w:rPr>
        <w:t> </w:t>
      </w:r>
      <w:r>
        <w:rPr/>
        <w:t>in restrictive roles</w:t>
      </w:r>
      <w:r>
        <w:rPr>
          <w:spacing w:val="40"/>
        </w:rPr>
        <w:t> </w:t>
      </w:r>
      <w:r>
        <w:rPr/>
        <w:t>by colleagues who narrowly viewed the profession as focused on numbers,</w:t>
      </w:r>
      <w:r>
        <w:rPr>
          <w:spacing w:val="80"/>
        </w:rPr>
        <w:t> </w:t>
      </w:r>
      <w:r>
        <w:rPr/>
        <w:t>thereby limiting their involvement</w:t>
      </w:r>
      <w:r>
        <w:rPr>
          <w:spacing w:val="-3"/>
        </w:rPr>
        <w:t> </w:t>
      </w:r>
      <w:r>
        <w:rPr/>
        <w:t>in</w:t>
      </w:r>
      <w:r>
        <w:rPr>
          <w:spacing w:val="-3"/>
        </w:rPr>
        <w:t> </w:t>
      </w:r>
      <w:r>
        <w:rPr/>
        <w:t>sustainability</w:t>
      </w:r>
      <w:r>
        <w:rPr>
          <w:spacing w:val="-3"/>
        </w:rPr>
        <w:t> </w:t>
      </w:r>
      <w:r>
        <w:rPr/>
        <w:t>within</w:t>
      </w:r>
      <w:r>
        <w:rPr>
          <w:spacing w:val="-3"/>
        </w:rPr>
        <w:t> </w:t>
      </w:r>
      <w:r>
        <w:rPr/>
        <w:t>an</w:t>
      </w:r>
      <w:r>
        <w:rPr>
          <w:spacing w:val="-3"/>
        </w:rPr>
        <w:t> </w:t>
      </w:r>
      <w:r>
        <w:rPr/>
        <w:t>organization</w:t>
      </w:r>
      <w:r>
        <w:rPr>
          <w:spacing w:val="-3"/>
        </w:rPr>
        <w:t> </w:t>
      </w:r>
      <w:r>
        <w:rPr/>
        <w:t>(Halari</w:t>
      </w:r>
      <w:r>
        <w:rPr>
          <w:spacing w:val="-3"/>
        </w:rPr>
        <w:t> </w:t>
      </w:r>
      <w:r>
        <w:rPr/>
        <w:t>&amp;</w:t>
      </w:r>
      <w:r>
        <w:rPr>
          <w:spacing w:val="-3"/>
        </w:rPr>
        <w:t> </w:t>
      </w:r>
      <w:r>
        <w:rPr/>
        <w:t>Baric,</w:t>
      </w:r>
      <w:r>
        <w:rPr>
          <w:spacing w:val="40"/>
        </w:rPr>
        <w:t> </w:t>
      </w:r>
      <w:r>
        <w:rPr/>
        <w:t>2023).</w:t>
      </w:r>
      <w:r>
        <w:rPr>
          <w:spacing w:val="-3"/>
        </w:rPr>
        <w:t> </w:t>
      </w:r>
      <w:r>
        <w:rPr/>
        <w:t>These negative perceptions create preemptive barriers for accountants in the</w:t>
      </w:r>
      <w:r>
        <w:rPr>
          <w:spacing w:val="40"/>
        </w:rPr>
        <w:t> </w:t>
      </w:r>
      <w:r>
        <w:rPr/>
        <w:t>workplace seeking to explore areas of personal interest, and for students</w:t>
      </w:r>
      <w:r>
        <w:rPr>
          <w:spacing w:val="-3"/>
        </w:rPr>
        <w:t> </w:t>
      </w:r>
      <w:r>
        <w:rPr/>
        <w:t>who</w:t>
      </w:r>
      <w:r>
        <w:rPr>
          <w:spacing w:val="-3"/>
        </w:rPr>
        <w:t> </w:t>
      </w:r>
      <w:r>
        <w:rPr/>
        <w:t>are</w:t>
      </w:r>
      <w:r>
        <w:rPr>
          <w:spacing w:val="-3"/>
        </w:rPr>
        <w:t> </w:t>
      </w:r>
      <w:r>
        <w:rPr/>
        <w:t>simply</w:t>
      </w:r>
      <w:r>
        <w:rPr>
          <w:spacing w:val="40"/>
        </w:rPr>
        <w:t> </w:t>
      </w:r>
      <w:r>
        <w:rPr/>
        <w:t>curious</w:t>
      </w:r>
      <w:r>
        <w:rPr>
          <w:spacing w:val="-3"/>
        </w:rPr>
        <w:t> </w:t>
      </w:r>
      <w:r>
        <w:rPr/>
        <w:t>about</w:t>
      </w:r>
      <w:r>
        <w:rPr>
          <w:spacing w:val="-3"/>
        </w:rPr>
        <w:t> </w:t>
      </w:r>
      <w:r>
        <w:rPr/>
        <w:t>the</w:t>
      </w:r>
      <w:r>
        <w:rPr>
          <w:spacing w:val="-3"/>
        </w:rPr>
        <w:t> </w:t>
      </w:r>
      <w:r>
        <w:rPr/>
        <w:t>accounting major. Despite attempts to understand and “fix the leaks,”</w:t>
      </w:r>
      <w:r>
        <w:rPr>
          <w:spacing w:val="80"/>
        </w:rPr>
        <w:t> </w:t>
      </w:r>
      <w:r>
        <w:rPr/>
        <w:t>accounting graduate volume</w:t>
      </w:r>
      <w:r>
        <w:rPr>
          <w:spacing w:val="40"/>
        </w:rPr>
        <w:t> </w:t>
      </w:r>
      <w:r>
        <w:rPr/>
        <w:t>continues to lag demand (Tucci, 2024).</w:t>
      </w:r>
    </w:p>
    <w:p>
      <w:pPr>
        <w:pStyle w:val="Heading4"/>
        <w:spacing w:before="160"/>
        <w:ind w:left="720"/>
        <w:jc w:val="both"/>
      </w:pPr>
      <w:r>
        <w:rPr/>
        <w:t>Exposure</w:t>
      </w:r>
      <w:r>
        <w:rPr>
          <w:spacing w:val="-3"/>
        </w:rPr>
        <w:t> </w:t>
      </w:r>
      <w:r>
        <w:rPr/>
        <w:t>to</w:t>
      </w:r>
      <w:r>
        <w:rPr>
          <w:spacing w:val="-2"/>
        </w:rPr>
        <w:t> Accounting</w:t>
      </w:r>
    </w:p>
    <w:p>
      <w:pPr>
        <w:pStyle w:val="BodyText"/>
        <w:spacing w:line="276" w:lineRule="auto" w:before="202"/>
        <w:ind w:left="720" w:right="1441"/>
        <w:jc w:val="both"/>
      </w:pPr>
      <w:r>
        <w:rPr/>
        <w:t>Efforts to address the accounting pipeline issue have prompted a shift in recruitment</w:t>
      </w:r>
      <w:r>
        <w:rPr>
          <w:spacing w:val="40"/>
        </w:rPr>
        <w:t> </w:t>
      </w:r>
      <w:r>
        <w:rPr/>
        <w:t>toward</w:t>
      </w:r>
      <w:r>
        <w:rPr>
          <w:spacing w:val="40"/>
        </w:rPr>
        <w:t> </w:t>
      </w:r>
      <w:r>
        <w:rPr/>
        <w:t>early intervention strategies. To generate interest in the field, the accounting</w:t>
      </w:r>
      <w:r>
        <w:rPr>
          <w:spacing w:val="40"/>
        </w:rPr>
        <w:t> </w:t>
      </w:r>
      <w:r>
        <w:rPr/>
        <w:t>profession has</w:t>
      </w:r>
      <w:r>
        <w:rPr>
          <w:spacing w:val="40"/>
        </w:rPr>
        <w:t> </w:t>
      </w:r>
      <w:r>
        <w:rPr/>
        <w:t>taken active steps to introduce high school students to the world of</w:t>
      </w:r>
      <w:r>
        <w:rPr>
          <w:spacing w:val="40"/>
        </w:rPr>
        <w:t> </w:t>
      </w:r>
      <w:r>
        <w:rPr/>
        <w:t>accounting. Ugrin &amp; Honn (2018) noted the initiative to enhance early recruitment</w:t>
      </w:r>
      <w:r>
        <w:rPr>
          <w:spacing w:val="-3"/>
        </w:rPr>
        <w:t> </w:t>
      </w:r>
      <w:r>
        <w:rPr/>
        <w:t>strategies</w:t>
      </w:r>
      <w:r>
        <w:rPr>
          <w:spacing w:val="-3"/>
        </w:rPr>
        <w:t> </w:t>
      </w:r>
      <w:r>
        <w:rPr/>
        <w:t>by</w:t>
      </w:r>
      <w:r>
        <w:rPr>
          <w:spacing w:val="-3"/>
        </w:rPr>
        <w:t> </w:t>
      </w:r>
      <w:r>
        <w:rPr/>
        <w:t>highlighting</w:t>
      </w:r>
      <w:r>
        <w:rPr>
          <w:spacing w:val="-3"/>
        </w:rPr>
        <w:t> </w:t>
      </w:r>
      <w:r>
        <w:rPr/>
        <w:t>the</w:t>
      </w:r>
      <w:r>
        <w:rPr>
          <w:spacing w:val="-3"/>
        </w:rPr>
        <w:t> </w:t>
      </w:r>
      <w:r>
        <w:rPr/>
        <w:t>creation</w:t>
      </w:r>
      <w:r>
        <w:rPr>
          <w:spacing w:val="-3"/>
        </w:rPr>
        <w:t> </w:t>
      </w:r>
      <w:r>
        <w:rPr/>
        <w:t>of the Accounting Pilot and Bridge Project (APBR) and its</w:t>
      </w:r>
      <w:r>
        <w:rPr>
          <w:spacing w:val="40"/>
        </w:rPr>
        <w:t> </w:t>
      </w:r>
      <w:r>
        <w:rPr/>
        <w:t>collaboration with the American Institute of Certified Public Accountants (AICPA).</w:t>
      </w:r>
      <w:r>
        <w:rPr>
          <w:spacing w:val="40"/>
        </w:rPr>
        <w:t> </w:t>
      </w:r>
      <w:r>
        <w:rPr/>
        <w:t>Combined,</w:t>
      </w:r>
      <w:r>
        <w:rPr>
          <w:spacing w:val="-4"/>
        </w:rPr>
        <w:t> </w:t>
      </w:r>
      <w:r>
        <w:rPr/>
        <w:t>these</w:t>
      </w:r>
      <w:r>
        <w:rPr>
          <w:spacing w:val="-4"/>
        </w:rPr>
        <w:t> </w:t>
      </w:r>
      <w:r>
        <w:rPr/>
        <w:t>two</w:t>
      </w:r>
      <w:r>
        <w:rPr>
          <w:spacing w:val="-4"/>
        </w:rPr>
        <w:t> </w:t>
      </w:r>
      <w:r>
        <w:rPr/>
        <w:t>initiatives</w:t>
      </w:r>
      <w:r>
        <w:rPr>
          <w:spacing w:val="-4"/>
        </w:rPr>
        <w:t> </w:t>
      </w:r>
      <w:r>
        <w:rPr/>
        <w:t>may</w:t>
      </w:r>
      <w:r>
        <w:rPr>
          <w:spacing w:val="-4"/>
        </w:rPr>
        <w:t> </w:t>
      </w:r>
      <w:r>
        <w:rPr/>
        <w:t>elevate student interest in the accounting profession at</w:t>
      </w:r>
      <w:r>
        <w:rPr>
          <w:spacing w:val="40"/>
        </w:rPr>
        <w:t> </w:t>
      </w:r>
      <w:r>
        <w:rPr/>
        <w:t>the high school level through a rigorous curriculum that can lead to college credit at</w:t>
      </w:r>
      <w:r>
        <w:rPr>
          <w:spacing w:val="40"/>
        </w:rPr>
        <w:t> </w:t>
      </w:r>
      <w:r>
        <w:rPr/>
        <w:t>participating universities (Ugrin &amp; Honn, 2018). Exposure to accounting, especially in rural</w:t>
      </w:r>
      <w:r>
        <w:rPr>
          <w:spacing w:val="40"/>
        </w:rPr>
        <w:t> </w:t>
      </w:r>
      <w:r>
        <w:rPr/>
        <w:t>communities, is further supported when individuals have family members who are in the</w:t>
      </w:r>
      <w:r>
        <w:rPr>
          <w:spacing w:val="80"/>
        </w:rPr>
        <w:t> </w:t>
      </w:r>
      <w:r>
        <w:rPr/>
        <w:t>field (Oben</w:t>
      </w:r>
      <w:r>
        <w:rPr>
          <w:spacing w:val="-3"/>
        </w:rPr>
        <w:t> </w:t>
      </w:r>
      <w:r>
        <w:rPr/>
        <w:t>&amp;</w:t>
      </w:r>
      <w:r>
        <w:rPr>
          <w:spacing w:val="-3"/>
        </w:rPr>
        <w:t> </w:t>
      </w:r>
      <w:r>
        <w:rPr/>
        <w:t>Van</w:t>
      </w:r>
      <w:r>
        <w:rPr>
          <w:spacing w:val="-3"/>
        </w:rPr>
        <w:t> </w:t>
      </w:r>
      <w:r>
        <w:rPr/>
        <w:t>Rooyen,</w:t>
      </w:r>
      <w:r>
        <w:rPr>
          <w:spacing w:val="-3"/>
        </w:rPr>
        <w:t> </w:t>
      </w:r>
      <w:r>
        <w:rPr/>
        <w:t>2023).</w:t>
      </w:r>
      <w:r>
        <w:rPr>
          <w:spacing w:val="-3"/>
        </w:rPr>
        <w:t> </w:t>
      </w:r>
      <w:r>
        <w:rPr/>
        <w:t>Family</w:t>
      </w:r>
      <w:r>
        <w:rPr>
          <w:spacing w:val="-3"/>
        </w:rPr>
        <w:t> </w:t>
      </w:r>
      <w:r>
        <w:rPr/>
        <w:t>influence</w:t>
      </w:r>
      <w:r>
        <w:rPr>
          <w:spacing w:val="-3"/>
        </w:rPr>
        <w:t> </w:t>
      </w:r>
      <w:r>
        <w:rPr/>
        <w:t>tends to lead to positive perceptions of</w:t>
      </w:r>
      <w:r>
        <w:rPr>
          <w:spacing w:val="40"/>
        </w:rPr>
        <w:t> </w:t>
      </w:r>
      <w:r>
        <w:rPr/>
        <w:t>accounting as a career and strengthens self-efficacy among young individuals (Oben &amp; Van</w:t>
      </w:r>
      <w:r>
        <w:rPr>
          <w:spacing w:val="40"/>
        </w:rPr>
        <w:t> </w:t>
      </w:r>
      <w:r>
        <w:rPr/>
        <w:t>Rooyen,</w:t>
      </w:r>
      <w:r>
        <w:rPr>
          <w:spacing w:val="-6"/>
        </w:rPr>
        <w:t> </w:t>
      </w:r>
      <w:r>
        <w:rPr/>
        <w:t>2023).</w:t>
      </w:r>
      <w:r>
        <w:rPr>
          <w:spacing w:val="-6"/>
        </w:rPr>
        <w:t> </w:t>
      </w:r>
      <w:r>
        <w:rPr/>
        <w:t>However,</w:t>
      </w:r>
      <w:r>
        <w:rPr>
          <w:spacing w:val="-6"/>
        </w:rPr>
        <w:t> </w:t>
      </w:r>
      <w:r>
        <w:rPr/>
        <w:t>because</w:t>
      </w:r>
      <w:r>
        <w:rPr>
          <w:spacing w:val="-6"/>
        </w:rPr>
        <w:t> </w:t>
      </w:r>
      <w:r>
        <w:rPr/>
        <w:t>career</w:t>
      </w:r>
      <w:r>
        <w:rPr>
          <w:spacing w:val="-6"/>
        </w:rPr>
        <w:t> </w:t>
      </w:r>
      <w:r>
        <w:rPr/>
        <w:t>development</w:t>
      </w:r>
      <w:r>
        <w:rPr>
          <w:spacing w:val="-6"/>
        </w:rPr>
        <w:t> </w:t>
      </w:r>
      <w:r>
        <w:rPr/>
        <w:t>can</w:t>
      </w:r>
      <w:r>
        <w:rPr>
          <w:spacing w:val="-6"/>
        </w:rPr>
        <w:t> </w:t>
      </w:r>
      <w:r>
        <w:rPr/>
        <w:t>start in early adolescence, it may</w:t>
      </w:r>
      <w:r>
        <w:rPr>
          <w:spacing w:val="40"/>
        </w:rPr>
        <w:t> </w:t>
      </w:r>
      <w:r>
        <w:rPr/>
        <w:t>be more beneficial to expose younger students to accounting (Chlebowski, 2024). From</w:t>
      </w:r>
      <w:r>
        <w:rPr>
          <w:spacing w:val="40"/>
        </w:rPr>
        <w:t> </w:t>
      </w:r>
      <w:r>
        <w:rPr/>
        <w:t>inviting accounting professionals to share their experiences in classrooms to developing</w:t>
      </w:r>
      <w:r>
        <w:rPr>
          <w:spacing w:val="80"/>
        </w:rPr>
        <w:t> </w:t>
      </w:r>
      <w:r>
        <w:rPr/>
        <w:t>creative methods for presenting the accounting profession to a</w:t>
      </w:r>
      <w:r>
        <w:rPr>
          <w:spacing w:val="40"/>
        </w:rPr>
        <w:t> </w:t>
      </w:r>
      <w:r>
        <w:rPr/>
        <w:t>younger audience, such as</w:t>
      </w:r>
      <w:r>
        <w:rPr>
          <w:spacing w:val="40"/>
        </w:rPr>
        <w:t> </w:t>
      </w:r>
      <w:r>
        <w:rPr/>
        <w:t>through gamified learning experiences, these approaches effectively generate interest and</w:t>
      </w:r>
      <w:r>
        <w:rPr>
          <w:spacing w:val="40"/>
        </w:rPr>
        <w:t> </w:t>
      </w:r>
      <w:r>
        <w:rPr/>
        <w:t>understanding of the profession (Mayse, 2024).</w:t>
      </w:r>
    </w:p>
    <w:p>
      <w:pPr>
        <w:pStyle w:val="BodyText"/>
        <w:spacing w:line="276" w:lineRule="auto" w:before="160"/>
        <w:ind w:left="720" w:right="1442"/>
        <w:jc w:val="both"/>
      </w:pPr>
      <w:r>
        <w:rPr/>
        <w:t>When approaching the pipeline issue, many agree that we must start with education.</w:t>
      </w:r>
      <w:r>
        <w:rPr>
          <w:spacing w:val="40"/>
        </w:rPr>
        <w:t> </w:t>
      </w:r>
      <w:r>
        <w:rPr/>
        <w:t>For example, to increase the number of students entering the accounting</w:t>
      </w:r>
      <w:r>
        <w:rPr>
          <w:spacing w:val="-3"/>
        </w:rPr>
        <w:t> </w:t>
      </w:r>
      <w:r>
        <w:rPr/>
        <w:t>profession,</w:t>
      </w:r>
      <w:r>
        <w:rPr>
          <w:spacing w:val="40"/>
        </w:rPr>
        <w:t> </w:t>
      </w:r>
      <w:r>
        <w:rPr/>
        <w:t>educators</w:t>
      </w:r>
      <w:r>
        <w:rPr>
          <w:spacing w:val="-3"/>
        </w:rPr>
        <w:t> </w:t>
      </w:r>
      <w:r>
        <w:rPr/>
        <w:t>must first</w:t>
      </w:r>
      <w:r>
        <w:rPr>
          <w:spacing w:val="8"/>
        </w:rPr>
        <w:t> </w:t>
      </w:r>
      <w:r>
        <w:rPr/>
        <w:t>learn</w:t>
      </w:r>
      <w:r>
        <w:rPr>
          <w:spacing w:val="11"/>
        </w:rPr>
        <w:t> </w:t>
      </w:r>
      <w:r>
        <w:rPr/>
        <w:t>how</w:t>
      </w:r>
      <w:r>
        <w:rPr>
          <w:spacing w:val="11"/>
        </w:rPr>
        <w:t> </w:t>
      </w:r>
      <w:r>
        <w:rPr/>
        <w:t>to</w:t>
      </w:r>
      <w:r>
        <w:rPr>
          <w:spacing w:val="11"/>
        </w:rPr>
        <w:t> </w:t>
      </w:r>
      <w:r>
        <w:rPr/>
        <w:t>keep</w:t>
      </w:r>
      <w:r>
        <w:rPr>
          <w:spacing w:val="10"/>
        </w:rPr>
        <w:t> </w:t>
      </w:r>
      <w:r>
        <w:rPr/>
        <w:t>their</w:t>
      </w:r>
      <w:r>
        <w:rPr>
          <w:spacing w:val="11"/>
        </w:rPr>
        <w:t> </w:t>
      </w:r>
      <w:r>
        <w:rPr/>
        <w:t>students</w:t>
      </w:r>
      <w:r>
        <w:rPr>
          <w:spacing w:val="11"/>
        </w:rPr>
        <w:t> </w:t>
      </w:r>
      <w:r>
        <w:rPr/>
        <w:t>engaged</w:t>
      </w:r>
      <w:r>
        <w:rPr>
          <w:spacing w:val="11"/>
        </w:rPr>
        <w:t> </w:t>
      </w:r>
      <w:r>
        <w:rPr/>
        <w:t>(Walker,</w:t>
      </w:r>
      <w:r>
        <w:rPr>
          <w:spacing w:val="10"/>
        </w:rPr>
        <w:t> </w:t>
      </w:r>
      <w:r>
        <w:rPr/>
        <w:t>Grimmer,</w:t>
      </w:r>
      <w:r>
        <w:rPr>
          <w:spacing w:val="11"/>
        </w:rPr>
        <w:t> </w:t>
      </w:r>
      <w:r>
        <w:rPr/>
        <w:t>&amp;</w:t>
      </w:r>
      <w:r>
        <w:rPr>
          <w:spacing w:val="11"/>
        </w:rPr>
        <w:t> </w:t>
      </w:r>
      <w:r>
        <w:rPr/>
        <w:t>Borchers,</w:t>
      </w:r>
      <w:r>
        <w:rPr>
          <w:spacing w:val="53"/>
        </w:rPr>
        <w:t> </w:t>
      </w:r>
      <w:r>
        <w:rPr/>
        <w:t>2024).</w:t>
      </w:r>
      <w:r>
        <w:rPr>
          <w:spacing w:val="-3"/>
        </w:rPr>
        <w:t> </w:t>
      </w:r>
      <w:r>
        <w:rPr/>
        <w:t>Walker</w:t>
      </w:r>
      <w:r>
        <w:rPr>
          <w:spacing w:val="-3"/>
        </w:rPr>
        <w:t> </w:t>
      </w:r>
      <w:r>
        <w:rPr>
          <w:spacing w:val="-5"/>
        </w:rPr>
        <w:t>et</w:t>
      </w:r>
    </w:p>
    <w:p>
      <w:pPr>
        <w:pStyle w:val="BodyText"/>
        <w:spacing w:after="0" w:line="276" w:lineRule="auto"/>
        <w:jc w:val="both"/>
        <w:sectPr>
          <w:pgSz w:w="12240" w:h="15840"/>
          <w:pgMar w:header="0" w:footer="750" w:top="640" w:bottom="960" w:left="720" w:right="0"/>
        </w:sectPr>
      </w:pPr>
    </w:p>
    <w:p>
      <w:pPr>
        <w:pStyle w:val="BodyText"/>
        <w:spacing w:line="276" w:lineRule="auto" w:before="60"/>
        <w:ind w:left="720" w:right="1438"/>
        <w:jc w:val="both"/>
      </w:pPr>
      <w:r>
        <w:rPr/>
        <w:t>al. (2024) note that students tend to value their accounting classes more</w:t>
      </w:r>
      <w:r>
        <w:rPr>
          <w:spacing w:val="40"/>
        </w:rPr>
        <w:t> </w:t>
      </w:r>
      <w:r>
        <w:rPr/>
        <w:t>when their instructors focus on real-world applications rather than textbook examples. This</w:t>
      </w:r>
      <w:r>
        <w:rPr>
          <w:spacing w:val="40"/>
        </w:rPr>
        <w:t> </w:t>
      </w:r>
      <w:r>
        <w:rPr/>
        <w:t>finding</w:t>
      </w:r>
      <w:r>
        <w:rPr>
          <w:spacing w:val="-2"/>
        </w:rPr>
        <w:t> </w:t>
      </w:r>
      <w:r>
        <w:rPr/>
        <w:t>is</w:t>
      </w:r>
      <w:r>
        <w:rPr>
          <w:spacing w:val="-2"/>
        </w:rPr>
        <w:t> </w:t>
      </w:r>
      <w:r>
        <w:rPr/>
        <w:t>supported</w:t>
      </w:r>
      <w:r>
        <w:rPr>
          <w:spacing w:val="-2"/>
        </w:rPr>
        <w:t> </w:t>
      </w:r>
      <w:r>
        <w:rPr/>
        <w:t>by</w:t>
      </w:r>
      <w:r>
        <w:rPr>
          <w:spacing w:val="-2"/>
        </w:rPr>
        <w:t> </w:t>
      </w:r>
      <w:r>
        <w:rPr/>
        <w:t>an earlier study which highlights the importance of exposing students</w:t>
      </w:r>
      <w:r>
        <w:rPr>
          <w:spacing w:val="40"/>
        </w:rPr>
        <w:t> </w:t>
      </w:r>
      <w:r>
        <w:rPr/>
        <w:t>to the ways that basic accounting principles can be applied in their everyday lives</w:t>
      </w:r>
      <w:r>
        <w:rPr>
          <w:spacing w:val="-3"/>
        </w:rPr>
        <w:t> </w:t>
      </w:r>
      <w:r>
        <w:rPr/>
        <w:t>(Jaijairam,</w:t>
      </w:r>
      <w:r>
        <w:rPr>
          <w:spacing w:val="40"/>
        </w:rPr>
        <w:t> </w:t>
      </w:r>
      <w:r>
        <w:rPr/>
        <w:t>2012).</w:t>
      </w:r>
      <w:r>
        <w:rPr>
          <w:spacing w:val="-3"/>
        </w:rPr>
        <w:t> </w:t>
      </w:r>
      <w:r>
        <w:rPr/>
        <w:t>From</w:t>
      </w:r>
      <w:r>
        <w:rPr>
          <w:spacing w:val="-3"/>
        </w:rPr>
        <w:t> </w:t>
      </w:r>
      <w:r>
        <w:rPr/>
        <w:t>playing</w:t>
      </w:r>
      <w:r>
        <w:rPr>
          <w:spacing w:val="-3"/>
        </w:rPr>
        <w:t> </w:t>
      </w:r>
      <w:r>
        <w:rPr/>
        <w:t>the board game “Monopoly” and learning about accounting transactions</w:t>
      </w:r>
      <w:r>
        <w:rPr>
          <w:spacing w:val="40"/>
        </w:rPr>
        <w:t> </w:t>
      </w:r>
      <w:r>
        <w:rPr/>
        <w:t>to creating a personal budget, some instructors have adopted a student-centered approach by allowing students to put their accounting skills into practice (Jaijairam, 2012). As a result,</w:t>
      </w:r>
      <w:r>
        <w:rPr>
          <w:spacing w:val="40"/>
        </w:rPr>
        <w:t> </w:t>
      </w:r>
      <w:r>
        <w:rPr/>
        <w:t>students can become financially literate from an early age and develop the critical thinking</w:t>
      </w:r>
      <w:r>
        <w:rPr>
          <w:spacing w:val="40"/>
        </w:rPr>
        <w:t> </w:t>
      </w:r>
      <w:r>
        <w:rPr/>
        <w:t>skills that may</w:t>
      </w:r>
      <w:r>
        <w:rPr>
          <w:spacing w:val="-2"/>
        </w:rPr>
        <w:t> </w:t>
      </w:r>
      <w:r>
        <w:rPr/>
        <w:t>influence their decision to pursue accounting as a major and, later, as a</w:t>
      </w:r>
      <w:r>
        <w:rPr>
          <w:spacing w:val="40"/>
        </w:rPr>
        <w:t> </w:t>
      </w:r>
      <w:r>
        <w:rPr/>
        <w:t>profession (Chlebowski, 2024).</w:t>
      </w:r>
    </w:p>
    <w:p>
      <w:pPr>
        <w:pStyle w:val="Heading4"/>
        <w:spacing w:before="161"/>
        <w:ind w:left="720"/>
        <w:jc w:val="both"/>
      </w:pPr>
      <w:r>
        <w:rPr/>
        <w:t>Changes</w:t>
      </w:r>
      <w:r>
        <w:rPr>
          <w:spacing w:val="-5"/>
        </w:rPr>
        <w:t> </w:t>
      </w:r>
      <w:r>
        <w:rPr/>
        <w:t>to</w:t>
      </w:r>
      <w:r>
        <w:rPr>
          <w:spacing w:val="-4"/>
        </w:rPr>
        <w:t> </w:t>
      </w:r>
      <w:r>
        <w:rPr/>
        <w:t>the</w:t>
      </w:r>
      <w:r>
        <w:rPr>
          <w:spacing w:val="-5"/>
        </w:rPr>
        <w:t> </w:t>
      </w:r>
      <w:r>
        <w:rPr/>
        <w:t>CPA</w:t>
      </w:r>
      <w:r>
        <w:rPr>
          <w:spacing w:val="-4"/>
        </w:rPr>
        <w:t> </w:t>
      </w:r>
      <w:r>
        <w:rPr>
          <w:spacing w:val="-2"/>
        </w:rPr>
        <w:t>Licensure</w:t>
      </w:r>
    </w:p>
    <w:p>
      <w:pPr>
        <w:pStyle w:val="BodyText"/>
        <w:spacing w:line="276" w:lineRule="auto" w:before="201"/>
        <w:ind w:left="720" w:right="1438"/>
        <w:jc w:val="both"/>
      </w:pPr>
      <w:r>
        <w:rPr/>
        <w:t>Efforts to improve the accounting pipeline have increasingly focused on the</w:t>
      </w:r>
      <w:r>
        <w:rPr>
          <w:spacing w:val="40"/>
        </w:rPr>
        <w:t> </w:t>
      </w:r>
      <w:r>
        <w:rPr/>
        <w:t>accessibility</w:t>
      </w:r>
      <w:r>
        <w:rPr>
          <w:spacing w:val="-3"/>
        </w:rPr>
        <w:t> </w:t>
      </w:r>
      <w:r>
        <w:rPr/>
        <w:t>of</w:t>
      </w:r>
      <w:r>
        <w:rPr>
          <w:spacing w:val="-3"/>
        </w:rPr>
        <w:t> </w:t>
      </w:r>
      <w:r>
        <w:rPr/>
        <w:t>the CPA licensure process. While many speculate that the growing lack of</w:t>
      </w:r>
      <w:r>
        <w:rPr>
          <w:spacing w:val="40"/>
        </w:rPr>
        <w:t> </w:t>
      </w:r>
      <w:r>
        <w:rPr/>
        <w:t>interest in pursuing accounting is due to the rigors of</w:t>
      </w:r>
      <w:r>
        <w:rPr>
          <w:spacing w:val="-4"/>
        </w:rPr>
        <w:t> </w:t>
      </w:r>
      <w:r>
        <w:rPr/>
        <w:t>the</w:t>
      </w:r>
      <w:r>
        <w:rPr>
          <w:spacing w:val="-4"/>
        </w:rPr>
        <w:t> </w:t>
      </w:r>
      <w:r>
        <w:rPr/>
        <w:t>CPA</w:t>
      </w:r>
      <w:r>
        <w:rPr>
          <w:spacing w:val="-4"/>
        </w:rPr>
        <w:t> </w:t>
      </w:r>
      <w:r>
        <w:rPr/>
        <w:t>Exam,</w:t>
      </w:r>
      <w:r>
        <w:rPr>
          <w:spacing w:val="-4"/>
        </w:rPr>
        <w:t> </w:t>
      </w:r>
      <w:r>
        <w:rPr/>
        <w:t>others</w:t>
      </w:r>
      <w:r>
        <w:rPr>
          <w:spacing w:val="-4"/>
        </w:rPr>
        <w:t> </w:t>
      </w:r>
      <w:r>
        <w:rPr/>
        <w:t>worry</w:t>
      </w:r>
      <w:r>
        <w:rPr>
          <w:spacing w:val="-4"/>
        </w:rPr>
        <w:t> </w:t>
      </w:r>
      <w:r>
        <w:rPr/>
        <w:t>that</w:t>
      </w:r>
      <w:r>
        <w:rPr>
          <w:spacing w:val="-4"/>
        </w:rPr>
        <w:t> </w:t>
      </w:r>
      <w:r>
        <w:rPr/>
        <w:t>too</w:t>
      </w:r>
      <w:r>
        <w:rPr>
          <w:spacing w:val="40"/>
        </w:rPr>
        <w:t> </w:t>
      </w:r>
      <w:r>
        <w:rPr/>
        <w:t>many</w:t>
      </w:r>
      <w:r>
        <w:rPr>
          <w:spacing w:val="-4"/>
        </w:rPr>
        <w:t> </w:t>
      </w:r>
      <w:r>
        <w:rPr/>
        <w:t>modifications</w:t>
      </w:r>
      <w:r>
        <w:rPr>
          <w:spacing w:val="-4"/>
        </w:rPr>
        <w:t> </w:t>
      </w:r>
      <w:r>
        <w:rPr/>
        <w:t>may lower the level of competence required to become a professional</w:t>
      </w:r>
      <w:r>
        <w:rPr>
          <w:spacing w:val="80"/>
        </w:rPr>
        <w:t> </w:t>
      </w:r>
      <w:r>
        <w:rPr/>
        <w:t>accountant (Dawkins,</w:t>
      </w:r>
      <w:r>
        <w:rPr>
          <w:spacing w:val="-3"/>
        </w:rPr>
        <w:t> </w:t>
      </w:r>
      <w:r>
        <w:rPr/>
        <w:t>Dugan, &amp; Muriel, 2024). In a survey conducted by Comunale et al.</w:t>
      </w:r>
      <w:r>
        <w:rPr>
          <w:spacing w:val="40"/>
        </w:rPr>
        <w:t> </w:t>
      </w:r>
      <w:r>
        <w:rPr/>
        <w:t>(2023), participants identified the 150-credit-hour requirement for the CPA licensure as a</w:t>
      </w:r>
      <w:r>
        <w:rPr>
          <w:spacing w:val="40"/>
        </w:rPr>
        <w:t> </w:t>
      </w:r>
      <w:r>
        <w:rPr/>
        <w:t>barrier to considering the accounting pathway and believed that passing the exam was merely</w:t>
      </w:r>
      <w:r>
        <w:rPr>
          <w:spacing w:val="40"/>
        </w:rPr>
        <w:t> </w:t>
      </w:r>
      <w:r>
        <w:rPr/>
        <w:t>another prerequisite for entering the profession. Since a fifth year of college, typically used to</w:t>
      </w:r>
      <w:r>
        <w:rPr>
          <w:spacing w:val="40"/>
        </w:rPr>
        <w:t> </w:t>
      </w:r>
      <w:r>
        <w:rPr/>
        <w:t>obtain a master’s degree, is the most common way for students to fulfill the 150-credit</w:t>
      </w:r>
      <w:r>
        <w:rPr>
          <w:spacing w:val="40"/>
        </w:rPr>
        <w:t> </w:t>
      </w:r>
      <w:r>
        <w:rPr/>
        <w:t>requirement, many view it as a major contributor to the shortage of accountants</w:t>
      </w:r>
      <w:r>
        <w:rPr>
          <w:spacing w:val="-2"/>
        </w:rPr>
        <w:t> </w:t>
      </w:r>
      <w:r>
        <w:rPr/>
        <w:t>(Dresnack,</w:t>
      </w:r>
      <w:r>
        <w:rPr>
          <w:spacing w:val="40"/>
        </w:rPr>
        <w:t> </w:t>
      </w:r>
      <w:r>
        <w:rPr/>
        <w:t>2022).</w:t>
      </w:r>
      <w:r>
        <w:rPr>
          <w:spacing w:val="-2"/>
        </w:rPr>
        <w:t> </w:t>
      </w:r>
      <w:r>
        <w:rPr/>
        <w:t>Although</w:t>
      </w:r>
      <w:r>
        <w:rPr>
          <w:spacing w:val="-2"/>
        </w:rPr>
        <w:t> </w:t>
      </w:r>
      <w:r>
        <w:rPr/>
        <w:t>many</w:t>
      </w:r>
      <w:r>
        <w:rPr>
          <w:spacing w:val="-2"/>
        </w:rPr>
        <w:t> </w:t>
      </w:r>
      <w:r>
        <w:rPr/>
        <w:t>states</w:t>
      </w:r>
      <w:r>
        <w:rPr>
          <w:spacing w:val="-2"/>
        </w:rPr>
        <w:t> </w:t>
      </w:r>
      <w:r>
        <w:rPr/>
        <w:t>have</w:t>
      </w:r>
      <w:r>
        <w:rPr>
          <w:spacing w:val="-2"/>
        </w:rPr>
        <w:t> </w:t>
      </w:r>
      <w:r>
        <w:rPr/>
        <w:t>already begun to shift away from this 150-hour</w:t>
      </w:r>
      <w:r>
        <w:rPr>
          <w:spacing w:val="40"/>
        </w:rPr>
        <w:t> </w:t>
      </w:r>
      <w:r>
        <w:rPr/>
        <w:t>requirement, the Uniform Accountancy Act (UAA) Model Rules have emphasized the need</w:t>
      </w:r>
      <w:r>
        <w:rPr>
          <w:spacing w:val="40"/>
        </w:rPr>
        <w:t> </w:t>
      </w:r>
      <w:r>
        <w:rPr/>
        <w:t>to promote practical learning in higher education by incorporating internships into curricula</w:t>
      </w:r>
      <w:r>
        <w:rPr>
          <w:spacing w:val="40"/>
        </w:rPr>
        <w:t> </w:t>
      </w:r>
      <w:r>
        <w:rPr/>
        <w:t>to uphold technical proficiency (Tucci, 2024).</w:t>
      </w:r>
    </w:p>
    <w:p>
      <w:pPr>
        <w:pStyle w:val="BodyText"/>
        <w:spacing w:line="276" w:lineRule="auto" w:before="160"/>
        <w:ind w:left="720" w:right="1438"/>
        <w:jc w:val="both"/>
      </w:pPr>
      <w:r>
        <w:rPr/>
        <w:t>Additionally, organizations such as the National Association of State Boards of</w:t>
      </w:r>
      <w:r>
        <w:rPr>
          <w:spacing w:val="40"/>
        </w:rPr>
        <w:t> </w:t>
      </w:r>
      <w:r>
        <w:rPr/>
        <w:t>Accountancy (NASBA) and the AICPA have made strong efforts to increase candidates’</w:t>
      </w:r>
      <w:r>
        <w:rPr>
          <w:spacing w:val="40"/>
        </w:rPr>
        <w:t> </w:t>
      </w:r>
      <w:r>
        <w:rPr/>
        <w:t>access to meet the 150-credit-hour requirement through scholarships and financial aid (Tucci, 2024). Additional changes to the existing CPA exam may occur, and as noted by Johnson,</w:t>
      </w:r>
      <w:r>
        <w:rPr>
          <w:spacing w:val="80"/>
        </w:rPr>
        <w:t> </w:t>
      </w:r>
      <w:r>
        <w:rPr/>
        <w:t>Lang, &amp; Mauldin (2024), changes may increase interest among non-accounting majors who</w:t>
      </w:r>
      <w:r>
        <w:rPr>
          <w:spacing w:val="40"/>
        </w:rPr>
        <w:t> </w:t>
      </w:r>
      <w:r>
        <w:rPr/>
        <w:t>express curiosity in</w:t>
      </w:r>
      <w:r>
        <w:rPr>
          <w:spacing w:val="40"/>
        </w:rPr>
        <w:t> </w:t>
      </w:r>
      <w:r>
        <w:rPr/>
        <w:t>the</w:t>
      </w:r>
      <w:r>
        <w:rPr>
          <w:spacing w:val="-5"/>
        </w:rPr>
        <w:t> </w:t>
      </w:r>
      <w:r>
        <w:rPr/>
        <w:t>field.</w:t>
      </w:r>
      <w:r>
        <w:rPr>
          <w:spacing w:val="-5"/>
        </w:rPr>
        <w:t> </w:t>
      </w:r>
      <w:r>
        <w:rPr/>
        <w:t>This</w:t>
      </w:r>
      <w:r>
        <w:rPr>
          <w:spacing w:val="-5"/>
        </w:rPr>
        <w:t> </w:t>
      </w:r>
      <w:r>
        <w:rPr/>
        <w:t>curiosity,</w:t>
      </w:r>
      <w:r>
        <w:rPr>
          <w:spacing w:val="-5"/>
        </w:rPr>
        <w:t> </w:t>
      </w:r>
      <w:r>
        <w:rPr/>
        <w:t>however,</w:t>
      </w:r>
      <w:r>
        <w:rPr>
          <w:spacing w:val="-5"/>
        </w:rPr>
        <w:t> </w:t>
      </w:r>
      <w:r>
        <w:rPr/>
        <w:t>may</w:t>
      </w:r>
      <w:r>
        <w:rPr>
          <w:spacing w:val="-5"/>
        </w:rPr>
        <w:t> </w:t>
      </w:r>
      <w:r>
        <w:rPr/>
        <w:t>quickly</w:t>
      </w:r>
      <w:r>
        <w:rPr>
          <w:spacing w:val="-5"/>
        </w:rPr>
        <w:t> </w:t>
      </w:r>
      <w:r>
        <w:rPr/>
        <w:t>diminish</w:t>
      </w:r>
      <w:r>
        <w:rPr>
          <w:spacing w:val="-5"/>
        </w:rPr>
        <w:t> </w:t>
      </w:r>
      <w:r>
        <w:rPr/>
        <w:t>as</w:t>
      </w:r>
      <w:r>
        <w:rPr>
          <w:spacing w:val="-5"/>
        </w:rPr>
        <w:t> </w:t>
      </w:r>
      <w:r>
        <w:rPr/>
        <w:t>students</w:t>
      </w:r>
      <w:r>
        <w:rPr>
          <w:spacing w:val="-5"/>
        </w:rPr>
        <w:t> </w:t>
      </w:r>
      <w:r>
        <w:rPr/>
        <w:t>learn</w:t>
      </w:r>
      <w:r>
        <w:rPr>
          <w:spacing w:val="40"/>
        </w:rPr>
        <w:t> </w:t>
      </w:r>
      <w:r>
        <w:rPr/>
        <w:t>about</w:t>
      </w:r>
      <w:r>
        <w:rPr>
          <w:spacing w:val="-5"/>
        </w:rPr>
        <w:t> </w:t>
      </w:r>
      <w:r>
        <w:rPr/>
        <w:t>the</w:t>
      </w:r>
      <w:r>
        <w:rPr>
          <w:spacing w:val="-5"/>
        </w:rPr>
        <w:t> </w:t>
      </w:r>
      <w:r>
        <w:rPr/>
        <w:t>challenges</w:t>
      </w:r>
      <w:r>
        <w:rPr>
          <w:spacing w:val="-5"/>
        </w:rPr>
        <w:t> </w:t>
      </w:r>
      <w:r>
        <w:rPr/>
        <w:t>of passing the CPA</w:t>
      </w:r>
      <w:r>
        <w:rPr>
          <w:spacing w:val="-4"/>
        </w:rPr>
        <w:t> </w:t>
      </w:r>
      <w:r>
        <w:rPr/>
        <w:t>exam</w:t>
      </w:r>
      <w:r>
        <w:rPr>
          <w:spacing w:val="-4"/>
        </w:rPr>
        <w:t> </w:t>
      </w:r>
      <w:r>
        <w:rPr/>
        <w:t>(Dresnack,</w:t>
      </w:r>
      <w:r>
        <w:rPr>
          <w:spacing w:val="-4"/>
        </w:rPr>
        <w:t> </w:t>
      </w:r>
      <w:r>
        <w:rPr/>
        <w:t>2022),</w:t>
      </w:r>
      <w:r>
        <w:rPr>
          <w:spacing w:val="-4"/>
        </w:rPr>
        <w:t> </w:t>
      </w:r>
      <w:r>
        <w:rPr/>
        <w:t>discouraging</w:t>
      </w:r>
      <w:r>
        <w:rPr>
          <w:spacing w:val="-4"/>
        </w:rPr>
        <w:t> </w:t>
      </w:r>
      <w:r>
        <w:rPr/>
        <w:t>them</w:t>
      </w:r>
      <w:r>
        <w:rPr>
          <w:spacing w:val="-4"/>
        </w:rPr>
        <w:t> </w:t>
      </w:r>
      <w:r>
        <w:rPr/>
        <w:t>from</w:t>
      </w:r>
      <w:r>
        <w:rPr>
          <w:spacing w:val="-4"/>
        </w:rPr>
        <w:t> </w:t>
      </w:r>
      <w:r>
        <w:rPr/>
        <w:t>the</w:t>
      </w:r>
      <w:r>
        <w:rPr>
          <w:spacing w:val="40"/>
        </w:rPr>
        <w:t> </w:t>
      </w:r>
      <w:r>
        <w:rPr/>
        <w:t>accounting</w:t>
      </w:r>
      <w:r>
        <w:rPr>
          <w:spacing w:val="-4"/>
        </w:rPr>
        <w:t> </w:t>
      </w:r>
      <w:r>
        <w:rPr/>
        <w:t>profession</w:t>
      </w:r>
      <w:r>
        <w:rPr>
          <w:spacing w:val="-4"/>
        </w:rPr>
        <w:t> </w:t>
      </w:r>
      <w:r>
        <w:rPr/>
        <w:t>as</w:t>
      </w:r>
      <w:r>
        <w:rPr>
          <w:spacing w:val="-4"/>
        </w:rPr>
        <w:t> </w:t>
      </w:r>
      <w:r>
        <w:rPr/>
        <w:t>a whole. To prepare students for the rigor of taking and passing the</w:t>
      </w:r>
      <w:r>
        <w:rPr>
          <w:spacing w:val="80"/>
        </w:rPr>
        <w:t> </w:t>
      </w:r>
      <w:r>
        <w:rPr/>
        <w:t>CPA exam, one study proposes developing an advanced placement accounting course,</w:t>
      </w:r>
      <w:r>
        <w:rPr>
          <w:spacing w:val="40"/>
        </w:rPr>
        <w:t> </w:t>
      </w:r>
      <w:r>
        <w:rPr/>
        <w:t>offered by the College Board (Ugrin &amp; Honn, 2018). In response to the rapidly changing</w:t>
      </w:r>
      <w:r>
        <w:rPr>
          <w:spacing w:val="40"/>
        </w:rPr>
        <w:t> </w:t>
      </w:r>
      <w:r>
        <w:rPr/>
        <w:t>nature of the</w:t>
      </w:r>
      <w:r>
        <w:rPr>
          <w:spacing w:val="-3"/>
        </w:rPr>
        <w:t> </w:t>
      </w:r>
      <w:r>
        <w:rPr/>
        <w:t>accounting</w:t>
      </w:r>
      <w:r>
        <w:rPr>
          <w:spacing w:val="-3"/>
        </w:rPr>
        <w:t> </w:t>
      </w:r>
      <w:r>
        <w:rPr/>
        <w:t>profession requirements, the AICPA and the NASBA have come</w:t>
      </w:r>
      <w:r>
        <w:rPr>
          <w:spacing w:val="40"/>
        </w:rPr>
        <w:t> </w:t>
      </w:r>
      <w:r>
        <w:rPr/>
        <w:t>together</w:t>
      </w:r>
      <w:r>
        <w:rPr>
          <w:spacing w:val="-5"/>
        </w:rPr>
        <w:t> </w:t>
      </w:r>
      <w:r>
        <w:rPr/>
        <w:t>to</w:t>
      </w:r>
      <w:r>
        <w:rPr>
          <w:spacing w:val="-5"/>
        </w:rPr>
        <w:t> </w:t>
      </w:r>
      <w:r>
        <w:rPr/>
        <w:t>develop</w:t>
      </w:r>
      <w:r>
        <w:rPr>
          <w:spacing w:val="-5"/>
        </w:rPr>
        <w:t> </w:t>
      </w:r>
      <w:r>
        <w:rPr/>
        <w:t>the</w:t>
      </w:r>
      <w:r>
        <w:rPr>
          <w:spacing w:val="-5"/>
        </w:rPr>
        <w:t> </w:t>
      </w:r>
      <w:r>
        <w:rPr/>
        <w:t>CPA</w:t>
      </w:r>
      <w:r>
        <w:rPr>
          <w:spacing w:val="-5"/>
        </w:rPr>
        <w:t> </w:t>
      </w:r>
      <w:r>
        <w:rPr/>
        <w:t>Evolution,</w:t>
      </w:r>
      <w:r>
        <w:rPr>
          <w:spacing w:val="-5"/>
        </w:rPr>
        <w:t> </w:t>
      </w:r>
      <w:r>
        <w:rPr/>
        <w:t>a model</w:t>
      </w:r>
      <w:r>
        <w:rPr>
          <w:spacing w:val="40"/>
        </w:rPr>
        <w:t> </w:t>
      </w:r>
      <w:r>
        <w:rPr/>
        <w:t>that</w:t>
      </w:r>
      <w:r>
        <w:rPr>
          <w:spacing w:val="40"/>
        </w:rPr>
        <w:t> </w:t>
      </w:r>
      <w:r>
        <w:rPr/>
        <w:t>includes</w:t>
      </w:r>
      <w:r>
        <w:rPr>
          <w:spacing w:val="40"/>
        </w:rPr>
        <w:t> </w:t>
      </w:r>
      <w:r>
        <w:rPr/>
        <w:t>three core</w:t>
      </w:r>
      <w:r>
        <w:rPr>
          <w:spacing w:val="80"/>
        </w:rPr>
        <w:t> </w:t>
      </w:r>
      <w:r>
        <w:rPr/>
        <w:t>sections—accounting, auditing, and tax—and a fourth section that allows candidates to select</w:t>
      </w:r>
      <w:r>
        <w:rPr>
          <w:spacing w:val="40"/>
        </w:rPr>
        <w:t> </w:t>
      </w:r>
      <w:r>
        <w:rPr/>
        <w:t>a discipline of their choice. Promoting this change in</w:t>
      </w:r>
      <w:r>
        <w:rPr>
          <w:spacing w:val="-3"/>
        </w:rPr>
        <w:t> </w:t>
      </w:r>
      <w:r>
        <w:rPr/>
        <w:t>how</w:t>
      </w:r>
      <w:r>
        <w:rPr>
          <w:spacing w:val="-3"/>
        </w:rPr>
        <w:t> </w:t>
      </w:r>
      <w:r>
        <w:rPr/>
        <w:t>CPA licensure is obtained has the</w:t>
      </w:r>
      <w:r>
        <w:rPr>
          <w:spacing w:val="40"/>
        </w:rPr>
        <w:t> </w:t>
      </w:r>
      <w:r>
        <w:rPr/>
        <w:t>potential to increase interest in careers in public accounting, particularly among</w:t>
      </w:r>
      <w:r>
        <w:rPr>
          <w:spacing w:val="80"/>
        </w:rPr>
        <w:t> </w:t>
      </w:r>
      <w:r>
        <w:rPr/>
        <w:t>non-accounting majors (Johnson et al. 2024). Existing literature also suggests building value</w:t>
      </w:r>
      <w:r>
        <w:rPr>
          <w:spacing w:val="40"/>
        </w:rPr>
        <w:t> </w:t>
      </w:r>
      <w:r>
        <w:rPr/>
        <w:t>in the accounting curriculum by highlighting a dual certification that pairs the CPA</w:t>
      </w:r>
      <w:r>
        <w:rPr>
          <w:spacing w:val="40"/>
        </w:rPr>
        <w:t> </w:t>
      </w:r>
      <w:r>
        <w:rPr/>
        <w:t>certification with the</w:t>
      </w:r>
      <w:r>
        <w:rPr>
          <w:spacing w:val="-4"/>
        </w:rPr>
        <w:t> </w:t>
      </w:r>
      <w:r>
        <w:rPr/>
        <w:t>Information</w:t>
      </w:r>
      <w:r>
        <w:rPr>
          <w:spacing w:val="-4"/>
        </w:rPr>
        <w:t> </w:t>
      </w:r>
      <w:r>
        <w:rPr/>
        <w:t>Systems</w:t>
      </w:r>
      <w:r>
        <w:rPr>
          <w:spacing w:val="-4"/>
        </w:rPr>
        <w:t> </w:t>
      </w:r>
      <w:r>
        <w:rPr/>
        <w:t>and</w:t>
      </w:r>
      <w:r>
        <w:rPr>
          <w:spacing w:val="-4"/>
        </w:rPr>
        <w:t> </w:t>
      </w:r>
      <w:r>
        <w:rPr/>
        <w:t>Controls</w:t>
      </w:r>
      <w:r>
        <w:rPr>
          <w:spacing w:val="-4"/>
        </w:rPr>
        <w:t> </w:t>
      </w:r>
      <w:r>
        <w:rPr/>
        <w:t>(ISC)</w:t>
      </w:r>
      <w:r>
        <w:rPr>
          <w:spacing w:val="-4"/>
        </w:rPr>
        <w:t> </w:t>
      </w:r>
      <w:r>
        <w:rPr/>
        <w:t>Discipline,</w:t>
      </w:r>
      <w:r>
        <w:rPr>
          <w:spacing w:val="-4"/>
        </w:rPr>
        <w:t> </w:t>
      </w:r>
      <w:r>
        <w:rPr/>
        <w:t>and</w:t>
      </w:r>
      <w:r>
        <w:rPr>
          <w:spacing w:val="-4"/>
        </w:rPr>
        <w:t> </w:t>
      </w:r>
      <w:r>
        <w:rPr/>
        <w:t>the Certified</w:t>
      </w:r>
      <w:r>
        <w:rPr>
          <w:spacing w:val="40"/>
        </w:rPr>
        <w:t> </w:t>
      </w:r>
      <w:r>
        <w:rPr/>
        <w:t>Information</w:t>
      </w:r>
      <w:r>
        <w:rPr>
          <w:spacing w:val="-2"/>
        </w:rPr>
        <w:t> </w:t>
      </w:r>
      <w:r>
        <w:rPr/>
        <w:t>Systems</w:t>
      </w:r>
      <w:r>
        <w:rPr>
          <w:spacing w:val="-2"/>
        </w:rPr>
        <w:t> </w:t>
      </w:r>
      <w:r>
        <w:rPr/>
        <w:t>Auditor</w:t>
      </w:r>
      <w:r>
        <w:rPr>
          <w:spacing w:val="-2"/>
        </w:rPr>
        <w:t> </w:t>
      </w:r>
      <w:r>
        <w:rPr/>
        <w:t>(CISA)</w:t>
      </w:r>
      <w:r>
        <w:rPr>
          <w:spacing w:val="-2"/>
        </w:rPr>
        <w:t> </w:t>
      </w:r>
      <w:r>
        <w:rPr/>
        <w:t>certification,</w:t>
      </w:r>
      <w:r>
        <w:rPr>
          <w:spacing w:val="-2"/>
        </w:rPr>
        <w:t> </w:t>
      </w:r>
      <w:r>
        <w:rPr/>
        <w:t>as</w:t>
      </w:r>
      <w:r>
        <w:rPr>
          <w:spacing w:val="-2"/>
        </w:rPr>
        <w:t> </w:t>
      </w:r>
      <w:r>
        <w:rPr/>
        <w:t>content</w:t>
      </w:r>
      <w:r>
        <w:rPr>
          <w:spacing w:val="-2"/>
        </w:rPr>
        <w:t> </w:t>
      </w:r>
      <w:r>
        <w:rPr/>
        <w:t>tends</w:t>
      </w:r>
      <w:r>
        <w:rPr>
          <w:spacing w:val="-2"/>
        </w:rPr>
        <w:t> </w:t>
      </w:r>
      <w:r>
        <w:rPr/>
        <w:t>to</w:t>
      </w:r>
      <w:r>
        <w:rPr>
          <w:spacing w:val="-2"/>
        </w:rPr>
        <w:t> </w:t>
      </w:r>
      <w:r>
        <w:rPr/>
        <w:t>overlap</w:t>
      </w:r>
      <w:r>
        <w:rPr>
          <w:spacing w:val="-2"/>
        </w:rPr>
        <w:t> </w:t>
      </w:r>
      <w:r>
        <w:rPr/>
        <w:t>(Adams, Hines, Naegle, Ravenscraft, &amp; Tassin, 2025). The benefit in doing this would be to</w:t>
      </w:r>
      <w:r>
        <w:rPr>
          <w:spacing w:val="40"/>
        </w:rPr>
        <w:t> </w:t>
      </w:r>
      <w:r>
        <w:rPr/>
        <w:t>encourage and</w:t>
      </w:r>
      <w:r>
        <w:rPr>
          <w:spacing w:val="29"/>
        </w:rPr>
        <w:t> </w:t>
      </w:r>
      <w:r>
        <w:rPr/>
        <w:t>support</w:t>
      </w:r>
      <w:r>
        <w:rPr>
          <w:spacing w:val="30"/>
        </w:rPr>
        <w:t> </w:t>
      </w:r>
      <w:r>
        <w:rPr/>
        <w:t>undergraduate</w:t>
      </w:r>
      <w:r>
        <w:rPr>
          <w:spacing w:val="29"/>
        </w:rPr>
        <w:t> </w:t>
      </w:r>
      <w:r>
        <w:rPr/>
        <w:t>students</w:t>
      </w:r>
      <w:r>
        <w:rPr>
          <w:spacing w:val="30"/>
        </w:rPr>
        <w:t> </w:t>
      </w:r>
      <w:r>
        <w:rPr/>
        <w:t>in</w:t>
      </w:r>
      <w:r>
        <w:rPr>
          <w:spacing w:val="30"/>
        </w:rPr>
        <w:t> </w:t>
      </w:r>
      <w:r>
        <w:rPr/>
        <w:t>obtaining</w:t>
      </w:r>
      <w:r>
        <w:rPr>
          <w:spacing w:val="29"/>
        </w:rPr>
        <w:t> </w:t>
      </w:r>
      <w:r>
        <w:rPr/>
        <w:t>the</w:t>
      </w:r>
      <w:r>
        <w:rPr>
          <w:spacing w:val="30"/>
        </w:rPr>
        <w:t> </w:t>
      </w:r>
      <w:r>
        <w:rPr/>
        <w:t>CISA</w:t>
      </w:r>
      <w:r>
        <w:rPr>
          <w:spacing w:val="30"/>
        </w:rPr>
        <w:t> </w:t>
      </w:r>
      <w:r>
        <w:rPr/>
        <w:t>certification</w:t>
      </w:r>
      <w:r>
        <w:rPr>
          <w:spacing w:val="29"/>
        </w:rPr>
        <w:t> </w:t>
      </w:r>
      <w:r>
        <w:rPr/>
        <w:t>as</w:t>
      </w:r>
      <w:r>
        <w:rPr>
          <w:spacing w:val="30"/>
        </w:rPr>
        <w:t> </w:t>
      </w:r>
      <w:r>
        <w:rPr/>
        <w:t>seniors</w:t>
      </w:r>
      <w:r>
        <w:rPr>
          <w:spacing w:val="74"/>
          <w:w w:val="150"/>
        </w:rPr>
        <w:t> </w:t>
      </w:r>
      <w:r>
        <w:rPr/>
        <w:t>and</w:t>
      </w:r>
      <w:r>
        <w:rPr>
          <w:spacing w:val="15"/>
        </w:rPr>
        <w:t> </w:t>
      </w:r>
      <w:r>
        <w:rPr/>
        <w:t>to</w:t>
      </w:r>
      <w:r>
        <w:rPr>
          <w:spacing w:val="15"/>
        </w:rPr>
        <w:t> </w:t>
      </w:r>
      <w:r>
        <w:rPr>
          <w:spacing w:val="-4"/>
        </w:rPr>
        <w:t>gain</w:t>
      </w:r>
    </w:p>
    <w:p>
      <w:pPr>
        <w:pStyle w:val="BodyText"/>
        <w:spacing w:after="0" w:line="276" w:lineRule="auto"/>
        <w:jc w:val="both"/>
        <w:sectPr>
          <w:pgSz w:w="12240" w:h="15840"/>
          <w:pgMar w:header="0" w:footer="750" w:top="640" w:bottom="960" w:left="720" w:right="0"/>
        </w:sectPr>
      </w:pPr>
    </w:p>
    <w:p>
      <w:pPr>
        <w:pStyle w:val="BodyText"/>
        <w:spacing w:before="60"/>
        <w:ind w:left="720"/>
      </w:pPr>
      <w:r>
        <w:rPr/>
        <w:t>confidence</w:t>
      </w:r>
      <w:r>
        <w:rPr>
          <w:spacing w:val="-3"/>
        </w:rPr>
        <w:t> </w:t>
      </w:r>
      <w:r>
        <w:rPr/>
        <w:t>in</w:t>
      </w:r>
      <w:r>
        <w:rPr>
          <w:spacing w:val="-3"/>
        </w:rPr>
        <w:t> </w:t>
      </w:r>
      <w:r>
        <w:rPr/>
        <w:t>their</w:t>
      </w:r>
      <w:r>
        <w:rPr>
          <w:spacing w:val="-2"/>
        </w:rPr>
        <w:t> </w:t>
      </w:r>
      <w:r>
        <w:rPr/>
        <w:t>ability</w:t>
      </w:r>
      <w:r>
        <w:rPr>
          <w:spacing w:val="-3"/>
        </w:rPr>
        <w:t> </w:t>
      </w:r>
      <w:r>
        <w:rPr/>
        <w:t>to</w:t>
      </w:r>
      <w:r>
        <w:rPr>
          <w:spacing w:val="-2"/>
        </w:rPr>
        <w:t> </w:t>
      </w:r>
      <w:r>
        <w:rPr/>
        <w:t>pass</w:t>
      </w:r>
      <w:r>
        <w:rPr>
          <w:spacing w:val="-3"/>
        </w:rPr>
        <w:t> </w:t>
      </w:r>
      <w:r>
        <w:rPr/>
        <w:t>the</w:t>
      </w:r>
      <w:r>
        <w:rPr>
          <w:spacing w:val="-2"/>
        </w:rPr>
        <w:t> </w:t>
      </w:r>
      <w:r>
        <w:rPr/>
        <w:t>CPA-ISC</w:t>
      </w:r>
      <w:r>
        <w:rPr>
          <w:spacing w:val="-3"/>
        </w:rPr>
        <w:t> </w:t>
      </w:r>
      <w:r>
        <w:rPr/>
        <w:t>discipline</w:t>
      </w:r>
      <w:r>
        <w:rPr>
          <w:spacing w:val="-2"/>
        </w:rPr>
        <w:t> exam.</w:t>
      </w:r>
    </w:p>
    <w:p>
      <w:pPr>
        <w:pStyle w:val="Heading4"/>
        <w:spacing w:before="202"/>
        <w:ind w:left="720"/>
      </w:pPr>
      <w:r>
        <w:rPr/>
        <w:t>Promoting</w:t>
      </w:r>
      <w:r>
        <w:rPr>
          <w:spacing w:val="-1"/>
        </w:rPr>
        <w:t> </w:t>
      </w:r>
      <w:r>
        <w:rPr/>
        <w:t>Diversity</w:t>
      </w:r>
      <w:r>
        <w:rPr>
          <w:spacing w:val="-1"/>
        </w:rPr>
        <w:t> </w:t>
      </w:r>
      <w:r>
        <w:rPr/>
        <w:t>in</w:t>
      </w:r>
      <w:r>
        <w:rPr>
          <w:spacing w:val="-1"/>
        </w:rPr>
        <w:t> </w:t>
      </w:r>
      <w:r>
        <w:rPr/>
        <w:t>the</w:t>
      </w:r>
      <w:r>
        <w:rPr>
          <w:spacing w:val="-1"/>
        </w:rPr>
        <w:t> </w:t>
      </w:r>
      <w:r>
        <w:rPr/>
        <w:t>Accounting</w:t>
      </w:r>
      <w:r>
        <w:rPr>
          <w:spacing w:val="-1"/>
        </w:rPr>
        <w:t> </w:t>
      </w:r>
      <w:r>
        <w:rPr>
          <w:spacing w:val="-2"/>
        </w:rPr>
        <w:t>Community</w:t>
      </w:r>
    </w:p>
    <w:p>
      <w:pPr>
        <w:pStyle w:val="BodyText"/>
        <w:spacing w:line="276" w:lineRule="auto" w:before="201"/>
        <w:ind w:left="720" w:right="1439"/>
        <w:jc w:val="both"/>
      </w:pPr>
      <w:r>
        <w:rPr/>
        <w:t>To</w:t>
      </w:r>
      <w:r>
        <w:rPr>
          <w:spacing w:val="-4"/>
        </w:rPr>
        <w:t> </w:t>
      </w:r>
      <w:r>
        <w:rPr/>
        <w:t>strengthen</w:t>
      </w:r>
      <w:r>
        <w:rPr>
          <w:spacing w:val="-4"/>
        </w:rPr>
        <w:t> </w:t>
      </w:r>
      <w:r>
        <w:rPr/>
        <w:t>the</w:t>
      </w:r>
      <w:r>
        <w:rPr>
          <w:spacing w:val="-4"/>
        </w:rPr>
        <w:t> </w:t>
      </w:r>
      <w:r>
        <w:rPr/>
        <w:t>pipeline,</w:t>
      </w:r>
      <w:r>
        <w:rPr>
          <w:spacing w:val="-4"/>
        </w:rPr>
        <w:t> </w:t>
      </w:r>
      <w:r>
        <w:rPr/>
        <w:t>recruitment</w:t>
      </w:r>
      <w:r>
        <w:rPr>
          <w:spacing w:val="-4"/>
        </w:rPr>
        <w:t> </w:t>
      </w:r>
      <w:r>
        <w:rPr/>
        <w:t>efforts</w:t>
      </w:r>
      <w:r>
        <w:rPr>
          <w:spacing w:val="-4"/>
        </w:rPr>
        <w:t> </w:t>
      </w:r>
      <w:r>
        <w:rPr/>
        <w:t>have</w:t>
      </w:r>
      <w:r>
        <w:rPr>
          <w:spacing w:val="-4"/>
        </w:rPr>
        <w:t> </w:t>
      </w:r>
      <w:r>
        <w:rPr/>
        <w:t>focused</w:t>
      </w:r>
      <w:r>
        <w:rPr>
          <w:spacing w:val="-4"/>
        </w:rPr>
        <w:t> </w:t>
      </w:r>
      <w:r>
        <w:rPr/>
        <w:t>on</w:t>
      </w:r>
      <w:r>
        <w:rPr>
          <w:spacing w:val="-4"/>
        </w:rPr>
        <w:t> </w:t>
      </w:r>
      <w:r>
        <w:rPr/>
        <w:t>addressing</w:t>
      </w:r>
      <w:r>
        <w:rPr>
          <w:spacing w:val="-4"/>
        </w:rPr>
        <w:t> </w:t>
      </w:r>
      <w:r>
        <w:rPr/>
        <w:t>and</w:t>
      </w:r>
      <w:r>
        <w:rPr>
          <w:spacing w:val="40"/>
        </w:rPr>
        <w:t> </w:t>
      </w:r>
      <w:r>
        <w:rPr/>
        <w:t>removing</w:t>
      </w:r>
      <w:r>
        <w:rPr>
          <w:spacing w:val="-4"/>
        </w:rPr>
        <w:t> </w:t>
      </w:r>
      <w:r>
        <w:rPr/>
        <w:t>barriers for marginalized communities. Organizations such as the AICPA, NABA,</w:t>
      </w:r>
      <w:r>
        <w:rPr>
          <w:spacing w:val="40"/>
        </w:rPr>
        <w:t> </w:t>
      </w:r>
      <w:r>
        <w:rPr/>
        <w:t>and Association of Latino Professionals in Finance and Accounting (ALPFA) have taken initiatives to </w:t>
      </w:r>
      <w:r>
        <w:rPr/>
        <w:t>improve minority representation within the accounting profession (Gabre,</w:t>
      </w:r>
      <w:r>
        <w:rPr>
          <w:spacing w:val="40"/>
        </w:rPr>
        <w:t> </w:t>
      </w:r>
      <w:r>
        <w:rPr/>
        <w:t>Flesher, &amp; Ross, 2015). To address the pipeline issue, Gabre et al. (2015) note the</w:t>
      </w:r>
      <w:r>
        <w:rPr>
          <w:spacing w:val="40"/>
        </w:rPr>
        <w:t> </w:t>
      </w:r>
      <w:r>
        <w:rPr/>
        <w:t>significance of role models. Over the years, leaders within the accounting profession have</w:t>
      </w:r>
      <w:r>
        <w:rPr>
          <w:spacing w:val="40"/>
        </w:rPr>
        <w:t> </w:t>
      </w:r>
      <w:r>
        <w:rPr/>
        <w:t>taken diversity initiatives more seriously,</w:t>
      </w:r>
      <w:r>
        <w:rPr>
          <w:spacing w:val="40"/>
        </w:rPr>
        <w:t> </w:t>
      </w:r>
      <w:r>
        <w:rPr/>
        <w:t>an example being the increase in the number of</w:t>
      </w:r>
      <w:r>
        <w:rPr>
          <w:spacing w:val="40"/>
        </w:rPr>
        <w:t> </w:t>
      </w:r>
      <w:r>
        <w:rPr/>
        <w:t>Black partners in firms to directly address the lack of minority individuals advancing to</w:t>
      </w:r>
      <w:r>
        <w:rPr>
          <w:spacing w:val="40"/>
        </w:rPr>
        <w:t> </w:t>
      </w:r>
      <w:r>
        <w:rPr/>
        <w:t>partner</w:t>
      </w:r>
      <w:r>
        <w:rPr>
          <w:spacing w:val="-2"/>
        </w:rPr>
        <w:t> </w:t>
      </w:r>
      <w:r>
        <w:rPr/>
        <w:t>roles</w:t>
      </w:r>
      <w:r>
        <w:rPr>
          <w:spacing w:val="-2"/>
        </w:rPr>
        <w:t> </w:t>
      </w:r>
      <w:r>
        <w:rPr/>
        <w:t>(Mayse,</w:t>
      </w:r>
      <w:r>
        <w:rPr>
          <w:spacing w:val="-2"/>
        </w:rPr>
        <w:t> </w:t>
      </w:r>
      <w:r>
        <w:rPr/>
        <w:t>2024).</w:t>
      </w:r>
      <w:r>
        <w:rPr>
          <w:spacing w:val="-2"/>
        </w:rPr>
        <w:t> </w:t>
      </w:r>
      <w:r>
        <w:rPr/>
        <w:t>Mentoring</w:t>
      </w:r>
      <w:r>
        <w:rPr>
          <w:spacing w:val="-2"/>
        </w:rPr>
        <w:t> </w:t>
      </w:r>
      <w:r>
        <w:rPr/>
        <w:t>programs</w:t>
      </w:r>
      <w:r>
        <w:rPr>
          <w:spacing w:val="-2"/>
        </w:rPr>
        <w:t> </w:t>
      </w:r>
      <w:r>
        <w:rPr/>
        <w:t>can aim to highlight senior female</w:t>
      </w:r>
      <w:r>
        <w:rPr>
          <w:spacing w:val="40"/>
        </w:rPr>
        <w:t> </w:t>
      </w:r>
      <w:r>
        <w:rPr/>
        <w:t>accountants in mentoring roles, including one study that encourages women to mentor men in</w:t>
      </w:r>
      <w:r>
        <w:rPr>
          <w:spacing w:val="40"/>
        </w:rPr>
        <w:t> </w:t>
      </w:r>
      <w:r>
        <w:rPr/>
        <w:t>the workplace to foster greater empathy and cooperation (Tiron-Tudor &amp; Faragalla, 2022).</w:t>
      </w:r>
      <w:r>
        <w:rPr>
          <w:spacing w:val="40"/>
        </w:rPr>
        <w:t> </w:t>
      </w:r>
      <w:r>
        <w:rPr/>
        <w:t>Involvement in programs such as the Accounting MOVE Project, which promotes women’s</w:t>
      </w:r>
      <w:r>
        <w:rPr>
          <w:spacing w:val="40"/>
        </w:rPr>
        <w:t> </w:t>
      </w:r>
      <w:r>
        <w:rPr/>
        <w:t>initiatives through resources and reports, enables CPA firms to improve gender diversity and</w:t>
      </w:r>
      <w:r>
        <w:rPr>
          <w:spacing w:val="40"/>
        </w:rPr>
        <w:t> </w:t>
      </w:r>
      <w:r>
        <w:rPr/>
        <w:t>stay competitive in the industry (Rampe &amp; Elliott, 2016). Inclusivity is not just specific to</w:t>
      </w:r>
      <w:r>
        <w:rPr>
          <w:spacing w:val="40"/>
        </w:rPr>
        <w:t> </w:t>
      </w:r>
      <w:r>
        <w:rPr/>
        <w:t>race and/or gender. One study examined the intersection of neurodiversity and accounting</w:t>
      </w:r>
      <w:r>
        <w:rPr>
          <w:spacing w:val="40"/>
        </w:rPr>
        <w:t> </w:t>
      </w:r>
      <w:r>
        <w:rPr/>
        <w:t>employment by exploring work experiences and concluded that personalized practices,</w:t>
      </w:r>
      <w:r>
        <w:rPr>
          <w:spacing w:val="-4"/>
        </w:rPr>
        <w:t> </w:t>
      </w:r>
      <w:r>
        <w:rPr/>
        <w:t>such</w:t>
      </w:r>
      <w:r>
        <w:rPr>
          <w:spacing w:val="40"/>
        </w:rPr>
        <w:t> </w:t>
      </w:r>
      <w:r>
        <w:rPr/>
        <w:t>as</w:t>
      </w:r>
      <w:r>
        <w:rPr>
          <w:spacing w:val="-4"/>
        </w:rPr>
        <w:t> </w:t>
      </w:r>
      <w:r>
        <w:rPr/>
        <w:t>accessible</w:t>
      </w:r>
      <w:r>
        <w:rPr>
          <w:spacing w:val="-4"/>
        </w:rPr>
        <w:t> </w:t>
      </w:r>
      <w:r>
        <w:rPr/>
        <w:t>work</w:t>
      </w:r>
      <w:r>
        <w:rPr>
          <w:spacing w:val="-4"/>
        </w:rPr>
        <w:t> </w:t>
      </w:r>
      <w:r>
        <w:rPr/>
        <w:t>environments</w:t>
      </w:r>
      <w:r>
        <w:rPr>
          <w:spacing w:val="-4"/>
        </w:rPr>
        <w:t> </w:t>
      </w:r>
      <w:r>
        <w:rPr/>
        <w:t>and</w:t>
      </w:r>
      <w:r>
        <w:rPr>
          <w:spacing w:val="-4"/>
        </w:rPr>
        <w:t> </w:t>
      </w:r>
      <w:r>
        <w:rPr/>
        <w:t>tailored</w:t>
      </w:r>
      <w:r>
        <w:rPr>
          <w:spacing w:val="-4"/>
        </w:rPr>
        <w:t> </w:t>
      </w:r>
      <w:r>
        <w:rPr/>
        <w:t>training</w:t>
      </w:r>
      <w:r>
        <w:rPr>
          <w:spacing w:val="-4"/>
        </w:rPr>
        <w:t> </w:t>
      </w:r>
      <w:r>
        <w:rPr/>
        <w:t>programs,</w:t>
      </w:r>
      <w:r>
        <w:rPr>
          <w:spacing w:val="-4"/>
        </w:rPr>
        <w:t> </w:t>
      </w:r>
      <w:r>
        <w:rPr/>
        <w:t>aid in the mission to attract</w:t>
      </w:r>
      <w:r>
        <w:rPr>
          <w:spacing w:val="40"/>
        </w:rPr>
        <w:t> </w:t>
      </w:r>
      <w:r>
        <w:rPr/>
        <w:t>and retain talent with respect to diversity in the accounting profession (Jiles, Duong, &amp;</w:t>
      </w:r>
      <w:r>
        <w:rPr>
          <w:spacing w:val="40"/>
        </w:rPr>
        <w:t> </w:t>
      </w:r>
      <w:r>
        <w:rPr/>
        <w:t>Venkatesh, 2024). By actively removing existing barriers and recognizing the unique</w:t>
      </w:r>
      <w:r>
        <w:rPr>
          <w:spacing w:val="40"/>
        </w:rPr>
        <w:t> </w:t>
      </w:r>
      <w:r>
        <w:rPr/>
        <w:t>contributions that neurodiverse accountants bring to the</w:t>
      </w:r>
      <w:r>
        <w:rPr>
          <w:spacing w:val="-3"/>
        </w:rPr>
        <w:t> </w:t>
      </w:r>
      <w:r>
        <w:rPr/>
        <w:t>profession,</w:t>
      </w:r>
      <w:r>
        <w:rPr>
          <w:spacing w:val="-3"/>
        </w:rPr>
        <w:t> </w:t>
      </w:r>
      <w:r>
        <w:rPr/>
        <w:t>the</w:t>
      </w:r>
      <w:r>
        <w:rPr>
          <w:spacing w:val="-3"/>
        </w:rPr>
        <w:t> </w:t>
      </w:r>
      <w:r>
        <w:rPr/>
        <w:t>pool</w:t>
      </w:r>
      <w:r>
        <w:rPr>
          <w:spacing w:val="-3"/>
        </w:rPr>
        <w:t> </w:t>
      </w:r>
      <w:r>
        <w:rPr/>
        <w:t>of</w:t>
      </w:r>
      <w:r>
        <w:rPr>
          <w:spacing w:val="-3"/>
        </w:rPr>
        <w:t> </w:t>
      </w:r>
      <w:r>
        <w:rPr/>
        <w:t>potential talent may expand (Lewis, 2024).</w:t>
      </w:r>
    </w:p>
    <w:p>
      <w:pPr>
        <w:pStyle w:val="BodyText"/>
        <w:spacing w:line="276" w:lineRule="auto" w:before="160"/>
        <w:ind w:left="720" w:right="1438"/>
        <w:jc w:val="both"/>
      </w:pPr>
      <w:r>
        <w:rPr/>
        <w:t>Whether</w:t>
      </w:r>
      <w:r>
        <w:rPr>
          <w:spacing w:val="-3"/>
        </w:rPr>
        <w:t> </w:t>
      </w:r>
      <w:r>
        <w:rPr/>
        <w:t>by</w:t>
      </w:r>
      <w:r>
        <w:rPr>
          <w:spacing w:val="-3"/>
        </w:rPr>
        <w:t> </w:t>
      </w:r>
      <w:r>
        <w:rPr/>
        <w:t>inviting</w:t>
      </w:r>
      <w:r>
        <w:rPr>
          <w:spacing w:val="-3"/>
        </w:rPr>
        <w:t> </w:t>
      </w:r>
      <w:r>
        <w:rPr/>
        <w:t>underrepresented</w:t>
      </w:r>
      <w:r>
        <w:rPr>
          <w:spacing w:val="-3"/>
        </w:rPr>
        <w:t> </w:t>
      </w:r>
      <w:r>
        <w:rPr/>
        <w:t>guest</w:t>
      </w:r>
      <w:r>
        <w:rPr>
          <w:spacing w:val="-3"/>
        </w:rPr>
        <w:t> </w:t>
      </w:r>
      <w:r>
        <w:rPr/>
        <w:t>speakers</w:t>
      </w:r>
      <w:r>
        <w:rPr>
          <w:spacing w:val="-3"/>
        </w:rPr>
        <w:t> </w:t>
      </w:r>
      <w:r>
        <w:rPr/>
        <w:t>to</w:t>
      </w:r>
      <w:r>
        <w:rPr>
          <w:spacing w:val="-3"/>
        </w:rPr>
        <w:t> </w:t>
      </w:r>
      <w:r>
        <w:rPr/>
        <w:t>college</w:t>
      </w:r>
      <w:r>
        <w:rPr>
          <w:spacing w:val="-3"/>
        </w:rPr>
        <w:t> </w:t>
      </w:r>
      <w:r>
        <w:rPr/>
        <w:t>lectures</w:t>
      </w:r>
      <w:r>
        <w:rPr>
          <w:spacing w:val="-3"/>
        </w:rPr>
        <w:t> </w:t>
      </w:r>
      <w:r>
        <w:rPr/>
        <w:t>or</w:t>
      </w:r>
      <w:r>
        <w:rPr>
          <w:spacing w:val="40"/>
        </w:rPr>
        <w:t> </w:t>
      </w:r>
      <w:r>
        <w:rPr/>
        <w:t>encouraging</w:t>
      </w:r>
      <w:r>
        <w:rPr>
          <w:spacing w:val="-3"/>
        </w:rPr>
        <w:t> </w:t>
      </w:r>
      <w:r>
        <w:rPr/>
        <w:t>minority individuals to pursue careers in academia, it is evident that increased</w:t>
      </w:r>
      <w:r>
        <w:rPr>
          <w:spacing w:val="40"/>
        </w:rPr>
        <w:t> </w:t>
      </w:r>
      <w:r>
        <w:rPr/>
        <w:t>visibility for underrepresented minorities (URM) begins in the classroom. Pelzer, Booker,</w:t>
      </w:r>
      <w:r>
        <w:rPr>
          <w:spacing w:val="40"/>
        </w:rPr>
        <w:t> </w:t>
      </w:r>
      <w:r>
        <w:rPr/>
        <w:t>Pencle, &amp; Brown (2023) suggest rewriting current case studies to include URM character</w:t>
      </w:r>
      <w:r>
        <w:rPr>
          <w:spacing w:val="80"/>
        </w:rPr>
        <w:t> </w:t>
      </w:r>
      <w:r>
        <w:rPr/>
        <w:t>names and implementing meaningful conversations about diversity, such as racial biases and wealth gaps. Similarly, Alston, Flint, &amp; Manley (2024) suggest that recruiting minority</w:t>
      </w:r>
      <w:r>
        <w:rPr>
          <w:spacing w:val="40"/>
        </w:rPr>
        <w:t> </w:t>
      </w:r>
      <w:r>
        <w:rPr/>
        <w:t>students into the accounting profession must begin with increasing the portrayal of URMs in</w:t>
      </w:r>
      <w:r>
        <w:rPr>
          <w:spacing w:val="40"/>
        </w:rPr>
        <w:t> </w:t>
      </w:r>
      <w:r>
        <w:rPr/>
        <w:t>textbooks. The increased representation of accountants from diverse backgrounds in popular</w:t>
      </w:r>
      <w:r>
        <w:rPr>
          <w:spacing w:val="40"/>
        </w:rPr>
        <w:t> </w:t>
      </w:r>
      <w:r>
        <w:rPr/>
        <w:t>culture has also been shown to combat stereotypes and</w:t>
      </w:r>
      <w:r>
        <w:rPr>
          <w:spacing w:val="-4"/>
        </w:rPr>
        <w:t> </w:t>
      </w:r>
      <w:r>
        <w:rPr/>
        <w:t>spark</w:t>
      </w:r>
      <w:r>
        <w:rPr>
          <w:spacing w:val="-4"/>
        </w:rPr>
        <w:t> </w:t>
      </w:r>
      <w:r>
        <w:rPr/>
        <w:t>interest</w:t>
      </w:r>
      <w:r>
        <w:rPr>
          <w:spacing w:val="-4"/>
        </w:rPr>
        <w:t> </w:t>
      </w:r>
      <w:r>
        <w:rPr/>
        <w:t>in</w:t>
      </w:r>
      <w:r>
        <w:rPr>
          <w:spacing w:val="-4"/>
        </w:rPr>
        <w:t> </w:t>
      </w:r>
      <w:r>
        <w:rPr/>
        <w:t>the</w:t>
      </w:r>
      <w:r>
        <w:rPr>
          <w:spacing w:val="-4"/>
        </w:rPr>
        <w:t> </w:t>
      </w:r>
      <w:r>
        <w:rPr/>
        <w:t>profession</w:t>
      </w:r>
      <w:r>
        <w:rPr>
          <w:spacing w:val="40"/>
        </w:rPr>
        <w:t> </w:t>
      </w:r>
      <w:r>
        <w:rPr/>
        <w:t>(Mayse,</w:t>
      </w:r>
      <w:r>
        <w:rPr>
          <w:spacing w:val="-4"/>
        </w:rPr>
        <w:t> </w:t>
      </w:r>
      <w:r>
        <w:rPr/>
        <w:t>2024).</w:t>
      </w:r>
      <w:r>
        <w:rPr>
          <w:spacing w:val="-4"/>
        </w:rPr>
        <w:t> </w:t>
      </w:r>
      <w:r>
        <w:rPr/>
        <w:t>To</w:t>
      </w:r>
      <w:r>
        <w:rPr>
          <w:spacing w:val="-4"/>
        </w:rPr>
        <w:t> </w:t>
      </w:r>
      <w:r>
        <w:rPr/>
        <w:t>ensure ample opportunities for</w:t>
      </w:r>
      <w:r>
        <w:rPr>
          <w:spacing w:val="-4"/>
        </w:rPr>
        <w:t> </w:t>
      </w:r>
      <w:r>
        <w:rPr/>
        <w:t>aspiring</w:t>
      </w:r>
      <w:r>
        <w:rPr>
          <w:spacing w:val="-4"/>
        </w:rPr>
        <w:t> </w:t>
      </w:r>
      <w:r>
        <w:rPr/>
        <w:t>accountants</w:t>
      </w:r>
      <w:r>
        <w:rPr>
          <w:spacing w:val="-4"/>
        </w:rPr>
        <w:t> </w:t>
      </w:r>
      <w:r>
        <w:rPr/>
        <w:t>from</w:t>
      </w:r>
      <w:r>
        <w:rPr>
          <w:spacing w:val="40"/>
        </w:rPr>
        <w:t> </w:t>
      </w:r>
      <w:r>
        <w:rPr/>
        <w:t>underrepresented</w:t>
      </w:r>
      <w:r>
        <w:rPr>
          <w:spacing w:val="-4"/>
        </w:rPr>
        <w:t> </w:t>
      </w:r>
      <w:r>
        <w:rPr/>
        <w:t>backgrounds,</w:t>
      </w:r>
      <w:r>
        <w:rPr>
          <w:spacing w:val="-4"/>
        </w:rPr>
        <w:t> </w:t>
      </w:r>
      <w:r>
        <w:rPr/>
        <w:t>Mayse</w:t>
      </w:r>
      <w:r>
        <w:rPr>
          <w:spacing w:val="-4"/>
        </w:rPr>
        <w:t> </w:t>
      </w:r>
      <w:r>
        <w:rPr/>
        <w:t>(2024) believes that Historically Black Colleges and</w:t>
      </w:r>
      <w:r>
        <w:rPr>
          <w:spacing w:val="40"/>
        </w:rPr>
        <w:t> </w:t>
      </w:r>
      <w:r>
        <w:rPr/>
        <w:t>Universities (HBCU) and other Minority Serving Institutions (MSI) must receive increased</w:t>
      </w:r>
      <w:r>
        <w:rPr>
          <w:spacing w:val="40"/>
        </w:rPr>
        <w:t> </w:t>
      </w:r>
      <w:r>
        <w:rPr/>
        <w:t>funding as an investment in talent. A case study of Hispanic accountants found that personal</w:t>
      </w:r>
      <w:r>
        <w:rPr>
          <w:spacing w:val="40"/>
        </w:rPr>
        <w:t> </w:t>
      </w:r>
      <w:r>
        <w:rPr/>
        <w:t>economic circumstances were a</w:t>
      </w:r>
      <w:r>
        <w:rPr>
          <w:spacing w:val="-3"/>
        </w:rPr>
        <w:t> </w:t>
      </w:r>
      <w:r>
        <w:rPr/>
        <w:t>greater</w:t>
      </w:r>
      <w:r>
        <w:rPr>
          <w:spacing w:val="-3"/>
        </w:rPr>
        <w:t> </w:t>
      </w:r>
      <w:r>
        <w:rPr/>
        <w:t>contributor</w:t>
      </w:r>
      <w:r>
        <w:rPr>
          <w:spacing w:val="-3"/>
        </w:rPr>
        <w:t> </w:t>
      </w:r>
      <w:r>
        <w:rPr/>
        <w:t>to pursuing CPA licensure than</w:t>
      </w:r>
      <w:r>
        <w:rPr>
          <w:spacing w:val="80"/>
        </w:rPr>
        <w:t> </w:t>
      </w:r>
      <w:r>
        <w:rPr/>
        <w:t>perceptions of the profession (Gabre et al. 2017), further suggesting the need for greater</w:t>
      </w:r>
      <w:r>
        <w:rPr>
          <w:spacing w:val="40"/>
        </w:rPr>
        <w:t> </w:t>
      </w:r>
      <w:r>
        <w:rPr/>
        <w:t>financial assistance for marginalized communities.</w:t>
      </w:r>
    </w:p>
    <w:p>
      <w:pPr>
        <w:pStyle w:val="Heading4"/>
        <w:spacing w:before="160"/>
        <w:ind w:left="720"/>
      </w:pPr>
      <w:r>
        <w:rPr/>
        <w:t>Artificial Intelligence and </w:t>
      </w:r>
      <w:r>
        <w:rPr>
          <w:spacing w:val="-2"/>
        </w:rPr>
        <w:t>Offshoring</w:t>
      </w:r>
    </w:p>
    <w:p>
      <w:pPr>
        <w:pStyle w:val="BodyText"/>
        <w:spacing w:line="276" w:lineRule="auto" w:before="202"/>
        <w:ind w:left="720" w:right="1439"/>
        <w:jc w:val="both"/>
      </w:pPr>
      <w:r>
        <w:rPr/>
        <w:t>In order for the accounting profession to keep pace with technological advancements</w:t>
      </w:r>
      <w:r>
        <w:rPr>
          <w:spacing w:val="40"/>
        </w:rPr>
        <w:t> </w:t>
      </w:r>
      <w:r>
        <w:rPr/>
        <w:t>while meeting industry demands, it must learn how to adapt to</w:t>
      </w:r>
      <w:r>
        <w:rPr>
          <w:spacing w:val="-3"/>
        </w:rPr>
        <w:t> </w:t>
      </w:r>
      <w:r>
        <w:rPr/>
        <w:t>the</w:t>
      </w:r>
      <w:r>
        <w:rPr>
          <w:spacing w:val="-3"/>
        </w:rPr>
        <w:t> </w:t>
      </w:r>
      <w:r>
        <w:rPr/>
        <w:t>emergence</w:t>
      </w:r>
      <w:r>
        <w:rPr>
          <w:spacing w:val="-3"/>
        </w:rPr>
        <w:t> </w:t>
      </w:r>
      <w:r>
        <w:rPr/>
        <w:t>of</w:t>
      </w:r>
      <w:r>
        <w:rPr>
          <w:spacing w:val="-3"/>
        </w:rPr>
        <w:t> </w:t>
      </w:r>
      <w:r>
        <w:rPr/>
        <w:t>artificial</w:t>
      </w:r>
      <w:r>
        <w:rPr>
          <w:spacing w:val="40"/>
        </w:rPr>
        <w:t> </w:t>
      </w:r>
      <w:r>
        <w:rPr/>
        <w:t>intelligence (AI) and navigate offshoring practices. Eisikovits, Johnson, &amp; Markelevich</w:t>
      </w:r>
      <w:r>
        <w:rPr>
          <w:spacing w:val="40"/>
        </w:rPr>
        <w:t> </w:t>
      </w:r>
      <w:r>
        <w:rPr/>
        <w:t>(2025) describe AI as</w:t>
      </w:r>
      <w:r>
        <w:rPr>
          <w:spacing w:val="30"/>
        </w:rPr>
        <w:t> </w:t>
      </w:r>
      <w:r>
        <w:rPr/>
        <w:t>a</w:t>
      </w:r>
      <w:r>
        <w:rPr>
          <w:spacing w:val="30"/>
        </w:rPr>
        <w:t> </w:t>
      </w:r>
      <w:r>
        <w:rPr/>
        <w:t>group</w:t>
      </w:r>
      <w:r>
        <w:rPr>
          <w:spacing w:val="30"/>
        </w:rPr>
        <w:t> </w:t>
      </w:r>
      <w:r>
        <w:rPr/>
        <w:t>of</w:t>
      </w:r>
      <w:r>
        <w:rPr>
          <w:spacing w:val="15"/>
        </w:rPr>
        <w:t> </w:t>
      </w:r>
      <w:r>
        <w:rPr/>
        <w:t>statistical</w:t>
      </w:r>
      <w:r>
        <w:rPr>
          <w:spacing w:val="15"/>
        </w:rPr>
        <w:t> </w:t>
      </w:r>
      <w:r>
        <w:rPr/>
        <w:t>machine</w:t>
      </w:r>
      <w:r>
        <w:rPr>
          <w:spacing w:val="15"/>
        </w:rPr>
        <w:t> </w:t>
      </w:r>
      <w:r>
        <w:rPr/>
        <w:t>learning</w:t>
      </w:r>
      <w:r>
        <w:rPr>
          <w:spacing w:val="15"/>
        </w:rPr>
        <w:t> </w:t>
      </w:r>
      <w:r>
        <w:rPr/>
        <w:t>technologies</w:t>
      </w:r>
      <w:r>
        <w:rPr>
          <w:spacing w:val="15"/>
        </w:rPr>
        <w:t> </w:t>
      </w:r>
      <w:r>
        <w:rPr/>
        <w:t>with</w:t>
      </w:r>
      <w:r>
        <w:rPr>
          <w:spacing w:val="15"/>
        </w:rPr>
        <w:t> </w:t>
      </w:r>
      <w:r>
        <w:rPr/>
        <w:t>the</w:t>
      </w:r>
      <w:r>
        <w:rPr>
          <w:spacing w:val="15"/>
        </w:rPr>
        <w:t> </w:t>
      </w:r>
      <w:r>
        <w:rPr/>
        <w:t>ability</w:t>
      </w:r>
      <w:r>
        <w:rPr>
          <w:spacing w:val="15"/>
        </w:rPr>
        <w:t> </w:t>
      </w:r>
      <w:r>
        <w:rPr/>
        <w:t>to</w:t>
      </w:r>
      <w:r>
        <w:rPr>
          <w:spacing w:val="60"/>
          <w:w w:val="150"/>
        </w:rPr>
        <w:t> </w:t>
      </w:r>
      <w:r>
        <w:rPr/>
        <w:t>recognize</w:t>
      </w:r>
      <w:r>
        <w:rPr>
          <w:spacing w:val="15"/>
        </w:rPr>
        <w:t> </w:t>
      </w:r>
      <w:r>
        <w:rPr/>
        <w:t>patterns</w:t>
      </w:r>
      <w:r>
        <w:rPr>
          <w:spacing w:val="15"/>
        </w:rPr>
        <w:t> </w:t>
      </w:r>
      <w:r>
        <w:rPr>
          <w:spacing w:val="-5"/>
        </w:rPr>
        <w:t>in</w:t>
      </w:r>
    </w:p>
    <w:p>
      <w:pPr>
        <w:pStyle w:val="BodyText"/>
        <w:spacing w:after="0" w:line="276" w:lineRule="auto"/>
        <w:jc w:val="both"/>
        <w:sectPr>
          <w:pgSz w:w="12240" w:h="15840"/>
          <w:pgMar w:header="0" w:footer="750" w:top="640" w:bottom="960" w:left="720" w:right="0"/>
        </w:sectPr>
      </w:pPr>
    </w:p>
    <w:p>
      <w:pPr>
        <w:pStyle w:val="BodyText"/>
        <w:spacing w:line="276" w:lineRule="auto" w:before="60"/>
        <w:ind w:left="720" w:right="1442"/>
        <w:jc w:val="both"/>
      </w:pPr>
      <w:r>
        <w:rPr/>
        <w:t>large datasets and offer subsequent predictions. Instead of this</w:t>
      </w:r>
      <w:r>
        <w:rPr>
          <w:spacing w:val="40"/>
        </w:rPr>
        <w:t> </w:t>
      </w:r>
      <w:r>
        <w:rPr/>
        <w:t>significant development </w:t>
      </w:r>
      <w:r>
        <w:rPr/>
        <w:t>in technology posing a</w:t>
      </w:r>
      <w:r>
        <w:rPr>
          <w:spacing w:val="-3"/>
        </w:rPr>
        <w:t> </w:t>
      </w:r>
      <w:r>
        <w:rPr/>
        <w:t>threat</w:t>
      </w:r>
      <w:r>
        <w:rPr>
          <w:spacing w:val="-3"/>
        </w:rPr>
        <w:t> </w:t>
      </w:r>
      <w:r>
        <w:rPr/>
        <w:t>to</w:t>
      </w:r>
      <w:r>
        <w:rPr>
          <w:spacing w:val="-3"/>
        </w:rPr>
        <w:t> </w:t>
      </w:r>
      <w:r>
        <w:rPr/>
        <w:t>the</w:t>
      </w:r>
      <w:r>
        <w:rPr>
          <w:spacing w:val="-3"/>
        </w:rPr>
        <w:t> </w:t>
      </w:r>
      <w:r>
        <w:rPr/>
        <w:t>elimination</w:t>
      </w:r>
      <w:r>
        <w:rPr>
          <w:spacing w:val="-3"/>
        </w:rPr>
        <w:t> </w:t>
      </w:r>
      <w:r>
        <w:rPr/>
        <w:t>of</w:t>
      </w:r>
      <w:r>
        <w:rPr>
          <w:spacing w:val="-3"/>
        </w:rPr>
        <w:t> </w:t>
      </w:r>
      <w:r>
        <w:rPr/>
        <w:t>the</w:t>
      </w:r>
      <w:r>
        <w:rPr>
          <w:spacing w:val="-3"/>
        </w:rPr>
        <w:t> </w:t>
      </w:r>
      <w:r>
        <w:rPr/>
        <w:t>accounting</w:t>
      </w:r>
      <w:r>
        <w:rPr>
          <w:spacing w:val="40"/>
        </w:rPr>
        <w:t> </w:t>
      </w:r>
      <w:r>
        <w:rPr/>
        <w:t>profession,</w:t>
      </w:r>
      <w:r>
        <w:rPr>
          <w:spacing w:val="-3"/>
        </w:rPr>
        <w:t> </w:t>
      </w:r>
      <w:r>
        <w:rPr/>
        <w:t>what</w:t>
      </w:r>
      <w:r>
        <w:rPr>
          <w:spacing w:val="-3"/>
        </w:rPr>
        <w:t> </w:t>
      </w:r>
      <w:r>
        <w:rPr/>
        <w:t>is</w:t>
      </w:r>
      <w:r>
        <w:rPr>
          <w:spacing w:val="-3"/>
        </w:rPr>
        <w:t> </w:t>
      </w:r>
      <w:r>
        <w:rPr/>
        <w:t>most</w:t>
      </w:r>
      <w:r>
        <w:rPr>
          <w:spacing w:val="-3"/>
        </w:rPr>
        <w:t> </w:t>
      </w:r>
      <w:r>
        <w:rPr/>
        <w:t>likely</w:t>
      </w:r>
      <w:r>
        <w:rPr>
          <w:spacing w:val="-3"/>
        </w:rPr>
        <w:t> </w:t>
      </w:r>
      <w:r>
        <w:rPr/>
        <w:t>to happen is a reshaping and updated understanding of</w:t>
      </w:r>
      <w:r>
        <w:rPr>
          <w:spacing w:val="40"/>
        </w:rPr>
        <w:t> </w:t>
      </w:r>
      <w:r>
        <w:rPr/>
        <w:t>accounting work because of AI (Jones &amp; Free, 2026). Some junior positions involving</w:t>
      </w:r>
      <w:r>
        <w:rPr>
          <w:spacing w:val="40"/>
        </w:rPr>
        <w:t> </w:t>
      </w:r>
      <w:r>
        <w:rPr/>
        <w:t>mundane tasks may be replaced by AI as it continues to complete repetitive tasks at more</w:t>
      </w:r>
      <w:r>
        <w:rPr>
          <w:spacing w:val="40"/>
        </w:rPr>
        <w:t> </w:t>
      </w:r>
      <w:r>
        <w:rPr/>
        <w:t>accurate</w:t>
      </w:r>
      <w:r>
        <w:rPr>
          <w:spacing w:val="-2"/>
        </w:rPr>
        <w:t> </w:t>
      </w:r>
      <w:r>
        <w:rPr/>
        <w:t>and</w:t>
      </w:r>
      <w:r>
        <w:rPr>
          <w:spacing w:val="-2"/>
        </w:rPr>
        <w:t> </w:t>
      </w:r>
      <w:r>
        <w:rPr/>
        <w:t>speedy</w:t>
      </w:r>
      <w:r>
        <w:rPr>
          <w:spacing w:val="-2"/>
        </w:rPr>
        <w:t> </w:t>
      </w:r>
      <w:r>
        <w:rPr/>
        <w:t>levels,</w:t>
      </w:r>
      <w:r>
        <w:rPr>
          <w:spacing w:val="-2"/>
        </w:rPr>
        <w:t> </w:t>
      </w:r>
      <w:r>
        <w:rPr/>
        <w:t>therefore</w:t>
      </w:r>
      <w:r>
        <w:rPr>
          <w:spacing w:val="-2"/>
        </w:rPr>
        <w:t> </w:t>
      </w:r>
      <w:r>
        <w:rPr/>
        <w:t>creating</w:t>
      </w:r>
      <w:r>
        <w:rPr>
          <w:spacing w:val="-2"/>
        </w:rPr>
        <w:t> </w:t>
      </w:r>
      <w:r>
        <w:rPr/>
        <w:t>the need</w:t>
      </w:r>
      <w:r>
        <w:rPr>
          <w:spacing w:val="40"/>
        </w:rPr>
        <w:t> </w:t>
      </w:r>
      <w:r>
        <w:rPr/>
        <w:t>to</w:t>
      </w:r>
      <w:r>
        <w:rPr>
          <w:spacing w:val="40"/>
        </w:rPr>
        <w:t> </w:t>
      </w:r>
      <w:r>
        <w:rPr/>
        <w:t>integrate</w:t>
      </w:r>
      <w:r>
        <w:rPr>
          <w:spacing w:val="40"/>
        </w:rPr>
        <w:t> </w:t>
      </w:r>
      <w:r>
        <w:rPr/>
        <w:t>AI</w:t>
      </w:r>
      <w:r>
        <w:rPr>
          <w:spacing w:val="40"/>
        </w:rPr>
        <w:t> </w:t>
      </w:r>
      <w:r>
        <w:rPr/>
        <w:t>into</w:t>
      </w:r>
      <w:r>
        <w:rPr>
          <w:spacing w:val="40"/>
        </w:rPr>
        <w:t> </w:t>
      </w:r>
      <w:r>
        <w:rPr/>
        <w:t>accounting</w:t>
      </w:r>
      <w:r>
        <w:rPr>
          <w:spacing w:val="40"/>
        </w:rPr>
        <w:t> </w:t>
      </w:r>
      <w:r>
        <w:rPr/>
        <w:t>firms</w:t>
      </w:r>
      <w:r>
        <w:rPr>
          <w:spacing w:val="80"/>
          <w:w w:val="150"/>
        </w:rPr>
        <w:t> </w:t>
      </w:r>
      <w:r>
        <w:rPr/>
        <w:t>to</w:t>
      </w:r>
      <w:r>
        <w:rPr>
          <w:spacing w:val="40"/>
        </w:rPr>
        <w:t> </w:t>
      </w:r>
      <w:r>
        <w:rPr/>
        <w:t>transform</w:t>
      </w:r>
      <w:r>
        <w:rPr>
          <w:spacing w:val="40"/>
        </w:rPr>
        <w:t> </w:t>
      </w:r>
      <w:r>
        <w:rPr/>
        <w:t>low-level</w:t>
      </w:r>
      <w:r>
        <w:rPr>
          <w:spacing w:val="40"/>
        </w:rPr>
        <w:t> </w:t>
      </w:r>
      <w:r>
        <w:rPr/>
        <w:t>activities</w:t>
      </w:r>
      <w:r>
        <w:rPr>
          <w:spacing w:val="40"/>
        </w:rPr>
        <w:t> </w:t>
      </w:r>
      <w:r>
        <w:rPr/>
        <w:t>to</w:t>
      </w:r>
      <w:r>
        <w:rPr>
          <w:spacing w:val="40"/>
        </w:rPr>
        <w:t> </w:t>
      </w:r>
      <w:r>
        <w:rPr/>
        <w:t>be</w:t>
      </w:r>
      <w:r>
        <w:rPr>
          <w:spacing w:val="40"/>
        </w:rPr>
        <w:t> </w:t>
      </w:r>
      <w:r>
        <w:rPr/>
        <w:t>more value-focused (Eisikovits et al. 2025).</w:t>
      </w:r>
    </w:p>
    <w:p>
      <w:pPr>
        <w:pStyle w:val="BodyText"/>
        <w:spacing w:line="276" w:lineRule="auto" w:before="161"/>
        <w:ind w:left="720" w:right="1439"/>
        <w:jc w:val="both"/>
      </w:pPr>
      <w:r>
        <w:rPr/>
        <w:t>For this transformation to succeed, it requires more</w:t>
      </w:r>
      <w:r>
        <w:rPr>
          <w:spacing w:val="-3"/>
        </w:rPr>
        <w:t> </w:t>
      </w:r>
      <w:r>
        <w:rPr/>
        <w:t>strategic</w:t>
      </w:r>
      <w:r>
        <w:rPr>
          <w:spacing w:val="-3"/>
        </w:rPr>
        <w:t> </w:t>
      </w:r>
      <w:r>
        <w:rPr/>
        <w:t>and</w:t>
      </w:r>
      <w:r>
        <w:rPr>
          <w:spacing w:val="-3"/>
        </w:rPr>
        <w:t> </w:t>
      </w:r>
      <w:r>
        <w:rPr/>
        <w:t>analytical</w:t>
      </w:r>
      <w:r>
        <w:rPr>
          <w:spacing w:val="40"/>
        </w:rPr>
        <w:t> </w:t>
      </w:r>
      <w:r>
        <w:rPr/>
        <w:t>responsibilities</w:t>
      </w:r>
      <w:r>
        <w:rPr>
          <w:spacing w:val="-3"/>
        </w:rPr>
        <w:t> </w:t>
      </w:r>
      <w:r>
        <w:rPr/>
        <w:t>with increased cognitive</w:t>
      </w:r>
      <w:r>
        <w:rPr>
          <w:spacing w:val="-3"/>
        </w:rPr>
        <w:t> </w:t>
      </w:r>
      <w:r>
        <w:rPr/>
        <w:t>skills</w:t>
      </w:r>
      <w:r>
        <w:rPr>
          <w:spacing w:val="-3"/>
        </w:rPr>
        <w:t> </w:t>
      </w:r>
      <w:r>
        <w:rPr/>
        <w:t>from</w:t>
      </w:r>
      <w:r>
        <w:rPr>
          <w:spacing w:val="-3"/>
        </w:rPr>
        <w:t> </w:t>
      </w:r>
      <w:r>
        <w:rPr/>
        <w:t>individuals,</w:t>
      </w:r>
      <w:r>
        <w:rPr>
          <w:spacing w:val="-3"/>
        </w:rPr>
        <w:t> </w:t>
      </w:r>
      <w:r>
        <w:rPr/>
        <w:t>which</w:t>
      </w:r>
      <w:r>
        <w:rPr>
          <w:spacing w:val="-3"/>
        </w:rPr>
        <w:t> </w:t>
      </w:r>
      <w:r>
        <w:rPr/>
        <w:t>has</w:t>
      </w:r>
      <w:r>
        <w:rPr>
          <w:spacing w:val="-3"/>
        </w:rPr>
        <w:t> </w:t>
      </w:r>
      <w:r>
        <w:rPr/>
        <w:t>led</w:t>
      </w:r>
      <w:r>
        <w:rPr>
          <w:spacing w:val="-3"/>
        </w:rPr>
        <w:t> </w:t>
      </w:r>
      <w:r>
        <w:rPr/>
        <w:t>colleges</w:t>
      </w:r>
      <w:r>
        <w:rPr>
          <w:spacing w:val="-3"/>
        </w:rPr>
        <w:t> </w:t>
      </w:r>
      <w:r>
        <w:rPr/>
        <w:t>and</w:t>
      </w:r>
      <w:r>
        <w:rPr>
          <w:spacing w:val="40"/>
        </w:rPr>
        <w:t> </w:t>
      </w:r>
      <w:r>
        <w:rPr/>
        <w:t>universities</w:t>
      </w:r>
      <w:r>
        <w:rPr>
          <w:spacing w:val="-3"/>
        </w:rPr>
        <w:t> </w:t>
      </w:r>
      <w:r>
        <w:rPr/>
        <w:t>to</w:t>
      </w:r>
      <w:r>
        <w:rPr>
          <w:spacing w:val="-3"/>
        </w:rPr>
        <w:t> </w:t>
      </w:r>
      <w:r>
        <w:rPr/>
        <w:t>equip</w:t>
      </w:r>
      <w:r>
        <w:rPr>
          <w:spacing w:val="-3"/>
        </w:rPr>
        <w:t> </w:t>
      </w:r>
      <w:r>
        <w:rPr/>
        <w:t>their students with the competencies necessary to navigate these</w:t>
      </w:r>
      <w:r>
        <w:rPr>
          <w:spacing w:val="40"/>
        </w:rPr>
        <w:t> </w:t>
      </w:r>
      <w:r>
        <w:rPr/>
        <w:t>AI-driven environments</w:t>
      </w:r>
      <w:r>
        <w:rPr>
          <w:spacing w:val="-3"/>
        </w:rPr>
        <w:t> </w:t>
      </w:r>
      <w:r>
        <w:rPr/>
        <w:t>(Mohamed &amp; Saad, 2025). One study conducted by Maulana,</w:t>
      </w:r>
      <w:r>
        <w:rPr>
          <w:spacing w:val="40"/>
        </w:rPr>
        <w:t> </w:t>
      </w:r>
      <w:r>
        <w:rPr/>
        <w:t>Fenitra, Sutrisno, and Kurniawan (2025) demonstrated that the integration of AI tools in</w:t>
      </w:r>
      <w:r>
        <w:rPr>
          <w:spacing w:val="40"/>
        </w:rPr>
        <w:t> </w:t>
      </w:r>
      <w:r>
        <w:rPr/>
        <w:t>higher education</w:t>
      </w:r>
      <w:r>
        <w:rPr>
          <w:spacing w:val="-3"/>
        </w:rPr>
        <w:t> </w:t>
      </w:r>
      <w:r>
        <w:rPr/>
        <w:t>curricula</w:t>
      </w:r>
      <w:r>
        <w:rPr>
          <w:spacing w:val="-3"/>
        </w:rPr>
        <w:t> </w:t>
      </w:r>
      <w:r>
        <w:rPr/>
        <w:t>enhanced</w:t>
      </w:r>
      <w:r>
        <w:rPr>
          <w:spacing w:val="-3"/>
        </w:rPr>
        <w:t> </w:t>
      </w:r>
      <w:r>
        <w:rPr/>
        <w:t>AI</w:t>
      </w:r>
      <w:r>
        <w:rPr>
          <w:spacing w:val="-3"/>
        </w:rPr>
        <w:t> </w:t>
      </w:r>
      <w:r>
        <w:rPr/>
        <w:t>literacy among students, therefore introducing them</w:t>
      </w:r>
      <w:r>
        <w:rPr>
          <w:spacing w:val="40"/>
        </w:rPr>
        <w:t> </w:t>
      </w:r>
      <w:r>
        <w:rPr/>
        <w:t>to their accounting careers with</w:t>
      </w:r>
      <w:r>
        <w:rPr>
          <w:spacing w:val="-3"/>
        </w:rPr>
        <w:t> </w:t>
      </w:r>
      <w:r>
        <w:rPr/>
        <w:t>the</w:t>
      </w:r>
      <w:r>
        <w:rPr>
          <w:spacing w:val="-3"/>
        </w:rPr>
        <w:t> </w:t>
      </w:r>
      <w:r>
        <w:rPr/>
        <w:t>ability</w:t>
      </w:r>
      <w:r>
        <w:rPr>
          <w:spacing w:val="-3"/>
        </w:rPr>
        <w:t> </w:t>
      </w:r>
      <w:r>
        <w:rPr/>
        <w:t>to</w:t>
      </w:r>
      <w:r>
        <w:rPr>
          <w:spacing w:val="-3"/>
        </w:rPr>
        <w:t> </w:t>
      </w:r>
      <w:r>
        <w:rPr/>
        <w:t>apply their AI knowledge. This supports a</w:t>
      </w:r>
      <w:r>
        <w:rPr>
          <w:spacing w:val="40"/>
        </w:rPr>
        <w:t> </w:t>
      </w:r>
      <w:r>
        <w:rPr/>
        <w:t>statement</w:t>
      </w:r>
      <w:r>
        <w:rPr>
          <w:spacing w:val="-2"/>
        </w:rPr>
        <w:t> </w:t>
      </w:r>
      <w:r>
        <w:rPr/>
        <w:t>made</w:t>
      </w:r>
      <w:r>
        <w:rPr>
          <w:spacing w:val="-2"/>
        </w:rPr>
        <w:t> </w:t>
      </w:r>
      <w:r>
        <w:rPr/>
        <w:t>by</w:t>
      </w:r>
      <w:r>
        <w:rPr>
          <w:spacing w:val="-2"/>
        </w:rPr>
        <w:t> </w:t>
      </w:r>
      <w:r>
        <w:rPr/>
        <w:t>Jones</w:t>
      </w:r>
      <w:r>
        <w:rPr>
          <w:spacing w:val="-2"/>
        </w:rPr>
        <w:t> </w:t>
      </w:r>
      <w:r>
        <w:rPr/>
        <w:t>and</w:t>
      </w:r>
      <w:r>
        <w:rPr>
          <w:spacing w:val="-2"/>
        </w:rPr>
        <w:t> </w:t>
      </w:r>
      <w:r>
        <w:rPr/>
        <w:t>Free</w:t>
      </w:r>
      <w:r>
        <w:rPr>
          <w:spacing w:val="-2"/>
        </w:rPr>
        <w:t> </w:t>
      </w:r>
      <w:r>
        <w:rPr/>
        <w:t>(2026),</w:t>
      </w:r>
      <w:r>
        <w:rPr>
          <w:spacing w:val="-2"/>
        </w:rPr>
        <w:t> </w:t>
      </w:r>
      <w:r>
        <w:rPr/>
        <w:t>who</w:t>
      </w:r>
      <w:r>
        <w:rPr>
          <w:spacing w:val="-2"/>
        </w:rPr>
        <w:t> </w:t>
      </w:r>
      <w:r>
        <w:rPr/>
        <w:t>believe</w:t>
      </w:r>
      <w:r>
        <w:rPr>
          <w:spacing w:val="-2"/>
        </w:rPr>
        <w:t> </w:t>
      </w:r>
      <w:r>
        <w:rPr/>
        <w:t>that accountants who develop AI</w:t>
      </w:r>
      <w:r>
        <w:rPr>
          <w:spacing w:val="40"/>
        </w:rPr>
        <w:t> </w:t>
      </w:r>
      <w:r>
        <w:rPr/>
        <w:t>literacy will remain competitive due to their ability to think critically and</w:t>
      </w:r>
      <w:r>
        <w:rPr>
          <w:spacing w:val="-2"/>
        </w:rPr>
        <w:t> </w:t>
      </w:r>
      <w:r>
        <w:rPr/>
        <w:t>form</w:t>
      </w:r>
      <w:r>
        <w:rPr>
          <w:spacing w:val="-2"/>
        </w:rPr>
        <w:t> </w:t>
      </w:r>
      <w:r>
        <w:rPr/>
        <w:t>enhanced</w:t>
      </w:r>
      <w:r>
        <w:rPr>
          <w:spacing w:val="40"/>
        </w:rPr>
        <w:t> </w:t>
      </w:r>
      <w:r>
        <w:rPr/>
        <w:t>judgments,</w:t>
      </w:r>
      <w:r>
        <w:rPr>
          <w:spacing w:val="-2"/>
        </w:rPr>
        <w:t> </w:t>
      </w:r>
      <w:r>
        <w:rPr/>
        <w:t>while</w:t>
      </w:r>
      <w:r>
        <w:rPr>
          <w:spacing w:val="-2"/>
        </w:rPr>
        <w:t> </w:t>
      </w:r>
      <w:r>
        <w:rPr/>
        <w:t>those</w:t>
      </w:r>
      <w:r>
        <w:rPr>
          <w:spacing w:val="-2"/>
        </w:rPr>
        <w:t> </w:t>
      </w:r>
      <w:r>
        <w:rPr/>
        <w:t>who</w:t>
      </w:r>
      <w:r>
        <w:rPr>
          <w:spacing w:val="-2"/>
        </w:rPr>
        <w:t> </w:t>
      </w:r>
      <w:r>
        <w:rPr/>
        <w:t>do</w:t>
      </w:r>
      <w:r>
        <w:rPr>
          <w:spacing w:val="-2"/>
        </w:rPr>
        <w:t> </w:t>
      </w:r>
      <w:r>
        <w:rPr/>
        <w:t>not</w:t>
      </w:r>
      <w:r>
        <w:rPr>
          <w:spacing w:val="-2"/>
        </w:rPr>
        <w:t> </w:t>
      </w:r>
      <w:r>
        <w:rPr/>
        <w:t>adopt</w:t>
      </w:r>
      <w:r>
        <w:rPr>
          <w:spacing w:val="-2"/>
        </w:rPr>
        <w:t> </w:t>
      </w:r>
      <w:r>
        <w:rPr/>
        <w:t>AI</w:t>
      </w:r>
      <w:r>
        <w:rPr>
          <w:spacing w:val="-2"/>
        </w:rPr>
        <w:t> </w:t>
      </w:r>
      <w:r>
        <w:rPr/>
        <w:t>literacy</w:t>
      </w:r>
      <w:r>
        <w:rPr>
          <w:spacing w:val="-2"/>
        </w:rPr>
        <w:t> </w:t>
      </w:r>
      <w:r>
        <w:rPr/>
        <w:t>may</w:t>
      </w:r>
      <w:r>
        <w:rPr>
          <w:spacing w:val="-2"/>
        </w:rPr>
        <w:t> </w:t>
      </w:r>
      <w:r>
        <w:rPr/>
        <w:t>be</w:t>
      </w:r>
      <w:r>
        <w:rPr>
          <w:spacing w:val="-2"/>
        </w:rPr>
        <w:t> </w:t>
      </w:r>
      <w:r>
        <w:rPr/>
        <w:t>at</w:t>
      </w:r>
      <w:r>
        <w:rPr>
          <w:spacing w:val="-2"/>
        </w:rPr>
        <w:t> </w:t>
      </w:r>
      <w:r>
        <w:rPr/>
        <w:t>risk of their knowledge being</w:t>
      </w:r>
      <w:r>
        <w:rPr>
          <w:spacing w:val="40"/>
        </w:rPr>
        <w:t> </w:t>
      </w:r>
      <w:r>
        <w:rPr/>
        <w:t>dominated by machines. By not exposing individuals early in the pipeline to AI, the talent</w:t>
      </w:r>
      <w:r>
        <w:rPr>
          <w:spacing w:val="40"/>
        </w:rPr>
        <w:t> </w:t>
      </w:r>
      <w:r>
        <w:rPr/>
        <w:t>shortage will persist. To help mitigate the reduction</w:t>
      </w:r>
      <w:r>
        <w:rPr>
          <w:spacing w:val="-3"/>
        </w:rPr>
        <w:t> </w:t>
      </w:r>
      <w:r>
        <w:rPr/>
        <w:t>of</w:t>
      </w:r>
      <w:r>
        <w:rPr>
          <w:spacing w:val="-3"/>
        </w:rPr>
        <w:t> </w:t>
      </w:r>
      <w:r>
        <w:rPr/>
        <w:t>the</w:t>
      </w:r>
      <w:r>
        <w:rPr>
          <w:spacing w:val="-3"/>
        </w:rPr>
        <w:t> </w:t>
      </w:r>
      <w:r>
        <w:rPr/>
        <w:t>talent</w:t>
      </w:r>
      <w:r>
        <w:rPr>
          <w:spacing w:val="-3"/>
        </w:rPr>
        <w:t> </w:t>
      </w:r>
      <w:r>
        <w:rPr/>
        <w:t>pool, firms have resorted to</w:t>
      </w:r>
      <w:r>
        <w:rPr>
          <w:spacing w:val="40"/>
        </w:rPr>
        <w:t> </w:t>
      </w:r>
      <w:r>
        <w:rPr/>
        <w:t>offshoring</w:t>
      </w:r>
      <w:r>
        <w:rPr>
          <w:spacing w:val="-4"/>
        </w:rPr>
        <w:t> </w:t>
      </w:r>
      <w:r>
        <w:rPr/>
        <w:t>(Mrsik</w:t>
      </w:r>
      <w:r>
        <w:rPr>
          <w:spacing w:val="-4"/>
        </w:rPr>
        <w:t> </w:t>
      </w:r>
      <w:r>
        <w:rPr/>
        <w:t>&amp;</w:t>
      </w:r>
      <w:r>
        <w:rPr>
          <w:spacing w:val="-4"/>
        </w:rPr>
        <w:t> </w:t>
      </w:r>
      <w:r>
        <w:rPr/>
        <w:t>Kostovski,</w:t>
      </w:r>
      <w:r>
        <w:rPr>
          <w:spacing w:val="-4"/>
        </w:rPr>
        <w:t> </w:t>
      </w:r>
      <w:r>
        <w:rPr/>
        <w:t>2017).</w:t>
      </w:r>
      <w:r>
        <w:rPr>
          <w:spacing w:val="-4"/>
        </w:rPr>
        <w:t> </w:t>
      </w:r>
      <w:r>
        <w:rPr/>
        <w:t>Offshoring</w:t>
      </w:r>
      <w:r>
        <w:rPr>
          <w:spacing w:val="-4"/>
        </w:rPr>
        <w:t> </w:t>
      </w:r>
      <w:r>
        <w:rPr/>
        <w:t>differs</w:t>
      </w:r>
      <w:r>
        <w:rPr>
          <w:spacing w:val="-4"/>
        </w:rPr>
        <w:t> </w:t>
      </w:r>
      <w:r>
        <w:rPr/>
        <w:t>from</w:t>
      </w:r>
      <w:r>
        <w:rPr>
          <w:spacing w:val="-4"/>
        </w:rPr>
        <w:t> </w:t>
      </w:r>
      <w:r>
        <w:rPr/>
        <w:t>traditional hiring practices as</w:t>
      </w:r>
      <w:r>
        <w:rPr>
          <w:spacing w:val="40"/>
        </w:rPr>
        <w:t> </w:t>
      </w:r>
      <w:r>
        <w:rPr/>
        <w:t>it explores the global talent pool (Whittam &amp; Polakoff, 2024). Emerging economies typically</w:t>
      </w:r>
      <w:r>
        <w:rPr>
          <w:spacing w:val="80"/>
        </w:rPr>
        <w:t> </w:t>
      </w:r>
      <w:r>
        <w:rPr/>
        <w:t>serve as desirable sites for offshoring because of their young talent pools and lower costs of</w:t>
      </w:r>
      <w:r>
        <w:rPr>
          <w:spacing w:val="80"/>
        </w:rPr>
        <w:t> </w:t>
      </w:r>
      <w:r>
        <w:rPr/>
        <w:t>labor (Mrsik &amp; Kostovski, 2017). As the decline in accounting majors persists, understanding</w:t>
      </w:r>
      <w:r>
        <w:rPr>
          <w:spacing w:val="40"/>
        </w:rPr>
        <w:t> </w:t>
      </w:r>
      <w:r>
        <w:rPr/>
        <w:t>these technological and</w:t>
      </w:r>
      <w:r>
        <w:rPr>
          <w:spacing w:val="-2"/>
        </w:rPr>
        <w:t> </w:t>
      </w:r>
      <w:r>
        <w:rPr/>
        <w:t>global</w:t>
      </w:r>
      <w:r>
        <w:rPr>
          <w:spacing w:val="-2"/>
        </w:rPr>
        <w:t> </w:t>
      </w:r>
      <w:r>
        <w:rPr/>
        <w:t>shifts</w:t>
      </w:r>
      <w:r>
        <w:rPr>
          <w:spacing w:val="-2"/>
        </w:rPr>
        <w:t> </w:t>
      </w:r>
      <w:r>
        <w:rPr/>
        <w:t>becomes</w:t>
      </w:r>
      <w:r>
        <w:rPr>
          <w:spacing w:val="-2"/>
        </w:rPr>
        <w:t> </w:t>
      </w:r>
      <w:r>
        <w:rPr/>
        <w:t>essential</w:t>
      </w:r>
      <w:r>
        <w:rPr>
          <w:spacing w:val="-2"/>
        </w:rPr>
        <w:t> </w:t>
      </w:r>
      <w:r>
        <w:rPr/>
        <w:t>to</w:t>
      </w:r>
      <w:r>
        <w:rPr>
          <w:spacing w:val="-2"/>
        </w:rPr>
        <w:t> </w:t>
      </w:r>
      <w:r>
        <w:rPr/>
        <w:t>navigating</w:t>
      </w:r>
      <w:r>
        <w:rPr>
          <w:spacing w:val="-2"/>
        </w:rPr>
        <w:t> </w:t>
      </w:r>
      <w:r>
        <w:rPr/>
        <w:t>the profession’s</w:t>
      </w:r>
      <w:r>
        <w:rPr>
          <w:spacing w:val="40"/>
        </w:rPr>
        <w:t> </w:t>
      </w:r>
      <w:r>
        <w:rPr/>
        <w:t>continued evolution.</w:t>
      </w:r>
    </w:p>
    <w:p>
      <w:pPr>
        <w:pStyle w:val="BodyText"/>
        <w:spacing w:line="276" w:lineRule="auto" w:before="159"/>
        <w:ind w:left="720" w:right="1438"/>
        <w:jc w:val="both"/>
      </w:pPr>
      <w:r>
        <w:rPr/>
        <w:t>Exploring the accounting pipeline through previous literature demonstrates the</w:t>
      </w:r>
      <w:r>
        <w:rPr>
          <w:spacing w:val="40"/>
        </w:rPr>
        <w:t> </w:t>
      </w:r>
      <w:r>
        <w:rPr/>
        <w:t>various approaches taken to address the issue and unveils a critical</w:t>
      </w:r>
      <w:r>
        <w:rPr>
          <w:spacing w:val="-2"/>
        </w:rPr>
        <w:t> </w:t>
      </w:r>
      <w:r>
        <w:rPr/>
        <w:t>gap:</w:t>
      </w:r>
      <w:r>
        <w:rPr>
          <w:spacing w:val="-2"/>
        </w:rPr>
        <w:t> </w:t>
      </w:r>
      <w:r>
        <w:rPr/>
        <w:t>Why</w:t>
      </w:r>
      <w:r>
        <w:rPr>
          <w:spacing w:val="-2"/>
        </w:rPr>
        <w:t> </w:t>
      </w:r>
      <w:r>
        <w:rPr/>
        <w:t>are</w:t>
      </w:r>
      <w:r>
        <w:rPr>
          <w:spacing w:val="-2"/>
        </w:rPr>
        <w:t> </w:t>
      </w:r>
      <w:r>
        <w:rPr/>
        <w:t>current</w:t>
      </w:r>
      <w:r>
        <w:rPr>
          <w:spacing w:val="40"/>
        </w:rPr>
        <w:t> </w:t>
      </w:r>
      <w:r>
        <w:rPr/>
        <w:t>undergraduate students choosing not to major in accounting? This study contributes to</w:t>
      </w:r>
      <w:r>
        <w:rPr>
          <w:spacing w:val="-2"/>
        </w:rPr>
        <w:t> </w:t>
      </w:r>
      <w:r>
        <w:rPr/>
        <w:t>the</w:t>
      </w:r>
      <w:r>
        <w:rPr>
          <w:spacing w:val="40"/>
        </w:rPr>
        <w:t> </w:t>
      </w:r>
      <w:r>
        <w:rPr/>
        <w:t>literature</w:t>
      </w:r>
      <w:r>
        <w:rPr>
          <w:spacing w:val="-2"/>
        </w:rPr>
        <w:t> </w:t>
      </w:r>
      <w:r>
        <w:rPr/>
        <w:t>by</w:t>
      </w:r>
      <w:r>
        <w:rPr>
          <w:spacing w:val="-2"/>
        </w:rPr>
        <w:t> </w:t>
      </w:r>
      <w:r>
        <w:rPr/>
        <w:t>further researching this question and obtaining firsthand information regarding</w:t>
      </w:r>
      <w:r>
        <w:rPr>
          <w:spacing w:val="40"/>
        </w:rPr>
        <w:t> </w:t>
      </w:r>
      <w:r>
        <w:rPr/>
        <w:t>how students perceive both the accounting major and the profession.</w:t>
      </w:r>
    </w:p>
    <w:p>
      <w:pPr>
        <w:pStyle w:val="Heading4"/>
        <w:spacing w:before="161"/>
        <w:ind w:left="720"/>
        <w:jc w:val="both"/>
      </w:pPr>
      <w:r>
        <w:rPr/>
        <w:t>BACKGROUND AND RESEARCH </w:t>
      </w:r>
      <w:r>
        <w:rPr>
          <w:spacing w:val="-2"/>
        </w:rPr>
        <w:t>QUESTION</w:t>
      </w:r>
    </w:p>
    <w:p>
      <w:pPr>
        <w:pStyle w:val="BodyText"/>
        <w:spacing w:line="276" w:lineRule="auto" w:before="201"/>
        <w:ind w:left="720" w:right="1438"/>
        <w:jc w:val="both"/>
      </w:pPr>
      <w:r>
        <w:rPr/>
        <w:t>The “Accounting Principles Dinner” serves as the primary context for student</w:t>
      </w:r>
      <w:r>
        <w:rPr>
          <w:spacing w:val="40"/>
        </w:rPr>
        <w:t> </w:t>
      </w:r>
      <w:r>
        <w:rPr/>
        <w:t>exposure </w:t>
      </w:r>
      <w:r>
        <w:rPr/>
        <w:t>and recruitment</w:t>
      </w:r>
      <w:r>
        <w:rPr>
          <w:spacing w:val="40"/>
        </w:rPr>
        <w:t> </w:t>
      </w:r>
      <w:r>
        <w:rPr/>
        <w:t>into the accounting major in this study. The Accounting Principles</w:t>
      </w:r>
      <w:r>
        <w:rPr>
          <w:spacing w:val="80"/>
        </w:rPr>
        <w:t> </w:t>
      </w:r>
      <w:r>
        <w:rPr/>
        <w:t>Dinner is a</w:t>
      </w:r>
      <w:r>
        <w:rPr>
          <w:spacing w:val="40"/>
        </w:rPr>
        <w:t> </w:t>
      </w:r>
      <w:r>
        <w:rPr/>
        <w:t>semi-annual networking event hosted by the Department of Accounting at a large,</w:t>
      </w:r>
      <w:r>
        <w:rPr>
          <w:spacing w:val="40"/>
        </w:rPr>
        <w:t> </w:t>
      </w:r>
      <w:r>
        <w:rPr/>
        <w:t>southeastern university, designed to introduce high-achieving introductory students to the</w:t>
      </w:r>
      <w:r>
        <w:rPr>
          <w:spacing w:val="40"/>
        </w:rPr>
        <w:t> </w:t>
      </w:r>
      <w:r>
        <w:rPr/>
        <w:t>profession.</w:t>
      </w:r>
      <w:r>
        <w:rPr>
          <w:spacing w:val="40"/>
        </w:rPr>
        <w:t> </w:t>
      </w:r>
      <w:r>
        <w:rPr/>
        <w:t>Students are invited based on their performance in Principles of Accounting I</w:t>
      </w:r>
      <w:r>
        <w:rPr>
          <w:spacing w:val="40"/>
        </w:rPr>
        <w:t> </w:t>
      </w:r>
      <w:r>
        <w:rPr/>
        <w:t>and/or II. The event provides an interactive environment where dinner is served and an</w:t>
      </w:r>
      <w:r>
        <w:rPr>
          <w:spacing w:val="40"/>
        </w:rPr>
        <w:t> </w:t>
      </w:r>
      <w:r>
        <w:rPr/>
        <w:t>overview of the accounting major is presented, providing students with an opportunity to</w:t>
      </w:r>
      <w:r>
        <w:rPr>
          <w:spacing w:val="40"/>
        </w:rPr>
        <w:t> </w:t>
      </w:r>
      <w:r>
        <w:rPr/>
        <w:t>engage in informal networking with accounting</w:t>
      </w:r>
      <w:r>
        <w:rPr>
          <w:spacing w:val="-3"/>
        </w:rPr>
        <w:t> </w:t>
      </w:r>
      <w:r>
        <w:rPr/>
        <w:t>faculty</w:t>
      </w:r>
      <w:r>
        <w:rPr>
          <w:spacing w:val="-3"/>
        </w:rPr>
        <w:t> </w:t>
      </w:r>
      <w:r>
        <w:rPr/>
        <w:t>and</w:t>
      </w:r>
      <w:r>
        <w:rPr>
          <w:spacing w:val="-3"/>
        </w:rPr>
        <w:t> </w:t>
      </w:r>
      <w:r>
        <w:rPr/>
        <w:t>upperclassmen</w:t>
      </w:r>
      <w:r>
        <w:rPr>
          <w:spacing w:val="-3"/>
        </w:rPr>
        <w:t> </w:t>
      </w:r>
      <w:r>
        <w:rPr/>
        <w:t>from</w:t>
      </w:r>
      <w:r>
        <w:rPr>
          <w:spacing w:val="-3"/>
        </w:rPr>
        <w:t> </w:t>
      </w:r>
      <w:r>
        <w:rPr/>
        <w:t>student</w:t>
      </w:r>
      <w:r>
        <w:rPr>
          <w:spacing w:val="40"/>
        </w:rPr>
        <w:t> </w:t>
      </w:r>
      <w:r>
        <w:rPr/>
        <w:t>organizations,</w:t>
      </w:r>
      <w:r>
        <w:rPr>
          <w:spacing w:val="-3"/>
        </w:rPr>
        <w:t> </w:t>
      </w:r>
      <w:r>
        <w:rPr/>
        <w:t>such</w:t>
      </w:r>
      <w:r>
        <w:rPr>
          <w:spacing w:val="-3"/>
        </w:rPr>
        <w:t> </w:t>
      </w:r>
      <w:r>
        <w:rPr/>
        <w:t>as</w:t>
      </w:r>
      <w:r>
        <w:rPr>
          <w:spacing w:val="-3"/>
        </w:rPr>
        <w:t> </w:t>
      </w:r>
      <w:r>
        <w:rPr/>
        <w:t>Beta Alpha Psi (BAP), an international honorary organization for</w:t>
      </w:r>
      <w:r>
        <w:rPr>
          <w:spacing w:val="40"/>
        </w:rPr>
        <w:t> </w:t>
      </w:r>
      <w:r>
        <w:rPr/>
        <w:t>accounting students and professionals, and the Student Chapter of the Institute of</w:t>
      </w:r>
      <w:r>
        <w:rPr>
          <w:spacing w:val="40"/>
        </w:rPr>
        <w:t> </w:t>
      </w:r>
      <w:r>
        <w:rPr/>
        <w:t>Management</w:t>
      </w:r>
      <w:r>
        <w:rPr>
          <w:spacing w:val="-2"/>
        </w:rPr>
        <w:t> </w:t>
      </w:r>
      <w:r>
        <w:rPr/>
        <w:t>Accountants</w:t>
      </w:r>
      <w:r>
        <w:rPr>
          <w:spacing w:val="-2"/>
        </w:rPr>
        <w:t> </w:t>
      </w:r>
      <w:r>
        <w:rPr/>
        <w:t>(IMA).</w:t>
      </w:r>
      <w:r>
        <w:rPr>
          <w:spacing w:val="-2"/>
        </w:rPr>
        <w:t> </w:t>
      </w:r>
      <w:r>
        <w:rPr/>
        <w:t>The Accounting Principles Dinner occurs at a critical point</w:t>
      </w:r>
      <w:r>
        <w:rPr>
          <w:spacing w:val="40"/>
        </w:rPr>
        <w:t> </w:t>
      </w:r>
      <w:r>
        <w:rPr/>
        <w:t>in the undergraduate business students’ journey–when</w:t>
      </w:r>
      <w:r>
        <w:rPr>
          <w:spacing w:val="30"/>
        </w:rPr>
        <w:t> </w:t>
      </w:r>
      <w:r>
        <w:rPr/>
        <w:t>they</w:t>
      </w:r>
      <w:r>
        <w:rPr>
          <w:spacing w:val="30"/>
        </w:rPr>
        <w:t> </w:t>
      </w:r>
      <w:r>
        <w:rPr/>
        <w:t>are</w:t>
      </w:r>
      <w:r>
        <w:rPr>
          <w:spacing w:val="30"/>
        </w:rPr>
        <w:t> </w:t>
      </w:r>
      <w:r>
        <w:rPr/>
        <w:t>contemplating</w:t>
      </w:r>
      <w:r>
        <w:rPr>
          <w:spacing w:val="30"/>
        </w:rPr>
        <w:t> </w:t>
      </w:r>
      <w:r>
        <w:rPr/>
        <w:t>possible</w:t>
      </w:r>
      <w:r>
        <w:rPr>
          <w:spacing w:val="30"/>
        </w:rPr>
        <w:t>  </w:t>
      </w:r>
      <w:r>
        <w:rPr/>
        <w:t>changes</w:t>
      </w:r>
      <w:r>
        <w:rPr>
          <w:spacing w:val="30"/>
        </w:rPr>
        <w:t> </w:t>
      </w:r>
      <w:r>
        <w:rPr/>
        <w:t>in</w:t>
      </w:r>
      <w:r>
        <w:rPr>
          <w:spacing w:val="30"/>
        </w:rPr>
        <w:t> </w:t>
      </w:r>
      <w:r>
        <w:rPr/>
        <w:t>major–by</w:t>
      </w:r>
      <w:r>
        <w:rPr>
          <w:spacing w:val="30"/>
        </w:rPr>
        <w:t> </w:t>
      </w:r>
      <w:r>
        <w:rPr/>
        <w:t>bringing</w:t>
      </w:r>
      <w:r>
        <w:rPr>
          <w:spacing w:val="15"/>
        </w:rPr>
        <w:t> </w:t>
      </w:r>
      <w:r>
        <w:rPr/>
        <w:t>together</w:t>
      </w:r>
      <w:r>
        <w:rPr>
          <w:spacing w:val="15"/>
        </w:rPr>
        <w:t> </w:t>
      </w:r>
      <w:r>
        <w:rPr/>
        <w:t>the</w:t>
      </w:r>
      <w:r>
        <w:rPr>
          <w:spacing w:val="15"/>
        </w:rPr>
        <w:t> </w:t>
      </w:r>
      <w:r>
        <w:rPr>
          <w:spacing w:val="-5"/>
        </w:rPr>
        <w:t>top</w:t>
      </w:r>
    </w:p>
    <w:p>
      <w:pPr>
        <w:pStyle w:val="BodyText"/>
        <w:spacing w:after="0" w:line="276" w:lineRule="auto"/>
        <w:jc w:val="both"/>
        <w:sectPr>
          <w:pgSz w:w="12240" w:h="15840"/>
          <w:pgMar w:header="0" w:footer="750" w:top="640" w:bottom="960" w:left="720" w:right="0"/>
        </w:sectPr>
      </w:pPr>
    </w:p>
    <w:p>
      <w:pPr>
        <w:pStyle w:val="BodyText"/>
        <w:spacing w:line="276" w:lineRule="auto" w:before="60"/>
        <w:ind w:left="720" w:right="1444"/>
        <w:jc w:val="both"/>
      </w:pPr>
      <w:r>
        <w:rPr/>
        <w:t>performers from introductory accounting</w:t>
      </w:r>
      <w:r>
        <w:rPr>
          <w:spacing w:val="40"/>
        </w:rPr>
        <w:t> </w:t>
      </w:r>
      <w:r>
        <w:rPr/>
        <w:t>courses to learn more about the accounting path. </w:t>
      </w:r>
      <w:r>
        <w:rPr/>
        <w:t>The dinner is used by the department to</w:t>
      </w:r>
      <w:r>
        <w:rPr>
          <w:spacing w:val="40"/>
        </w:rPr>
        <w:t> </w:t>
      </w:r>
      <w:r>
        <w:rPr/>
        <w:t>translate academic achievement into professional commitment through human connection</w:t>
      </w:r>
      <w:r>
        <w:rPr>
          <w:spacing w:val="40"/>
        </w:rPr>
        <w:t> </w:t>
      </w:r>
      <w:r>
        <w:rPr/>
        <w:t>and a clearer understanding of the major’s benefits.</w:t>
      </w:r>
    </w:p>
    <w:p>
      <w:pPr>
        <w:pStyle w:val="BodyText"/>
        <w:spacing w:line="276" w:lineRule="auto" w:before="160"/>
        <w:ind w:left="720" w:right="1438"/>
        <w:jc w:val="both"/>
      </w:pPr>
      <w:r>
        <w:rPr/>
        <w:t>The population sampled consisted of invitees of the Accounting Principles Dinner</w:t>
      </w:r>
      <w:r>
        <w:rPr>
          <w:spacing w:val="40"/>
        </w:rPr>
        <w:t> </w:t>
      </w:r>
      <w:r>
        <w:rPr/>
        <w:t>between the calendar years 2023-2025. This specific population is significant because they</w:t>
      </w:r>
      <w:r>
        <w:rPr>
          <w:spacing w:val="40"/>
        </w:rPr>
        <w:t> </w:t>
      </w:r>
      <w:r>
        <w:rPr/>
        <w:t>represent </w:t>
      </w:r>
      <w:r>
        <w:rPr/>
        <w:t>the</w:t>
      </w:r>
      <w:r>
        <w:rPr>
          <w:spacing w:val="40"/>
        </w:rPr>
        <w:t> </w:t>
      </w:r>
      <w:r>
        <w:rPr/>
        <w:t>ideal candidates for the accounting major; students who have already</w:t>
      </w:r>
      <w:r>
        <w:rPr>
          <w:spacing w:val="40"/>
        </w:rPr>
        <w:t> </w:t>
      </w:r>
      <w:r>
        <w:rPr/>
        <w:t>demonstrated the foundational competency required to succeed in an introductory accounting</w:t>
      </w:r>
      <w:r>
        <w:rPr>
          <w:spacing w:val="40"/>
        </w:rPr>
        <w:t> </w:t>
      </w:r>
      <w:r>
        <w:rPr/>
        <w:t>course. By interviewing students who were invited to the dinner and either</w:t>
      </w:r>
      <w:r>
        <w:rPr>
          <w:spacing w:val="-3"/>
        </w:rPr>
        <w:t> </w:t>
      </w:r>
      <w:r>
        <w:rPr/>
        <w:t>chose</w:t>
      </w:r>
      <w:r>
        <w:rPr>
          <w:spacing w:val="-3"/>
        </w:rPr>
        <w:t> </w:t>
      </w:r>
      <w:r>
        <w:rPr/>
        <w:t>to</w:t>
      </w:r>
      <w:r>
        <w:rPr>
          <w:spacing w:val="-3"/>
        </w:rPr>
        <w:t> </w:t>
      </w:r>
      <w:r>
        <w:rPr/>
        <w:t>major</w:t>
      </w:r>
      <w:r>
        <w:rPr>
          <w:spacing w:val="-3"/>
        </w:rPr>
        <w:t> </w:t>
      </w:r>
      <w:r>
        <w:rPr/>
        <w:t>in</w:t>
      </w:r>
      <w:r>
        <w:rPr>
          <w:spacing w:val="40"/>
        </w:rPr>
        <w:t> </w:t>
      </w:r>
      <w:r>
        <w:rPr/>
        <w:t>accounting</w:t>
      </w:r>
      <w:r>
        <w:rPr>
          <w:spacing w:val="-3"/>
        </w:rPr>
        <w:t> </w:t>
      </w:r>
      <w:r>
        <w:rPr/>
        <w:t>or chose other business disciplines, this study sought to capture a view of the decision-making process behind their choice of major. While previous literature suggests that</w:t>
      </w:r>
      <w:r>
        <w:rPr>
          <w:spacing w:val="40"/>
        </w:rPr>
        <w:t> </w:t>
      </w:r>
      <w:r>
        <w:rPr/>
        <w:t>factors related to</w:t>
      </w:r>
      <w:r>
        <w:rPr>
          <w:spacing w:val="40"/>
        </w:rPr>
        <w:t> </w:t>
      </w:r>
      <w:r>
        <w:rPr/>
        <w:t>the profession itself (e.g., personal interest in the</w:t>
      </w:r>
      <w:r>
        <w:rPr>
          <w:spacing w:val="-2"/>
        </w:rPr>
        <w:t> </w:t>
      </w:r>
      <w:r>
        <w:rPr/>
        <w:t>subject</w:t>
      </w:r>
      <w:r>
        <w:rPr>
          <w:spacing w:val="-2"/>
        </w:rPr>
        <w:t> </w:t>
      </w:r>
      <w:r>
        <w:rPr/>
        <w:t>matter</w:t>
      </w:r>
      <w:r>
        <w:rPr>
          <w:spacing w:val="-2"/>
        </w:rPr>
        <w:t> </w:t>
      </w:r>
      <w:r>
        <w:rPr/>
        <w:t>and</w:t>
      </w:r>
      <w:r>
        <w:rPr>
          <w:spacing w:val="40"/>
        </w:rPr>
        <w:t> </w:t>
      </w:r>
      <w:r>
        <w:rPr/>
        <w:t>long-term</w:t>
      </w:r>
      <w:r>
        <w:rPr>
          <w:spacing w:val="-2"/>
        </w:rPr>
        <w:t> </w:t>
      </w:r>
      <w:r>
        <w:rPr/>
        <w:t>salary</w:t>
      </w:r>
      <w:r>
        <w:rPr>
          <w:spacing w:val="-2"/>
        </w:rPr>
        <w:t> </w:t>
      </w:r>
      <w:r>
        <w:rPr/>
        <w:t>prospects) are greater influences than university advisors or counselors</w:t>
      </w:r>
      <w:r>
        <w:rPr>
          <w:spacing w:val="40"/>
        </w:rPr>
        <w:t> </w:t>
      </w:r>
      <w:r>
        <w:rPr/>
        <w:t>(Crampton et al., 2006), these studies often rely on surveys or interviews conducted</w:t>
      </w:r>
      <w:r>
        <w:rPr>
          <w:spacing w:val="-2"/>
        </w:rPr>
        <w:t> </w:t>
      </w:r>
      <w:r>
        <w:rPr/>
        <w:t>by</w:t>
      </w:r>
      <w:r>
        <w:rPr>
          <w:spacing w:val="40"/>
        </w:rPr>
        <w:t> </w:t>
      </w:r>
      <w:r>
        <w:rPr/>
        <w:t>faculty</w:t>
      </w:r>
      <w:r>
        <w:rPr>
          <w:spacing w:val="-2"/>
        </w:rPr>
        <w:t> </w:t>
      </w:r>
      <w:r>
        <w:rPr/>
        <w:t>members.</w:t>
      </w:r>
      <w:r>
        <w:rPr>
          <w:spacing w:val="-2"/>
        </w:rPr>
        <w:t> </w:t>
      </w:r>
      <w:r>
        <w:rPr/>
        <w:t>This</w:t>
      </w:r>
      <w:r>
        <w:rPr>
          <w:spacing w:val="-2"/>
        </w:rPr>
        <w:t> </w:t>
      </w:r>
      <w:r>
        <w:rPr/>
        <w:t>particular</w:t>
      </w:r>
      <w:r>
        <w:rPr>
          <w:spacing w:val="-2"/>
        </w:rPr>
        <w:t> </w:t>
      </w:r>
      <w:r>
        <w:rPr/>
        <w:t>study addresses a significant methodological gap by</w:t>
      </w:r>
      <w:r>
        <w:rPr>
          <w:spacing w:val="40"/>
        </w:rPr>
        <w:t> </w:t>
      </w:r>
      <w:r>
        <w:rPr/>
        <w:t>utilizing a peer-to-peer qualitative approach.</w:t>
      </w:r>
    </w:p>
    <w:p>
      <w:pPr>
        <w:pStyle w:val="BodyText"/>
        <w:spacing w:line="276" w:lineRule="auto" w:before="161"/>
        <w:ind w:left="720" w:right="1438"/>
        <w:jc w:val="both"/>
      </w:pPr>
      <w:r>
        <w:rPr/>
        <w:t>A conclusion from Knight, Braun, Simpson, &amp; Le Guyader (2021) indicated that the</w:t>
      </w:r>
      <w:r>
        <w:rPr>
          <w:spacing w:val="40"/>
        </w:rPr>
        <w:t> </w:t>
      </w:r>
      <w:r>
        <w:rPr/>
        <w:t>power dynamic between</w:t>
      </w:r>
      <w:r>
        <w:rPr>
          <w:spacing w:val="-2"/>
        </w:rPr>
        <w:t> </w:t>
      </w:r>
      <w:r>
        <w:rPr/>
        <w:t>a</w:t>
      </w:r>
      <w:r>
        <w:rPr>
          <w:spacing w:val="-2"/>
        </w:rPr>
        <w:t> </w:t>
      </w:r>
      <w:r>
        <w:rPr/>
        <w:t>faculty</w:t>
      </w:r>
      <w:r>
        <w:rPr>
          <w:spacing w:val="-2"/>
        </w:rPr>
        <w:t> </w:t>
      </w:r>
      <w:r>
        <w:rPr/>
        <w:t>interviewer</w:t>
      </w:r>
      <w:r>
        <w:rPr>
          <w:spacing w:val="-2"/>
        </w:rPr>
        <w:t> </w:t>
      </w:r>
      <w:r>
        <w:rPr/>
        <w:t>and</w:t>
      </w:r>
      <w:r>
        <w:rPr>
          <w:spacing w:val="-2"/>
        </w:rPr>
        <w:t> </w:t>
      </w:r>
      <w:r>
        <w:rPr/>
        <w:t>a</w:t>
      </w:r>
      <w:r>
        <w:rPr>
          <w:spacing w:val="-2"/>
        </w:rPr>
        <w:t> </w:t>
      </w:r>
      <w:r>
        <w:rPr/>
        <w:t>student</w:t>
      </w:r>
      <w:r>
        <w:rPr>
          <w:spacing w:val="-2"/>
        </w:rPr>
        <w:t> </w:t>
      </w:r>
      <w:r>
        <w:rPr/>
        <w:t>may</w:t>
      </w:r>
      <w:r>
        <w:rPr>
          <w:spacing w:val="-2"/>
        </w:rPr>
        <w:t> </w:t>
      </w:r>
      <w:r>
        <w:rPr/>
        <w:t>skew</w:t>
      </w:r>
      <w:r>
        <w:rPr>
          <w:spacing w:val="-2"/>
        </w:rPr>
        <w:t> </w:t>
      </w:r>
      <w:r>
        <w:rPr/>
        <w:t>data,</w:t>
      </w:r>
      <w:r>
        <w:rPr>
          <w:spacing w:val="-2"/>
        </w:rPr>
        <w:t> </w:t>
      </w:r>
      <w:r>
        <w:rPr/>
        <w:t>often</w:t>
      </w:r>
      <w:r>
        <w:rPr>
          <w:spacing w:val="-2"/>
        </w:rPr>
        <w:t> </w:t>
      </w:r>
      <w:r>
        <w:rPr/>
        <w:t>altering</w:t>
      </w:r>
      <w:r>
        <w:rPr>
          <w:spacing w:val="40"/>
        </w:rPr>
        <w:t> </w:t>
      </w:r>
      <w:r>
        <w:rPr/>
        <w:t>how</w:t>
      </w:r>
      <w:r>
        <w:rPr>
          <w:spacing w:val="-2"/>
        </w:rPr>
        <w:t> </w:t>
      </w:r>
      <w:r>
        <w:rPr/>
        <w:t>students speak about an accounting course with an instructor compared with a peer.</w:t>
      </w:r>
      <w:r>
        <w:rPr>
          <w:spacing w:val="40"/>
        </w:rPr>
        <w:t> </w:t>
      </w:r>
      <w:r>
        <w:rPr/>
        <w:t>Knight et al. specifically called for future research to employ peers to conduct</w:t>
      </w:r>
      <w:r>
        <w:rPr>
          <w:spacing w:val="40"/>
        </w:rPr>
        <w:t> </w:t>
      </w:r>
      <w:r>
        <w:rPr/>
        <w:t>semi-structured interviews when contributing to the literature. This study</w:t>
      </w:r>
      <w:r>
        <w:rPr>
          <w:spacing w:val="-2"/>
        </w:rPr>
        <w:t> </w:t>
      </w:r>
      <w:r>
        <w:rPr/>
        <w:t>responds</w:t>
      </w:r>
      <w:r>
        <w:rPr>
          <w:spacing w:val="-2"/>
        </w:rPr>
        <w:t> </w:t>
      </w:r>
      <w:r>
        <w:rPr/>
        <w:t>directly</w:t>
      </w:r>
      <w:r>
        <w:rPr>
          <w:spacing w:val="-2"/>
        </w:rPr>
        <w:t> </w:t>
      </w:r>
      <w:r>
        <w:rPr/>
        <w:t>to</w:t>
      </w:r>
      <w:r>
        <w:rPr>
          <w:spacing w:val="40"/>
        </w:rPr>
        <w:t> </w:t>
      </w:r>
      <w:r>
        <w:rPr/>
        <w:t>that</w:t>
      </w:r>
      <w:r>
        <w:rPr>
          <w:spacing w:val="-2"/>
        </w:rPr>
        <w:t> </w:t>
      </w:r>
      <w:r>
        <w:rPr/>
        <w:t>call.</w:t>
      </w:r>
      <w:r>
        <w:rPr>
          <w:spacing w:val="-2"/>
        </w:rPr>
        <w:t> </w:t>
      </w:r>
      <w:r>
        <w:rPr/>
        <w:t>By</w:t>
      </w:r>
      <w:r>
        <w:rPr>
          <w:spacing w:val="-2"/>
        </w:rPr>
        <w:t> </w:t>
      </w:r>
      <w:r>
        <w:rPr/>
        <w:t>having</w:t>
      </w:r>
      <w:r>
        <w:rPr>
          <w:spacing w:val="-2"/>
        </w:rPr>
        <w:t> </w:t>
      </w:r>
      <w:r>
        <w:rPr/>
        <w:t>a</w:t>
      </w:r>
      <w:r>
        <w:rPr>
          <w:spacing w:val="-2"/>
        </w:rPr>
        <w:t> </w:t>
      </w:r>
      <w:r>
        <w:rPr/>
        <w:t>current undergraduate student</w:t>
      </w:r>
      <w:r>
        <w:rPr>
          <w:spacing w:val="-3"/>
        </w:rPr>
        <w:t> </w:t>
      </w:r>
      <w:r>
        <w:rPr/>
        <w:t>conduct</w:t>
      </w:r>
      <w:r>
        <w:rPr>
          <w:spacing w:val="-3"/>
        </w:rPr>
        <w:t> </w:t>
      </w:r>
      <w:r>
        <w:rPr/>
        <w:t>the</w:t>
      </w:r>
      <w:r>
        <w:rPr>
          <w:spacing w:val="-3"/>
        </w:rPr>
        <w:t> </w:t>
      </w:r>
      <w:r>
        <w:rPr/>
        <w:t>interviews,</w:t>
      </w:r>
      <w:r>
        <w:rPr>
          <w:spacing w:val="-3"/>
        </w:rPr>
        <w:t> </w:t>
      </w:r>
      <w:r>
        <w:rPr/>
        <w:t>this</w:t>
      </w:r>
      <w:r>
        <w:rPr>
          <w:spacing w:val="-3"/>
        </w:rPr>
        <w:t> </w:t>
      </w:r>
      <w:r>
        <w:rPr/>
        <w:t>research</w:t>
      </w:r>
      <w:r>
        <w:rPr>
          <w:spacing w:val="40"/>
        </w:rPr>
        <w:t> </w:t>
      </w:r>
      <w:r>
        <w:rPr/>
        <w:t>fosters</w:t>
      </w:r>
      <w:r>
        <w:rPr>
          <w:spacing w:val="-3"/>
        </w:rPr>
        <w:t> </w:t>
      </w:r>
      <w:r>
        <w:rPr/>
        <w:t>an</w:t>
      </w:r>
      <w:r>
        <w:rPr>
          <w:spacing w:val="-3"/>
        </w:rPr>
        <w:t> </w:t>
      </w:r>
      <w:r>
        <w:rPr/>
        <w:t>environment</w:t>
      </w:r>
      <w:r>
        <w:rPr>
          <w:spacing w:val="-3"/>
        </w:rPr>
        <w:t> </w:t>
      </w:r>
      <w:r>
        <w:rPr/>
        <w:t>for</w:t>
      </w:r>
      <w:r>
        <w:rPr>
          <w:spacing w:val="-3"/>
        </w:rPr>
        <w:t> </w:t>
      </w:r>
      <w:r>
        <w:rPr/>
        <w:t>unfiltered honesty about the</w:t>
      </w:r>
      <w:r>
        <w:rPr>
          <w:spacing w:val="-4"/>
        </w:rPr>
        <w:t> </w:t>
      </w:r>
      <w:r>
        <w:rPr/>
        <w:t>accounting</w:t>
      </w:r>
      <w:r>
        <w:rPr>
          <w:spacing w:val="-4"/>
        </w:rPr>
        <w:t> </w:t>
      </w:r>
      <w:r>
        <w:rPr/>
        <w:t>major.</w:t>
      </w:r>
      <w:r>
        <w:rPr>
          <w:spacing w:val="-4"/>
        </w:rPr>
        <w:t> </w:t>
      </w:r>
      <w:r>
        <w:rPr/>
        <w:t>Understanding</w:t>
      </w:r>
      <w:r>
        <w:rPr>
          <w:spacing w:val="-4"/>
        </w:rPr>
        <w:t> </w:t>
      </w:r>
      <w:r>
        <w:rPr/>
        <w:t>the</w:t>
      </w:r>
      <w:r>
        <w:rPr>
          <w:spacing w:val="40"/>
        </w:rPr>
        <w:t> </w:t>
      </w:r>
      <w:r>
        <w:rPr/>
        <w:t>influences</w:t>
      </w:r>
      <w:r>
        <w:rPr>
          <w:spacing w:val="-4"/>
        </w:rPr>
        <w:t> </w:t>
      </w:r>
      <w:r>
        <w:rPr/>
        <w:t>behind</w:t>
      </w:r>
      <w:r>
        <w:rPr>
          <w:spacing w:val="-4"/>
        </w:rPr>
        <w:t> </w:t>
      </w:r>
      <w:r>
        <w:rPr/>
        <w:t>these</w:t>
      </w:r>
      <w:r>
        <w:rPr>
          <w:spacing w:val="-4"/>
        </w:rPr>
        <w:t> </w:t>
      </w:r>
      <w:r>
        <w:rPr/>
        <w:t>high-performing students is</w:t>
      </w:r>
      <w:r>
        <w:rPr>
          <w:spacing w:val="-3"/>
        </w:rPr>
        <w:t> </w:t>
      </w:r>
      <w:r>
        <w:rPr/>
        <w:t>important</w:t>
      </w:r>
      <w:r>
        <w:rPr>
          <w:spacing w:val="-3"/>
        </w:rPr>
        <w:t> </w:t>
      </w:r>
      <w:r>
        <w:rPr/>
        <w:t>to</w:t>
      </w:r>
      <w:r>
        <w:rPr>
          <w:spacing w:val="-3"/>
        </w:rPr>
        <w:t> </w:t>
      </w:r>
      <w:r>
        <w:rPr/>
        <w:t>gain</w:t>
      </w:r>
      <w:r>
        <w:rPr>
          <w:spacing w:val="-3"/>
        </w:rPr>
        <w:t> </w:t>
      </w:r>
      <w:r>
        <w:rPr/>
        <w:t>insights</w:t>
      </w:r>
      <w:r>
        <w:rPr>
          <w:spacing w:val="-3"/>
        </w:rPr>
        <w:t> </w:t>
      </w:r>
      <w:r>
        <w:rPr/>
        <w:t>into</w:t>
      </w:r>
      <w:r>
        <w:rPr>
          <w:spacing w:val="-3"/>
        </w:rPr>
        <w:t> </w:t>
      </w:r>
      <w:r>
        <w:rPr/>
        <w:t>factors</w:t>
      </w:r>
      <w:r>
        <w:rPr>
          <w:spacing w:val="40"/>
        </w:rPr>
        <w:t> </w:t>
      </w:r>
      <w:r>
        <w:rPr/>
        <w:t>that</w:t>
      </w:r>
      <w:r>
        <w:rPr>
          <w:spacing w:val="-3"/>
        </w:rPr>
        <w:t> </w:t>
      </w:r>
      <w:r>
        <w:rPr/>
        <w:t>may</w:t>
      </w:r>
      <w:r>
        <w:rPr>
          <w:spacing w:val="-3"/>
        </w:rPr>
        <w:t> </w:t>
      </w:r>
      <w:r>
        <w:rPr/>
        <w:t>influence</w:t>
      </w:r>
      <w:r>
        <w:rPr>
          <w:spacing w:val="-3"/>
        </w:rPr>
        <w:t> </w:t>
      </w:r>
      <w:r>
        <w:rPr/>
        <w:t>students’</w:t>
      </w:r>
      <w:r>
        <w:rPr>
          <w:spacing w:val="-3"/>
        </w:rPr>
        <w:t> </w:t>
      </w:r>
      <w:r>
        <w:rPr/>
        <w:t>choice</w:t>
      </w:r>
      <w:r>
        <w:rPr>
          <w:spacing w:val="-3"/>
        </w:rPr>
        <w:t> </w:t>
      </w:r>
      <w:r>
        <w:rPr/>
        <w:t>of</w:t>
      </w:r>
      <w:r>
        <w:rPr>
          <w:spacing w:val="-3"/>
        </w:rPr>
        <w:t> </w:t>
      </w:r>
      <w:r>
        <w:rPr/>
        <w:t>major.</w:t>
      </w:r>
      <w:r>
        <w:rPr>
          <w:spacing w:val="-3"/>
        </w:rPr>
        <w:t> </w:t>
      </w:r>
      <w:r>
        <w:rPr/>
        <w:t>If students who have</w:t>
      </w:r>
      <w:r>
        <w:rPr>
          <w:spacing w:val="-3"/>
        </w:rPr>
        <w:t> </w:t>
      </w:r>
      <w:r>
        <w:rPr/>
        <w:t>demonstrated</w:t>
      </w:r>
      <w:r>
        <w:rPr>
          <w:spacing w:val="-3"/>
        </w:rPr>
        <w:t> </w:t>
      </w:r>
      <w:r>
        <w:rPr/>
        <w:t>acumen</w:t>
      </w:r>
      <w:r>
        <w:rPr>
          <w:spacing w:val="-3"/>
        </w:rPr>
        <w:t> </w:t>
      </w:r>
      <w:r>
        <w:rPr/>
        <w:t>in</w:t>
      </w:r>
      <w:r>
        <w:rPr>
          <w:spacing w:val="40"/>
        </w:rPr>
        <w:t> </w:t>
      </w:r>
      <w:r>
        <w:rPr/>
        <w:t>foundational</w:t>
      </w:r>
      <w:r>
        <w:rPr>
          <w:spacing w:val="-3"/>
        </w:rPr>
        <w:t> </w:t>
      </w:r>
      <w:r>
        <w:rPr/>
        <w:t>accounting</w:t>
      </w:r>
      <w:r>
        <w:rPr>
          <w:spacing w:val="-3"/>
        </w:rPr>
        <w:t> </w:t>
      </w:r>
      <w:r>
        <w:rPr/>
        <w:t>courses</w:t>
      </w:r>
      <w:r>
        <w:rPr>
          <w:spacing w:val="-3"/>
        </w:rPr>
        <w:t> </w:t>
      </w:r>
      <w:r>
        <w:rPr/>
        <w:t>still</w:t>
      </w:r>
      <w:r>
        <w:rPr>
          <w:spacing w:val="-3"/>
        </w:rPr>
        <w:t> </w:t>
      </w:r>
      <w:r>
        <w:rPr/>
        <w:t>choose</w:t>
      </w:r>
      <w:r>
        <w:rPr>
          <w:spacing w:val="-3"/>
        </w:rPr>
        <w:t> </w:t>
      </w:r>
      <w:r>
        <w:rPr/>
        <w:t>to</w:t>
      </w:r>
      <w:r>
        <w:rPr>
          <w:spacing w:val="-3"/>
        </w:rPr>
        <w:t> </w:t>
      </w:r>
      <w:r>
        <w:rPr/>
        <w:t>walk away from the major, the issue may not</w:t>
      </w:r>
      <w:r>
        <w:rPr>
          <w:spacing w:val="40"/>
        </w:rPr>
        <w:t> </w:t>
      </w:r>
      <w:r>
        <w:rPr/>
        <w:t>be students’ ability to succeed in the major and/or profession, but rather their initial appeal to</w:t>
      </w:r>
      <w:r>
        <w:rPr>
          <w:spacing w:val="40"/>
        </w:rPr>
        <w:t> </w:t>
      </w:r>
      <w:r>
        <w:rPr/>
        <w:t>it. This research reveals the internal narratives and personal values that drive a student to</w:t>
      </w:r>
      <w:r>
        <w:rPr>
          <w:spacing w:val="40"/>
        </w:rPr>
        <w:t> </w:t>
      </w:r>
      <w:r>
        <w:rPr/>
        <w:t>either embrace the major as a versatile career choice or reject it as a</w:t>
      </w:r>
      <w:r>
        <w:rPr>
          <w:spacing w:val="-3"/>
        </w:rPr>
        <w:t> </w:t>
      </w:r>
      <w:r>
        <w:rPr/>
        <w:t>restrictive</w:t>
      </w:r>
      <w:r>
        <w:rPr>
          <w:spacing w:val="-3"/>
        </w:rPr>
        <w:t> </w:t>
      </w:r>
      <w:r>
        <w:rPr/>
        <w:t>path.</w:t>
      </w:r>
      <w:r>
        <w:rPr>
          <w:spacing w:val="-3"/>
        </w:rPr>
        <w:t> </w:t>
      </w:r>
      <w:r>
        <w:rPr/>
        <w:t>To</w:t>
      </w:r>
      <w:r>
        <w:rPr>
          <w:spacing w:val="40"/>
        </w:rPr>
        <w:t> </w:t>
      </w:r>
      <w:r>
        <w:rPr/>
        <w:t>respond</w:t>
      </w:r>
      <w:r>
        <w:rPr>
          <w:spacing w:val="-3"/>
        </w:rPr>
        <w:t> </w:t>
      </w:r>
      <w:r>
        <w:rPr/>
        <w:t>to</w:t>
      </w:r>
      <w:r>
        <w:rPr>
          <w:spacing w:val="-3"/>
        </w:rPr>
        <w:t> </w:t>
      </w:r>
      <w:r>
        <w:rPr/>
        <w:t>the</w:t>
      </w:r>
      <w:r>
        <w:rPr>
          <w:spacing w:val="-3"/>
        </w:rPr>
        <w:t> </w:t>
      </w:r>
      <w:r>
        <w:rPr/>
        <w:t>accounting</w:t>
      </w:r>
      <w:r>
        <w:rPr>
          <w:spacing w:val="-3"/>
        </w:rPr>
        <w:t> </w:t>
      </w:r>
      <w:r>
        <w:rPr/>
        <w:t>pipeline</w:t>
      </w:r>
      <w:r>
        <w:rPr>
          <w:spacing w:val="-3"/>
        </w:rPr>
        <w:t> </w:t>
      </w:r>
      <w:r>
        <w:rPr/>
        <w:t>issue</w:t>
      </w:r>
      <w:r>
        <w:rPr>
          <w:spacing w:val="-3"/>
        </w:rPr>
        <w:t> </w:t>
      </w:r>
      <w:r>
        <w:rPr/>
        <w:t>by</w:t>
      </w:r>
      <w:r>
        <w:rPr>
          <w:spacing w:val="-3"/>
        </w:rPr>
        <w:t> </w:t>
      </w:r>
      <w:r>
        <w:rPr/>
        <w:t>better</w:t>
      </w:r>
      <w:r>
        <w:rPr>
          <w:spacing w:val="-3"/>
        </w:rPr>
        <w:t> </w:t>
      </w:r>
      <w:r>
        <w:rPr/>
        <w:t>understanding students’ perceptions of</w:t>
      </w:r>
      <w:r>
        <w:rPr>
          <w:spacing w:val="40"/>
        </w:rPr>
        <w:t> </w:t>
      </w:r>
      <w:r>
        <w:rPr/>
        <w:t>accounting and their decision-making process when choosing their major, I have the</w:t>
      </w:r>
      <w:r>
        <w:rPr>
          <w:spacing w:val="40"/>
        </w:rPr>
        <w:t> </w:t>
      </w:r>
      <w:r>
        <w:rPr/>
        <w:t>following research question:</w:t>
      </w:r>
    </w:p>
    <w:p>
      <w:pPr>
        <w:pStyle w:val="BodyText"/>
        <w:spacing w:line="276" w:lineRule="auto" w:before="160"/>
        <w:ind w:left="720" w:right="1444"/>
        <w:jc w:val="both"/>
      </w:pPr>
      <w:r>
        <w:rPr/>
        <w:t>RQ1: What factors influence undergraduate business students’ decisions to pursue,</w:t>
      </w:r>
      <w:r>
        <w:rPr>
          <w:spacing w:val="80"/>
        </w:rPr>
        <w:t> </w:t>
      </w:r>
      <w:r>
        <w:rPr/>
        <w:t>or not pursue, accounting as their major after having the opportunity to learn</w:t>
      </w:r>
      <w:r>
        <w:rPr>
          <w:spacing w:val="40"/>
        </w:rPr>
        <w:t> </w:t>
      </w:r>
      <w:r>
        <w:rPr/>
        <w:t>about the </w:t>
      </w:r>
      <w:r>
        <w:rPr/>
        <w:t>accounting </w:t>
      </w:r>
      <w:r>
        <w:rPr>
          <w:spacing w:val="-2"/>
        </w:rPr>
        <w:t>profession?</w:t>
      </w:r>
    </w:p>
    <w:p>
      <w:pPr>
        <w:pStyle w:val="Heading4"/>
        <w:spacing w:before="160"/>
        <w:ind w:left="720"/>
      </w:pPr>
      <w:r>
        <w:rPr>
          <w:spacing w:val="-2"/>
        </w:rPr>
        <w:t>METHODOLOGY</w:t>
      </w:r>
    </w:p>
    <w:p>
      <w:pPr>
        <w:pStyle w:val="BodyText"/>
        <w:spacing w:line="276" w:lineRule="auto" w:before="201"/>
        <w:ind w:left="720" w:right="1443"/>
        <w:jc w:val="both"/>
      </w:pPr>
      <w:r>
        <w:rPr/>
        <w:t>I used a field-based approach, engaging in qualitative</w:t>
      </w:r>
      <w:r>
        <w:rPr>
          <w:spacing w:val="-3"/>
        </w:rPr>
        <w:t> </w:t>
      </w:r>
      <w:r>
        <w:rPr/>
        <w:t>interviews</w:t>
      </w:r>
      <w:r>
        <w:rPr>
          <w:spacing w:val="-3"/>
        </w:rPr>
        <w:t> </w:t>
      </w:r>
      <w:r>
        <w:rPr/>
        <w:t>with</w:t>
      </w:r>
      <w:r>
        <w:rPr>
          <w:spacing w:val="-3"/>
        </w:rPr>
        <w:t> </w:t>
      </w:r>
      <w:r>
        <w:rPr/>
        <w:t>undergraduate</w:t>
      </w:r>
      <w:r>
        <w:rPr>
          <w:spacing w:val="40"/>
        </w:rPr>
        <w:t> </w:t>
      </w:r>
      <w:r>
        <w:rPr/>
        <w:t>students</w:t>
      </w:r>
      <w:r>
        <w:rPr>
          <w:spacing w:val="-3"/>
        </w:rPr>
        <w:t> </w:t>
      </w:r>
      <w:r>
        <w:rPr/>
        <w:t>at</w:t>
      </w:r>
      <w:r>
        <w:rPr>
          <w:spacing w:val="40"/>
        </w:rPr>
        <w:t> </w:t>
      </w:r>
      <w:r>
        <w:rPr/>
        <w:t>a large southeastern university in the United States. The population sampled</w:t>
      </w:r>
      <w:r>
        <w:rPr>
          <w:spacing w:val="80"/>
        </w:rPr>
        <w:t> </w:t>
      </w:r>
      <w:r>
        <w:rPr/>
        <w:t>consisted of students who had been invited to attend the Accounting Principles Dinner during</w:t>
      </w:r>
      <w:r>
        <w:rPr>
          <w:spacing w:val="40"/>
        </w:rPr>
        <w:t> </w:t>
      </w:r>
      <w:r>
        <w:rPr/>
        <w:t>the calendar years from 2023 to 2025. This decision stemmed from my intent to</w:t>
      </w:r>
      <w:r>
        <w:rPr>
          <w:spacing w:val="-2"/>
        </w:rPr>
        <w:t> </w:t>
      </w:r>
      <w:r>
        <w:rPr/>
        <w:t>focus</w:t>
      </w:r>
      <w:r>
        <w:rPr>
          <w:spacing w:val="-2"/>
        </w:rPr>
        <w:t> </w:t>
      </w:r>
      <w:r>
        <w:rPr/>
        <w:t>on</w:t>
      </w:r>
      <w:r>
        <w:rPr>
          <w:spacing w:val="-2"/>
        </w:rPr>
        <w:t> </w:t>
      </w:r>
      <w:r>
        <w:rPr/>
        <w:t>the</w:t>
      </w:r>
      <w:r>
        <w:rPr>
          <w:spacing w:val="40"/>
        </w:rPr>
        <w:t> </w:t>
      </w:r>
      <w:r>
        <w:rPr/>
        <w:t>experiences</w:t>
      </w:r>
      <w:r>
        <w:rPr>
          <w:spacing w:val="-2"/>
        </w:rPr>
        <w:t> </w:t>
      </w:r>
      <w:r>
        <w:rPr/>
        <w:t>of students who were presented with the opportunity to learn about the opportunities available to accounting majors and to understand their choices when selecting a major. By interviewing students who performed well in their introductory accounting</w:t>
      </w:r>
      <w:r>
        <w:rPr>
          <w:spacing w:val="40"/>
        </w:rPr>
        <w:t> </w:t>
      </w:r>
      <w:r>
        <w:rPr/>
        <w:t>course(s), I sought to narrow the focus to students who did not disregard the accounting</w:t>
      </w:r>
      <w:r>
        <w:rPr>
          <w:spacing w:val="40"/>
        </w:rPr>
        <w:t> </w:t>
      </w:r>
      <w:r>
        <w:rPr/>
        <w:t>major solely due to its perceived </w:t>
      </w:r>
      <w:r>
        <w:rPr>
          <w:spacing w:val="-2"/>
        </w:rPr>
        <w:t>difficulty.</w:t>
      </w:r>
    </w:p>
    <w:p>
      <w:pPr>
        <w:pStyle w:val="BodyText"/>
        <w:spacing w:after="0" w:line="276" w:lineRule="auto"/>
        <w:jc w:val="both"/>
        <w:sectPr>
          <w:pgSz w:w="12240" w:h="15840"/>
          <w:pgMar w:header="0" w:footer="750" w:top="640" w:bottom="960" w:left="720" w:right="0"/>
        </w:sectPr>
      </w:pPr>
    </w:p>
    <w:p>
      <w:pPr>
        <w:pStyle w:val="BodyText"/>
        <w:spacing w:line="276" w:lineRule="auto" w:before="60"/>
        <w:ind w:left="720" w:right="1440"/>
        <w:jc w:val="both"/>
      </w:pPr>
      <w:r>
        <w:rPr/>
        <w:t>The recruiting process consisted of sending emails to 382 invitees to gauge student</w:t>
      </w:r>
      <w:r>
        <w:rPr>
          <w:spacing w:val="40"/>
        </w:rPr>
        <w:t> </w:t>
      </w:r>
      <w:r>
        <w:rPr/>
        <w:t>interest in participating in my study.[1] Initial emails to potential participants were sent in three</w:t>
      </w:r>
      <w:r>
        <w:rPr>
          <w:spacing w:val="40"/>
        </w:rPr>
        <w:t> </w:t>
      </w:r>
      <w:r>
        <w:rPr/>
        <w:t>batches, with each batch corresponding to</w:t>
      </w:r>
      <w:r>
        <w:rPr>
          <w:spacing w:val="-3"/>
        </w:rPr>
        <w:t> </w:t>
      </w:r>
      <w:r>
        <w:rPr/>
        <w:t>the</w:t>
      </w:r>
      <w:r>
        <w:rPr>
          <w:spacing w:val="-3"/>
        </w:rPr>
        <w:t> </w:t>
      </w:r>
      <w:r>
        <w:rPr/>
        <w:t>year</w:t>
      </w:r>
      <w:r>
        <w:rPr>
          <w:spacing w:val="-3"/>
        </w:rPr>
        <w:t> </w:t>
      </w:r>
      <w:r>
        <w:rPr/>
        <w:t>that</w:t>
      </w:r>
      <w:r>
        <w:rPr>
          <w:spacing w:val="-3"/>
        </w:rPr>
        <w:t> </w:t>
      </w:r>
      <w:r>
        <w:rPr/>
        <w:t>Principles</w:t>
      </w:r>
      <w:r>
        <w:rPr>
          <w:spacing w:val="-3"/>
        </w:rPr>
        <w:t> </w:t>
      </w:r>
      <w:r>
        <w:rPr/>
        <w:t>of</w:t>
      </w:r>
      <w:r>
        <w:rPr>
          <w:spacing w:val="-3"/>
        </w:rPr>
        <w:t> </w:t>
      </w:r>
      <w:r>
        <w:rPr/>
        <w:t>Accounting</w:t>
      </w:r>
      <w:r>
        <w:rPr>
          <w:spacing w:val="-3"/>
        </w:rPr>
        <w:t> </w:t>
      </w:r>
      <w:r>
        <w:rPr/>
        <w:t>students</w:t>
      </w:r>
      <w:r>
        <w:rPr>
          <w:spacing w:val="40"/>
        </w:rPr>
        <w:t> </w:t>
      </w:r>
      <w:r>
        <w:rPr/>
        <w:t>were</w:t>
      </w:r>
      <w:r>
        <w:rPr>
          <w:spacing w:val="-3"/>
        </w:rPr>
        <w:t> </w:t>
      </w:r>
      <w:r>
        <w:rPr/>
        <w:t>invited</w:t>
      </w:r>
      <w:r>
        <w:rPr>
          <w:spacing w:val="-3"/>
        </w:rPr>
        <w:t> </w:t>
      </w:r>
      <w:r>
        <w:rPr/>
        <w:t>to attend the dinner (i.e., first to those invited in 2023, then those invited in</w:t>
      </w:r>
      <w:r>
        <w:rPr>
          <w:spacing w:val="-3"/>
        </w:rPr>
        <w:t> </w:t>
      </w:r>
      <w:r>
        <w:rPr/>
        <w:t>2024</w:t>
      </w:r>
      <w:r>
        <w:rPr>
          <w:spacing w:val="40"/>
        </w:rPr>
        <w:t> </w:t>
      </w:r>
      <w:r>
        <w:rPr/>
        <w:t>and</w:t>
      </w:r>
      <w:r>
        <w:rPr>
          <w:spacing w:val="-3"/>
        </w:rPr>
        <w:t> </w:t>
      </w:r>
      <w:r>
        <w:rPr/>
        <w:t>then</w:t>
      </w:r>
      <w:r>
        <w:rPr>
          <w:spacing w:val="-3"/>
        </w:rPr>
        <w:t> </w:t>
      </w:r>
      <w:r>
        <w:rPr/>
        <w:t>finally, those invited in 2025). The initial email contained brief information about myself, and the purpose of my study. The email also disclosed that all interviews would be</w:t>
      </w:r>
      <w:r>
        <w:rPr>
          <w:spacing w:val="80"/>
        </w:rPr>
        <w:t> </w:t>
      </w:r>
      <w:r>
        <w:rPr/>
        <w:t>recorded (audio</w:t>
      </w:r>
      <w:r>
        <w:rPr>
          <w:spacing w:val="40"/>
        </w:rPr>
        <w:t> </w:t>
      </w:r>
      <w:r>
        <w:rPr/>
        <w:t>only)</w:t>
      </w:r>
      <w:r>
        <w:rPr>
          <w:spacing w:val="40"/>
        </w:rPr>
        <w:t> </w:t>
      </w:r>
      <w:r>
        <w:rPr/>
        <w:t>and</w:t>
      </w:r>
      <w:r>
        <w:rPr>
          <w:spacing w:val="40"/>
        </w:rPr>
        <w:t> </w:t>
      </w:r>
      <w:r>
        <w:rPr/>
        <w:t>transcribed</w:t>
      </w:r>
      <w:r>
        <w:rPr>
          <w:spacing w:val="40"/>
        </w:rPr>
        <w:t> </w:t>
      </w:r>
      <w:r>
        <w:rPr/>
        <w:t>using</w:t>
      </w:r>
      <w:r>
        <w:rPr>
          <w:spacing w:val="40"/>
        </w:rPr>
        <w:t> </w:t>
      </w:r>
      <w:r>
        <w:rPr/>
        <w:t>Otter.ai,</w:t>
      </w:r>
      <w:r>
        <w:rPr>
          <w:spacing w:val="40"/>
        </w:rPr>
        <w:t> </w:t>
      </w:r>
      <w:r>
        <w:rPr/>
        <w:t>and</w:t>
      </w:r>
      <w:r>
        <w:rPr>
          <w:spacing w:val="40"/>
        </w:rPr>
        <w:t> </w:t>
      </w:r>
      <w:r>
        <w:rPr/>
        <w:t>shared</w:t>
      </w:r>
      <w:r>
        <w:rPr>
          <w:spacing w:val="40"/>
        </w:rPr>
        <w:t> </w:t>
      </w:r>
      <w:r>
        <w:rPr/>
        <w:t>that</w:t>
      </w:r>
      <w:r>
        <w:rPr>
          <w:spacing w:val="40"/>
        </w:rPr>
        <w:t> </w:t>
      </w:r>
      <w:r>
        <w:rPr/>
        <w:t>students</w:t>
      </w:r>
      <w:r>
        <w:rPr>
          <w:spacing w:val="40"/>
        </w:rPr>
        <w:t> </w:t>
      </w:r>
      <w:r>
        <w:rPr/>
        <w:t>would</w:t>
      </w:r>
      <w:r>
        <w:rPr>
          <w:spacing w:val="40"/>
        </w:rPr>
        <w:t> </w:t>
      </w:r>
      <w:r>
        <w:rPr/>
        <w:t>have</w:t>
      </w:r>
      <w:r>
        <w:rPr>
          <w:spacing w:val="26"/>
        </w:rPr>
        <w:t> </w:t>
      </w:r>
      <w:r>
        <w:rPr/>
        <w:t>the</w:t>
      </w:r>
      <w:r>
        <w:rPr>
          <w:spacing w:val="26"/>
        </w:rPr>
        <w:t> </w:t>
      </w:r>
      <w:r>
        <w:rPr/>
        <w:t>option</w:t>
      </w:r>
      <w:r>
        <w:rPr>
          <w:spacing w:val="26"/>
        </w:rPr>
        <w:t> </w:t>
      </w:r>
      <w:r>
        <w:rPr/>
        <w:t>to</w:t>
      </w:r>
      <w:r>
        <w:rPr>
          <w:spacing w:val="26"/>
        </w:rPr>
        <w:t> </w:t>
      </w:r>
      <w:r>
        <w:rPr/>
        <w:t>meet in-person or remotely, via Google Meet. Finally, students were prompted to</w:t>
      </w:r>
      <w:r>
        <w:rPr>
          <w:spacing w:val="40"/>
        </w:rPr>
        <w:t> </w:t>
      </w:r>
      <w:r>
        <w:rPr/>
        <w:t>reply to this initial email with “Yes” to indicate their willingness to participate or “No” to</w:t>
      </w:r>
      <w:r>
        <w:rPr>
          <w:spacing w:val="40"/>
        </w:rPr>
        <w:t> </w:t>
      </w:r>
      <w:r>
        <w:rPr/>
        <w:t>decline.</w:t>
      </w:r>
    </w:p>
    <w:p>
      <w:pPr>
        <w:pStyle w:val="BodyText"/>
        <w:spacing w:line="276" w:lineRule="auto" w:before="161"/>
        <w:ind w:left="720" w:right="1445"/>
        <w:jc w:val="both"/>
      </w:pPr>
      <w:r>
        <w:rPr/>
        <w:t>Those who replied “Yes”</w:t>
      </w:r>
      <w:r>
        <w:rPr>
          <w:spacing w:val="-4"/>
        </w:rPr>
        <w:t> </w:t>
      </w:r>
      <w:r>
        <w:rPr/>
        <w:t>to</w:t>
      </w:r>
      <w:r>
        <w:rPr>
          <w:spacing w:val="-4"/>
        </w:rPr>
        <w:t> </w:t>
      </w:r>
      <w:r>
        <w:rPr/>
        <w:t>the</w:t>
      </w:r>
      <w:r>
        <w:rPr>
          <w:spacing w:val="-4"/>
        </w:rPr>
        <w:t> </w:t>
      </w:r>
      <w:r>
        <w:rPr/>
        <w:t>initial</w:t>
      </w:r>
      <w:r>
        <w:rPr>
          <w:spacing w:val="-4"/>
        </w:rPr>
        <w:t> </w:t>
      </w:r>
      <w:r>
        <w:rPr/>
        <w:t>email</w:t>
      </w:r>
      <w:r>
        <w:rPr>
          <w:spacing w:val="-4"/>
        </w:rPr>
        <w:t> </w:t>
      </w:r>
      <w:r>
        <w:rPr/>
        <w:t>then</w:t>
      </w:r>
      <w:r>
        <w:rPr>
          <w:spacing w:val="-4"/>
        </w:rPr>
        <w:t> </w:t>
      </w:r>
      <w:r>
        <w:rPr/>
        <w:t>received</w:t>
      </w:r>
      <w:r>
        <w:rPr>
          <w:spacing w:val="-4"/>
        </w:rPr>
        <w:t> </w:t>
      </w:r>
      <w:r>
        <w:rPr/>
        <w:t>a</w:t>
      </w:r>
      <w:r>
        <w:rPr>
          <w:spacing w:val="-4"/>
        </w:rPr>
        <w:t> </w:t>
      </w:r>
      <w:r>
        <w:rPr/>
        <w:t>second</w:t>
      </w:r>
      <w:r>
        <w:rPr>
          <w:spacing w:val="-4"/>
        </w:rPr>
        <w:t> </w:t>
      </w:r>
      <w:r>
        <w:rPr/>
        <w:t>email</w:t>
      </w:r>
      <w:r>
        <w:rPr>
          <w:spacing w:val="-4"/>
        </w:rPr>
        <w:t> </w:t>
      </w:r>
      <w:r>
        <w:rPr/>
        <w:t>with</w:t>
      </w:r>
      <w:r>
        <w:rPr>
          <w:spacing w:val="-4"/>
        </w:rPr>
        <w:t> </w:t>
      </w:r>
      <w:r>
        <w:rPr/>
        <w:t>the</w:t>
      </w:r>
      <w:r>
        <w:rPr>
          <w:spacing w:val="40"/>
        </w:rPr>
        <w:t> </w:t>
      </w:r>
      <w:r>
        <w:rPr/>
        <w:t>next</w:t>
      </w:r>
      <w:r>
        <w:rPr>
          <w:spacing w:val="-4"/>
        </w:rPr>
        <w:t> </w:t>
      </w:r>
      <w:r>
        <w:rPr/>
        <w:t>steps</w:t>
      </w:r>
      <w:r>
        <w:rPr>
          <w:spacing w:val="-4"/>
        </w:rPr>
        <w:t> </w:t>
      </w:r>
      <w:r>
        <w:rPr/>
        <w:t>for participating. This second email included a Google Form link for participants</w:t>
      </w:r>
      <w:r>
        <w:rPr>
          <w:spacing w:val="40"/>
        </w:rPr>
        <w:t> </w:t>
      </w:r>
      <w:r>
        <w:rPr/>
        <w:t>to acknowledge their consent in my study and a separate link for students to schedule an</w:t>
      </w:r>
      <w:r>
        <w:rPr>
          <w:spacing w:val="40"/>
        </w:rPr>
        <w:t> </w:t>
      </w:r>
      <w:r>
        <w:rPr/>
        <w:t>interview with me directly through Google Calendar. In this email, participants were also</w:t>
      </w:r>
      <w:r>
        <w:rPr>
          <w:spacing w:val="40"/>
        </w:rPr>
        <w:t> </w:t>
      </w:r>
      <w:r>
        <w:rPr/>
        <w:t>made aware that they would be</w:t>
      </w:r>
      <w:r>
        <w:rPr>
          <w:spacing w:val="-3"/>
        </w:rPr>
        <w:t> </w:t>
      </w:r>
      <w:r>
        <w:rPr/>
        <w:t>asked</w:t>
      </w:r>
      <w:r>
        <w:rPr>
          <w:spacing w:val="-3"/>
        </w:rPr>
        <w:t> </w:t>
      </w:r>
      <w:r>
        <w:rPr/>
        <w:t>to</w:t>
      </w:r>
      <w:r>
        <w:rPr>
          <w:spacing w:val="-3"/>
        </w:rPr>
        <w:t> </w:t>
      </w:r>
      <w:r>
        <w:rPr/>
        <w:t>complete</w:t>
      </w:r>
      <w:r>
        <w:rPr>
          <w:spacing w:val="-3"/>
        </w:rPr>
        <w:t> </w:t>
      </w:r>
      <w:r>
        <w:rPr/>
        <w:t>a</w:t>
      </w:r>
      <w:r>
        <w:rPr>
          <w:spacing w:val="-3"/>
        </w:rPr>
        <w:t> </w:t>
      </w:r>
      <w:r>
        <w:rPr/>
        <w:t>separate</w:t>
      </w:r>
      <w:r>
        <w:rPr>
          <w:spacing w:val="-3"/>
        </w:rPr>
        <w:t> </w:t>
      </w:r>
      <w:r>
        <w:rPr/>
        <w:t>Google</w:t>
      </w:r>
      <w:r>
        <w:rPr>
          <w:spacing w:val="-3"/>
        </w:rPr>
        <w:t> </w:t>
      </w:r>
      <w:r>
        <w:rPr/>
        <w:t>Form</w:t>
      </w:r>
      <w:r>
        <w:rPr>
          <w:spacing w:val="-3"/>
        </w:rPr>
        <w:t> </w:t>
      </w:r>
      <w:r>
        <w:rPr/>
        <w:t>with</w:t>
      </w:r>
      <w:r>
        <w:rPr>
          <w:spacing w:val="-3"/>
        </w:rPr>
        <w:t> </w:t>
      </w:r>
      <w:r>
        <w:rPr/>
        <w:t>demographic</w:t>
      </w:r>
      <w:r>
        <w:rPr>
          <w:spacing w:val="40"/>
        </w:rPr>
        <w:t> </w:t>
      </w:r>
      <w:r>
        <w:rPr/>
        <w:t>and</w:t>
      </w:r>
      <w:r>
        <w:rPr>
          <w:spacing w:val="-3"/>
        </w:rPr>
        <w:t> </w:t>
      </w:r>
      <w:r>
        <w:rPr/>
        <w:t>additional</w:t>
      </w:r>
      <w:r>
        <w:rPr>
          <w:spacing w:val="-3"/>
        </w:rPr>
        <w:t> </w:t>
      </w:r>
      <w:r>
        <w:rPr/>
        <w:t>follow-up questions at the end of their interview. Students who did not engage</w:t>
      </w:r>
      <w:r>
        <w:rPr>
          <w:spacing w:val="40"/>
        </w:rPr>
        <w:t> </w:t>
      </w:r>
      <w:r>
        <w:rPr/>
        <w:t>with the second email received a reminder email.</w:t>
      </w:r>
    </w:p>
    <w:p>
      <w:pPr>
        <w:pStyle w:val="BodyText"/>
        <w:spacing w:line="276" w:lineRule="auto" w:before="159"/>
        <w:ind w:left="720" w:right="1438"/>
        <w:jc w:val="both"/>
      </w:pPr>
      <w:r>
        <w:rPr/>
        <w:t>A</w:t>
      </w:r>
      <w:r>
        <w:rPr>
          <w:spacing w:val="27"/>
        </w:rPr>
        <w:t> </w:t>
      </w:r>
      <w:r>
        <w:rPr/>
        <w:t>total</w:t>
      </w:r>
      <w:r>
        <w:rPr>
          <w:spacing w:val="27"/>
        </w:rPr>
        <w:t> </w:t>
      </w:r>
      <w:r>
        <w:rPr/>
        <w:t>of</w:t>
      </w:r>
      <w:r>
        <w:rPr>
          <w:spacing w:val="27"/>
        </w:rPr>
        <w:t> </w:t>
      </w:r>
      <w:r>
        <w:rPr/>
        <w:t>46</w:t>
      </w:r>
      <w:r>
        <w:rPr>
          <w:spacing w:val="27"/>
        </w:rPr>
        <w:t> </w:t>
      </w:r>
      <w:r>
        <w:rPr/>
        <w:t>individuals agreed to be participants, but only 35 of them followed</w:t>
      </w:r>
      <w:r>
        <w:rPr>
          <w:spacing w:val="80"/>
        </w:rPr>
        <w:t> </w:t>
      </w:r>
      <w:r>
        <w:rPr/>
        <w:t>through </w:t>
      </w:r>
      <w:r>
        <w:rPr/>
        <w:t>with the interview process. These 35 interviews were conducted from</w:t>
      </w:r>
      <w:r>
        <w:rPr>
          <w:spacing w:val="40"/>
        </w:rPr>
        <w:t> </w:t>
      </w:r>
      <w:r>
        <w:rPr/>
        <w:t>mid-November 2025 to early February 2026, averaging approximately 10 minutes (ranging</w:t>
      </w:r>
      <w:r>
        <w:rPr>
          <w:spacing w:val="40"/>
        </w:rPr>
        <w:t> </w:t>
      </w:r>
      <w:r>
        <w:rPr/>
        <w:t>from 5 to 18 minutes). All participants gave their consent prior to the start of their interview</w:t>
      </w:r>
      <w:r>
        <w:rPr>
          <w:spacing w:val="40"/>
        </w:rPr>
        <w:t> </w:t>
      </w:r>
      <w:r>
        <w:rPr/>
        <w:t>and were aware that the interview would be transcribed in real time, using Otter.ai software.</w:t>
      </w:r>
      <w:r>
        <w:rPr>
          <w:spacing w:val="40"/>
        </w:rPr>
        <w:t> </w:t>
      </w:r>
      <w:r>
        <w:rPr/>
        <w:t>Audio recordings and transcriptions were safely stored on the Otter.ai software until a copy</w:t>
      </w:r>
      <w:r>
        <w:rPr>
          <w:spacing w:val="80"/>
        </w:rPr>
        <w:t> </w:t>
      </w:r>
      <w:r>
        <w:rPr/>
        <w:t>of the transcript was created and audited against the recording. Once this copy was stored in</w:t>
      </w:r>
      <w:r>
        <w:rPr>
          <w:spacing w:val="40"/>
        </w:rPr>
        <w:t> </w:t>
      </w:r>
      <w:r>
        <w:rPr/>
        <w:t>a password-backed database, the original audio recordings and transcriptions were destroyed.</w:t>
      </w:r>
      <w:r>
        <w:rPr>
          <w:spacing w:val="40"/>
        </w:rPr>
        <w:t> </w:t>
      </w:r>
      <w:r>
        <w:rPr/>
        <w:t>To maintain confidentiality, all participant data was fully anonymized during the auditing</w:t>
      </w:r>
      <w:r>
        <w:rPr>
          <w:spacing w:val="40"/>
        </w:rPr>
        <w:t> </w:t>
      </w:r>
      <w:r>
        <w:rPr/>
        <w:t>process and remained anonymized throughout the duration of the study,</w:t>
      </w:r>
      <w:r>
        <w:rPr>
          <w:spacing w:val="-4"/>
        </w:rPr>
        <w:t> </w:t>
      </w:r>
      <w:r>
        <w:rPr/>
        <w:t>where</w:t>
      </w:r>
      <w:r>
        <w:rPr>
          <w:spacing w:val="-4"/>
        </w:rPr>
        <w:t> </w:t>
      </w:r>
      <w:r>
        <w:rPr/>
        <w:t>only</w:t>
      </w:r>
      <w:r>
        <w:rPr>
          <w:spacing w:val="-4"/>
        </w:rPr>
        <w:t> </w:t>
      </w:r>
      <w:r>
        <w:rPr/>
        <w:t>I</w:t>
      </w:r>
      <w:r>
        <w:rPr>
          <w:spacing w:val="-4"/>
        </w:rPr>
        <w:t> </w:t>
      </w:r>
      <w:r>
        <w:rPr/>
        <w:t>and</w:t>
      </w:r>
      <w:r>
        <w:rPr>
          <w:spacing w:val="-4"/>
        </w:rPr>
        <w:t> </w:t>
      </w:r>
      <w:r>
        <w:rPr/>
        <w:t>the</w:t>
      </w:r>
      <w:r>
        <w:rPr>
          <w:spacing w:val="40"/>
        </w:rPr>
        <w:t> </w:t>
      </w:r>
      <w:r>
        <w:rPr/>
        <w:t>study’s</w:t>
      </w:r>
      <w:r>
        <w:rPr>
          <w:spacing w:val="-4"/>
        </w:rPr>
        <w:t> </w:t>
      </w:r>
      <w:r>
        <w:rPr/>
        <w:t>faculty advisor</w:t>
      </w:r>
      <w:r>
        <w:rPr>
          <w:spacing w:val="-3"/>
        </w:rPr>
        <w:t> </w:t>
      </w:r>
      <w:r>
        <w:rPr/>
        <w:t>had</w:t>
      </w:r>
      <w:r>
        <w:rPr>
          <w:spacing w:val="-3"/>
        </w:rPr>
        <w:t> </w:t>
      </w:r>
      <w:r>
        <w:rPr/>
        <w:t>access</w:t>
      </w:r>
      <w:r>
        <w:rPr>
          <w:spacing w:val="-3"/>
        </w:rPr>
        <w:t> </w:t>
      </w:r>
      <w:r>
        <w:rPr/>
        <w:t>to</w:t>
      </w:r>
      <w:r>
        <w:rPr>
          <w:spacing w:val="-3"/>
        </w:rPr>
        <w:t> </w:t>
      </w:r>
      <w:r>
        <w:rPr/>
        <w:t>the</w:t>
      </w:r>
      <w:r>
        <w:rPr>
          <w:spacing w:val="-3"/>
        </w:rPr>
        <w:t> </w:t>
      </w:r>
      <w:r>
        <w:rPr/>
        <w:t>key</w:t>
      </w:r>
      <w:r>
        <w:rPr>
          <w:spacing w:val="-3"/>
        </w:rPr>
        <w:t> </w:t>
      </w:r>
      <w:r>
        <w:rPr/>
        <w:t>that</w:t>
      </w:r>
      <w:r>
        <w:rPr>
          <w:spacing w:val="-3"/>
        </w:rPr>
        <w:t> </w:t>
      </w:r>
      <w:r>
        <w:rPr/>
        <w:t>matched</w:t>
      </w:r>
      <w:r>
        <w:rPr>
          <w:spacing w:val="-3"/>
        </w:rPr>
        <w:t> </w:t>
      </w:r>
      <w:r>
        <w:rPr/>
        <w:t>participants</w:t>
      </w:r>
      <w:r>
        <w:rPr>
          <w:spacing w:val="-3"/>
        </w:rPr>
        <w:t> </w:t>
      </w:r>
      <w:r>
        <w:rPr/>
        <w:t>to</w:t>
      </w:r>
      <w:r>
        <w:rPr>
          <w:spacing w:val="-3"/>
        </w:rPr>
        <w:t> </w:t>
      </w:r>
      <w:r>
        <w:rPr/>
        <w:t>their</w:t>
      </w:r>
      <w:r>
        <w:rPr>
          <w:spacing w:val="-3"/>
        </w:rPr>
        <w:t> </w:t>
      </w:r>
      <w:r>
        <w:rPr/>
        <w:t>names.</w:t>
      </w:r>
      <w:r>
        <w:rPr>
          <w:spacing w:val="-3"/>
        </w:rPr>
        <w:t> </w:t>
      </w:r>
      <w:r>
        <w:rPr/>
        <w:t>Given</w:t>
      </w:r>
      <w:r>
        <w:rPr>
          <w:spacing w:val="40"/>
        </w:rPr>
        <w:t> </w:t>
      </w:r>
      <w:r>
        <w:rPr/>
        <w:t>the</w:t>
      </w:r>
      <w:r>
        <w:rPr>
          <w:spacing w:val="-3"/>
        </w:rPr>
        <w:t> </w:t>
      </w:r>
      <w:r>
        <w:rPr/>
        <w:t>semi-structured nature</w:t>
      </w:r>
      <w:r>
        <w:rPr>
          <w:spacing w:val="40"/>
        </w:rPr>
        <w:t> </w:t>
      </w:r>
      <w:r>
        <w:rPr/>
        <w:t>of</w:t>
      </w:r>
      <w:r>
        <w:rPr>
          <w:spacing w:val="40"/>
        </w:rPr>
        <w:t> </w:t>
      </w:r>
      <w:r>
        <w:rPr/>
        <w:t>my</w:t>
      </w:r>
      <w:r>
        <w:rPr>
          <w:spacing w:val="40"/>
        </w:rPr>
        <w:t> </w:t>
      </w:r>
      <w:r>
        <w:rPr/>
        <w:t>study,</w:t>
      </w:r>
      <w:r>
        <w:rPr>
          <w:spacing w:val="40"/>
        </w:rPr>
        <w:t> </w:t>
      </w:r>
      <w:r>
        <w:rPr/>
        <w:t>my</w:t>
      </w:r>
      <w:r>
        <w:rPr>
          <w:spacing w:val="40"/>
        </w:rPr>
        <w:t> </w:t>
      </w:r>
      <w:r>
        <w:rPr/>
        <w:t>interview</w:t>
      </w:r>
      <w:r>
        <w:rPr>
          <w:spacing w:val="40"/>
        </w:rPr>
        <w:t> </w:t>
      </w:r>
      <w:r>
        <w:rPr/>
        <w:t>protocol2</w:t>
      </w:r>
      <w:r>
        <w:rPr>
          <w:spacing w:val="40"/>
        </w:rPr>
        <w:t> </w:t>
      </w:r>
      <w:r>
        <w:rPr/>
        <w:t>consisted</w:t>
      </w:r>
      <w:r>
        <w:rPr>
          <w:spacing w:val="40"/>
        </w:rPr>
        <w:t> </w:t>
      </w:r>
      <w:r>
        <w:rPr/>
        <w:t>of</w:t>
      </w:r>
      <w:r>
        <w:rPr>
          <w:spacing w:val="80"/>
        </w:rPr>
        <w:t> </w:t>
      </w:r>
      <w:r>
        <w:rPr/>
        <w:t>conversational-type</w:t>
      </w:r>
      <w:r>
        <w:rPr>
          <w:spacing w:val="40"/>
        </w:rPr>
        <w:t> </w:t>
      </w:r>
      <w:r>
        <w:rPr/>
        <w:t>questions. Follow-up questions, not present in the protocol, were asked</w:t>
      </w:r>
      <w:r>
        <w:rPr>
          <w:spacing w:val="40"/>
        </w:rPr>
        <w:t> </w:t>
      </w:r>
      <w:r>
        <w:rPr/>
        <w:t>in reaction to</w:t>
      </w:r>
      <w:r>
        <w:rPr>
          <w:spacing w:val="-3"/>
        </w:rPr>
        <w:t> </w:t>
      </w:r>
      <w:r>
        <w:rPr/>
        <w:t>student</w:t>
      </w:r>
      <w:r>
        <w:rPr>
          <w:spacing w:val="-3"/>
        </w:rPr>
        <w:t> </w:t>
      </w:r>
      <w:r>
        <w:rPr/>
        <w:t>responses</w:t>
      </w:r>
      <w:r>
        <w:rPr>
          <w:spacing w:val="-3"/>
        </w:rPr>
        <w:t> </w:t>
      </w:r>
      <w:r>
        <w:rPr/>
        <w:t>to further the conversation. Interviews concluded once</w:t>
      </w:r>
      <w:r>
        <w:rPr>
          <w:spacing w:val="40"/>
        </w:rPr>
        <w:t> </w:t>
      </w:r>
      <w:r>
        <w:rPr/>
        <w:t>participants promptly answered demographic and additional follow-up questions via a Google Form. Participants were also informed that once transcripts were audited against the</w:t>
      </w:r>
      <w:r>
        <w:rPr>
          <w:spacing w:val="40"/>
        </w:rPr>
        <w:t> </w:t>
      </w:r>
      <w:r>
        <w:rPr/>
        <w:t>audio recording, they would have the opportunity to review them to ensure accuracy.</w:t>
      </w:r>
      <w:r>
        <w:rPr>
          <w:spacing w:val="40"/>
        </w:rPr>
        <w:t> </w:t>
      </w:r>
      <w:r>
        <w:rPr/>
        <w:t>Participants received their transcripts in a final email thanking them for their participation in</w:t>
      </w:r>
      <w:r>
        <w:rPr>
          <w:spacing w:val="40"/>
        </w:rPr>
        <w:t> </w:t>
      </w:r>
      <w:r>
        <w:rPr/>
        <w:t>the</w:t>
      </w:r>
      <w:r>
        <w:rPr>
          <w:spacing w:val="-3"/>
        </w:rPr>
        <w:t> </w:t>
      </w:r>
      <w:r>
        <w:rPr/>
        <w:t>study,</w:t>
      </w:r>
      <w:r>
        <w:rPr>
          <w:spacing w:val="-3"/>
        </w:rPr>
        <w:t> </w:t>
      </w:r>
      <w:r>
        <w:rPr/>
        <w:t>and</w:t>
      </w:r>
      <w:r>
        <w:rPr>
          <w:spacing w:val="-3"/>
        </w:rPr>
        <w:t> </w:t>
      </w:r>
      <w:r>
        <w:rPr/>
        <w:t>providing</w:t>
      </w:r>
      <w:r>
        <w:rPr>
          <w:spacing w:val="-3"/>
        </w:rPr>
        <w:t> </w:t>
      </w:r>
      <w:r>
        <w:rPr/>
        <w:t>them</w:t>
      </w:r>
      <w:r>
        <w:rPr>
          <w:spacing w:val="-3"/>
        </w:rPr>
        <w:t> </w:t>
      </w:r>
      <w:r>
        <w:rPr/>
        <w:t>with</w:t>
      </w:r>
      <w:r>
        <w:rPr>
          <w:spacing w:val="-3"/>
        </w:rPr>
        <w:t> </w:t>
      </w:r>
      <w:r>
        <w:rPr/>
        <w:t>an</w:t>
      </w:r>
      <w:r>
        <w:rPr>
          <w:spacing w:val="-3"/>
        </w:rPr>
        <w:t> </w:t>
      </w:r>
      <w:r>
        <w:rPr/>
        <w:t>opportunity to edit the transcript as they considered</w:t>
      </w:r>
      <w:r>
        <w:rPr>
          <w:spacing w:val="40"/>
        </w:rPr>
        <w:t> </w:t>
      </w:r>
      <w:r>
        <w:rPr/>
        <w:t>necessary (i.e., member checking). Following the member checking process, two participants</w:t>
      </w:r>
      <w:r>
        <w:rPr>
          <w:spacing w:val="40"/>
        </w:rPr>
        <w:t> </w:t>
      </w:r>
      <w:r>
        <w:rPr/>
        <w:t>provided clarifications or edits to their respective </w:t>
      </w:r>
      <w:r>
        <w:rPr>
          <w:spacing w:val="-2"/>
        </w:rPr>
        <w:t>transcripts.</w:t>
      </w:r>
    </w:p>
    <w:p>
      <w:pPr>
        <w:pStyle w:val="Heading4"/>
        <w:spacing w:before="161"/>
        <w:ind w:left="720"/>
        <w:jc w:val="both"/>
      </w:pPr>
      <w:r>
        <w:rPr>
          <w:spacing w:val="-2"/>
        </w:rPr>
        <w:t>DATA</w:t>
      </w:r>
      <w:r>
        <w:rPr>
          <w:spacing w:val="-10"/>
        </w:rPr>
        <w:t> </w:t>
      </w:r>
      <w:r>
        <w:rPr>
          <w:spacing w:val="-2"/>
        </w:rPr>
        <w:t>ANALYSIS</w:t>
      </w:r>
      <w:r>
        <w:rPr>
          <w:spacing w:val="-10"/>
        </w:rPr>
        <w:t> </w:t>
      </w:r>
      <w:r>
        <w:rPr>
          <w:spacing w:val="-2"/>
        </w:rPr>
        <w:t>AND</w:t>
      </w:r>
      <w:r>
        <w:rPr>
          <w:spacing w:val="-9"/>
        </w:rPr>
        <w:t> </w:t>
      </w:r>
      <w:r>
        <w:rPr>
          <w:spacing w:val="-2"/>
        </w:rPr>
        <w:t>RESULTS</w:t>
      </w:r>
    </w:p>
    <w:p>
      <w:pPr>
        <w:pStyle w:val="BodyText"/>
        <w:spacing w:line="276" w:lineRule="auto" w:before="201"/>
        <w:ind w:left="720" w:right="1440"/>
        <w:jc w:val="both"/>
      </w:pPr>
      <w:r>
        <w:rPr/>
        <w:t>Following the completion of the semi-structured interviews and the verification of</w:t>
      </w:r>
      <w:r>
        <w:rPr>
          <w:spacing w:val="40"/>
        </w:rPr>
        <w:t> </w:t>
      </w:r>
      <w:r>
        <w:rPr/>
        <w:t>transcripts through</w:t>
      </w:r>
      <w:r>
        <w:rPr>
          <w:spacing w:val="-3"/>
        </w:rPr>
        <w:t> </w:t>
      </w:r>
      <w:r>
        <w:rPr/>
        <w:t>member</w:t>
      </w:r>
      <w:r>
        <w:rPr>
          <w:spacing w:val="-3"/>
        </w:rPr>
        <w:t> </w:t>
      </w:r>
      <w:r>
        <w:rPr/>
        <w:t>checking,</w:t>
      </w:r>
      <w:r>
        <w:rPr>
          <w:spacing w:val="-3"/>
        </w:rPr>
        <w:t> </w:t>
      </w:r>
      <w:r>
        <w:rPr/>
        <w:t>I</w:t>
      </w:r>
      <w:r>
        <w:rPr>
          <w:spacing w:val="-3"/>
        </w:rPr>
        <w:t> </w:t>
      </w:r>
      <w:r>
        <w:rPr/>
        <w:t>conducted</w:t>
      </w:r>
      <w:r>
        <w:rPr>
          <w:spacing w:val="-3"/>
        </w:rPr>
        <w:t> </w:t>
      </w:r>
      <w:r>
        <w:rPr/>
        <w:t>a</w:t>
      </w:r>
      <w:r>
        <w:rPr>
          <w:spacing w:val="-3"/>
        </w:rPr>
        <w:t> </w:t>
      </w:r>
      <w:r>
        <w:rPr/>
        <w:t>thematic</w:t>
      </w:r>
      <w:r>
        <w:rPr>
          <w:spacing w:val="-3"/>
        </w:rPr>
        <w:t> </w:t>
      </w:r>
      <w:r>
        <w:rPr/>
        <w:t>analysis</w:t>
      </w:r>
      <w:r>
        <w:rPr>
          <w:spacing w:val="-3"/>
        </w:rPr>
        <w:t> </w:t>
      </w:r>
      <w:r>
        <w:rPr/>
        <w:t>to</w:t>
      </w:r>
      <w:r>
        <w:rPr>
          <w:spacing w:val="-3"/>
        </w:rPr>
        <w:t> </w:t>
      </w:r>
      <w:r>
        <w:rPr/>
        <w:t>address</w:t>
      </w:r>
      <w:r>
        <w:rPr>
          <w:spacing w:val="-3"/>
        </w:rPr>
        <w:t> </w:t>
      </w:r>
      <w:r>
        <w:rPr/>
        <w:t>the</w:t>
      </w:r>
      <w:r>
        <w:rPr>
          <w:spacing w:val="-3"/>
        </w:rPr>
        <w:t> </w:t>
      </w:r>
      <w:r>
        <w:rPr/>
        <w:t>core</w:t>
      </w:r>
      <w:r>
        <w:rPr>
          <w:spacing w:val="40"/>
        </w:rPr>
        <w:t> </w:t>
      </w:r>
      <w:r>
        <w:rPr/>
        <w:t>research</w:t>
      </w:r>
      <w:r>
        <w:rPr>
          <w:spacing w:val="-3"/>
        </w:rPr>
        <w:t> </w:t>
      </w:r>
      <w:r>
        <w:rPr/>
        <w:t>question. The initial phase of the coding process involved a first read of all</w:t>
      </w:r>
      <w:r>
        <w:rPr>
          <w:spacing w:val="40"/>
        </w:rPr>
        <w:t> </w:t>
      </w:r>
      <w:r>
        <w:rPr/>
        <w:t>transcripts to gain a holistic understanding</w:t>
      </w:r>
      <w:r>
        <w:rPr>
          <w:spacing w:val="73"/>
        </w:rPr>
        <w:t> </w:t>
      </w:r>
      <w:r>
        <w:rPr/>
        <w:t>of</w:t>
      </w:r>
      <w:r>
        <w:rPr>
          <w:spacing w:val="74"/>
        </w:rPr>
        <w:t> </w:t>
      </w:r>
      <w:r>
        <w:rPr/>
        <w:t>each</w:t>
      </w:r>
      <w:r>
        <w:rPr>
          <w:spacing w:val="74"/>
        </w:rPr>
        <w:t> </w:t>
      </w:r>
      <w:r>
        <w:rPr/>
        <w:t>participant’s</w:t>
      </w:r>
      <w:r>
        <w:rPr>
          <w:spacing w:val="73"/>
        </w:rPr>
        <w:t> </w:t>
      </w:r>
      <w:r>
        <w:rPr/>
        <w:t>narratives.</w:t>
      </w:r>
      <w:r>
        <w:rPr>
          <w:spacing w:val="59"/>
        </w:rPr>
        <w:t> </w:t>
      </w:r>
      <w:r>
        <w:rPr/>
        <w:t>This</w:t>
      </w:r>
      <w:r>
        <w:rPr>
          <w:spacing w:val="59"/>
        </w:rPr>
        <w:t> </w:t>
      </w:r>
      <w:r>
        <w:rPr/>
        <w:t>was</w:t>
      </w:r>
      <w:r>
        <w:rPr>
          <w:spacing w:val="59"/>
        </w:rPr>
        <w:t> </w:t>
      </w:r>
      <w:r>
        <w:rPr/>
        <w:t>followed</w:t>
      </w:r>
      <w:r>
        <w:rPr>
          <w:spacing w:val="59"/>
        </w:rPr>
        <w:t>  </w:t>
      </w:r>
      <w:r>
        <w:rPr/>
        <w:t>by</w:t>
      </w:r>
      <w:r>
        <w:rPr>
          <w:spacing w:val="59"/>
        </w:rPr>
        <w:t> </w:t>
      </w:r>
      <w:r>
        <w:rPr/>
        <w:t>the</w:t>
      </w:r>
      <w:r>
        <w:rPr>
          <w:spacing w:val="59"/>
        </w:rPr>
        <w:t> </w:t>
      </w:r>
      <w:r>
        <w:rPr/>
        <w:t>identification</w:t>
      </w:r>
      <w:r>
        <w:rPr>
          <w:spacing w:val="59"/>
        </w:rPr>
        <w:t> </w:t>
      </w:r>
      <w:r>
        <w:rPr>
          <w:spacing w:val="-5"/>
        </w:rPr>
        <w:t>of</w:t>
      </w:r>
    </w:p>
    <w:p>
      <w:pPr>
        <w:pStyle w:val="BodyText"/>
        <w:spacing w:after="0" w:line="276" w:lineRule="auto"/>
        <w:jc w:val="both"/>
        <w:sectPr>
          <w:pgSz w:w="12240" w:h="15840"/>
          <w:pgMar w:header="0" w:footer="750" w:top="640" w:bottom="960" w:left="720" w:right="0"/>
        </w:sectPr>
      </w:pPr>
    </w:p>
    <w:p>
      <w:pPr>
        <w:pStyle w:val="BodyText"/>
        <w:spacing w:line="276" w:lineRule="auto" w:before="60"/>
        <w:ind w:left="720" w:right="1438"/>
        <w:jc w:val="both"/>
      </w:pPr>
      <w:r>
        <w:rPr/>
        <w:t>first-order codes, which consisted of recurring words and frequent</w:t>
      </w:r>
      <w:r>
        <w:rPr>
          <w:spacing w:val="40"/>
        </w:rPr>
        <w:t> </w:t>
      </w:r>
      <w:r>
        <w:rPr/>
        <w:t>sentiments expressed </w:t>
      </w:r>
      <w:r>
        <w:rPr/>
        <w:t>by students about their choice of major. To ensure the credibility and</w:t>
      </w:r>
      <w:r>
        <w:rPr>
          <w:spacing w:val="80"/>
        </w:rPr>
        <w:t> </w:t>
      </w:r>
      <w:r>
        <w:rPr/>
        <w:t>trustworthiness of the findings, I conducted a primary analysis independently and compared</w:t>
      </w:r>
      <w:r>
        <w:rPr>
          <w:spacing w:val="40"/>
        </w:rPr>
        <w:t> </w:t>
      </w:r>
      <w:r>
        <w:rPr/>
        <w:t>it with the analysis conducted by</w:t>
      </w:r>
      <w:r>
        <w:rPr>
          <w:spacing w:val="-5"/>
        </w:rPr>
        <w:t> </w:t>
      </w:r>
      <w:r>
        <w:rPr/>
        <w:t>the</w:t>
      </w:r>
      <w:r>
        <w:rPr>
          <w:spacing w:val="-5"/>
        </w:rPr>
        <w:t> </w:t>
      </w:r>
      <w:r>
        <w:rPr/>
        <w:t>study’s</w:t>
      </w:r>
      <w:r>
        <w:rPr>
          <w:spacing w:val="-5"/>
        </w:rPr>
        <w:t> </w:t>
      </w:r>
      <w:r>
        <w:rPr/>
        <w:t>faculty</w:t>
      </w:r>
      <w:r>
        <w:rPr>
          <w:spacing w:val="-5"/>
        </w:rPr>
        <w:t> </w:t>
      </w:r>
      <w:r>
        <w:rPr/>
        <w:t>advisor.</w:t>
      </w:r>
      <w:r>
        <w:rPr>
          <w:spacing w:val="-5"/>
        </w:rPr>
        <w:t> </w:t>
      </w:r>
      <w:r>
        <w:rPr/>
        <w:t>By</w:t>
      </w:r>
      <w:r>
        <w:rPr>
          <w:spacing w:val="-5"/>
        </w:rPr>
        <w:t> </w:t>
      </w:r>
      <w:r>
        <w:rPr/>
        <w:t>comparing</w:t>
      </w:r>
      <w:r>
        <w:rPr>
          <w:spacing w:val="-5"/>
        </w:rPr>
        <w:t> </w:t>
      </w:r>
      <w:r>
        <w:rPr/>
        <w:t>these</w:t>
      </w:r>
      <w:r>
        <w:rPr>
          <w:spacing w:val="-5"/>
        </w:rPr>
        <w:t> </w:t>
      </w:r>
      <w:r>
        <w:rPr/>
        <w:t>independent</w:t>
      </w:r>
      <w:r>
        <w:rPr>
          <w:spacing w:val="40"/>
        </w:rPr>
        <w:t> </w:t>
      </w:r>
      <w:r>
        <w:rPr/>
        <w:t>assessments,</w:t>
      </w:r>
      <w:r>
        <w:rPr>
          <w:spacing w:val="-5"/>
        </w:rPr>
        <w:t> </w:t>
      </w:r>
      <w:r>
        <w:rPr/>
        <w:t>we</w:t>
      </w:r>
      <w:r>
        <w:rPr>
          <w:spacing w:val="-5"/>
        </w:rPr>
        <w:t> </w:t>
      </w:r>
      <w:r>
        <w:rPr/>
        <w:t>were able to reconcile any discrepancies and validate the emerging themes.</w:t>
      </w:r>
      <w:r>
        <w:rPr>
          <w:spacing w:val="40"/>
        </w:rPr>
        <w:t> </w:t>
      </w:r>
      <w:r>
        <w:rPr/>
        <w:t>A subsequent review of the transcripts allowed for the extraction of specific representative</w:t>
      </w:r>
      <w:r>
        <w:rPr>
          <w:spacing w:val="40"/>
        </w:rPr>
        <w:t> </w:t>
      </w:r>
      <w:r>
        <w:rPr/>
        <w:t>quotes3. These quotes were categorized by thematic similarity, resulting</w:t>
      </w:r>
      <w:r>
        <w:rPr>
          <w:spacing w:val="-4"/>
        </w:rPr>
        <w:t> </w:t>
      </w:r>
      <w:r>
        <w:rPr/>
        <w:t>in</w:t>
      </w:r>
      <w:r>
        <w:rPr>
          <w:spacing w:val="-4"/>
        </w:rPr>
        <w:t> </w:t>
      </w:r>
      <w:r>
        <w:rPr/>
        <w:t>three</w:t>
      </w:r>
      <w:r>
        <w:rPr>
          <w:spacing w:val="-4"/>
        </w:rPr>
        <w:t> </w:t>
      </w:r>
      <w:r>
        <w:rPr/>
        <w:t>overarching</w:t>
      </w:r>
      <w:r>
        <w:rPr>
          <w:spacing w:val="40"/>
        </w:rPr>
        <w:t> </w:t>
      </w:r>
      <w:r>
        <w:rPr/>
        <w:t>themes,</w:t>
      </w:r>
      <w:r>
        <w:rPr>
          <w:spacing w:val="-4"/>
        </w:rPr>
        <w:t> </w:t>
      </w:r>
      <w:r>
        <w:rPr/>
        <w:t>each</w:t>
      </w:r>
      <w:r>
        <w:rPr>
          <w:spacing w:val="-4"/>
        </w:rPr>
        <w:t> </w:t>
      </w:r>
      <w:r>
        <w:rPr/>
        <w:t>supported</w:t>
      </w:r>
      <w:r>
        <w:rPr>
          <w:spacing w:val="-4"/>
        </w:rPr>
        <w:t> </w:t>
      </w:r>
      <w:r>
        <w:rPr/>
        <w:t>by</w:t>
      </w:r>
      <w:r>
        <w:rPr>
          <w:spacing w:val="-4"/>
        </w:rPr>
        <w:t> </w:t>
      </w:r>
      <w:r>
        <w:rPr/>
        <w:t>two distinct subthemes. To provide a comprehensive overview of</w:t>
      </w:r>
      <w:r>
        <w:rPr>
          <w:spacing w:val="40"/>
        </w:rPr>
        <w:t> </w:t>
      </w:r>
      <w:r>
        <w:rPr/>
        <w:t>the academic backgrounds within this study, a breakdown of the students’ initial and current</w:t>
      </w:r>
      <w:r>
        <w:rPr>
          <w:spacing w:val="-4"/>
        </w:rPr>
        <w:t> </w:t>
      </w:r>
      <w:r>
        <w:rPr/>
        <w:t>fields</w:t>
      </w:r>
      <w:r>
        <w:rPr>
          <w:spacing w:val="-4"/>
        </w:rPr>
        <w:t> </w:t>
      </w:r>
      <w:r>
        <w:rPr/>
        <w:t>of</w:t>
      </w:r>
      <w:r>
        <w:rPr>
          <w:spacing w:val="-4"/>
        </w:rPr>
        <w:t> </w:t>
      </w:r>
      <w:r>
        <w:rPr/>
        <w:t>study</w:t>
      </w:r>
      <w:r>
        <w:rPr>
          <w:spacing w:val="-4"/>
        </w:rPr>
        <w:t> </w:t>
      </w:r>
      <w:r>
        <w:rPr/>
        <w:t>is</w:t>
      </w:r>
      <w:r>
        <w:rPr>
          <w:spacing w:val="-4"/>
        </w:rPr>
        <w:t> </w:t>
      </w:r>
      <w:r>
        <w:rPr/>
        <w:t>provided</w:t>
      </w:r>
      <w:r>
        <w:rPr>
          <w:spacing w:val="-4"/>
        </w:rPr>
        <w:t> </w:t>
      </w:r>
      <w:r>
        <w:rPr/>
        <w:t>in</w:t>
      </w:r>
      <w:r>
        <w:rPr>
          <w:spacing w:val="-4"/>
        </w:rPr>
        <w:t> </w:t>
      </w:r>
      <w:r>
        <w:rPr/>
        <w:t>Table</w:t>
      </w:r>
      <w:r>
        <w:rPr>
          <w:spacing w:val="-4"/>
        </w:rPr>
        <w:t> </w:t>
      </w:r>
      <w:r>
        <w:rPr/>
        <w:t>1: Summary</w:t>
      </w:r>
      <w:r>
        <w:rPr>
          <w:spacing w:val="40"/>
        </w:rPr>
        <w:t> </w:t>
      </w:r>
      <w:r>
        <w:rPr/>
        <w:t>of</w:t>
      </w:r>
      <w:r>
        <w:rPr>
          <w:spacing w:val="40"/>
        </w:rPr>
        <w:t> </w:t>
      </w:r>
      <w:r>
        <w:rPr/>
        <w:t>Participant</w:t>
      </w:r>
      <w:r>
        <w:rPr>
          <w:spacing w:val="40"/>
        </w:rPr>
        <w:t> </w:t>
      </w:r>
      <w:r>
        <w:rPr/>
        <w:t>Majors,</w:t>
      </w:r>
      <w:r>
        <w:rPr>
          <w:spacing w:val="40"/>
        </w:rPr>
        <w:t> </w:t>
      </w:r>
      <w:r>
        <w:rPr/>
        <w:t>Concentrations,</w:t>
      </w:r>
      <w:r>
        <w:rPr>
          <w:spacing w:val="40"/>
        </w:rPr>
        <w:t> </w:t>
      </w:r>
      <w:r>
        <w:rPr/>
        <w:t>and</w:t>
      </w:r>
      <w:r>
        <w:rPr>
          <w:spacing w:val="40"/>
        </w:rPr>
        <w:t> </w:t>
      </w:r>
      <w:r>
        <w:rPr/>
        <w:t>Minors</w:t>
      </w:r>
      <w:r>
        <w:rPr>
          <w:spacing w:val="40"/>
        </w:rPr>
        <w:t> </w:t>
      </w:r>
      <w:r>
        <w:rPr/>
        <w:t>(see</w:t>
      </w:r>
      <w:r>
        <w:rPr>
          <w:spacing w:val="40"/>
        </w:rPr>
        <w:t> </w:t>
      </w:r>
      <w:r>
        <w:rPr/>
        <w:t>Appendix).</w:t>
      </w:r>
      <w:r>
        <w:rPr>
          <w:spacing w:val="40"/>
        </w:rPr>
        <w:t> </w:t>
      </w:r>
      <w:r>
        <w:rPr/>
        <w:t>From</w:t>
      </w:r>
      <w:r>
        <w:rPr>
          <w:spacing w:val="40"/>
        </w:rPr>
        <w:t> </w:t>
      </w:r>
      <w:r>
        <w:rPr/>
        <w:t>the</w:t>
      </w:r>
      <w:r>
        <w:rPr>
          <w:spacing w:val="40"/>
        </w:rPr>
        <w:t> </w:t>
      </w:r>
      <w:r>
        <w:rPr/>
        <w:t>35 semi-structured interviews, three primary themes4 emerged that represent the “human,” “functional,” and “societal” elements of the accounting</w:t>
      </w:r>
      <w:r>
        <w:rPr>
          <w:spacing w:val="40"/>
        </w:rPr>
        <w:t> </w:t>
      </w:r>
      <w:r>
        <w:rPr/>
        <w:t>major and profession.</w:t>
      </w:r>
    </w:p>
    <w:p>
      <w:pPr>
        <w:pStyle w:val="BodyText"/>
        <w:spacing w:line="276" w:lineRule="auto" w:before="160"/>
        <w:ind w:left="720" w:right="1442"/>
        <w:jc w:val="both"/>
      </w:pPr>
      <w:r>
        <w:rPr>
          <w:b/>
        </w:rPr>
        <w:t>Theme 1</w:t>
      </w:r>
      <w:r>
        <w:rPr/>
        <w:t>: Humanizing the Accounting Profession by Focusing on Relationship-</w:t>
      </w:r>
      <w:r>
        <w:rPr/>
        <w:t>Driven </w:t>
      </w:r>
      <w:r>
        <w:rPr>
          <w:spacing w:val="-2"/>
        </w:rPr>
        <w:t>Recruitment</w:t>
      </w:r>
    </w:p>
    <w:p>
      <w:pPr>
        <w:pStyle w:val="BodyText"/>
        <w:spacing w:line="276" w:lineRule="auto" w:before="161"/>
        <w:ind w:left="720" w:right="1439"/>
        <w:jc w:val="both"/>
      </w:pPr>
      <w:r>
        <w:rPr/>
        <w:t>The</w:t>
      </w:r>
      <w:r>
        <w:rPr>
          <w:spacing w:val="-3"/>
        </w:rPr>
        <w:t> </w:t>
      </w:r>
      <w:r>
        <w:rPr/>
        <w:t>findings</w:t>
      </w:r>
      <w:r>
        <w:rPr>
          <w:spacing w:val="-3"/>
        </w:rPr>
        <w:t> </w:t>
      </w:r>
      <w:r>
        <w:rPr/>
        <w:t>from</w:t>
      </w:r>
      <w:r>
        <w:rPr>
          <w:spacing w:val="-3"/>
        </w:rPr>
        <w:t> </w:t>
      </w:r>
      <w:r>
        <w:rPr/>
        <w:t>Theme</w:t>
      </w:r>
      <w:r>
        <w:rPr>
          <w:spacing w:val="-3"/>
        </w:rPr>
        <w:t> </w:t>
      </w:r>
      <w:r>
        <w:rPr/>
        <w:t>1</w:t>
      </w:r>
      <w:r>
        <w:rPr>
          <w:spacing w:val="-3"/>
        </w:rPr>
        <w:t> </w:t>
      </w:r>
      <w:r>
        <w:rPr/>
        <w:t>underline</w:t>
      </w:r>
      <w:r>
        <w:rPr>
          <w:spacing w:val="-3"/>
        </w:rPr>
        <w:t> </w:t>
      </w:r>
      <w:r>
        <w:rPr/>
        <w:t>a</w:t>
      </w:r>
      <w:r>
        <w:rPr>
          <w:spacing w:val="-3"/>
        </w:rPr>
        <w:t> </w:t>
      </w:r>
      <w:r>
        <w:rPr/>
        <w:t>fundamental</w:t>
      </w:r>
      <w:r>
        <w:rPr>
          <w:spacing w:val="-3"/>
        </w:rPr>
        <w:t> </w:t>
      </w:r>
      <w:r>
        <w:rPr/>
        <w:t>shift</w:t>
      </w:r>
      <w:r>
        <w:rPr>
          <w:spacing w:val="-3"/>
        </w:rPr>
        <w:t> </w:t>
      </w:r>
      <w:r>
        <w:rPr/>
        <w:t>in</w:t>
      </w:r>
      <w:r>
        <w:rPr>
          <w:spacing w:val="-3"/>
        </w:rPr>
        <w:t> </w:t>
      </w:r>
      <w:r>
        <w:rPr/>
        <w:t>how</w:t>
      </w:r>
      <w:r>
        <w:rPr>
          <w:spacing w:val="-3"/>
        </w:rPr>
        <w:t> </w:t>
      </w:r>
      <w:r>
        <w:rPr/>
        <w:t>recruitment</w:t>
      </w:r>
      <w:r>
        <w:rPr>
          <w:spacing w:val="-3"/>
        </w:rPr>
        <w:t> </w:t>
      </w:r>
      <w:r>
        <w:rPr/>
        <w:t>into</w:t>
      </w:r>
      <w:r>
        <w:rPr>
          <w:spacing w:val="-3"/>
        </w:rPr>
        <w:t> </w:t>
      </w:r>
      <w:r>
        <w:rPr/>
        <w:t>the</w:t>
      </w:r>
      <w:r>
        <w:rPr>
          <w:spacing w:val="40"/>
        </w:rPr>
        <w:t> </w:t>
      </w:r>
      <w:r>
        <w:rPr/>
        <w:t>major</w:t>
      </w:r>
      <w:r>
        <w:rPr>
          <w:spacing w:val="-3"/>
        </w:rPr>
        <w:t> </w:t>
      </w:r>
      <w:r>
        <w:rPr/>
        <w:t>may be approached to help address the accounting pipeline issue. One participant</w:t>
      </w:r>
      <w:r>
        <w:rPr>
          <w:spacing w:val="40"/>
        </w:rPr>
        <w:t> </w:t>
      </w:r>
      <w:r>
        <w:rPr/>
        <w:t>shared that their exposure to accounting in high school gave them the foundational</w:t>
      </w:r>
      <w:r>
        <w:rPr>
          <w:spacing w:val="40"/>
        </w:rPr>
        <w:t> </w:t>
      </w:r>
      <w:r>
        <w:rPr/>
        <w:t>knowledge necessary to consider and succeed in the accounting major (P7). A second</w:t>
      </w:r>
      <w:r>
        <w:rPr>
          <w:spacing w:val="40"/>
        </w:rPr>
        <w:t> </w:t>
      </w:r>
      <w:r>
        <w:rPr/>
        <w:t>accounting major highlighted</w:t>
      </w:r>
      <w:r>
        <w:rPr>
          <w:spacing w:val="-3"/>
        </w:rPr>
        <w:t> </w:t>
      </w:r>
      <w:r>
        <w:rPr/>
        <w:t>the necessity of early exposure to accounting when reflecting</w:t>
      </w:r>
      <w:r>
        <w:rPr>
          <w:spacing w:val="40"/>
        </w:rPr>
        <w:t> </w:t>
      </w:r>
      <w:r>
        <w:rPr/>
        <w:t>on</w:t>
      </w:r>
      <w:r>
        <w:rPr>
          <w:spacing w:val="-2"/>
        </w:rPr>
        <w:t> </w:t>
      </w:r>
      <w:r>
        <w:rPr/>
        <w:t>the</w:t>
      </w:r>
      <w:r>
        <w:rPr>
          <w:spacing w:val="-2"/>
        </w:rPr>
        <w:t> </w:t>
      </w:r>
      <w:r>
        <w:rPr/>
        <w:t>factors</w:t>
      </w:r>
      <w:r>
        <w:rPr>
          <w:spacing w:val="-2"/>
        </w:rPr>
        <w:t> </w:t>
      </w:r>
      <w:r>
        <w:rPr/>
        <w:t>that</w:t>
      </w:r>
      <w:r>
        <w:rPr>
          <w:spacing w:val="-2"/>
        </w:rPr>
        <w:t> </w:t>
      </w:r>
      <w:r>
        <w:rPr/>
        <w:t>drew</w:t>
      </w:r>
      <w:r>
        <w:rPr>
          <w:spacing w:val="-2"/>
        </w:rPr>
        <w:t> </w:t>
      </w:r>
      <w:r>
        <w:rPr/>
        <w:t>them</w:t>
      </w:r>
      <w:r>
        <w:rPr>
          <w:spacing w:val="-3"/>
        </w:rPr>
        <w:t> </w:t>
      </w:r>
      <w:r>
        <w:rPr/>
        <w:t>into</w:t>
      </w:r>
      <w:r>
        <w:rPr>
          <w:spacing w:val="-2"/>
        </w:rPr>
        <w:t> </w:t>
      </w:r>
      <w:r>
        <w:rPr/>
        <w:t>the </w:t>
      </w:r>
      <w:r>
        <w:rPr>
          <w:spacing w:val="-2"/>
        </w:rPr>
        <w:t>major:</w:t>
      </w:r>
    </w:p>
    <w:p>
      <w:pPr>
        <w:pStyle w:val="BodyText"/>
        <w:spacing w:line="276" w:lineRule="auto" w:before="160"/>
        <w:ind w:left="720" w:right="1449"/>
        <w:jc w:val="both"/>
      </w:pPr>
      <w:r>
        <w:rPr/>
        <w:t>I do think if they want to</w:t>
      </w:r>
      <w:r>
        <w:rPr>
          <w:spacing w:val="-2"/>
        </w:rPr>
        <w:t> </w:t>
      </w:r>
      <w:r>
        <w:rPr/>
        <w:t>fix</w:t>
      </w:r>
      <w:r>
        <w:rPr>
          <w:spacing w:val="-2"/>
        </w:rPr>
        <w:t> </w:t>
      </w:r>
      <w:r>
        <w:rPr/>
        <w:t>the</w:t>
      </w:r>
      <w:r>
        <w:rPr>
          <w:spacing w:val="-2"/>
        </w:rPr>
        <w:t> </w:t>
      </w:r>
      <w:r>
        <w:rPr/>
        <w:t>accounting</w:t>
      </w:r>
      <w:r>
        <w:rPr>
          <w:spacing w:val="-2"/>
        </w:rPr>
        <w:t> </w:t>
      </w:r>
      <w:r>
        <w:rPr/>
        <w:t>shortage,</w:t>
      </w:r>
      <w:r>
        <w:rPr>
          <w:spacing w:val="-2"/>
        </w:rPr>
        <w:t> </w:t>
      </w:r>
      <w:r>
        <w:rPr/>
        <w:t>they</w:t>
      </w:r>
      <w:r>
        <w:rPr>
          <w:spacing w:val="-2"/>
        </w:rPr>
        <w:t> </w:t>
      </w:r>
      <w:r>
        <w:rPr/>
        <w:t>need</w:t>
      </w:r>
      <w:r>
        <w:rPr>
          <w:spacing w:val="-2"/>
        </w:rPr>
        <w:t> </w:t>
      </w:r>
      <w:r>
        <w:rPr/>
        <w:t>to</w:t>
      </w:r>
      <w:r>
        <w:rPr>
          <w:spacing w:val="-2"/>
        </w:rPr>
        <w:t> </w:t>
      </w:r>
      <w:r>
        <w:rPr/>
        <w:t>get</w:t>
      </w:r>
      <w:r>
        <w:rPr>
          <w:spacing w:val="-2"/>
        </w:rPr>
        <w:t> </w:t>
      </w:r>
      <w:r>
        <w:rPr/>
        <w:t>it</w:t>
      </w:r>
      <w:r>
        <w:rPr>
          <w:spacing w:val="-2"/>
        </w:rPr>
        <w:t> </w:t>
      </w:r>
      <w:r>
        <w:rPr/>
        <w:t>known</w:t>
      </w:r>
      <w:r>
        <w:rPr>
          <w:spacing w:val="-2"/>
        </w:rPr>
        <w:t> </w:t>
      </w:r>
      <w:r>
        <w:rPr/>
        <w:t>about</w:t>
      </w:r>
      <w:r>
        <w:rPr>
          <w:spacing w:val="40"/>
        </w:rPr>
        <w:t> </w:t>
      </w:r>
      <w:r>
        <w:rPr/>
        <w:t>sooner</w:t>
      </w:r>
      <w:r>
        <w:rPr>
          <w:spacing w:val="-2"/>
        </w:rPr>
        <w:t> </w:t>
      </w:r>
      <w:r>
        <w:rPr/>
        <w:t>… But like my school district, if you didn't have</w:t>
      </w:r>
      <w:r>
        <w:rPr>
          <w:spacing w:val="-2"/>
        </w:rPr>
        <w:t> </w:t>
      </w:r>
      <w:r>
        <w:rPr/>
        <w:t>a</w:t>
      </w:r>
      <w:r>
        <w:rPr>
          <w:spacing w:val="-2"/>
        </w:rPr>
        <w:t> </w:t>
      </w:r>
      <w:r>
        <w:rPr/>
        <w:t>parent</w:t>
      </w:r>
      <w:r>
        <w:rPr>
          <w:spacing w:val="-2"/>
        </w:rPr>
        <w:t> </w:t>
      </w:r>
      <w:r>
        <w:rPr/>
        <w:t>or</w:t>
      </w:r>
      <w:r>
        <w:rPr>
          <w:spacing w:val="-2"/>
        </w:rPr>
        <w:t> </w:t>
      </w:r>
      <w:r>
        <w:rPr/>
        <w:t>somebody</w:t>
      </w:r>
      <w:r>
        <w:rPr>
          <w:spacing w:val="-2"/>
        </w:rPr>
        <w:t> </w:t>
      </w:r>
      <w:r>
        <w:rPr/>
        <w:t>who</w:t>
      </w:r>
      <w:r>
        <w:rPr>
          <w:spacing w:val="40"/>
        </w:rPr>
        <w:t> </w:t>
      </w:r>
      <w:r>
        <w:rPr/>
        <w:t>knew</w:t>
      </w:r>
      <w:r>
        <w:rPr>
          <w:spacing w:val="-2"/>
        </w:rPr>
        <w:t> </w:t>
      </w:r>
      <w:r>
        <w:rPr/>
        <w:t>what</w:t>
      </w:r>
      <w:r>
        <w:rPr>
          <w:spacing w:val="-2"/>
        </w:rPr>
        <w:t> </w:t>
      </w:r>
      <w:r>
        <w:rPr/>
        <w:t>accounting was, you weren't going to hear about it until you got to</w:t>
      </w:r>
      <w:r>
        <w:rPr>
          <w:spacing w:val="40"/>
        </w:rPr>
        <w:t> </w:t>
      </w:r>
      <w:r>
        <w:rPr/>
        <w:t>college. (P24)</w:t>
      </w:r>
    </w:p>
    <w:p>
      <w:pPr>
        <w:pStyle w:val="BodyText"/>
        <w:spacing w:line="276" w:lineRule="auto" w:before="160"/>
        <w:ind w:left="720" w:right="1439"/>
        <w:jc w:val="both"/>
      </w:pPr>
      <w:r>
        <w:rPr/>
        <w:t>These sentiments directly inform the study’s research question by noting</w:t>
      </w:r>
      <w:r>
        <w:rPr>
          <w:spacing w:val="-3"/>
        </w:rPr>
        <w:t> </w:t>
      </w:r>
      <w:r>
        <w:rPr/>
        <w:t>how</w:t>
      </w:r>
      <w:r>
        <w:rPr>
          <w:spacing w:val="-3"/>
        </w:rPr>
        <w:t> </w:t>
      </w:r>
      <w:r>
        <w:rPr/>
        <w:t>early</w:t>
      </w:r>
      <w:r>
        <w:rPr>
          <w:spacing w:val="-3"/>
        </w:rPr>
        <w:t> </w:t>
      </w:r>
      <w:r>
        <w:rPr/>
        <w:t>exposure</w:t>
      </w:r>
      <w:r>
        <w:rPr>
          <w:spacing w:val="40"/>
        </w:rPr>
        <w:t> </w:t>
      </w:r>
      <w:r>
        <w:rPr/>
        <w:t>to accounting can influence choice of major. The data for Theme 1, which is explored in</w:t>
      </w:r>
      <w:r>
        <w:rPr>
          <w:spacing w:val="40"/>
        </w:rPr>
        <w:t> </w:t>
      </w:r>
      <w:r>
        <w:rPr/>
        <w:t>subsequent subthemes suggests that students’ curiosity was significantly enhanced </w:t>
      </w:r>
      <w:r>
        <w:rPr/>
        <w:t>when instructors provided personal encouragement and when student organizations offered a</w:t>
      </w:r>
      <w:r>
        <w:rPr>
          <w:spacing w:val="40"/>
        </w:rPr>
        <w:t> </w:t>
      </w:r>
      <w:r>
        <w:rPr/>
        <w:t>visible support system for success. Ultimately, these findings elaborate on the humanized</w:t>
      </w:r>
      <w:r>
        <w:rPr>
          <w:spacing w:val="40"/>
        </w:rPr>
        <w:t> </w:t>
      </w:r>
      <w:r>
        <w:rPr/>
        <w:t>environment of the accounting community which may have the potential to convert student</w:t>
      </w:r>
      <w:r>
        <w:rPr>
          <w:spacing w:val="40"/>
        </w:rPr>
        <w:t> </w:t>
      </w:r>
      <w:r>
        <w:rPr/>
        <w:t>interest into a declared major.</w:t>
      </w:r>
    </w:p>
    <w:p>
      <w:pPr>
        <w:spacing w:before="159"/>
        <w:ind w:left="720" w:right="0" w:firstLine="0"/>
        <w:jc w:val="both"/>
        <w:rPr>
          <w:sz w:val="24"/>
        </w:rPr>
      </w:pPr>
      <w:r>
        <w:rPr>
          <w:b/>
          <w:sz w:val="24"/>
        </w:rPr>
        <w:t>Subtheme 1.1</w:t>
      </w:r>
      <w:r>
        <w:rPr>
          <w:sz w:val="24"/>
        </w:rPr>
        <w:t>: The Influence of Personable </w:t>
      </w:r>
      <w:r>
        <w:rPr>
          <w:spacing w:val="-2"/>
          <w:sz w:val="24"/>
        </w:rPr>
        <w:t>Educators</w:t>
      </w:r>
    </w:p>
    <w:p>
      <w:pPr>
        <w:pStyle w:val="BodyText"/>
        <w:spacing w:line="276" w:lineRule="auto" w:before="202"/>
        <w:ind w:left="720" w:right="1442"/>
        <w:jc w:val="both"/>
      </w:pPr>
      <w:r>
        <w:rPr/>
        <w:t>When interviewing students about what influenced their choice of major, about half</w:t>
      </w:r>
      <w:r>
        <w:rPr>
          <w:spacing w:val="40"/>
        </w:rPr>
        <w:t> </w:t>
      </w:r>
      <w:r>
        <w:rPr/>
        <w:t>of participants who agreed with the overarching Theme 1 sentiment shared narratives on</w:t>
      </w:r>
      <w:r>
        <w:rPr>
          <w:spacing w:val="40"/>
        </w:rPr>
        <w:t> </w:t>
      </w:r>
      <w:r>
        <w:rPr/>
        <w:t>memorable interactions with educators. One participant recalled their interaction with a</w:t>
      </w:r>
      <w:r>
        <w:rPr>
          <w:spacing w:val="80"/>
        </w:rPr>
        <w:t> </w:t>
      </w:r>
      <w:r>
        <w:rPr/>
        <w:t>professor at their place of work:</w:t>
      </w:r>
    </w:p>
    <w:p>
      <w:pPr>
        <w:pStyle w:val="BodyText"/>
        <w:spacing w:line="276" w:lineRule="auto" w:before="160"/>
        <w:ind w:left="720" w:right="1439"/>
        <w:jc w:val="both"/>
      </w:pPr>
      <w:r>
        <w:rPr/>
        <w:t>I was working at Red Onion … She [Dr. Romanus] came in and she sat in my section,</w:t>
      </w:r>
      <w:r>
        <w:rPr>
          <w:spacing w:val="40"/>
        </w:rPr>
        <w:t> </w:t>
      </w:r>
      <w:r>
        <w:rPr/>
        <w:t>and</w:t>
      </w:r>
      <w:r>
        <w:rPr>
          <w:spacing w:val="-3"/>
        </w:rPr>
        <w:t> </w:t>
      </w:r>
      <w:r>
        <w:rPr/>
        <w:t>she sat by herself, and we just got to talking about her life, her</w:t>
      </w:r>
      <w:r>
        <w:rPr>
          <w:spacing w:val="-2"/>
        </w:rPr>
        <w:t> </w:t>
      </w:r>
      <w:r>
        <w:rPr/>
        <w:t>kids,</w:t>
      </w:r>
      <w:r>
        <w:rPr>
          <w:spacing w:val="-2"/>
        </w:rPr>
        <w:t> </w:t>
      </w:r>
      <w:r>
        <w:rPr/>
        <w:t>her</w:t>
      </w:r>
      <w:r>
        <w:rPr>
          <w:spacing w:val="-2"/>
        </w:rPr>
        <w:t> </w:t>
      </w:r>
      <w:r>
        <w:rPr/>
        <w:t>family,</w:t>
      </w:r>
      <w:r>
        <w:rPr>
          <w:spacing w:val="40"/>
        </w:rPr>
        <w:t> </w:t>
      </w:r>
      <w:r>
        <w:rPr/>
        <w:t>and</w:t>
      </w:r>
      <w:r>
        <w:rPr>
          <w:spacing w:val="-2"/>
        </w:rPr>
        <w:t> </w:t>
      </w:r>
      <w:r>
        <w:rPr/>
        <w:t>she</w:t>
      </w:r>
      <w:r>
        <w:rPr>
          <w:spacing w:val="-2"/>
        </w:rPr>
        <w:t> </w:t>
      </w:r>
      <w:r>
        <w:rPr/>
        <w:t>was</w:t>
      </w:r>
      <w:r>
        <w:rPr>
          <w:spacing w:val="-2"/>
        </w:rPr>
        <w:t> </w:t>
      </w:r>
      <w:r>
        <w:rPr/>
        <w:t>telling me</w:t>
      </w:r>
      <w:r>
        <w:rPr>
          <w:spacing w:val="27"/>
        </w:rPr>
        <w:t> </w:t>
      </w:r>
      <w:r>
        <w:rPr/>
        <w:t>how</w:t>
      </w:r>
      <w:r>
        <w:rPr>
          <w:spacing w:val="27"/>
        </w:rPr>
        <w:t> </w:t>
      </w:r>
      <w:r>
        <w:rPr/>
        <w:t>she</w:t>
      </w:r>
      <w:r>
        <w:rPr>
          <w:spacing w:val="27"/>
        </w:rPr>
        <w:t> </w:t>
      </w:r>
      <w:r>
        <w:rPr/>
        <w:t>was</w:t>
      </w:r>
      <w:r>
        <w:rPr>
          <w:spacing w:val="27"/>
        </w:rPr>
        <w:t> </w:t>
      </w:r>
      <w:r>
        <w:rPr/>
        <w:t>an</w:t>
      </w:r>
      <w:r>
        <w:rPr>
          <w:spacing w:val="27"/>
        </w:rPr>
        <w:t> </w:t>
      </w:r>
      <w:r>
        <w:rPr/>
        <w:t>accounting</w:t>
      </w:r>
      <w:r>
        <w:rPr>
          <w:spacing w:val="27"/>
        </w:rPr>
        <w:t> </w:t>
      </w:r>
      <w:r>
        <w:rPr/>
        <w:t>professor,</w:t>
      </w:r>
      <w:r>
        <w:rPr>
          <w:spacing w:val="27"/>
        </w:rPr>
        <w:t> </w:t>
      </w:r>
      <w:r>
        <w:rPr/>
        <w:t>and asked me what my</w:t>
      </w:r>
      <w:r>
        <w:rPr>
          <w:spacing w:val="80"/>
        </w:rPr>
        <w:t> </w:t>
      </w:r>
      <w:r>
        <w:rPr/>
        <w:t>major was. And I told her I was still figuring it out. And so she asked me to come see</w:t>
      </w:r>
      <w:r>
        <w:rPr>
          <w:spacing w:val="40"/>
        </w:rPr>
        <w:t> </w:t>
      </w:r>
      <w:r>
        <w:rPr/>
        <w:t>her. I did. She invited me to the [accounting] principles dinner, and she convinced me</w:t>
      </w:r>
      <w:r>
        <w:rPr>
          <w:spacing w:val="40"/>
        </w:rPr>
        <w:t> </w:t>
      </w:r>
      <w:r>
        <w:rPr/>
        <w:t>to become an accounting major and now I’m about to graduate. (P2)</w:t>
      </w:r>
    </w:p>
    <w:p>
      <w:pPr>
        <w:pStyle w:val="BodyText"/>
        <w:spacing w:after="0" w:line="276" w:lineRule="auto"/>
        <w:jc w:val="both"/>
        <w:sectPr>
          <w:pgSz w:w="12240" w:h="15840"/>
          <w:pgMar w:header="0" w:footer="750" w:top="640" w:bottom="960" w:left="720" w:right="0"/>
        </w:sectPr>
      </w:pPr>
    </w:p>
    <w:p>
      <w:pPr>
        <w:pStyle w:val="BodyText"/>
        <w:spacing w:line="276" w:lineRule="auto" w:before="60"/>
        <w:ind w:left="720" w:right="1445"/>
        <w:jc w:val="both"/>
      </w:pPr>
      <w:r>
        <w:rPr/>
        <w:t>In a similar vein, a second participant credited a professor for their decision to switch into </w:t>
      </w:r>
      <w:r>
        <w:rPr/>
        <w:t>the accounting major:</w:t>
      </w:r>
    </w:p>
    <w:p>
      <w:pPr>
        <w:pStyle w:val="BodyText"/>
        <w:spacing w:line="276" w:lineRule="auto" w:before="161"/>
        <w:ind w:left="720" w:right="1440"/>
        <w:jc w:val="both"/>
      </w:pPr>
      <w:r>
        <w:rPr/>
        <w:t>Honestly,</w:t>
      </w:r>
      <w:r>
        <w:rPr>
          <w:spacing w:val="40"/>
        </w:rPr>
        <w:t> </w:t>
      </w:r>
      <w:r>
        <w:rPr/>
        <w:t>I</w:t>
      </w:r>
      <w:r>
        <w:rPr>
          <w:spacing w:val="40"/>
        </w:rPr>
        <w:t> </w:t>
      </w:r>
      <w:r>
        <w:rPr/>
        <w:t>give</w:t>
      </w:r>
      <w:r>
        <w:rPr>
          <w:spacing w:val="40"/>
        </w:rPr>
        <w:t> </w:t>
      </w:r>
      <w:r>
        <w:rPr/>
        <w:t>a lot of my thanks to Dr. Hasson because he didn't push me at all </w:t>
      </w:r>
      <w:r>
        <w:rPr/>
        <w:t>into accounting</w:t>
      </w:r>
      <w:r>
        <w:rPr>
          <w:spacing w:val="40"/>
        </w:rPr>
        <w:t> </w:t>
      </w:r>
      <w:r>
        <w:rPr/>
        <w:t>but</w:t>
      </w:r>
      <w:r>
        <w:rPr>
          <w:spacing w:val="40"/>
        </w:rPr>
        <w:t> </w:t>
      </w:r>
      <w:r>
        <w:rPr/>
        <w:t>he</w:t>
      </w:r>
      <w:r>
        <w:rPr>
          <w:spacing w:val="40"/>
        </w:rPr>
        <w:t> </w:t>
      </w:r>
      <w:r>
        <w:rPr/>
        <w:t>helped.</w:t>
      </w:r>
      <w:r>
        <w:rPr>
          <w:spacing w:val="40"/>
        </w:rPr>
        <w:t> </w:t>
      </w:r>
      <w:r>
        <w:rPr/>
        <w:t>I almost forgot this happened but when I told him I was</w:t>
      </w:r>
      <w:r>
        <w:rPr>
          <w:spacing w:val="80"/>
        </w:rPr>
        <w:t> </w:t>
      </w:r>
      <w:r>
        <w:rPr/>
        <w:t>thinking about switching, but I just wasn't sure if I'd be able to do it, he</w:t>
      </w:r>
      <w:r>
        <w:rPr>
          <w:spacing w:val="-2"/>
        </w:rPr>
        <w:t> </w:t>
      </w:r>
      <w:r>
        <w:rPr/>
        <w:t>connected</w:t>
      </w:r>
      <w:r>
        <w:rPr>
          <w:spacing w:val="-2"/>
        </w:rPr>
        <w:t> </w:t>
      </w:r>
      <w:r>
        <w:rPr/>
        <w:t>me</w:t>
      </w:r>
      <w:r>
        <w:rPr>
          <w:spacing w:val="40"/>
        </w:rPr>
        <w:t> </w:t>
      </w:r>
      <w:r>
        <w:rPr/>
        <w:t>with</w:t>
      </w:r>
      <w:r>
        <w:rPr>
          <w:spacing w:val="-2"/>
        </w:rPr>
        <w:t> </w:t>
      </w:r>
      <w:r>
        <w:rPr/>
        <w:t>three</w:t>
      </w:r>
      <w:r>
        <w:rPr>
          <w:spacing w:val="-2"/>
        </w:rPr>
        <w:t> </w:t>
      </w:r>
      <w:r>
        <w:rPr/>
        <w:t>people that worked at the big four firms. …. I think having a good mentor</w:t>
      </w:r>
      <w:r>
        <w:rPr>
          <w:spacing w:val="40"/>
        </w:rPr>
        <w:t> </w:t>
      </w:r>
      <w:r>
        <w:rPr/>
        <w:t>really just made all the difference.</w:t>
      </w:r>
      <w:r>
        <w:rPr>
          <w:spacing w:val="28"/>
        </w:rPr>
        <w:t> </w:t>
      </w:r>
      <w:r>
        <w:rPr/>
        <w:t>If</w:t>
      </w:r>
      <w:r>
        <w:rPr>
          <w:spacing w:val="28"/>
        </w:rPr>
        <w:t> </w:t>
      </w:r>
      <w:r>
        <w:rPr/>
        <w:t>he</w:t>
      </w:r>
      <w:r>
        <w:rPr>
          <w:spacing w:val="28"/>
        </w:rPr>
        <w:t> </w:t>
      </w:r>
      <w:r>
        <w:rPr/>
        <w:t>wasn't</w:t>
      </w:r>
      <w:r>
        <w:rPr>
          <w:spacing w:val="28"/>
        </w:rPr>
        <w:t> </w:t>
      </w:r>
      <w:r>
        <w:rPr/>
        <w:t>there</w:t>
      </w:r>
      <w:r>
        <w:rPr>
          <w:spacing w:val="28"/>
        </w:rPr>
        <w:t> </w:t>
      </w:r>
      <w:r>
        <w:rPr/>
        <w:t>to be like “I think you can do this</w:t>
      </w:r>
      <w:r>
        <w:rPr>
          <w:spacing w:val="80"/>
        </w:rPr>
        <w:t> </w:t>
      </w:r>
      <w:r>
        <w:rPr/>
        <w:t>and here are these people that had</w:t>
      </w:r>
      <w:r>
        <w:rPr>
          <w:spacing w:val="28"/>
        </w:rPr>
        <w:t> </w:t>
      </w:r>
      <w:r>
        <w:rPr/>
        <w:t>done</w:t>
      </w:r>
      <w:r>
        <w:rPr>
          <w:spacing w:val="28"/>
        </w:rPr>
        <w:t> </w:t>
      </w:r>
      <w:r>
        <w:rPr/>
        <w:t>it</w:t>
      </w:r>
      <w:r>
        <w:rPr>
          <w:spacing w:val="28"/>
        </w:rPr>
        <w:t> </w:t>
      </w:r>
      <w:r>
        <w:rPr/>
        <w:t>in</w:t>
      </w:r>
      <w:r>
        <w:rPr>
          <w:spacing w:val="28"/>
        </w:rPr>
        <w:t> </w:t>
      </w:r>
      <w:r>
        <w:rPr/>
        <w:t>the same way you're trying to,” I don't</w:t>
      </w:r>
      <w:r>
        <w:rPr>
          <w:spacing w:val="80"/>
        </w:rPr>
        <w:t> </w:t>
      </w:r>
      <w:r>
        <w:rPr/>
        <w:t>honestly know if I would have switched just out of pure fear that I would fail. (P3)</w:t>
      </w:r>
    </w:p>
    <w:p>
      <w:pPr>
        <w:pStyle w:val="BodyText"/>
        <w:spacing w:line="276" w:lineRule="auto" w:before="160"/>
        <w:ind w:left="720" w:right="1438"/>
        <w:jc w:val="both"/>
      </w:pPr>
      <w:r>
        <w:rPr/>
        <w:t>These interactions between a student and a professor illustrate that recruitment</w:t>
      </w:r>
      <w:r>
        <w:rPr>
          <w:spacing w:val="-2"/>
        </w:rPr>
        <w:t> </w:t>
      </w:r>
      <w:r>
        <w:rPr/>
        <w:t>may</w:t>
      </w:r>
      <w:r>
        <w:rPr>
          <w:spacing w:val="-2"/>
        </w:rPr>
        <w:t> </w:t>
      </w:r>
      <w:r>
        <w:rPr/>
        <w:t>occur</w:t>
      </w:r>
      <w:r>
        <w:rPr>
          <w:spacing w:val="40"/>
        </w:rPr>
        <w:t> </w:t>
      </w:r>
      <w:r>
        <w:rPr/>
        <w:t>most effectively in non-classroom settings, where the profession is humanized through</w:t>
      </w:r>
      <w:r>
        <w:rPr>
          <w:spacing w:val="40"/>
        </w:rPr>
        <w:t> </w:t>
      </w:r>
      <w:r>
        <w:rPr/>
        <w:t>personal storytelling. While most students who reported that educators played a role in their</w:t>
      </w:r>
      <w:r>
        <w:rPr>
          <w:spacing w:val="40"/>
        </w:rPr>
        <w:t> </w:t>
      </w:r>
      <w:r>
        <w:rPr/>
        <w:t>decision to major in accounting are current accounting majors, very few non-accounting</w:t>
      </w:r>
      <w:r>
        <w:rPr>
          <w:spacing w:val="80"/>
        </w:rPr>
        <w:t> </w:t>
      </w:r>
      <w:r>
        <w:rPr/>
        <w:t>majors (P115)</w:t>
      </w:r>
      <w:r>
        <w:rPr>
          <w:spacing w:val="40"/>
        </w:rPr>
        <w:t> </w:t>
      </w:r>
      <w:r>
        <w:rPr/>
        <w:t>cited this as a contributing factor. Therefore, meaningful, consistent</w:t>
      </w:r>
      <w:r>
        <w:rPr>
          <w:spacing w:val="40"/>
        </w:rPr>
        <w:t> </w:t>
      </w:r>
      <w:r>
        <w:rPr/>
        <w:t>faculty-to-student interaction regarding the accounting major and profession may contribute</w:t>
      </w:r>
      <w:r>
        <w:rPr>
          <w:spacing w:val="40"/>
        </w:rPr>
        <w:t> </w:t>
      </w:r>
      <w:r>
        <w:rPr/>
        <w:t>positively to the decision to major in accounting.</w:t>
      </w:r>
    </w:p>
    <w:p>
      <w:pPr>
        <w:pStyle w:val="BodyText"/>
        <w:spacing w:line="276" w:lineRule="auto" w:before="159"/>
        <w:ind w:left="720" w:right="1449"/>
        <w:jc w:val="both"/>
      </w:pPr>
      <w:r>
        <w:rPr/>
        <w:t>In addition to having educators who are knowledgeable in their field, relatability was</w:t>
      </w:r>
      <w:r>
        <w:rPr>
          <w:spacing w:val="40"/>
        </w:rPr>
        <w:t> </w:t>
      </w:r>
      <w:r>
        <w:rPr/>
        <w:t>another common sentiment among accounting majors:</w:t>
      </w:r>
    </w:p>
    <w:p>
      <w:pPr>
        <w:pStyle w:val="BodyText"/>
        <w:spacing w:line="276" w:lineRule="auto" w:before="160"/>
        <w:ind w:left="720" w:right="1438"/>
        <w:jc w:val="both"/>
      </w:pPr>
      <w:r>
        <w:rPr/>
        <w:t>Like, all the people that are teaching me, they all have stories about random stuff that</w:t>
      </w:r>
      <w:r>
        <w:rPr>
          <w:spacing w:val="40"/>
        </w:rPr>
        <w:t> </w:t>
      </w:r>
      <w:r>
        <w:rPr/>
        <w:t>they</w:t>
      </w:r>
      <w:r>
        <w:rPr>
          <w:spacing w:val="-2"/>
        </w:rPr>
        <w:t> </w:t>
      </w:r>
      <w:r>
        <w:rPr/>
        <w:t>had done while working. It’s nice to be able to hear that. But in all the other</w:t>
      </w:r>
      <w:r>
        <w:rPr>
          <w:spacing w:val="80"/>
        </w:rPr>
        <w:t> </w:t>
      </w:r>
      <w:r>
        <w:rPr/>
        <w:t>classes, they </w:t>
      </w:r>
      <w:r>
        <w:rPr/>
        <w:t>didn't. They weren't particularly doing exactly what I wanted to do with</w:t>
      </w:r>
      <w:r>
        <w:rPr>
          <w:spacing w:val="80"/>
        </w:rPr>
        <w:t> </w:t>
      </w:r>
      <w:r>
        <w:rPr/>
        <w:t>it [the degree],</w:t>
      </w:r>
      <w:r>
        <w:rPr>
          <w:spacing w:val="-2"/>
        </w:rPr>
        <w:t> </w:t>
      </w:r>
      <w:r>
        <w:rPr/>
        <w:t>so</w:t>
      </w:r>
      <w:r>
        <w:rPr>
          <w:spacing w:val="-2"/>
        </w:rPr>
        <w:t> </w:t>
      </w:r>
      <w:r>
        <w:rPr/>
        <w:t>it</w:t>
      </w:r>
      <w:r>
        <w:rPr>
          <w:spacing w:val="-2"/>
        </w:rPr>
        <w:t> </w:t>
      </w:r>
      <w:r>
        <w:rPr/>
        <w:t>was</w:t>
      </w:r>
      <w:r>
        <w:rPr>
          <w:spacing w:val="-2"/>
        </w:rPr>
        <w:t> </w:t>
      </w:r>
      <w:r>
        <w:rPr/>
        <w:t>kind of</w:t>
      </w:r>
      <w:r>
        <w:rPr>
          <w:spacing w:val="40"/>
        </w:rPr>
        <w:t> </w:t>
      </w:r>
      <w:r>
        <w:rPr/>
        <w:t>hard</w:t>
      </w:r>
      <w:r>
        <w:rPr>
          <w:spacing w:val="40"/>
        </w:rPr>
        <w:t> </w:t>
      </w:r>
      <w:r>
        <w:rPr/>
        <w:t>to</w:t>
      </w:r>
      <w:r>
        <w:rPr>
          <w:spacing w:val="40"/>
        </w:rPr>
        <w:t> </w:t>
      </w:r>
      <w:r>
        <w:rPr/>
        <w:t>relate</w:t>
      </w:r>
      <w:r>
        <w:rPr>
          <w:spacing w:val="40"/>
        </w:rPr>
        <w:t> </w:t>
      </w:r>
      <w:r>
        <w:rPr/>
        <w:t>to that. I guess they're [accounting</w:t>
      </w:r>
      <w:r>
        <w:rPr>
          <w:spacing w:val="80"/>
        </w:rPr>
        <w:t> </w:t>
      </w:r>
      <w:r>
        <w:rPr/>
        <w:t>faculty], like, more relatable in a sense. </w:t>
      </w:r>
      <w:r>
        <w:rPr>
          <w:spacing w:val="-2"/>
        </w:rPr>
        <w:t>(P32)</w:t>
      </w:r>
    </w:p>
    <w:p>
      <w:pPr>
        <w:pStyle w:val="BodyText"/>
        <w:spacing w:line="276" w:lineRule="auto" w:before="160"/>
        <w:ind w:left="720" w:right="1438"/>
        <w:jc w:val="both"/>
      </w:pPr>
      <w:r>
        <w:rPr/>
        <w:t>This quote</w:t>
      </w:r>
      <w:r>
        <w:rPr>
          <w:spacing w:val="-3"/>
        </w:rPr>
        <w:t> </w:t>
      </w:r>
      <w:r>
        <w:rPr/>
        <w:t>illustrates</w:t>
      </w:r>
      <w:r>
        <w:rPr>
          <w:spacing w:val="-3"/>
        </w:rPr>
        <w:t> </w:t>
      </w:r>
      <w:r>
        <w:rPr/>
        <w:t>the</w:t>
      </w:r>
      <w:r>
        <w:rPr>
          <w:spacing w:val="-3"/>
        </w:rPr>
        <w:t> </w:t>
      </w:r>
      <w:r>
        <w:rPr/>
        <w:t>importance</w:t>
      </w:r>
      <w:r>
        <w:rPr>
          <w:spacing w:val="-3"/>
        </w:rPr>
        <w:t> </w:t>
      </w:r>
      <w:r>
        <w:rPr/>
        <w:t>of</w:t>
      </w:r>
      <w:r>
        <w:rPr>
          <w:spacing w:val="-3"/>
        </w:rPr>
        <w:t> </w:t>
      </w:r>
      <w:r>
        <w:rPr/>
        <w:t>having</w:t>
      </w:r>
      <w:r>
        <w:rPr>
          <w:spacing w:val="-3"/>
        </w:rPr>
        <w:t> </w:t>
      </w:r>
      <w:r>
        <w:rPr/>
        <w:t>instructors</w:t>
      </w:r>
      <w:r>
        <w:rPr>
          <w:spacing w:val="-3"/>
        </w:rPr>
        <w:t> </w:t>
      </w:r>
      <w:r>
        <w:rPr/>
        <w:t>who</w:t>
      </w:r>
      <w:r>
        <w:rPr>
          <w:spacing w:val="-3"/>
        </w:rPr>
        <w:t> </w:t>
      </w:r>
      <w:r>
        <w:rPr/>
        <w:t>are</w:t>
      </w:r>
      <w:r>
        <w:rPr>
          <w:spacing w:val="-3"/>
        </w:rPr>
        <w:t> </w:t>
      </w:r>
      <w:r>
        <w:rPr/>
        <w:t>approachable,</w:t>
      </w:r>
      <w:r>
        <w:rPr>
          <w:spacing w:val="-3"/>
        </w:rPr>
        <w:t> </w:t>
      </w:r>
      <w:r>
        <w:rPr/>
        <w:t>both</w:t>
      </w:r>
      <w:r>
        <w:rPr>
          <w:spacing w:val="-3"/>
        </w:rPr>
        <w:t> </w:t>
      </w:r>
      <w:r>
        <w:rPr/>
        <w:t>in</w:t>
      </w:r>
      <w:r>
        <w:rPr>
          <w:spacing w:val="-3"/>
        </w:rPr>
        <w:t> </w:t>
      </w:r>
      <w:r>
        <w:rPr/>
        <w:t>and</w:t>
      </w:r>
      <w:r>
        <w:rPr>
          <w:spacing w:val="40"/>
        </w:rPr>
        <w:t> </w:t>
      </w:r>
      <w:r>
        <w:rPr/>
        <w:t>out of the classroom, to help students engage with accounting</w:t>
      </w:r>
      <w:r>
        <w:rPr>
          <w:spacing w:val="-2"/>
        </w:rPr>
        <w:t> </w:t>
      </w:r>
      <w:r>
        <w:rPr/>
        <w:t>and</w:t>
      </w:r>
      <w:r>
        <w:rPr>
          <w:spacing w:val="-2"/>
        </w:rPr>
        <w:t> </w:t>
      </w:r>
      <w:r>
        <w:rPr/>
        <w:t>see</w:t>
      </w:r>
      <w:r>
        <w:rPr>
          <w:spacing w:val="-2"/>
        </w:rPr>
        <w:t> </w:t>
      </w:r>
      <w:r>
        <w:rPr/>
        <w:t>themselves</w:t>
      </w:r>
      <w:r>
        <w:rPr>
          <w:spacing w:val="-2"/>
        </w:rPr>
        <w:t> </w:t>
      </w:r>
      <w:r>
        <w:rPr/>
        <w:t>in</w:t>
      </w:r>
      <w:r>
        <w:rPr>
          <w:spacing w:val="-2"/>
        </w:rPr>
        <w:t> </w:t>
      </w:r>
      <w:r>
        <w:rPr/>
        <w:t>the</w:t>
      </w:r>
      <w:r>
        <w:rPr>
          <w:spacing w:val="40"/>
        </w:rPr>
        <w:t> </w:t>
      </w:r>
      <w:r>
        <w:rPr/>
        <w:t>profession. When considering the effectiveness of early exposure to accounting, one</w:t>
      </w:r>
      <w:r>
        <w:rPr>
          <w:spacing w:val="40"/>
        </w:rPr>
        <w:t> </w:t>
      </w:r>
      <w:r>
        <w:rPr/>
        <w:t>participant recalled their experience in an accounting class in high school, calling it the “most</w:t>
      </w:r>
      <w:r>
        <w:rPr>
          <w:spacing w:val="40"/>
        </w:rPr>
        <w:t> </w:t>
      </w:r>
      <w:r>
        <w:rPr/>
        <w:t>boring thing ever” </w:t>
      </w:r>
      <w:r>
        <w:rPr>
          <w:spacing w:val="-2"/>
        </w:rPr>
        <w:t>(P20):</w:t>
      </w:r>
    </w:p>
    <w:p>
      <w:pPr>
        <w:pStyle w:val="BodyText"/>
        <w:spacing w:line="276" w:lineRule="auto" w:before="161"/>
        <w:ind w:left="720" w:right="1440"/>
        <w:jc w:val="both"/>
      </w:pPr>
      <w:r>
        <w:rPr/>
        <w:t>I took a couple</w:t>
      </w:r>
      <w:r>
        <w:rPr>
          <w:spacing w:val="-2"/>
        </w:rPr>
        <w:t> </w:t>
      </w:r>
      <w:r>
        <w:rPr/>
        <w:t>accounting</w:t>
      </w:r>
      <w:r>
        <w:rPr>
          <w:spacing w:val="-2"/>
        </w:rPr>
        <w:t> </w:t>
      </w:r>
      <w:r>
        <w:rPr/>
        <w:t>courses</w:t>
      </w:r>
      <w:r>
        <w:rPr>
          <w:spacing w:val="-2"/>
        </w:rPr>
        <w:t> </w:t>
      </w:r>
      <w:r>
        <w:rPr/>
        <w:t>in</w:t>
      </w:r>
      <w:r>
        <w:rPr>
          <w:spacing w:val="-2"/>
        </w:rPr>
        <w:t> </w:t>
      </w:r>
      <w:r>
        <w:rPr/>
        <w:t>high</w:t>
      </w:r>
      <w:r>
        <w:rPr>
          <w:spacing w:val="-2"/>
        </w:rPr>
        <w:t> </w:t>
      </w:r>
      <w:r>
        <w:rPr/>
        <w:t>school,</w:t>
      </w:r>
      <w:r>
        <w:rPr>
          <w:spacing w:val="-2"/>
        </w:rPr>
        <w:t> </w:t>
      </w:r>
      <w:r>
        <w:rPr/>
        <w:t>and</w:t>
      </w:r>
      <w:r>
        <w:rPr>
          <w:spacing w:val="-2"/>
        </w:rPr>
        <w:t> </w:t>
      </w:r>
      <w:r>
        <w:rPr/>
        <w:t>I</w:t>
      </w:r>
      <w:r>
        <w:rPr>
          <w:spacing w:val="-2"/>
        </w:rPr>
        <w:t> </w:t>
      </w:r>
      <w:r>
        <w:rPr/>
        <w:t>did</w:t>
      </w:r>
      <w:r>
        <w:rPr>
          <w:spacing w:val="-2"/>
        </w:rPr>
        <w:t> </w:t>
      </w:r>
      <w:r>
        <w:rPr/>
        <w:t>not</w:t>
      </w:r>
      <w:r>
        <w:rPr>
          <w:spacing w:val="-2"/>
        </w:rPr>
        <w:t> </w:t>
      </w:r>
      <w:r>
        <w:rPr/>
        <w:t>enjoy</w:t>
      </w:r>
      <w:r>
        <w:rPr>
          <w:spacing w:val="-2"/>
        </w:rPr>
        <w:t> </w:t>
      </w:r>
      <w:r>
        <w:rPr/>
        <w:t>them</w:t>
      </w:r>
      <w:r>
        <w:rPr>
          <w:spacing w:val="-2"/>
        </w:rPr>
        <w:t> </w:t>
      </w:r>
      <w:r>
        <w:rPr/>
        <w:t>at</w:t>
      </w:r>
      <w:r>
        <w:rPr>
          <w:spacing w:val="-2"/>
        </w:rPr>
        <w:t> </w:t>
      </w:r>
      <w:r>
        <w:rPr/>
        <w:t>all.</w:t>
      </w:r>
      <w:r>
        <w:rPr>
          <w:spacing w:val="40"/>
        </w:rPr>
        <w:t> </w:t>
      </w:r>
      <w:r>
        <w:rPr/>
        <w:t>And</w:t>
      </w:r>
      <w:r>
        <w:rPr>
          <w:spacing w:val="-2"/>
        </w:rPr>
        <w:t> </w:t>
      </w:r>
      <w:r>
        <w:rPr/>
        <w:t>I</w:t>
      </w:r>
      <w:r>
        <w:rPr>
          <w:spacing w:val="-2"/>
        </w:rPr>
        <w:t> </w:t>
      </w:r>
      <w:r>
        <w:rPr/>
        <w:t>actually only had it [accounting] as my minor because my mom told me that I</w:t>
      </w:r>
      <w:r>
        <w:rPr>
          <w:spacing w:val="40"/>
        </w:rPr>
        <w:t> </w:t>
      </w:r>
      <w:r>
        <w:rPr/>
        <w:t>needed to come out of college with a skill … I was very much not excited about it</w:t>
      </w:r>
      <w:r>
        <w:rPr>
          <w:spacing w:val="40"/>
        </w:rPr>
        <w:t> </w:t>
      </w:r>
      <w:r>
        <w:rPr/>
        <w:t>coming into school, like at all. </w:t>
      </w:r>
      <w:r>
        <w:rPr/>
        <w:t>So after taking that managerial accounting course and</w:t>
      </w:r>
      <w:r>
        <w:rPr>
          <w:spacing w:val="40"/>
        </w:rPr>
        <w:t> </w:t>
      </w:r>
      <w:r>
        <w:rPr/>
        <w:t>understanding it was what I</w:t>
      </w:r>
      <w:r>
        <w:rPr>
          <w:spacing w:val="-2"/>
        </w:rPr>
        <w:t> </w:t>
      </w:r>
      <w:r>
        <w:rPr/>
        <w:t>wanted</w:t>
      </w:r>
      <w:r>
        <w:rPr>
          <w:spacing w:val="-2"/>
        </w:rPr>
        <w:t> </w:t>
      </w:r>
      <w:r>
        <w:rPr/>
        <w:t>to</w:t>
      </w:r>
      <w:r>
        <w:rPr>
          <w:spacing w:val="-2"/>
        </w:rPr>
        <w:t> </w:t>
      </w:r>
      <w:r>
        <w:rPr/>
        <w:t>do,</w:t>
      </w:r>
      <w:r>
        <w:rPr>
          <w:spacing w:val="-2"/>
        </w:rPr>
        <w:t> </w:t>
      </w:r>
      <w:r>
        <w:rPr/>
        <w:t>it was honestly a huge shock. I never would</w:t>
      </w:r>
      <w:r>
        <w:rPr>
          <w:spacing w:val="40"/>
        </w:rPr>
        <w:t> </w:t>
      </w:r>
      <w:r>
        <w:rPr/>
        <w:t>have expected to switch my major to it. (P20)</w:t>
      </w:r>
    </w:p>
    <w:p>
      <w:pPr>
        <w:pStyle w:val="BodyText"/>
        <w:spacing w:line="276" w:lineRule="auto" w:before="159"/>
        <w:ind w:left="720" w:right="1439"/>
        <w:jc w:val="both"/>
      </w:pPr>
      <w:r>
        <w:rPr/>
        <w:t>This quote, interestingly, underscores the need for high school introductory courses to </w:t>
      </w:r>
      <w:r>
        <w:rPr/>
        <w:t>be engaging for students. As shown in Table 3: Additional Follow-Up Questions (see</w:t>
      </w:r>
      <w:r>
        <w:rPr>
          <w:spacing w:val="40"/>
        </w:rPr>
        <w:t> </w:t>
      </w:r>
      <w:r>
        <w:rPr/>
        <w:t>Appendix), each of the five participants who indicated that they had taken an accounting</w:t>
      </w:r>
      <w:r>
        <w:rPr>
          <w:spacing w:val="40"/>
        </w:rPr>
        <w:t> </w:t>
      </w:r>
      <w:r>
        <w:rPr/>
        <w:t>course prior to entering college are majoring in accounting, suggesting early high school</w:t>
      </w:r>
      <w:r>
        <w:rPr>
          <w:spacing w:val="40"/>
        </w:rPr>
        <w:t> </w:t>
      </w:r>
      <w:r>
        <w:rPr/>
        <w:t>exposure does play</w:t>
      </w:r>
      <w:r>
        <w:rPr>
          <w:spacing w:val="-3"/>
        </w:rPr>
        <w:t> </w:t>
      </w:r>
      <w:r>
        <w:rPr/>
        <w:t>a role in influencing major selection. However, in P20's experience, a</w:t>
      </w:r>
      <w:r>
        <w:rPr>
          <w:spacing w:val="40"/>
        </w:rPr>
        <w:t> </w:t>
      </w:r>
      <w:r>
        <w:rPr/>
        <w:t>negative accounting experience in high school contributed to muted initial interest in the</w:t>
      </w:r>
      <w:r>
        <w:rPr>
          <w:spacing w:val="40"/>
        </w:rPr>
        <w:t> </w:t>
      </w:r>
      <w:r>
        <w:rPr/>
        <w:t>major.</w:t>
      </w:r>
    </w:p>
    <w:p>
      <w:pPr>
        <w:pStyle w:val="BodyText"/>
        <w:spacing w:before="160"/>
        <w:ind w:left="720"/>
        <w:jc w:val="both"/>
      </w:pPr>
      <w:r>
        <w:rPr>
          <w:b/>
        </w:rPr>
        <w:t>Subtheme 1.2</w:t>
      </w:r>
      <w:r>
        <w:rPr/>
        <w:t>: The Impact of Peer Networks and Support </w:t>
      </w:r>
      <w:r>
        <w:rPr>
          <w:spacing w:val="-2"/>
        </w:rPr>
        <w:t>Systems</w:t>
      </w:r>
    </w:p>
    <w:p>
      <w:pPr>
        <w:pStyle w:val="BodyText"/>
        <w:spacing w:after="0"/>
        <w:jc w:val="both"/>
        <w:sectPr>
          <w:pgSz w:w="12240" w:h="15840"/>
          <w:pgMar w:header="0" w:footer="750" w:top="640" w:bottom="960" w:left="720" w:right="0"/>
        </w:sectPr>
      </w:pPr>
    </w:p>
    <w:p>
      <w:pPr>
        <w:pStyle w:val="BodyText"/>
        <w:spacing w:line="276" w:lineRule="auto" w:before="60"/>
        <w:ind w:left="720" w:right="1438"/>
        <w:jc w:val="both"/>
      </w:pPr>
      <w:r>
        <w:rPr/>
        <w:t>As demonstrated in Table 3: Additional Follow-Up Questions (see Appendix), about</w:t>
      </w:r>
      <w:r>
        <w:rPr>
          <w:spacing w:val="40"/>
        </w:rPr>
        <w:t> </w:t>
      </w:r>
      <w:r>
        <w:rPr/>
        <w:t>half of</w:t>
      </w:r>
      <w:r>
        <w:rPr>
          <w:spacing w:val="-3"/>
        </w:rPr>
        <w:t> </w:t>
      </w:r>
      <w:r>
        <w:rPr/>
        <w:t>all participants expressed having grown up with close family members or friends who</w:t>
      </w:r>
      <w:r>
        <w:rPr>
          <w:spacing w:val="40"/>
        </w:rPr>
        <w:t> </w:t>
      </w:r>
      <w:r>
        <w:rPr/>
        <w:t>studied or worked in accounting. While this factor was not significant among non-accounting</w:t>
      </w:r>
      <w:r>
        <w:rPr>
          <w:spacing w:val="40"/>
        </w:rPr>
        <w:t> </w:t>
      </w:r>
      <w:r>
        <w:rPr/>
        <w:t>majors,</w:t>
      </w:r>
      <w:r>
        <w:rPr>
          <w:spacing w:val="-3"/>
        </w:rPr>
        <w:t> </w:t>
      </w:r>
      <w:r>
        <w:rPr/>
        <w:t>one participant (P12) shared that having a relative who worked in accounting and</w:t>
      </w:r>
      <w:r>
        <w:rPr>
          <w:spacing w:val="40"/>
        </w:rPr>
        <w:t> </w:t>
      </w:r>
      <w:r>
        <w:rPr/>
        <w:t>was thriving in</w:t>
      </w:r>
      <w:r>
        <w:rPr>
          <w:spacing w:val="-2"/>
        </w:rPr>
        <w:t> </w:t>
      </w:r>
      <w:r>
        <w:rPr/>
        <w:t>a “really big role just two years out of college” drew them into the accounting</w:t>
      </w:r>
      <w:r>
        <w:rPr>
          <w:spacing w:val="40"/>
        </w:rPr>
        <w:t> </w:t>
      </w:r>
      <w:r>
        <w:rPr/>
        <w:t>major</w:t>
      </w:r>
      <w:r>
        <w:rPr>
          <w:spacing w:val="-2"/>
        </w:rPr>
        <w:t> </w:t>
      </w:r>
      <w:r>
        <w:rPr/>
        <w:t>before</w:t>
      </w:r>
      <w:r>
        <w:rPr>
          <w:spacing w:val="-2"/>
        </w:rPr>
        <w:t> </w:t>
      </w:r>
      <w:r>
        <w:rPr/>
        <w:t>they discovered their passion for another business discipline. In addition</w:t>
      </w:r>
      <w:r>
        <w:rPr>
          <w:spacing w:val="-2"/>
        </w:rPr>
        <w:t> </w:t>
      </w:r>
      <w:r>
        <w:rPr/>
        <w:t>to</w:t>
      </w:r>
      <w:r>
        <w:rPr>
          <w:spacing w:val="40"/>
        </w:rPr>
        <w:t> </w:t>
      </w:r>
      <w:r>
        <w:rPr/>
        <w:t>selecting</w:t>
      </w:r>
      <w:r>
        <w:rPr>
          <w:spacing w:val="-2"/>
        </w:rPr>
        <w:t> </w:t>
      </w:r>
      <w:r>
        <w:rPr/>
        <w:t>accounting</w:t>
      </w:r>
      <w:r>
        <w:rPr>
          <w:spacing w:val="-2"/>
        </w:rPr>
        <w:t> </w:t>
      </w:r>
      <w:r>
        <w:rPr/>
        <w:t>as</w:t>
      </w:r>
      <w:r>
        <w:rPr>
          <w:spacing w:val="-2"/>
        </w:rPr>
        <w:t> </w:t>
      </w:r>
      <w:r>
        <w:rPr/>
        <w:t>a major, about half of those participants emphasized the impact of</w:t>
      </w:r>
      <w:r>
        <w:rPr>
          <w:spacing w:val="40"/>
        </w:rPr>
        <w:t> </w:t>
      </w:r>
      <w:r>
        <w:rPr/>
        <w:t>student</w:t>
      </w:r>
      <w:r>
        <w:rPr>
          <w:spacing w:val="-3"/>
        </w:rPr>
        <w:t> </w:t>
      </w:r>
      <w:r>
        <w:rPr/>
        <w:t>organizations</w:t>
      </w:r>
      <w:r>
        <w:rPr>
          <w:spacing w:val="-3"/>
        </w:rPr>
        <w:t> </w:t>
      </w:r>
      <w:r>
        <w:rPr/>
        <w:t>and</w:t>
      </w:r>
      <w:r>
        <w:rPr>
          <w:spacing w:val="-3"/>
        </w:rPr>
        <w:t> </w:t>
      </w:r>
      <w:r>
        <w:rPr/>
        <w:t>peer connections on their decision to choose and remain in the</w:t>
      </w:r>
      <w:r>
        <w:rPr>
          <w:spacing w:val="40"/>
        </w:rPr>
        <w:t> </w:t>
      </w:r>
      <w:r>
        <w:rPr/>
        <w:t>accounting major. Two participants shared the following statements:</w:t>
      </w:r>
    </w:p>
    <w:p>
      <w:pPr>
        <w:pStyle w:val="BodyText"/>
        <w:spacing w:line="276" w:lineRule="auto" w:before="161"/>
        <w:ind w:left="720" w:right="1443"/>
        <w:jc w:val="both"/>
      </w:pPr>
      <w:r>
        <w:rPr/>
        <w:t>I</w:t>
      </w:r>
      <w:r>
        <w:rPr>
          <w:spacing w:val="40"/>
        </w:rPr>
        <w:t> </w:t>
      </w:r>
      <w:r>
        <w:rPr/>
        <w:t>think that's part of the reason I stayed and really enjoyed it, because of the people in</w:t>
      </w:r>
      <w:r>
        <w:rPr>
          <w:spacing w:val="80"/>
        </w:rPr>
        <w:t> </w:t>
      </w:r>
      <w:r>
        <w:rPr/>
        <w:t>Beta Alpha Psi and</w:t>
      </w:r>
      <w:r>
        <w:rPr>
          <w:spacing w:val="-3"/>
        </w:rPr>
        <w:t> </w:t>
      </w:r>
      <w:r>
        <w:rPr/>
        <w:t>also</w:t>
      </w:r>
      <w:r>
        <w:rPr>
          <w:spacing w:val="-3"/>
        </w:rPr>
        <w:t> </w:t>
      </w:r>
      <w:r>
        <w:rPr/>
        <w:t>the</w:t>
      </w:r>
      <w:r>
        <w:rPr>
          <w:spacing w:val="-3"/>
        </w:rPr>
        <w:t> </w:t>
      </w:r>
      <w:r>
        <w:rPr/>
        <w:t>connections</w:t>
      </w:r>
      <w:r>
        <w:rPr>
          <w:spacing w:val="-3"/>
        </w:rPr>
        <w:t> </w:t>
      </w:r>
      <w:r>
        <w:rPr/>
        <w:t>you</w:t>
      </w:r>
      <w:r>
        <w:rPr>
          <w:spacing w:val="-3"/>
        </w:rPr>
        <w:t> </w:t>
      </w:r>
      <w:r>
        <w:rPr/>
        <w:t>make</w:t>
      </w:r>
      <w:r>
        <w:rPr>
          <w:spacing w:val="-3"/>
        </w:rPr>
        <w:t> </w:t>
      </w:r>
      <w:r>
        <w:rPr/>
        <w:t>with</w:t>
      </w:r>
      <w:r>
        <w:rPr>
          <w:spacing w:val="-3"/>
        </w:rPr>
        <w:t> </w:t>
      </w:r>
      <w:r>
        <w:rPr/>
        <w:t>the</w:t>
      </w:r>
      <w:r>
        <w:rPr>
          <w:spacing w:val="-3"/>
        </w:rPr>
        <w:t> </w:t>
      </w:r>
      <w:r>
        <w:rPr/>
        <w:t>professors.</w:t>
      </w:r>
      <w:r>
        <w:rPr>
          <w:spacing w:val="-3"/>
        </w:rPr>
        <w:t> </w:t>
      </w:r>
      <w:r>
        <w:rPr/>
        <w:t>Everyone</w:t>
      </w:r>
      <w:r>
        <w:rPr>
          <w:spacing w:val="40"/>
        </w:rPr>
        <w:t> </w:t>
      </w:r>
      <w:r>
        <w:rPr/>
        <w:t>knows</w:t>
      </w:r>
      <w:r>
        <w:rPr>
          <w:spacing w:val="-3"/>
        </w:rPr>
        <w:t> </w:t>
      </w:r>
      <w:r>
        <w:rPr/>
        <w:t>each</w:t>
      </w:r>
      <w:r>
        <w:rPr>
          <w:spacing w:val="-3"/>
        </w:rPr>
        <w:t> </w:t>
      </w:r>
      <w:r>
        <w:rPr/>
        <w:t>other</w:t>
      </w:r>
      <w:r>
        <w:rPr>
          <w:spacing w:val="-3"/>
        </w:rPr>
        <w:t> </w:t>
      </w:r>
      <w:r>
        <w:rPr/>
        <w:t>in our year, or even ahead or behind. (P1)</w:t>
      </w:r>
    </w:p>
    <w:p>
      <w:pPr>
        <w:pStyle w:val="BodyText"/>
        <w:spacing w:line="276" w:lineRule="auto" w:before="160"/>
        <w:ind w:left="720" w:right="1442"/>
        <w:jc w:val="both"/>
      </w:pPr>
      <w:r>
        <w:rPr/>
        <w:t>It was just nice to see older people taking the classes that I am now, and it just really</w:t>
      </w:r>
      <w:r>
        <w:rPr>
          <w:spacing w:val="40"/>
        </w:rPr>
        <w:t> </w:t>
      </w:r>
      <w:r>
        <w:rPr/>
        <w:t>kind </w:t>
      </w:r>
      <w:r>
        <w:rPr/>
        <w:t>of gave me hope for being an intern and</w:t>
      </w:r>
      <w:r>
        <w:rPr>
          <w:spacing w:val="-2"/>
        </w:rPr>
        <w:t> </w:t>
      </w:r>
      <w:r>
        <w:rPr/>
        <w:t>hearing</w:t>
      </w:r>
      <w:r>
        <w:rPr>
          <w:spacing w:val="-2"/>
        </w:rPr>
        <w:t> </w:t>
      </w:r>
      <w:r>
        <w:rPr/>
        <w:t>about</w:t>
      </w:r>
      <w:r>
        <w:rPr>
          <w:spacing w:val="-2"/>
        </w:rPr>
        <w:t> </w:t>
      </w:r>
      <w:r>
        <w:rPr/>
        <w:t>their</w:t>
      </w:r>
      <w:r>
        <w:rPr>
          <w:spacing w:val="-2"/>
        </w:rPr>
        <w:t> </w:t>
      </w:r>
      <w:r>
        <w:rPr/>
        <w:t>internships</w:t>
      </w:r>
      <w:r>
        <w:rPr>
          <w:spacing w:val="-2"/>
        </w:rPr>
        <w:t> </w:t>
      </w:r>
      <w:r>
        <w:rPr/>
        <w:t>and</w:t>
      </w:r>
      <w:r>
        <w:rPr>
          <w:spacing w:val="-2"/>
        </w:rPr>
        <w:t> </w:t>
      </w:r>
      <w:r>
        <w:rPr/>
        <w:t>the</w:t>
      </w:r>
      <w:r>
        <w:rPr>
          <w:spacing w:val="40"/>
        </w:rPr>
        <w:t> </w:t>
      </w:r>
      <w:r>
        <w:rPr/>
        <w:t>classes</w:t>
      </w:r>
      <w:r>
        <w:rPr>
          <w:spacing w:val="-2"/>
        </w:rPr>
        <w:t> </w:t>
      </w:r>
      <w:r>
        <w:rPr/>
        <w:t>they</w:t>
      </w:r>
      <w:r>
        <w:rPr>
          <w:spacing w:val="-2"/>
        </w:rPr>
        <w:t> </w:t>
      </w:r>
      <w:r>
        <w:rPr/>
        <w:t>like</w:t>
      </w:r>
      <w:r>
        <w:rPr>
          <w:spacing w:val="-2"/>
        </w:rPr>
        <w:t> </w:t>
      </w:r>
      <w:r>
        <w:rPr/>
        <w:t>to take. (P7)</w:t>
      </w:r>
    </w:p>
    <w:p>
      <w:pPr>
        <w:pStyle w:val="BodyText"/>
        <w:spacing w:line="276" w:lineRule="auto" w:before="160"/>
        <w:ind w:left="720" w:right="1443"/>
        <w:jc w:val="both"/>
      </w:pPr>
      <w:r>
        <w:rPr/>
        <w:t>These experiences underscore the importance of keeping students engaged in the </w:t>
      </w:r>
      <w:r>
        <w:rPr/>
        <w:t>accounting major outside the classroom, in settings where they can build relationships with peers.</w:t>
      </w:r>
      <w:r>
        <w:rPr>
          <w:spacing w:val="40"/>
        </w:rPr>
        <w:t> </w:t>
      </w:r>
      <w:r>
        <w:rPr/>
        <w:t>One participant reflected on their previous major and the lack of opportunity to build</w:t>
      </w:r>
      <w:r>
        <w:rPr>
          <w:spacing w:val="40"/>
        </w:rPr>
        <w:t> </w:t>
      </w:r>
      <w:r>
        <w:rPr/>
        <w:t>networks and connections with peers, and shared their shift in involvement once entering the</w:t>
      </w:r>
      <w:r>
        <w:rPr>
          <w:spacing w:val="80"/>
        </w:rPr>
        <w:t> </w:t>
      </w:r>
      <w:r>
        <w:rPr/>
        <w:t>accounting </w:t>
      </w:r>
      <w:r>
        <w:rPr>
          <w:spacing w:val="-2"/>
        </w:rPr>
        <w:t>major:</w:t>
      </w:r>
    </w:p>
    <w:p>
      <w:pPr>
        <w:pStyle w:val="BodyText"/>
        <w:spacing w:line="276" w:lineRule="auto" w:before="159"/>
        <w:ind w:left="720" w:right="1442"/>
        <w:jc w:val="both"/>
      </w:pPr>
      <w:r>
        <w:rPr/>
        <w:t>I stepped into</w:t>
      </w:r>
      <w:r>
        <w:rPr>
          <w:spacing w:val="-2"/>
        </w:rPr>
        <w:t> </w:t>
      </w:r>
      <w:r>
        <w:rPr/>
        <w:t>this</w:t>
      </w:r>
      <w:r>
        <w:rPr>
          <w:spacing w:val="-2"/>
        </w:rPr>
        <w:t> </w:t>
      </w:r>
      <w:r>
        <w:rPr/>
        <w:t>position</w:t>
      </w:r>
      <w:r>
        <w:rPr>
          <w:spacing w:val="-2"/>
        </w:rPr>
        <w:t> </w:t>
      </w:r>
      <w:r>
        <w:rPr/>
        <w:t>with</w:t>
      </w:r>
      <w:r>
        <w:rPr>
          <w:spacing w:val="-2"/>
        </w:rPr>
        <w:t> </w:t>
      </w:r>
      <w:r>
        <w:rPr/>
        <w:t>Beta</w:t>
      </w:r>
      <w:r>
        <w:rPr>
          <w:spacing w:val="-2"/>
        </w:rPr>
        <w:t> </w:t>
      </w:r>
      <w:r>
        <w:rPr/>
        <w:t>Alpha</w:t>
      </w:r>
      <w:r>
        <w:rPr>
          <w:spacing w:val="-2"/>
        </w:rPr>
        <w:t> </w:t>
      </w:r>
      <w:r>
        <w:rPr/>
        <w:t>Psi</w:t>
      </w:r>
      <w:r>
        <w:rPr>
          <w:spacing w:val="-2"/>
        </w:rPr>
        <w:t> </w:t>
      </w:r>
      <w:r>
        <w:rPr/>
        <w:t>and</w:t>
      </w:r>
      <w:r>
        <w:rPr>
          <w:spacing w:val="-2"/>
        </w:rPr>
        <w:t> </w:t>
      </w:r>
      <w:r>
        <w:rPr/>
        <w:t>I</w:t>
      </w:r>
      <w:r>
        <w:rPr>
          <w:spacing w:val="-2"/>
        </w:rPr>
        <w:t> </w:t>
      </w:r>
      <w:r>
        <w:rPr/>
        <w:t>purely</w:t>
      </w:r>
      <w:r>
        <w:rPr>
          <w:spacing w:val="-2"/>
        </w:rPr>
        <w:t> </w:t>
      </w:r>
      <w:r>
        <w:rPr/>
        <w:t>attribute</w:t>
      </w:r>
      <w:r>
        <w:rPr>
          <w:spacing w:val="-2"/>
        </w:rPr>
        <w:t> </w:t>
      </w:r>
      <w:r>
        <w:rPr/>
        <w:t>that</w:t>
      </w:r>
      <w:r>
        <w:rPr>
          <w:spacing w:val="-2"/>
        </w:rPr>
        <w:t> </w:t>
      </w:r>
      <w:r>
        <w:rPr/>
        <w:t>to</w:t>
      </w:r>
      <w:r>
        <w:rPr>
          <w:spacing w:val="-2"/>
        </w:rPr>
        <w:t> </w:t>
      </w:r>
      <w:r>
        <w:rPr/>
        <w:t>the</w:t>
      </w:r>
      <w:r>
        <w:rPr>
          <w:spacing w:val="40"/>
        </w:rPr>
        <w:t> </w:t>
      </w:r>
      <w:r>
        <w:rPr/>
        <w:t>support</w:t>
      </w:r>
      <w:r>
        <w:rPr>
          <w:spacing w:val="-2"/>
        </w:rPr>
        <w:t> </w:t>
      </w:r>
      <w:r>
        <w:rPr/>
        <w:t>that</w:t>
      </w:r>
      <w:r>
        <w:rPr>
          <w:spacing w:val="-2"/>
        </w:rPr>
        <w:t> </w:t>
      </w:r>
      <w:r>
        <w:rPr/>
        <w:t>was around</w:t>
      </w:r>
      <w:r>
        <w:rPr>
          <w:spacing w:val="-4"/>
        </w:rPr>
        <w:t> </w:t>
      </w:r>
      <w:r>
        <w:rPr/>
        <w:t>me</w:t>
      </w:r>
      <w:r>
        <w:rPr>
          <w:spacing w:val="-4"/>
        </w:rPr>
        <w:t> </w:t>
      </w:r>
      <w:r>
        <w:rPr/>
        <w:t>from</w:t>
      </w:r>
      <w:r>
        <w:rPr>
          <w:spacing w:val="-4"/>
        </w:rPr>
        <w:t> </w:t>
      </w:r>
      <w:r>
        <w:rPr/>
        <w:t>professors</w:t>
      </w:r>
      <w:r>
        <w:rPr>
          <w:spacing w:val="-4"/>
        </w:rPr>
        <w:t> </w:t>
      </w:r>
      <w:r>
        <w:rPr/>
        <w:t>and</w:t>
      </w:r>
      <w:r>
        <w:rPr>
          <w:spacing w:val="-4"/>
        </w:rPr>
        <w:t> </w:t>
      </w:r>
      <w:r>
        <w:rPr/>
        <w:t>the</w:t>
      </w:r>
      <w:r>
        <w:rPr>
          <w:spacing w:val="-4"/>
        </w:rPr>
        <w:t> </w:t>
      </w:r>
      <w:r>
        <w:rPr/>
        <w:t>community.</w:t>
      </w:r>
      <w:r>
        <w:rPr>
          <w:spacing w:val="-4"/>
        </w:rPr>
        <w:t> </w:t>
      </w:r>
      <w:r>
        <w:rPr/>
        <w:t>There's</w:t>
      </w:r>
      <w:r>
        <w:rPr>
          <w:spacing w:val="-4"/>
        </w:rPr>
        <w:t> </w:t>
      </w:r>
      <w:r>
        <w:rPr/>
        <w:t>no</w:t>
      </w:r>
      <w:r>
        <w:rPr>
          <w:spacing w:val="-4"/>
        </w:rPr>
        <w:t> </w:t>
      </w:r>
      <w:r>
        <w:rPr/>
        <w:t>other</w:t>
      </w:r>
      <w:r>
        <w:rPr>
          <w:spacing w:val="40"/>
        </w:rPr>
        <w:t> </w:t>
      </w:r>
      <w:r>
        <w:rPr/>
        <w:t>majors</w:t>
      </w:r>
      <w:r>
        <w:rPr>
          <w:spacing w:val="-4"/>
        </w:rPr>
        <w:t> </w:t>
      </w:r>
      <w:r>
        <w:rPr/>
        <w:t>in</w:t>
      </w:r>
      <w:r>
        <w:rPr>
          <w:spacing w:val="-4"/>
        </w:rPr>
        <w:t> </w:t>
      </w:r>
      <w:r>
        <w:rPr/>
        <w:t>the</w:t>
      </w:r>
      <w:r>
        <w:rPr>
          <w:spacing w:val="-4"/>
        </w:rPr>
        <w:t> </w:t>
      </w:r>
      <w:r>
        <w:rPr/>
        <w:t>Walker</w:t>
      </w:r>
      <w:r>
        <w:rPr>
          <w:spacing w:val="-4"/>
        </w:rPr>
        <w:t> </w:t>
      </w:r>
      <w:r>
        <w:rPr/>
        <w:t>College</w:t>
      </w:r>
      <w:r>
        <w:rPr>
          <w:spacing w:val="-4"/>
        </w:rPr>
        <w:t> </w:t>
      </w:r>
      <w:r>
        <w:rPr/>
        <w:t>of Business or App State that I've seen that hold Meet</w:t>
      </w:r>
      <w:r>
        <w:rPr>
          <w:spacing w:val="80"/>
        </w:rPr>
        <w:t> </w:t>
      </w:r>
      <w:r>
        <w:rPr/>
        <w:t>the Firms night. Obviously other majors have their clubs, but Beta Alpha Psi is a very</w:t>
      </w:r>
      <w:r>
        <w:rPr>
          <w:spacing w:val="80"/>
        </w:rPr>
        <w:t> </w:t>
      </w:r>
      <w:r>
        <w:rPr/>
        <w:t>unique organization that has requirements and these things that I was really just</w:t>
      </w:r>
      <w:r>
        <w:rPr>
          <w:spacing w:val="40"/>
        </w:rPr>
        <w:t> </w:t>
      </w:r>
      <w:r>
        <w:rPr/>
        <w:t>enticed by because I wanted to be a part of something, and I wanted to have skin in</w:t>
      </w:r>
      <w:r>
        <w:rPr>
          <w:spacing w:val="40"/>
        </w:rPr>
        <w:t> </w:t>
      </w:r>
      <w:r>
        <w:rPr/>
        <w:t>the game at the same time. (P13)</w:t>
      </w:r>
    </w:p>
    <w:p>
      <w:pPr>
        <w:pStyle w:val="BodyText"/>
        <w:spacing w:line="276" w:lineRule="auto" w:before="161"/>
        <w:ind w:left="720" w:right="1438"/>
        <w:jc w:val="both"/>
      </w:pPr>
      <w:r>
        <w:rPr/>
        <w:t>Similar to the need for engaging educators that</w:t>
      </w:r>
      <w:r>
        <w:rPr>
          <w:spacing w:val="-2"/>
        </w:rPr>
        <w:t> </w:t>
      </w:r>
      <w:r>
        <w:rPr/>
        <w:t>was</w:t>
      </w:r>
      <w:r>
        <w:rPr>
          <w:spacing w:val="-2"/>
        </w:rPr>
        <w:t> </w:t>
      </w:r>
      <w:r>
        <w:rPr/>
        <w:t>explored</w:t>
      </w:r>
      <w:r>
        <w:rPr>
          <w:spacing w:val="-2"/>
        </w:rPr>
        <w:t> </w:t>
      </w:r>
      <w:r>
        <w:rPr/>
        <w:t>in</w:t>
      </w:r>
      <w:r>
        <w:rPr>
          <w:spacing w:val="-2"/>
        </w:rPr>
        <w:t> </w:t>
      </w:r>
      <w:r>
        <w:rPr/>
        <w:t>Subtheme</w:t>
      </w:r>
      <w:r>
        <w:rPr>
          <w:spacing w:val="-2"/>
        </w:rPr>
        <w:t> </w:t>
      </w:r>
      <w:r>
        <w:rPr/>
        <w:t>1.1:</w:t>
      </w:r>
      <w:r>
        <w:rPr>
          <w:spacing w:val="-2"/>
        </w:rPr>
        <w:t> </w:t>
      </w:r>
      <w:r>
        <w:rPr/>
        <w:t>The</w:t>
      </w:r>
      <w:r>
        <w:rPr>
          <w:spacing w:val="-2"/>
        </w:rPr>
        <w:t> </w:t>
      </w:r>
      <w:r>
        <w:rPr/>
        <w:t>Influence</w:t>
      </w:r>
      <w:r>
        <w:rPr>
          <w:spacing w:val="40"/>
        </w:rPr>
        <w:t> </w:t>
      </w:r>
      <w:r>
        <w:rPr/>
        <w:t>of Personable Educators, a second participant (P10) alluded to the impact that interacting</w:t>
      </w:r>
      <w:r>
        <w:rPr>
          <w:spacing w:val="40"/>
        </w:rPr>
        <w:t> </w:t>
      </w:r>
      <w:r>
        <w:rPr/>
        <w:t>with passionate accounting students has on major selection. During their interview, P10</w:t>
      </w:r>
      <w:r>
        <w:rPr>
          <w:spacing w:val="40"/>
        </w:rPr>
        <w:t> </w:t>
      </w:r>
      <w:r>
        <w:rPr/>
        <w:t>expressed </w:t>
      </w:r>
      <w:r>
        <w:rPr/>
        <w:t>a lack of enthusiasm from upperclassmen students, who are supposed to act as</w:t>
      </w:r>
      <w:r>
        <w:rPr>
          <w:spacing w:val="40"/>
        </w:rPr>
        <w:t> </w:t>
      </w:r>
      <w:r>
        <w:rPr/>
        <w:t>informal</w:t>
      </w:r>
      <w:r>
        <w:rPr>
          <w:spacing w:val="-2"/>
        </w:rPr>
        <w:t> </w:t>
      </w:r>
      <w:r>
        <w:rPr/>
        <w:t>mentors, attending the Accounting Principles Dinner. Had this participant not</w:t>
      </w:r>
      <w:r>
        <w:rPr>
          <w:spacing w:val="80"/>
        </w:rPr>
        <w:t> </w:t>
      </w:r>
      <w:r>
        <w:rPr/>
        <w:t>committed to the accounting major prior to the dinner, this observation may have negatively</w:t>
      </w:r>
      <w:r>
        <w:rPr>
          <w:spacing w:val="40"/>
        </w:rPr>
        <w:t> </w:t>
      </w:r>
      <w:r>
        <w:rPr/>
        <w:t>impacted their decision to consider it:</w:t>
      </w:r>
    </w:p>
    <w:p>
      <w:pPr>
        <w:pStyle w:val="BodyText"/>
        <w:spacing w:line="276" w:lineRule="auto" w:before="159"/>
        <w:ind w:left="720" w:right="1440"/>
        <w:jc w:val="both"/>
      </w:pPr>
      <w:r>
        <w:rPr/>
        <w:t>I think, if anything, it [the Accounting Principles Dinner] probably kept me more in</w:t>
      </w:r>
      <w:r>
        <w:rPr>
          <w:spacing w:val="40"/>
        </w:rPr>
        <w:t> </w:t>
      </w:r>
      <w:r>
        <w:rPr/>
        <w:t>the major than encouraged me to choose the major … I</w:t>
      </w:r>
      <w:r>
        <w:rPr>
          <w:spacing w:val="-2"/>
        </w:rPr>
        <w:t> </w:t>
      </w:r>
      <w:r>
        <w:rPr/>
        <w:t>was</w:t>
      </w:r>
      <w:r>
        <w:rPr>
          <w:spacing w:val="-2"/>
        </w:rPr>
        <w:t> </w:t>
      </w:r>
      <w:r>
        <w:rPr/>
        <w:t>glad</w:t>
      </w:r>
      <w:r>
        <w:rPr>
          <w:spacing w:val="-2"/>
        </w:rPr>
        <w:t> </w:t>
      </w:r>
      <w:r>
        <w:rPr/>
        <w:t>I</w:t>
      </w:r>
      <w:r>
        <w:rPr>
          <w:spacing w:val="-2"/>
        </w:rPr>
        <w:t> </w:t>
      </w:r>
      <w:r>
        <w:rPr/>
        <w:t>had</w:t>
      </w:r>
      <w:r>
        <w:rPr>
          <w:spacing w:val="-2"/>
        </w:rPr>
        <w:t> </w:t>
      </w:r>
      <w:r>
        <w:rPr/>
        <w:t>already</w:t>
      </w:r>
      <w:r>
        <w:rPr>
          <w:spacing w:val="40"/>
        </w:rPr>
        <w:t> </w:t>
      </w:r>
      <w:r>
        <w:rPr/>
        <w:t>decided</w:t>
      </w:r>
      <w:r>
        <w:rPr>
          <w:spacing w:val="-2"/>
        </w:rPr>
        <w:t> </w:t>
      </w:r>
      <w:r>
        <w:rPr/>
        <w:t>on</w:t>
      </w:r>
      <w:r>
        <w:rPr>
          <w:spacing w:val="-2"/>
        </w:rPr>
        <w:t> </w:t>
      </w:r>
      <w:r>
        <w:rPr/>
        <w:t>it</w:t>
      </w:r>
      <w:r>
        <w:rPr>
          <w:spacing w:val="-2"/>
        </w:rPr>
        <w:t> </w:t>
      </w:r>
      <w:r>
        <w:rPr/>
        <w:t>before</w:t>
      </w:r>
      <w:r>
        <w:rPr>
          <w:spacing w:val="-2"/>
        </w:rPr>
        <w:t> </w:t>
      </w:r>
      <w:r>
        <w:rPr/>
        <w:t>I</w:t>
      </w:r>
      <w:r>
        <w:rPr>
          <w:spacing w:val="-2"/>
        </w:rPr>
        <w:t> </w:t>
      </w:r>
      <w:r>
        <w:rPr/>
        <w:t>went because I think that [lack of enthusiasm from</w:t>
      </w:r>
      <w:r>
        <w:rPr>
          <w:spacing w:val="40"/>
        </w:rPr>
        <w:t> </w:t>
      </w:r>
      <w:r>
        <w:rPr/>
        <w:t>upperclassmen students] may have altered my perspective a little bit. (P10)</w:t>
      </w:r>
    </w:p>
    <w:p>
      <w:pPr>
        <w:pStyle w:val="BodyText"/>
        <w:spacing w:line="276" w:lineRule="auto" w:before="160"/>
        <w:ind w:left="720" w:right="1441"/>
        <w:jc w:val="both"/>
      </w:pPr>
      <w:r>
        <w:rPr/>
        <w:t>This particular statement, among others, suggests that early recruiting events, such as the Accounting Principles Dinner, help expose students to the accounting major and can</w:t>
      </w:r>
      <w:r>
        <w:rPr>
          <w:spacing w:val="40"/>
        </w:rPr>
        <w:t> </w:t>
      </w:r>
      <w:r>
        <w:rPr/>
        <w:t>contribute to their choice of major. However, it also presents an important factor that positive</w:t>
      </w:r>
      <w:r>
        <w:rPr>
          <w:spacing w:val="40"/>
        </w:rPr>
        <w:t> </w:t>
      </w:r>
      <w:r>
        <w:rPr/>
        <w:t>role</w:t>
      </w:r>
      <w:r>
        <w:rPr>
          <w:spacing w:val="-4"/>
        </w:rPr>
        <w:t> </w:t>
      </w:r>
      <w:r>
        <w:rPr/>
        <w:t>models have on students’ perceptions of accounting and belongingness in the major.</w:t>
      </w:r>
    </w:p>
    <w:p>
      <w:pPr>
        <w:pStyle w:val="BodyText"/>
        <w:spacing w:after="0" w:line="276" w:lineRule="auto"/>
        <w:jc w:val="both"/>
        <w:sectPr>
          <w:pgSz w:w="12240" w:h="15840"/>
          <w:pgMar w:header="0" w:footer="750" w:top="640" w:bottom="960" w:left="720" w:right="0"/>
        </w:sectPr>
      </w:pPr>
    </w:p>
    <w:p>
      <w:pPr>
        <w:pStyle w:val="BodyText"/>
        <w:spacing w:line="276" w:lineRule="auto" w:before="60"/>
        <w:ind w:left="720" w:right="1450"/>
        <w:jc w:val="both"/>
      </w:pPr>
      <w:r>
        <w:rPr>
          <w:b/>
        </w:rPr>
        <w:t>Theme 2</w:t>
      </w:r>
      <w:r>
        <w:rPr/>
        <w:t>: Pursuing Diverse Professional Passions with an Accounting Degree</w:t>
      </w:r>
      <w:r>
        <w:rPr>
          <w:spacing w:val="40"/>
        </w:rPr>
        <w:t> </w:t>
      </w:r>
      <w:r>
        <w:rPr/>
        <w:t>In Theme 2,</w:t>
      </w:r>
      <w:r>
        <w:rPr>
          <w:spacing w:val="-3"/>
        </w:rPr>
        <w:t> </w:t>
      </w:r>
      <w:r>
        <w:rPr/>
        <w:t>the data explores the functional utility of the accounting major as a</w:t>
      </w:r>
      <w:r>
        <w:rPr>
          <w:spacing w:val="40"/>
        </w:rPr>
        <w:t> </w:t>
      </w:r>
      <w:r>
        <w:rPr/>
        <w:t>catalyst for diverse career trajectories. This theme</w:t>
      </w:r>
      <w:r>
        <w:rPr>
          <w:spacing w:val="-3"/>
        </w:rPr>
        <w:t> </w:t>
      </w:r>
      <w:r>
        <w:rPr/>
        <w:t>addresses</w:t>
      </w:r>
      <w:r>
        <w:rPr>
          <w:spacing w:val="-3"/>
        </w:rPr>
        <w:t> </w:t>
      </w:r>
      <w:r>
        <w:rPr/>
        <w:t>the</w:t>
      </w:r>
      <w:r>
        <w:rPr>
          <w:spacing w:val="-3"/>
        </w:rPr>
        <w:t> </w:t>
      </w:r>
      <w:r>
        <w:rPr/>
        <w:t>research</w:t>
      </w:r>
      <w:r>
        <w:rPr>
          <w:spacing w:val="-3"/>
        </w:rPr>
        <w:t> </w:t>
      </w:r>
      <w:r>
        <w:rPr/>
        <w:t>question</w:t>
      </w:r>
      <w:r>
        <w:rPr>
          <w:spacing w:val="-3"/>
        </w:rPr>
        <w:t> </w:t>
      </w:r>
      <w:r>
        <w:rPr/>
        <w:t>by</w:t>
      </w:r>
      <w:r>
        <w:rPr>
          <w:spacing w:val="40"/>
        </w:rPr>
        <w:t> </w:t>
      </w:r>
      <w:r>
        <w:rPr/>
        <w:t>examining</w:t>
      </w:r>
      <w:r>
        <w:rPr>
          <w:spacing w:val="-3"/>
        </w:rPr>
        <w:t> </w:t>
      </w:r>
      <w:r>
        <w:rPr/>
        <w:t>how</w:t>
      </w:r>
      <w:r>
        <w:rPr>
          <w:spacing w:val="-3"/>
        </w:rPr>
        <w:t> </w:t>
      </w:r>
      <w:r>
        <w:rPr/>
        <w:t>students</w:t>
      </w:r>
      <w:r>
        <w:rPr>
          <w:spacing w:val="-3"/>
        </w:rPr>
        <w:t> </w:t>
      </w:r>
      <w:r>
        <w:rPr/>
        <w:t>compare</w:t>
      </w:r>
      <w:r>
        <w:rPr>
          <w:spacing w:val="-3"/>
        </w:rPr>
        <w:t> </w:t>
      </w:r>
      <w:r>
        <w:rPr/>
        <w:t>the value of an accounting degree against their personal</w:t>
      </w:r>
      <w:r>
        <w:rPr>
          <w:spacing w:val="40"/>
        </w:rPr>
        <w:t> </w:t>
      </w:r>
      <w:r>
        <w:rPr/>
        <w:t>professional interests.</w:t>
      </w:r>
      <w:r>
        <w:rPr>
          <w:spacing w:val="-3"/>
        </w:rPr>
        <w:t> </w:t>
      </w:r>
      <w:r>
        <w:rPr/>
        <w:t>One</w:t>
      </w:r>
      <w:r>
        <w:rPr>
          <w:spacing w:val="-3"/>
        </w:rPr>
        <w:t> </w:t>
      </w:r>
      <w:r>
        <w:rPr/>
        <w:t>comment</w:t>
      </w:r>
      <w:r>
        <w:rPr>
          <w:spacing w:val="-3"/>
        </w:rPr>
        <w:t> </w:t>
      </w:r>
      <w:r>
        <w:rPr/>
        <w:t>made by a non-accounting major effectively</w:t>
      </w:r>
      <w:r>
        <w:rPr>
          <w:spacing w:val="40"/>
        </w:rPr>
        <w:t> </w:t>
      </w:r>
      <w:r>
        <w:rPr/>
        <w:t>summarizes the importance of this theme’s findings:</w:t>
      </w:r>
    </w:p>
    <w:p>
      <w:pPr>
        <w:pStyle w:val="BodyText"/>
        <w:spacing w:line="276" w:lineRule="auto" w:before="160"/>
        <w:ind w:left="720" w:right="1442"/>
        <w:jc w:val="both"/>
      </w:pPr>
      <w:r>
        <w:rPr/>
        <w:t>I don't want to say boring, but it's very repetitive and it's very technical and very</w:t>
      </w:r>
      <w:r>
        <w:rPr>
          <w:spacing w:val="80"/>
        </w:rPr>
        <w:t> </w:t>
      </w:r>
      <w:r>
        <w:rPr/>
        <w:t>specific.</w:t>
      </w:r>
      <w:r>
        <w:rPr>
          <w:spacing w:val="-2"/>
        </w:rPr>
        <w:t> </w:t>
      </w:r>
      <w:r>
        <w:rPr/>
        <w:t>And</w:t>
      </w:r>
      <w:r>
        <w:rPr>
          <w:spacing w:val="40"/>
        </w:rPr>
        <w:t> </w:t>
      </w:r>
      <w:r>
        <w:rPr/>
        <w:t>so I'm obviously glad I took those [accounting] classes, and I think</w:t>
      </w:r>
      <w:r>
        <w:rPr>
          <w:spacing w:val="40"/>
        </w:rPr>
        <w:t> </w:t>
      </w:r>
      <w:r>
        <w:rPr/>
        <w:t>they're valuable, but I wouldn't want that to be my major or my full job. (P29)</w:t>
      </w:r>
    </w:p>
    <w:p>
      <w:pPr>
        <w:pStyle w:val="BodyText"/>
        <w:spacing w:line="276" w:lineRule="auto" w:before="160"/>
        <w:ind w:left="720" w:right="1446"/>
        <w:jc w:val="both"/>
      </w:pPr>
      <w:r>
        <w:rPr/>
        <w:t>To further explore the concepts of relevance and perceived optionality of </w:t>
      </w:r>
      <w:r>
        <w:rPr/>
        <w:t>accounting,</w:t>
      </w:r>
      <w:r>
        <w:rPr>
          <w:spacing w:val="40"/>
        </w:rPr>
        <w:t> </w:t>
      </w:r>
      <w:r>
        <w:rPr/>
        <w:t>participants shared their experiences on what influenced them to enter,</w:t>
      </w:r>
      <w:r>
        <w:rPr>
          <w:spacing w:val="-3"/>
        </w:rPr>
        <w:t> </w:t>
      </w:r>
      <w:r>
        <w:rPr/>
        <w:t>or</w:t>
      </w:r>
      <w:r>
        <w:rPr>
          <w:spacing w:val="-3"/>
        </w:rPr>
        <w:t> </w:t>
      </w:r>
      <w:r>
        <w:rPr/>
        <w:t>avoid,</w:t>
      </w:r>
      <w:r>
        <w:rPr>
          <w:spacing w:val="-3"/>
        </w:rPr>
        <w:t> </w:t>
      </w:r>
      <w:r>
        <w:rPr/>
        <w:t>the</w:t>
      </w:r>
      <w:r>
        <w:rPr>
          <w:spacing w:val="40"/>
        </w:rPr>
        <w:t> </w:t>
      </w:r>
      <w:r>
        <w:rPr/>
        <w:t>accounting </w:t>
      </w:r>
      <w:r>
        <w:rPr>
          <w:spacing w:val="-2"/>
        </w:rPr>
        <w:t>pipeline.</w:t>
      </w:r>
    </w:p>
    <w:p>
      <w:pPr>
        <w:pStyle w:val="BodyText"/>
        <w:spacing w:before="160"/>
        <w:ind w:left="720"/>
        <w:jc w:val="both"/>
      </w:pPr>
      <w:r>
        <w:rPr>
          <w:b/>
        </w:rPr>
        <w:t>Subtheme 2.1</w:t>
      </w:r>
      <w:r>
        <w:rPr/>
        <w:t>: Relevancy of Accounting for Undeclared or Non-Business </w:t>
      </w:r>
      <w:r>
        <w:rPr>
          <w:spacing w:val="-2"/>
        </w:rPr>
        <w:t>Students</w:t>
      </w:r>
    </w:p>
    <w:p>
      <w:pPr>
        <w:pStyle w:val="BodyText"/>
        <w:spacing w:line="276" w:lineRule="auto" w:before="202"/>
        <w:ind w:left="720" w:right="1446"/>
        <w:jc w:val="both"/>
      </w:pPr>
      <w:r>
        <w:rPr/>
        <w:t>The topic of relevance regarding an accounting degree emerged among many</w:t>
      </w:r>
      <w:r>
        <w:rPr>
          <w:spacing w:val="40"/>
        </w:rPr>
        <w:t> </w:t>
      </w:r>
      <w:r>
        <w:rPr/>
        <w:t>non-</w:t>
      </w:r>
      <w:r>
        <w:rPr/>
        <w:t>accounting majors and about half of accounting majors during interviews.</w:t>
      </w:r>
      <w:r>
        <w:rPr>
          <w:spacing w:val="-3"/>
        </w:rPr>
        <w:t> </w:t>
      </w:r>
      <w:r>
        <w:rPr/>
        <w:t>A</w:t>
      </w:r>
      <w:r>
        <w:rPr>
          <w:spacing w:val="-3"/>
        </w:rPr>
        <w:t> </w:t>
      </w:r>
      <w:r>
        <w:rPr/>
        <w:t>strong</w:t>
      </w:r>
      <w:r>
        <w:rPr>
          <w:spacing w:val="40"/>
        </w:rPr>
        <w:t> </w:t>
      </w:r>
      <w:r>
        <w:rPr/>
        <w:t>sentiment</w:t>
      </w:r>
      <w:r>
        <w:rPr>
          <w:spacing w:val="-3"/>
        </w:rPr>
        <w:t> </w:t>
      </w:r>
      <w:r>
        <w:rPr/>
        <w:t>expressed</w:t>
      </w:r>
      <w:r>
        <w:rPr>
          <w:spacing w:val="-3"/>
        </w:rPr>
        <w:t> </w:t>
      </w:r>
      <w:r>
        <w:rPr/>
        <w:t>by those majoring in accounting was that it is a valuable (P33) career</w:t>
      </w:r>
      <w:r>
        <w:rPr>
          <w:spacing w:val="40"/>
        </w:rPr>
        <w:t> </w:t>
      </w:r>
      <w:r>
        <w:rPr/>
        <w:t>that needs better awareness outside of the business world (P24). As one participant noted:</w:t>
      </w:r>
    </w:p>
    <w:p>
      <w:pPr>
        <w:pStyle w:val="BodyText"/>
        <w:spacing w:line="276" w:lineRule="auto" w:before="160"/>
        <w:ind w:left="720" w:right="1440"/>
        <w:jc w:val="both"/>
      </w:pPr>
      <w:r>
        <w:rPr/>
        <w:t>I think it [accounting] is the most useful degree that you can get, especially for</w:t>
      </w:r>
      <w:r>
        <w:rPr>
          <w:spacing w:val="40"/>
        </w:rPr>
        <w:t> </w:t>
      </w:r>
      <w:r>
        <w:rPr/>
        <w:t>someone </w:t>
      </w:r>
      <w:r>
        <w:rPr/>
        <w:t>who was in my position and who didn't know what they wanted to do. I</w:t>
      </w:r>
      <w:r>
        <w:rPr>
          <w:spacing w:val="40"/>
        </w:rPr>
        <w:t> </w:t>
      </w:r>
      <w:r>
        <w:rPr/>
        <w:t>don't have any regrets whatsoever of declaring the major or keeping the major. I think</w:t>
      </w:r>
      <w:r>
        <w:rPr>
          <w:spacing w:val="40"/>
        </w:rPr>
        <w:t> </w:t>
      </w:r>
      <w:r>
        <w:rPr/>
        <w:t>it's taught me a lot. I think I wouldn't be in the position I am today with what my job</w:t>
      </w:r>
      <w:r>
        <w:rPr>
          <w:spacing w:val="69"/>
        </w:rPr>
        <w:t> </w:t>
      </w:r>
      <w:r>
        <w:rPr/>
        <w:t>is</w:t>
      </w:r>
      <w:r>
        <w:rPr>
          <w:spacing w:val="-3"/>
        </w:rPr>
        <w:t> </w:t>
      </w:r>
      <w:r>
        <w:rPr/>
        <w:t>currently,</w:t>
      </w:r>
      <w:r>
        <w:rPr>
          <w:spacing w:val="-3"/>
        </w:rPr>
        <w:t> </w:t>
      </w:r>
      <w:r>
        <w:rPr/>
        <w:t>or</w:t>
      </w:r>
      <w:r>
        <w:rPr>
          <w:spacing w:val="-3"/>
        </w:rPr>
        <w:t> </w:t>
      </w:r>
      <w:r>
        <w:rPr/>
        <w:t>the</w:t>
      </w:r>
      <w:r>
        <w:rPr>
          <w:spacing w:val="-3"/>
        </w:rPr>
        <w:t> </w:t>
      </w:r>
      <w:r>
        <w:rPr/>
        <w:t>internships</w:t>
      </w:r>
      <w:r>
        <w:rPr>
          <w:spacing w:val="-3"/>
        </w:rPr>
        <w:t> </w:t>
      </w:r>
      <w:r>
        <w:rPr/>
        <w:t>I've</w:t>
      </w:r>
      <w:r>
        <w:rPr>
          <w:spacing w:val="-3"/>
        </w:rPr>
        <w:t> </w:t>
      </w:r>
      <w:r>
        <w:rPr/>
        <w:t>had in the past … if it weren't for the accounting</w:t>
      </w:r>
      <w:r>
        <w:rPr>
          <w:spacing w:val="40"/>
        </w:rPr>
        <w:t> </w:t>
      </w:r>
      <w:r>
        <w:rPr/>
        <w:t>major. (P15)</w:t>
      </w:r>
    </w:p>
    <w:p>
      <w:pPr>
        <w:pStyle w:val="BodyText"/>
        <w:spacing w:line="276" w:lineRule="auto" w:before="160"/>
        <w:ind w:left="720" w:right="1441"/>
        <w:jc w:val="both"/>
      </w:pPr>
      <w:r>
        <w:rPr/>
        <w:t>Although P15 has no intentions of pursuing an accounting career as a CPA, see Table </w:t>
      </w:r>
      <w:r>
        <w:rPr/>
        <w:t>3: Additional Follow-Up Questions (see Appendix), their statement highlights the applicability</w:t>
      </w:r>
      <w:r>
        <w:rPr>
          <w:spacing w:val="40"/>
        </w:rPr>
        <w:t> </w:t>
      </w:r>
      <w:r>
        <w:rPr/>
        <w:t>of an accounting degree and</w:t>
      </w:r>
      <w:r>
        <w:rPr>
          <w:spacing w:val="-3"/>
        </w:rPr>
        <w:t> </w:t>
      </w:r>
      <w:r>
        <w:rPr/>
        <w:t>how</w:t>
      </w:r>
      <w:r>
        <w:rPr>
          <w:spacing w:val="-3"/>
        </w:rPr>
        <w:t> </w:t>
      </w:r>
      <w:r>
        <w:rPr/>
        <w:t>it</w:t>
      </w:r>
      <w:r>
        <w:rPr>
          <w:spacing w:val="-3"/>
        </w:rPr>
        <w:t> </w:t>
      </w:r>
      <w:r>
        <w:rPr/>
        <w:t>can</w:t>
      </w:r>
      <w:r>
        <w:rPr>
          <w:spacing w:val="-3"/>
        </w:rPr>
        <w:t> </w:t>
      </w:r>
      <w:r>
        <w:rPr/>
        <w:t>lead</w:t>
      </w:r>
      <w:r>
        <w:rPr>
          <w:spacing w:val="-3"/>
        </w:rPr>
        <w:t> </w:t>
      </w:r>
      <w:r>
        <w:rPr/>
        <w:t>to</w:t>
      </w:r>
      <w:r>
        <w:rPr>
          <w:spacing w:val="-3"/>
        </w:rPr>
        <w:t> </w:t>
      </w:r>
      <w:r>
        <w:rPr/>
        <w:t>the</w:t>
      </w:r>
      <w:r>
        <w:rPr>
          <w:spacing w:val="-3"/>
        </w:rPr>
        <w:t> </w:t>
      </w:r>
      <w:r>
        <w:rPr/>
        <w:t>discovery</w:t>
      </w:r>
      <w:r>
        <w:rPr>
          <w:spacing w:val="-3"/>
        </w:rPr>
        <w:t> </w:t>
      </w:r>
      <w:r>
        <w:rPr/>
        <w:t>of</w:t>
      </w:r>
      <w:r>
        <w:rPr>
          <w:spacing w:val="-3"/>
        </w:rPr>
        <w:t> </w:t>
      </w:r>
      <w:r>
        <w:rPr/>
        <w:t>other</w:t>
      </w:r>
      <w:r>
        <w:rPr>
          <w:spacing w:val="-3"/>
        </w:rPr>
        <w:t> </w:t>
      </w:r>
      <w:r>
        <w:rPr/>
        <w:t>passions.</w:t>
      </w:r>
      <w:r>
        <w:rPr>
          <w:spacing w:val="-3"/>
        </w:rPr>
        <w:t> </w:t>
      </w:r>
      <w:r>
        <w:rPr/>
        <w:t>For</w:t>
      </w:r>
      <w:r>
        <w:rPr>
          <w:spacing w:val="40"/>
        </w:rPr>
        <w:t> </w:t>
      </w:r>
      <w:r>
        <w:rPr/>
        <w:t>non-accounting majors who may be earlier in their college careers, this study reveals that</w:t>
      </w:r>
      <w:r>
        <w:rPr>
          <w:spacing w:val="40"/>
        </w:rPr>
        <w:t> </w:t>
      </w:r>
      <w:r>
        <w:rPr/>
        <w:t>some participants do possess a higher acceptance of the accounting major once being</w:t>
      </w:r>
      <w:r>
        <w:rPr>
          <w:spacing w:val="40"/>
        </w:rPr>
        <w:t> </w:t>
      </w:r>
      <w:r>
        <w:rPr/>
        <w:t>exposed to it:</w:t>
      </w:r>
    </w:p>
    <w:p>
      <w:pPr>
        <w:pStyle w:val="BodyText"/>
        <w:spacing w:line="276" w:lineRule="auto" w:before="160"/>
        <w:ind w:left="720" w:right="1439"/>
        <w:jc w:val="both"/>
      </w:pPr>
      <w:r>
        <w:rPr/>
        <w:t>It</w:t>
      </w:r>
      <w:r>
        <w:rPr>
          <w:spacing w:val="-3"/>
        </w:rPr>
        <w:t> </w:t>
      </w:r>
      <w:r>
        <w:rPr/>
        <w:t>[Accounting</w:t>
      </w:r>
      <w:r>
        <w:rPr>
          <w:spacing w:val="-3"/>
        </w:rPr>
        <w:t> </w:t>
      </w:r>
      <w:r>
        <w:rPr/>
        <w:t>Principles</w:t>
      </w:r>
      <w:r>
        <w:rPr>
          <w:spacing w:val="-3"/>
        </w:rPr>
        <w:t> </w:t>
      </w:r>
      <w:r>
        <w:rPr/>
        <w:t>Dinner]</w:t>
      </w:r>
      <w:r>
        <w:rPr>
          <w:spacing w:val="-3"/>
        </w:rPr>
        <w:t> </w:t>
      </w:r>
      <w:r>
        <w:rPr/>
        <w:t>honestly</w:t>
      </w:r>
      <w:r>
        <w:rPr>
          <w:spacing w:val="-3"/>
        </w:rPr>
        <w:t> </w:t>
      </w:r>
      <w:r>
        <w:rPr/>
        <w:t>almost</w:t>
      </w:r>
      <w:r>
        <w:rPr>
          <w:spacing w:val="-3"/>
        </w:rPr>
        <w:t> </w:t>
      </w:r>
      <w:r>
        <w:rPr/>
        <w:t>made</w:t>
      </w:r>
      <w:r>
        <w:rPr>
          <w:spacing w:val="-3"/>
        </w:rPr>
        <w:t> </w:t>
      </w:r>
      <w:r>
        <w:rPr/>
        <w:t>me</w:t>
      </w:r>
      <w:r>
        <w:rPr>
          <w:spacing w:val="-3"/>
        </w:rPr>
        <w:t> </w:t>
      </w:r>
      <w:r>
        <w:rPr/>
        <w:t>think</w:t>
      </w:r>
      <w:r>
        <w:rPr>
          <w:spacing w:val="-3"/>
        </w:rPr>
        <w:t> </w:t>
      </w:r>
      <w:r>
        <w:rPr/>
        <w:t>about</w:t>
      </w:r>
      <w:r>
        <w:rPr>
          <w:spacing w:val="-3"/>
        </w:rPr>
        <w:t> </w:t>
      </w:r>
      <w:r>
        <w:rPr/>
        <w:t>going</w:t>
      </w:r>
      <w:r>
        <w:rPr>
          <w:spacing w:val="-3"/>
        </w:rPr>
        <w:t> </w:t>
      </w:r>
      <w:r>
        <w:rPr/>
        <w:t>into</w:t>
      </w:r>
      <w:r>
        <w:rPr>
          <w:spacing w:val="40"/>
        </w:rPr>
        <w:t> </w:t>
      </w:r>
      <w:r>
        <w:rPr/>
        <w:t>accounting</w:t>
      </w:r>
      <w:r>
        <w:rPr>
          <w:spacing w:val="-3"/>
        </w:rPr>
        <w:t> </w:t>
      </w:r>
      <w:r>
        <w:rPr/>
        <w:t>as an actual job, definitely not switching my major but taking</w:t>
      </w:r>
      <w:r>
        <w:rPr>
          <w:spacing w:val="-2"/>
        </w:rPr>
        <w:t> </w:t>
      </w:r>
      <w:r>
        <w:rPr/>
        <w:t>into</w:t>
      </w:r>
      <w:r>
        <w:rPr>
          <w:spacing w:val="-2"/>
        </w:rPr>
        <w:t> </w:t>
      </w:r>
      <w:r>
        <w:rPr/>
        <w:t>account</w:t>
      </w:r>
      <w:r>
        <w:rPr>
          <w:spacing w:val="40"/>
        </w:rPr>
        <w:t> </w:t>
      </w:r>
      <w:r>
        <w:rPr/>
        <w:t>jobs</w:t>
      </w:r>
      <w:r>
        <w:rPr>
          <w:spacing w:val="-2"/>
        </w:rPr>
        <w:t> </w:t>
      </w:r>
      <w:r>
        <w:rPr/>
        <w:t>…</w:t>
      </w:r>
      <w:r>
        <w:rPr>
          <w:spacing w:val="-2"/>
        </w:rPr>
        <w:t> </w:t>
      </w:r>
      <w:r>
        <w:rPr/>
        <w:t>But</w:t>
      </w:r>
      <w:r>
        <w:rPr>
          <w:spacing w:val="-2"/>
        </w:rPr>
        <w:t> </w:t>
      </w:r>
      <w:r>
        <w:rPr/>
        <w:t>it</w:t>
      </w:r>
      <w:r>
        <w:rPr>
          <w:spacing w:val="-2"/>
        </w:rPr>
        <w:t> </w:t>
      </w:r>
      <w:r>
        <w:rPr/>
        <w:t>was</w:t>
      </w:r>
      <w:r>
        <w:rPr>
          <w:spacing w:val="-2"/>
        </w:rPr>
        <w:t> </w:t>
      </w:r>
      <w:r>
        <w:rPr/>
        <w:t>kind of a short lived feeling …</w:t>
      </w:r>
      <w:r>
        <w:rPr>
          <w:spacing w:val="-2"/>
        </w:rPr>
        <w:t> </w:t>
      </w:r>
      <w:r>
        <w:rPr/>
        <w:t>I</w:t>
      </w:r>
      <w:r>
        <w:rPr>
          <w:spacing w:val="-2"/>
        </w:rPr>
        <w:t> </w:t>
      </w:r>
      <w:r>
        <w:rPr/>
        <w:t>will</w:t>
      </w:r>
      <w:r>
        <w:rPr>
          <w:spacing w:val="-2"/>
        </w:rPr>
        <w:t> </w:t>
      </w:r>
      <w:r>
        <w:rPr/>
        <w:t>say</w:t>
      </w:r>
      <w:r>
        <w:rPr>
          <w:spacing w:val="-2"/>
        </w:rPr>
        <w:t> </w:t>
      </w:r>
      <w:r>
        <w:rPr/>
        <w:t>it</w:t>
      </w:r>
      <w:r>
        <w:rPr>
          <w:spacing w:val="-2"/>
        </w:rPr>
        <w:t> </w:t>
      </w:r>
      <w:r>
        <w:rPr/>
        <w:t>did</w:t>
      </w:r>
      <w:r>
        <w:rPr>
          <w:spacing w:val="-2"/>
        </w:rPr>
        <w:t> </w:t>
      </w:r>
      <w:r>
        <w:rPr/>
        <w:t>leave</w:t>
      </w:r>
      <w:r>
        <w:rPr>
          <w:spacing w:val="-2"/>
        </w:rPr>
        <w:t> </w:t>
      </w:r>
      <w:r>
        <w:rPr/>
        <w:t>a</w:t>
      </w:r>
      <w:r>
        <w:rPr>
          <w:spacing w:val="-2"/>
        </w:rPr>
        <w:t> </w:t>
      </w:r>
      <w:r>
        <w:rPr/>
        <w:t>permanent</w:t>
      </w:r>
      <w:r>
        <w:rPr>
          <w:spacing w:val="40"/>
        </w:rPr>
        <w:t> </w:t>
      </w:r>
      <w:r>
        <w:rPr/>
        <w:t>mark</w:t>
      </w:r>
      <w:r>
        <w:rPr>
          <w:spacing w:val="-2"/>
        </w:rPr>
        <w:t> </w:t>
      </w:r>
      <w:r>
        <w:rPr/>
        <w:t>of</w:t>
      </w:r>
      <w:r>
        <w:rPr>
          <w:spacing w:val="-2"/>
        </w:rPr>
        <w:t> </w:t>
      </w:r>
      <w:r>
        <w:rPr/>
        <w:t>my</w:t>
      </w:r>
      <w:r>
        <w:rPr>
          <w:spacing w:val="-2"/>
        </w:rPr>
        <w:t> </w:t>
      </w:r>
      <w:r>
        <w:rPr/>
        <w:t>base</w:t>
      </w:r>
      <w:r>
        <w:rPr>
          <w:spacing w:val="-2"/>
        </w:rPr>
        <w:t> </w:t>
      </w:r>
      <w:r>
        <w:rPr/>
        <w:t>acceptance</w:t>
      </w:r>
      <w:r>
        <w:rPr>
          <w:spacing w:val="-2"/>
        </w:rPr>
        <w:t> </w:t>
      </w:r>
      <w:r>
        <w:rPr/>
        <w:t>of</w:t>
      </w:r>
      <w:r>
        <w:rPr>
          <w:spacing w:val="-2"/>
        </w:rPr>
        <w:t> </w:t>
      </w:r>
      <w:r>
        <w:rPr/>
        <w:t>it,</w:t>
      </w:r>
      <w:r>
        <w:rPr>
          <w:spacing w:val="-2"/>
        </w:rPr>
        <w:t> </w:t>
      </w:r>
      <w:r>
        <w:rPr/>
        <w:t>I guess, is higher. It did make me more comfortable</w:t>
      </w:r>
      <w:r>
        <w:rPr>
          <w:spacing w:val="40"/>
        </w:rPr>
        <w:t> </w:t>
      </w:r>
      <w:r>
        <w:rPr/>
        <w:t>with it, and, like, more open to it. (P29)</w:t>
      </w:r>
    </w:p>
    <w:p>
      <w:pPr>
        <w:pStyle w:val="BodyText"/>
        <w:spacing w:line="276" w:lineRule="auto" w:before="160"/>
        <w:ind w:left="720" w:right="1440"/>
        <w:jc w:val="both"/>
      </w:pPr>
      <w:r>
        <w:rPr/>
        <w:t>While P29 acknowledges the technical value of the accounting</w:t>
      </w:r>
      <w:r>
        <w:rPr>
          <w:spacing w:val="-2"/>
        </w:rPr>
        <w:t> </w:t>
      </w:r>
      <w:r>
        <w:rPr/>
        <w:t>field,</w:t>
      </w:r>
      <w:r>
        <w:rPr>
          <w:spacing w:val="-2"/>
        </w:rPr>
        <w:t> </w:t>
      </w:r>
      <w:r>
        <w:rPr/>
        <w:t>their</w:t>
      </w:r>
      <w:r>
        <w:rPr>
          <w:spacing w:val="-2"/>
        </w:rPr>
        <w:t> </w:t>
      </w:r>
      <w:r>
        <w:rPr/>
        <w:t>reluctance</w:t>
      </w:r>
      <w:r>
        <w:rPr>
          <w:spacing w:val="-2"/>
        </w:rPr>
        <w:t> </w:t>
      </w:r>
      <w:r>
        <w:rPr/>
        <w:t>to</w:t>
      </w:r>
      <w:r>
        <w:rPr>
          <w:spacing w:val="40"/>
        </w:rPr>
        <w:t> </w:t>
      </w:r>
      <w:r>
        <w:rPr/>
        <w:t>commit to the major may suggest an internal conflict where students respect the skill but fear </w:t>
      </w:r>
      <w:r>
        <w:rPr/>
        <w:t>the professional</w:t>
      </w:r>
      <w:r>
        <w:rPr>
          <w:spacing w:val="26"/>
        </w:rPr>
        <w:t> </w:t>
      </w:r>
      <w:r>
        <w:rPr/>
        <w:t>persona.</w:t>
      </w:r>
      <w:r>
        <w:rPr>
          <w:spacing w:val="26"/>
        </w:rPr>
        <w:t> </w:t>
      </w:r>
      <w:r>
        <w:rPr/>
        <w:t>This</w:t>
      </w:r>
      <w:r>
        <w:rPr>
          <w:spacing w:val="26"/>
        </w:rPr>
        <w:t> </w:t>
      </w:r>
      <w:r>
        <w:rPr/>
        <w:t>hesitation may be heightened as students learn about the</w:t>
      </w:r>
      <w:r>
        <w:rPr>
          <w:spacing w:val="80"/>
        </w:rPr>
        <w:t> </w:t>
      </w:r>
      <w:r>
        <w:rPr/>
        <w:t>challenges of the accounting profession, including the rigor of passing the CPA exam.</w:t>
      </w:r>
      <w:r>
        <w:rPr>
          <w:spacing w:val="40"/>
        </w:rPr>
        <w:t> </w:t>
      </w:r>
      <w:r>
        <w:rPr/>
        <w:t>Another commonality that was found among a majority of non-accounting majors</w:t>
      </w:r>
      <w:r>
        <w:rPr>
          <w:spacing w:val="40"/>
        </w:rPr>
        <w:t> </w:t>
      </w:r>
      <w:r>
        <w:rPr/>
        <w:t>within this subtheme was the idea of utilizing accounting knowledge to support current</w:t>
      </w:r>
      <w:r>
        <w:rPr>
          <w:spacing w:val="40"/>
        </w:rPr>
        <w:t> </w:t>
      </w:r>
      <w:r>
        <w:rPr/>
        <w:t>interests. One participant, a current theatre major, recalled</w:t>
      </w:r>
      <w:r>
        <w:rPr>
          <w:spacing w:val="-3"/>
        </w:rPr>
        <w:t> </w:t>
      </w:r>
      <w:r>
        <w:rPr/>
        <w:t>being</w:t>
      </w:r>
      <w:r>
        <w:rPr>
          <w:spacing w:val="-3"/>
        </w:rPr>
        <w:t> </w:t>
      </w:r>
      <w:r>
        <w:rPr/>
        <w:t>excited</w:t>
      </w:r>
      <w:r>
        <w:rPr>
          <w:spacing w:val="-3"/>
        </w:rPr>
        <w:t> </w:t>
      </w:r>
      <w:r>
        <w:rPr/>
        <w:t>at</w:t>
      </w:r>
      <w:r>
        <w:rPr>
          <w:spacing w:val="-3"/>
        </w:rPr>
        <w:t> </w:t>
      </w:r>
      <w:r>
        <w:rPr/>
        <w:t>the</w:t>
      </w:r>
      <w:r>
        <w:rPr>
          <w:spacing w:val="-3"/>
        </w:rPr>
        <w:t> </w:t>
      </w:r>
      <w:r>
        <w:rPr/>
        <w:t>invitation</w:t>
      </w:r>
      <w:r>
        <w:rPr>
          <w:spacing w:val="-3"/>
        </w:rPr>
        <w:t> </w:t>
      </w:r>
      <w:r>
        <w:rPr/>
        <w:t>to</w:t>
      </w:r>
      <w:r>
        <w:rPr>
          <w:spacing w:val="40"/>
        </w:rPr>
        <w:t> </w:t>
      </w:r>
      <w:r>
        <w:rPr/>
        <w:t>attend</w:t>
      </w:r>
      <w:r>
        <w:rPr>
          <w:spacing w:val="-3"/>
        </w:rPr>
        <w:t> </w:t>
      </w:r>
      <w:r>
        <w:rPr/>
        <w:t>the</w:t>
      </w:r>
      <w:r>
        <w:rPr>
          <w:spacing w:val="-3"/>
        </w:rPr>
        <w:t> </w:t>
      </w:r>
      <w:r>
        <w:rPr/>
        <w:t>Accounting</w:t>
      </w:r>
      <w:r>
        <w:rPr>
          <w:spacing w:val="-3"/>
        </w:rPr>
        <w:t> </w:t>
      </w:r>
      <w:r>
        <w:rPr/>
        <w:t>Principles </w:t>
      </w:r>
      <w:r>
        <w:rPr>
          <w:spacing w:val="-2"/>
        </w:rPr>
        <w:t>Dinner:</w:t>
      </w:r>
    </w:p>
    <w:p>
      <w:pPr>
        <w:pStyle w:val="BodyText"/>
        <w:spacing w:line="276" w:lineRule="auto" w:before="160"/>
        <w:ind w:left="720" w:right="1449"/>
        <w:jc w:val="both"/>
      </w:pPr>
      <w:r>
        <w:rPr/>
        <w:t>There's a lot of legal stuff [in theater]. That's really interesting to me because</w:t>
      </w:r>
      <w:r>
        <w:rPr>
          <w:spacing w:val="40"/>
        </w:rPr>
        <w:t> </w:t>
      </w:r>
      <w:r>
        <w:rPr/>
        <w:t>especially if </w:t>
      </w:r>
      <w:r>
        <w:rPr/>
        <w:t>you want</w:t>
      </w:r>
      <w:r>
        <w:rPr>
          <w:spacing w:val="14"/>
        </w:rPr>
        <w:t> </w:t>
      </w:r>
      <w:r>
        <w:rPr/>
        <w:t>to</w:t>
      </w:r>
      <w:r>
        <w:rPr>
          <w:spacing w:val="14"/>
        </w:rPr>
        <w:t> </w:t>
      </w:r>
      <w:r>
        <w:rPr/>
        <w:t>start</w:t>
      </w:r>
      <w:r>
        <w:rPr>
          <w:spacing w:val="15"/>
        </w:rPr>
        <w:t> </w:t>
      </w:r>
      <w:r>
        <w:rPr/>
        <w:t>up</w:t>
      </w:r>
      <w:r>
        <w:rPr>
          <w:spacing w:val="14"/>
        </w:rPr>
        <w:t> </w:t>
      </w:r>
      <w:r>
        <w:rPr/>
        <w:t>your</w:t>
      </w:r>
      <w:r>
        <w:rPr>
          <w:spacing w:val="15"/>
        </w:rPr>
        <w:t> </w:t>
      </w:r>
      <w:r>
        <w:rPr/>
        <w:t>own</w:t>
      </w:r>
      <w:r>
        <w:rPr>
          <w:spacing w:val="14"/>
        </w:rPr>
        <w:t> </w:t>
      </w:r>
      <w:r>
        <w:rPr/>
        <w:t>theater,</w:t>
      </w:r>
      <w:r>
        <w:rPr>
          <w:spacing w:val="15"/>
        </w:rPr>
        <w:t> </w:t>
      </w:r>
      <w:r>
        <w:rPr/>
        <w:t>or</w:t>
      </w:r>
      <w:r>
        <w:rPr>
          <w:spacing w:val="14"/>
        </w:rPr>
        <w:t> </w:t>
      </w:r>
      <w:r>
        <w:rPr/>
        <w:t>if</w:t>
      </w:r>
      <w:r>
        <w:rPr>
          <w:spacing w:val="15"/>
        </w:rPr>
        <w:t> </w:t>
      </w:r>
      <w:r>
        <w:rPr/>
        <w:t>you're</w:t>
      </w:r>
      <w:r>
        <w:rPr>
          <w:spacing w:val="14"/>
        </w:rPr>
        <w:t> </w:t>
      </w:r>
      <w:r>
        <w:rPr/>
        <w:t>working</w:t>
      </w:r>
      <w:r>
        <w:rPr>
          <w:spacing w:val="15"/>
        </w:rPr>
        <w:t> </w:t>
      </w:r>
      <w:r>
        <w:rPr/>
        <w:t>for</w:t>
      </w:r>
      <w:r>
        <w:rPr>
          <w:spacing w:val="14"/>
        </w:rPr>
        <w:t> </w:t>
      </w:r>
      <w:r>
        <w:rPr/>
        <w:t>a</w:t>
      </w:r>
      <w:r>
        <w:rPr>
          <w:spacing w:val="15"/>
        </w:rPr>
        <w:t> </w:t>
      </w:r>
      <w:r>
        <w:rPr/>
        <w:t>non</w:t>
      </w:r>
      <w:r>
        <w:rPr>
          <w:spacing w:val="74"/>
        </w:rPr>
        <w:t> </w:t>
      </w:r>
      <w:r>
        <w:rPr/>
        <w:t>profit,</w:t>
      </w:r>
      <w:r>
        <w:rPr>
          <w:spacing w:val="-1"/>
        </w:rPr>
        <w:t> </w:t>
      </w:r>
      <w:r>
        <w:rPr/>
        <w:t>you need</w:t>
      </w:r>
      <w:r>
        <w:rPr>
          <w:spacing w:val="-1"/>
        </w:rPr>
        <w:t> </w:t>
      </w:r>
      <w:r>
        <w:rPr/>
        <w:t>to know </w:t>
      </w:r>
      <w:r>
        <w:rPr>
          <w:spacing w:val="-4"/>
        </w:rPr>
        <w:t>what</w:t>
      </w:r>
    </w:p>
    <w:p>
      <w:pPr>
        <w:pStyle w:val="BodyText"/>
        <w:spacing w:after="0" w:line="276" w:lineRule="auto"/>
        <w:jc w:val="both"/>
        <w:sectPr>
          <w:pgSz w:w="12240" w:h="15840"/>
          <w:pgMar w:header="0" w:footer="750" w:top="640" w:bottom="960" w:left="720" w:right="0"/>
        </w:sectPr>
      </w:pPr>
    </w:p>
    <w:p>
      <w:pPr>
        <w:pStyle w:val="BodyText"/>
        <w:spacing w:before="60"/>
        <w:ind w:left="720"/>
        <w:jc w:val="both"/>
      </w:pPr>
      <w:r>
        <w:rPr/>
        <w:t>you're getting into on the performing side and the</w:t>
      </w:r>
      <w:r>
        <w:rPr>
          <w:spacing w:val="60"/>
        </w:rPr>
        <w:t> </w:t>
      </w:r>
      <w:r>
        <w:rPr/>
        <w:t>business side. </w:t>
      </w:r>
      <w:r>
        <w:rPr>
          <w:spacing w:val="-2"/>
        </w:rPr>
        <w:t>(P14)</w:t>
      </w:r>
    </w:p>
    <w:p>
      <w:pPr>
        <w:pStyle w:val="BodyText"/>
        <w:spacing w:line="276" w:lineRule="auto" w:before="202"/>
        <w:ind w:left="720" w:right="1447"/>
        <w:jc w:val="both"/>
      </w:pPr>
      <w:r>
        <w:rPr/>
        <w:t>As reflected in another response, those with an entrepreneurial</w:t>
      </w:r>
      <w:r>
        <w:rPr>
          <w:spacing w:val="-3"/>
        </w:rPr>
        <w:t> </w:t>
      </w:r>
      <w:r>
        <w:rPr/>
        <w:t>mindset</w:t>
      </w:r>
      <w:r>
        <w:rPr>
          <w:spacing w:val="-3"/>
        </w:rPr>
        <w:t> </w:t>
      </w:r>
      <w:r>
        <w:rPr/>
        <w:t>felt</w:t>
      </w:r>
      <w:r>
        <w:rPr>
          <w:spacing w:val="-3"/>
        </w:rPr>
        <w:t> </w:t>
      </w:r>
      <w:r>
        <w:rPr/>
        <w:t>comfort</w:t>
      </w:r>
      <w:r>
        <w:rPr>
          <w:spacing w:val="-3"/>
        </w:rPr>
        <w:t> </w:t>
      </w:r>
      <w:r>
        <w:rPr/>
        <w:t>in</w:t>
      </w:r>
      <w:r>
        <w:rPr>
          <w:spacing w:val="40"/>
        </w:rPr>
        <w:t> </w:t>
      </w:r>
      <w:r>
        <w:rPr/>
        <w:t>knowing that their familiarity with accounting would benefit them in their professional</w:t>
      </w:r>
      <w:r>
        <w:rPr>
          <w:spacing w:val="40"/>
        </w:rPr>
        <w:t> </w:t>
      </w:r>
      <w:r>
        <w:rPr/>
        <w:t>endeavors:</w:t>
      </w:r>
    </w:p>
    <w:p>
      <w:pPr>
        <w:pStyle w:val="BodyText"/>
        <w:spacing w:line="276" w:lineRule="auto" w:before="160"/>
        <w:ind w:left="720" w:right="1438"/>
        <w:jc w:val="both"/>
      </w:pPr>
      <w:r>
        <w:rPr/>
        <w:t>And accounting has been really helpful. I think just being able to understand the</w:t>
      </w:r>
      <w:r>
        <w:rPr>
          <w:spacing w:val="40"/>
        </w:rPr>
        <w:t> </w:t>
      </w:r>
      <w:r>
        <w:rPr/>
        <w:t>accounting within your own business is super important. I actually decided to minor</w:t>
      </w:r>
      <w:r>
        <w:rPr>
          <w:spacing w:val="40"/>
        </w:rPr>
        <w:t> </w:t>
      </w:r>
      <w:r>
        <w:rPr/>
        <w:t>in accounting, so I'm now an accounting minor. (P19)</w:t>
      </w:r>
    </w:p>
    <w:p>
      <w:pPr>
        <w:pStyle w:val="BodyText"/>
        <w:spacing w:line="276" w:lineRule="auto" w:before="160"/>
        <w:ind w:left="720" w:right="1439"/>
        <w:jc w:val="both"/>
      </w:pPr>
      <w:r>
        <w:rPr/>
        <w:t>Rather than a definitive, restrictive path, these findings frame accounting as a strategic</w:t>
      </w:r>
      <w:r>
        <w:rPr>
          <w:spacing w:val="40"/>
        </w:rPr>
        <w:t> </w:t>
      </w:r>
      <w:r>
        <w:rPr/>
        <w:t>starting point for students, particularly among non-accounting majors. Promoting this</w:t>
      </w:r>
      <w:r>
        <w:rPr>
          <w:spacing w:val="40"/>
        </w:rPr>
        <w:t> </w:t>
      </w:r>
      <w:r>
        <w:rPr/>
        <w:t>reframed</w:t>
      </w:r>
      <w:r>
        <w:rPr>
          <w:spacing w:val="-2"/>
        </w:rPr>
        <w:t> </w:t>
      </w:r>
      <w:r>
        <w:rPr/>
        <w:t>view</w:t>
      </w:r>
      <w:r>
        <w:rPr>
          <w:spacing w:val="-2"/>
        </w:rPr>
        <w:t> </w:t>
      </w:r>
      <w:r>
        <w:rPr/>
        <w:t>of the accounting major may significantly reduce hesitation among students</w:t>
      </w:r>
      <w:r>
        <w:rPr>
          <w:spacing w:val="40"/>
        </w:rPr>
        <w:t> </w:t>
      </w:r>
      <w:r>
        <w:rPr/>
        <w:t>who might otherwise disregard the degree due to a lack of</w:t>
      </w:r>
      <w:r>
        <w:rPr>
          <w:spacing w:val="-2"/>
        </w:rPr>
        <w:t> </w:t>
      </w:r>
      <w:r>
        <w:rPr/>
        <w:t>perceived</w:t>
      </w:r>
      <w:r>
        <w:rPr>
          <w:spacing w:val="-2"/>
        </w:rPr>
        <w:t> </w:t>
      </w:r>
      <w:r>
        <w:rPr/>
        <w:t>relevance</w:t>
      </w:r>
      <w:r>
        <w:rPr>
          <w:spacing w:val="-2"/>
        </w:rPr>
        <w:t> </w:t>
      </w:r>
      <w:r>
        <w:rPr/>
        <w:t>to</w:t>
      </w:r>
      <w:r>
        <w:rPr>
          <w:spacing w:val="-2"/>
        </w:rPr>
        <w:t> </w:t>
      </w:r>
      <w:r>
        <w:rPr/>
        <w:t>their</w:t>
      </w:r>
      <w:r>
        <w:rPr>
          <w:spacing w:val="40"/>
        </w:rPr>
        <w:t> </w:t>
      </w:r>
      <w:r>
        <w:rPr/>
        <w:t>specific</w:t>
      </w:r>
      <w:r>
        <w:rPr>
          <w:spacing w:val="-2"/>
        </w:rPr>
        <w:t> </w:t>
      </w:r>
      <w:r>
        <w:rPr/>
        <w:t>field</w:t>
      </w:r>
      <w:r>
        <w:rPr>
          <w:spacing w:val="-2"/>
        </w:rPr>
        <w:t> </w:t>
      </w:r>
      <w:r>
        <w:rPr/>
        <w:t>of</w:t>
      </w:r>
      <w:r>
        <w:rPr>
          <w:spacing w:val="-2"/>
        </w:rPr>
        <w:t> </w:t>
      </w:r>
      <w:r>
        <w:rPr/>
        <w:t>interest</w:t>
      </w:r>
      <w:r>
        <w:rPr>
          <w:spacing w:val="-2"/>
        </w:rPr>
        <w:t> </w:t>
      </w:r>
      <w:r>
        <w:rPr/>
        <w:t>(P28). By developing the portable skills that an accounting degree</w:t>
      </w:r>
      <w:r>
        <w:rPr>
          <w:spacing w:val="40"/>
        </w:rPr>
        <w:t> </w:t>
      </w:r>
      <w:r>
        <w:rPr/>
        <w:t>offers, students can gain the professional literacy that is required to succeed in all types of</w:t>
      </w:r>
      <w:r>
        <w:rPr>
          <w:spacing w:val="40"/>
        </w:rPr>
        <w:t> </w:t>
      </w:r>
      <w:r>
        <w:rPr/>
        <w:t>fields, from performing arts to </w:t>
      </w:r>
      <w:r>
        <w:rPr>
          <w:spacing w:val="-2"/>
        </w:rPr>
        <w:t>entrepreneurship.</w:t>
      </w:r>
    </w:p>
    <w:p>
      <w:pPr>
        <w:pStyle w:val="BodyText"/>
        <w:spacing w:before="160"/>
        <w:ind w:left="720"/>
        <w:jc w:val="both"/>
      </w:pPr>
      <w:r>
        <w:rPr>
          <w:b/>
        </w:rPr>
        <w:t>Subtheme 2.2</w:t>
      </w:r>
      <w:r>
        <w:rPr/>
        <w:t>: Opportunities and Stability with an Accounting </w:t>
      </w:r>
      <w:r>
        <w:rPr>
          <w:spacing w:val="-2"/>
        </w:rPr>
        <w:t>Degree</w:t>
      </w:r>
    </w:p>
    <w:p>
      <w:pPr>
        <w:pStyle w:val="BodyText"/>
        <w:spacing w:line="276" w:lineRule="auto" w:before="201"/>
        <w:ind w:left="720" w:right="1442"/>
        <w:jc w:val="both"/>
      </w:pPr>
      <w:r>
        <w:rPr/>
        <w:t>In conjunction with relevance, the themes of vocational optionality and long-term</w:t>
      </w:r>
      <w:r>
        <w:rPr>
          <w:spacing w:val="40"/>
        </w:rPr>
        <w:t> </w:t>
      </w:r>
      <w:r>
        <w:rPr/>
        <w:t>stability emerged as significant influences from a</w:t>
      </w:r>
      <w:r>
        <w:rPr>
          <w:spacing w:val="-3"/>
        </w:rPr>
        <w:t> </w:t>
      </w:r>
      <w:r>
        <w:rPr/>
        <w:t>majority</w:t>
      </w:r>
      <w:r>
        <w:rPr>
          <w:spacing w:val="-3"/>
        </w:rPr>
        <w:t> </w:t>
      </w:r>
      <w:r>
        <w:rPr/>
        <w:t>of</w:t>
      </w:r>
      <w:r>
        <w:rPr>
          <w:spacing w:val="-3"/>
        </w:rPr>
        <w:t> </w:t>
      </w:r>
      <w:r>
        <w:rPr/>
        <w:t>participants</w:t>
      </w:r>
      <w:r>
        <w:rPr>
          <w:spacing w:val="-3"/>
        </w:rPr>
        <w:t> </w:t>
      </w:r>
      <w:r>
        <w:rPr/>
        <w:t>who</w:t>
      </w:r>
      <w:r>
        <w:rPr>
          <w:spacing w:val="-3"/>
        </w:rPr>
        <w:t> </w:t>
      </w:r>
      <w:r>
        <w:rPr/>
        <w:t>represent</w:t>
      </w:r>
      <w:r>
        <w:rPr>
          <w:spacing w:val="40"/>
        </w:rPr>
        <w:t> </w:t>
      </w:r>
      <w:r>
        <w:rPr/>
        <w:t>Theme</w:t>
      </w:r>
      <w:r>
        <w:rPr>
          <w:spacing w:val="-3"/>
        </w:rPr>
        <w:t> </w:t>
      </w:r>
      <w:r>
        <w:rPr/>
        <w:t>2.</w:t>
      </w:r>
      <w:r>
        <w:rPr>
          <w:spacing w:val="-3"/>
        </w:rPr>
        <w:t> </w:t>
      </w:r>
      <w:r>
        <w:rPr/>
        <w:t>When elaborating on these influencing factors, two participants commented on the</w:t>
      </w:r>
      <w:r>
        <w:rPr>
          <w:spacing w:val="40"/>
        </w:rPr>
        <w:t> </w:t>
      </w:r>
      <w:r>
        <w:rPr/>
        <w:t>nature of growth</w:t>
      </w:r>
      <w:r>
        <w:rPr>
          <w:spacing w:val="40"/>
        </w:rPr>
        <w:t> </w:t>
      </w:r>
      <w:r>
        <w:rPr/>
        <w:t>and ability to transition between sectors with an accounting career:</w:t>
      </w:r>
    </w:p>
    <w:p>
      <w:pPr>
        <w:pStyle w:val="BodyText"/>
        <w:spacing w:line="276" w:lineRule="auto" w:before="160"/>
        <w:ind w:left="720" w:right="1445"/>
        <w:jc w:val="both"/>
      </w:pPr>
      <w:r>
        <w:rPr/>
        <w:t>You can just do a bunch of different things and firms</w:t>
      </w:r>
      <w:r>
        <w:rPr>
          <w:spacing w:val="-3"/>
        </w:rPr>
        <w:t> </w:t>
      </w:r>
      <w:r>
        <w:rPr/>
        <w:t>will</w:t>
      </w:r>
      <w:r>
        <w:rPr>
          <w:spacing w:val="-3"/>
        </w:rPr>
        <w:t> </w:t>
      </w:r>
      <w:r>
        <w:rPr/>
        <w:t>let</w:t>
      </w:r>
      <w:r>
        <w:rPr>
          <w:spacing w:val="-3"/>
        </w:rPr>
        <w:t> </w:t>
      </w:r>
      <w:r>
        <w:rPr/>
        <w:t>you</w:t>
      </w:r>
      <w:r>
        <w:rPr>
          <w:spacing w:val="-3"/>
        </w:rPr>
        <w:t> </w:t>
      </w:r>
      <w:r>
        <w:rPr/>
        <w:t>move</w:t>
      </w:r>
      <w:r>
        <w:rPr>
          <w:spacing w:val="-3"/>
        </w:rPr>
        <w:t> </w:t>
      </w:r>
      <w:r>
        <w:rPr/>
        <w:t>around</w:t>
      </w:r>
      <w:r>
        <w:rPr>
          <w:spacing w:val="-3"/>
        </w:rPr>
        <w:t> </w:t>
      </w:r>
      <w:r>
        <w:rPr/>
        <w:t>and</w:t>
      </w:r>
      <w:r>
        <w:rPr>
          <w:spacing w:val="-3"/>
        </w:rPr>
        <w:t> </w:t>
      </w:r>
      <w:r>
        <w:rPr/>
        <w:t>try</w:t>
      </w:r>
      <w:r>
        <w:rPr>
          <w:spacing w:val="40"/>
        </w:rPr>
        <w:t> </w:t>
      </w:r>
      <w:r>
        <w:rPr/>
        <w:t>so</w:t>
      </w:r>
      <w:r>
        <w:rPr>
          <w:spacing w:val="-3"/>
        </w:rPr>
        <w:t> </w:t>
      </w:r>
      <w:r>
        <w:rPr/>
        <w:t>many different things,</w:t>
      </w:r>
      <w:r>
        <w:rPr>
          <w:spacing w:val="-4"/>
        </w:rPr>
        <w:t> </w:t>
      </w:r>
      <w:r>
        <w:rPr/>
        <w:t>and</w:t>
      </w:r>
      <w:r>
        <w:rPr>
          <w:spacing w:val="-4"/>
        </w:rPr>
        <w:t> </w:t>
      </w:r>
      <w:r>
        <w:rPr/>
        <w:t>there’s</w:t>
      </w:r>
      <w:r>
        <w:rPr>
          <w:spacing w:val="-4"/>
        </w:rPr>
        <w:t> </w:t>
      </w:r>
      <w:r>
        <w:rPr/>
        <w:t>always</w:t>
      </w:r>
      <w:r>
        <w:rPr>
          <w:spacing w:val="-4"/>
        </w:rPr>
        <w:t> </w:t>
      </w:r>
      <w:r>
        <w:rPr/>
        <w:t>going</w:t>
      </w:r>
      <w:r>
        <w:rPr>
          <w:spacing w:val="-4"/>
        </w:rPr>
        <w:t> </w:t>
      </w:r>
      <w:r>
        <w:rPr/>
        <w:t>to</w:t>
      </w:r>
      <w:r>
        <w:rPr>
          <w:spacing w:val="-4"/>
        </w:rPr>
        <w:t> </w:t>
      </w:r>
      <w:r>
        <w:rPr/>
        <w:t>be</w:t>
      </w:r>
      <w:r>
        <w:rPr>
          <w:spacing w:val="-4"/>
        </w:rPr>
        <w:t> </w:t>
      </w:r>
      <w:r>
        <w:rPr/>
        <w:t>growth</w:t>
      </w:r>
      <w:r>
        <w:rPr>
          <w:spacing w:val="-4"/>
        </w:rPr>
        <w:t> </w:t>
      </w:r>
      <w:r>
        <w:rPr/>
        <w:t>even</w:t>
      </w:r>
      <w:r>
        <w:rPr>
          <w:spacing w:val="-4"/>
        </w:rPr>
        <w:t> </w:t>
      </w:r>
      <w:r>
        <w:rPr/>
        <w:t>after</w:t>
      </w:r>
      <w:r>
        <w:rPr>
          <w:spacing w:val="-4"/>
        </w:rPr>
        <w:t> </w:t>
      </w:r>
      <w:r>
        <w:rPr/>
        <w:t>you</w:t>
      </w:r>
      <w:r>
        <w:rPr>
          <w:spacing w:val="-4"/>
        </w:rPr>
        <w:t> </w:t>
      </w:r>
      <w:r>
        <w:rPr/>
        <w:t>hit</w:t>
      </w:r>
      <w:r>
        <w:rPr>
          <w:spacing w:val="40"/>
        </w:rPr>
        <w:t> </w:t>
      </w:r>
      <w:r>
        <w:rPr/>
        <w:t>partner,</w:t>
      </w:r>
      <w:r>
        <w:rPr>
          <w:spacing w:val="-4"/>
        </w:rPr>
        <w:t> </w:t>
      </w:r>
      <w:r>
        <w:rPr/>
        <w:t>you’ll</w:t>
      </w:r>
      <w:r>
        <w:rPr>
          <w:spacing w:val="-4"/>
        </w:rPr>
        <w:t> </w:t>
      </w:r>
      <w:r>
        <w:rPr/>
        <w:t>still</w:t>
      </w:r>
      <w:r>
        <w:rPr>
          <w:spacing w:val="-4"/>
        </w:rPr>
        <w:t> </w:t>
      </w:r>
      <w:r>
        <w:rPr/>
        <w:t>find things to learn and do. (P9)</w:t>
      </w:r>
    </w:p>
    <w:p>
      <w:pPr>
        <w:pStyle w:val="BodyText"/>
        <w:spacing w:line="276" w:lineRule="auto" w:before="160"/>
        <w:ind w:left="720" w:right="1441"/>
        <w:jc w:val="both"/>
      </w:pPr>
      <w:r>
        <w:rPr/>
        <w:t>I</w:t>
      </w:r>
      <w:r>
        <w:rPr>
          <w:spacing w:val="27"/>
        </w:rPr>
        <w:t> </w:t>
      </w:r>
      <w:r>
        <w:rPr/>
        <w:t>think</w:t>
      </w:r>
      <w:r>
        <w:rPr>
          <w:spacing w:val="27"/>
        </w:rPr>
        <w:t> </w:t>
      </w:r>
      <w:r>
        <w:rPr/>
        <w:t>that</w:t>
      </w:r>
      <w:r>
        <w:rPr>
          <w:spacing w:val="27"/>
        </w:rPr>
        <w:t> </w:t>
      </w:r>
      <w:r>
        <w:rPr/>
        <w:t>as you get a little further into the major, professors do start kind of</w:t>
      </w:r>
      <w:r>
        <w:rPr>
          <w:spacing w:val="80"/>
        </w:rPr>
        <w:t> </w:t>
      </w:r>
      <w:r>
        <w:rPr/>
        <w:t>reminding you that if you don't like accounting, you can always pivot … a lot</w:t>
      </w:r>
      <w:r>
        <w:rPr>
          <w:spacing w:val="-2"/>
        </w:rPr>
        <w:t> </w:t>
      </w:r>
      <w:r>
        <w:rPr/>
        <w:t>of</w:t>
      </w:r>
      <w:r>
        <w:rPr>
          <w:spacing w:val="40"/>
        </w:rPr>
        <w:t> </w:t>
      </w:r>
      <w:r>
        <w:rPr/>
        <w:t>people</w:t>
      </w:r>
      <w:r>
        <w:rPr>
          <w:spacing w:val="-2"/>
        </w:rPr>
        <w:t> </w:t>
      </w:r>
      <w:r>
        <w:rPr/>
        <w:t>will</w:t>
      </w:r>
      <w:r>
        <w:rPr>
          <w:spacing w:val="-2"/>
        </w:rPr>
        <w:t> </w:t>
      </w:r>
      <w:r>
        <w:rPr/>
        <w:t>go</w:t>
      </w:r>
      <w:r>
        <w:rPr>
          <w:spacing w:val="-2"/>
        </w:rPr>
        <w:t> </w:t>
      </w:r>
      <w:r>
        <w:rPr/>
        <w:t>from</w:t>
      </w:r>
      <w:r>
        <w:rPr>
          <w:spacing w:val="-2"/>
        </w:rPr>
        <w:t> </w:t>
      </w:r>
      <w:r>
        <w:rPr/>
        <w:t>public</w:t>
      </w:r>
      <w:r>
        <w:rPr>
          <w:spacing w:val="-2"/>
        </w:rPr>
        <w:t> </w:t>
      </w:r>
      <w:r>
        <w:rPr/>
        <w:t>to industry or</w:t>
      </w:r>
      <w:r>
        <w:rPr>
          <w:spacing w:val="-3"/>
        </w:rPr>
        <w:t> </w:t>
      </w:r>
      <w:r>
        <w:rPr/>
        <w:t>private,</w:t>
      </w:r>
      <w:r>
        <w:rPr>
          <w:spacing w:val="-3"/>
        </w:rPr>
        <w:t> </w:t>
      </w:r>
      <w:r>
        <w:rPr/>
        <w:t>whatever.</w:t>
      </w:r>
      <w:r>
        <w:rPr>
          <w:spacing w:val="-3"/>
        </w:rPr>
        <w:t> </w:t>
      </w:r>
      <w:r>
        <w:rPr/>
        <w:t>And</w:t>
      </w:r>
      <w:r>
        <w:rPr>
          <w:spacing w:val="-3"/>
        </w:rPr>
        <w:t> </w:t>
      </w:r>
      <w:r>
        <w:rPr/>
        <w:t>so</w:t>
      </w:r>
      <w:r>
        <w:rPr>
          <w:spacing w:val="-3"/>
        </w:rPr>
        <w:t> </w:t>
      </w:r>
      <w:r>
        <w:rPr/>
        <w:t>it's</w:t>
      </w:r>
      <w:r>
        <w:rPr>
          <w:spacing w:val="-3"/>
        </w:rPr>
        <w:t> </w:t>
      </w:r>
      <w:r>
        <w:rPr/>
        <w:t>kind</w:t>
      </w:r>
      <w:r>
        <w:rPr>
          <w:spacing w:val="-3"/>
        </w:rPr>
        <w:t> </w:t>
      </w:r>
      <w:r>
        <w:rPr/>
        <w:t>of</w:t>
      </w:r>
      <w:r>
        <w:rPr>
          <w:spacing w:val="-3"/>
        </w:rPr>
        <w:t> </w:t>
      </w:r>
      <w:r>
        <w:rPr/>
        <w:t>like</w:t>
      </w:r>
      <w:r>
        <w:rPr>
          <w:spacing w:val="40"/>
        </w:rPr>
        <w:t> </w:t>
      </w:r>
      <w:r>
        <w:rPr/>
        <w:t>you</w:t>
      </w:r>
      <w:r>
        <w:rPr>
          <w:spacing w:val="-3"/>
        </w:rPr>
        <w:t> </w:t>
      </w:r>
      <w:r>
        <w:rPr/>
        <w:t>always</w:t>
      </w:r>
      <w:r>
        <w:rPr>
          <w:spacing w:val="-3"/>
        </w:rPr>
        <w:t> </w:t>
      </w:r>
      <w:r>
        <w:rPr/>
        <w:t>have</w:t>
      </w:r>
      <w:r>
        <w:rPr>
          <w:spacing w:val="-3"/>
        </w:rPr>
        <w:t> </w:t>
      </w:r>
      <w:r>
        <w:rPr/>
        <w:t>something</w:t>
      </w:r>
      <w:r>
        <w:rPr>
          <w:spacing w:val="-3"/>
        </w:rPr>
        <w:t> </w:t>
      </w:r>
      <w:r>
        <w:rPr/>
        <w:t>to</w:t>
      </w:r>
      <w:r>
        <w:rPr>
          <w:spacing w:val="-3"/>
        </w:rPr>
        <w:t> </w:t>
      </w:r>
      <w:r>
        <w:rPr/>
        <w:t>fall</w:t>
      </w:r>
      <w:r>
        <w:rPr>
          <w:spacing w:val="-3"/>
        </w:rPr>
        <w:t> </w:t>
      </w:r>
      <w:r>
        <w:rPr/>
        <w:t>back</w:t>
      </w:r>
      <w:r>
        <w:rPr>
          <w:spacing w:val="-3"/>
        </w:rPr>
        <w:t> </w:t>
      </w:r>
      <w:r>
        <w:rPr/>
        <w:t>on. </w:t>
      </w:r>
      <w:r>
        <w:rPr>
          <w:spacing w:val="-2"/>
        </w:rPr>
        <w:t>(P23)</w:t>
      </w:r>
    </w:p>
    <w:p>
      <w:pPr>
        <w:pStyle w:val="BodyText"/>
        <w:spacing w:line="276" w:lineRule="auto" w:before="160"/>
        <w:ind w:left="720" w:right="1440"/>
        <w:jc w:val="both"/>
      </w:pPr>
      <w:r>
        <w:rPr/>
        <w:t>These perspectives directly contradict the perceptions of about half of non-accounting </w:t>
      </w:r>
      <w:r>
        <w:rPr/>
        <w:t>majors within this subtheme who viewed other business disciplines as offering more variety. For example, one participant opted for a different business</w:t>
      </w:r>
      <w:r>
        <w:rPr>
          <w:spacing w:val="-3"/>
        </w:rPr>
        <w:t> </w:t>
      </w:r>
      <w:r>
        <w:rPr/>
        <w:t>major</w:t>
      </w:r>
      <w:r>
        <w:rPr>
          <w:spacing w:val="-3"/>
        </w:rPr>
        <w:t> </w:t>
      </w:r>
      <w:r>
        <w:rPr/>
        <w:t>they</w:t>
      </w:r>
      <w:r>
        <w:rPr>
          <w:spacing w:val="-3"/>
        </w:rPr>
        <w:t> </w:t>
      </w:r>
      <w:r>
        <w:rPr/>
        <w:t>believed</w:t>
      </w:r>
      <w:r>
        <w:rPr>
          <w:spacing w:val="-3"/>
        </w:rPr>
        <w:t> </w:t>
      </w:r>
      <w:r>
        <w:rPr/>
        <w:t>would</w:t>
      </w:r>
      <w:r>
        <w:rPr>
          <w:spacing w:val="-3"/>
        </w:rPr>
        <w:t> </w:t>
      </w:r>
      <w:r>
        <w:rPr/>
        <w:t>provide</w:t>
      </w:r>
      <w:r>
        <w:rPr>
          <w:spacing w:val="40"/>
        </w:rPr>
        <w:t> </w:t>
      </w:r>
      <w:r>
        <w:rPr/>
        <w:t>more diverse pathways:</w:t>
      </w:r>
    </w:p>
    <w:p>
      <w:pPr>
        <w:pStyle w:val="BodyText"/>
        <w:spacing w:line="276" w:lineRule="auto" w:before="160"/>
        <w:ind w:left="720" w:right="1449"/>
        <w:jc w:val="both"/>
      </w:pPr>
      <w:r>
        <w:rPr/>
        <w:t>I had so many opportunities that I could go into, like I could go do networking, I can</w:t>
      </w:r>
      <w:r>
        <w:rPr>
          <w:spacing w:val="40"/>
        </w:rPr>
        <w:t> </w:t>
      </w:r>
      <w:r>
        <w:rPr/>
        <w:t>be </w:t>
      </w:r>
      <w:r>
        <w:rPr/>
        <w:t>in cybersecurity and helping people. So that was really interesting to</w:t>
      </w:r>
      <w:r>
        <w:rPr>
          <w:spacing w:val="-2"/>
        </w:rPr>
        <w:t> </w:t>
      </w:r>
      <w:r>
        <w:rPr/>
        <w:t>me,</w:t>
      </w:r>
      <w:r>
        <w:rPr>
          <w:spacing w:val="-2"/>
        </w:rPr>
        <w:t> </w:t>
      </w:r>
      <w:r>
        <w:rPr/>
        <w:t>I</w:t>
      </w:r>
      <w:r>
        <w:rPr>
          <w:spacing w:val="-2"/>
        </w:rPr>
        <w:t> </w:t>
      </w:r>
      <w:r>
        <w:rPr/>
        <w:t>just</w:t>
      </w:r>
      <w:r>
        <w:rPr>
          <w:spacing w:val="40"/>
        </w:rPr>
        <w:t> </w:t>
      </w:r>
      <w:r>
        <w:rPr/>
        <w:t>thought</w:t>
      </w:r>
      <w:r>
        <w:rPr>
          <w:spacing w:val="-2"/>
        </w:rPr>
        <w:t> </w:t>
      </w:r>
      <w:r>
        <w:rPr/>
        <w:t>there</w:t>
      </w:r>
      <w:r>
        <w:rPr>
          <w:spacing w:val="-2"/>
        </w:rPr>
        <w:t> </w:t>
      </w:r>
      <w:r>
        <w:rPr/>
        <w:t>were more job opportunities in IT ultimately. (P12)</w:t>
      </w:r>
    </w:p>
    <w:p>
      <w:pPr>
        <w:pStyle w:val="BodyText"/>
        <w:spacing w:line="276" w:lineRule="auto" w:before="160"/>
        <w:ind w:left="720" w:right="1439"/>
        <w:jc w:val="both"/>
      </w:pPr>
      <w:r>
        <w:rPr/>
        <w:t>This highlights a flaw in current recruitment efforts as the accounting profession possesses</w:t>
      </w:r>
      <w:r>
        <w:rPr>
          <w:spacing w:val="40"/>
        </w:rPr>
        <w:t> </w:t>
      </w:r>
      <w:r>
        <w:rPr/>
        <w:t>the optionality students</w:t>
      </w:r>
      <w:r>
        <w:rPr>
          <w:spacing w:val="-3"/>
        </w:rPr>
        <w:t> </w:t>
      </w:r>
      <w:r>
        <w:rPr/>
        <w:t>crave,</w:t>
      </w:r>
      <w:r>
        <w:rPr>
          <w:spacing w:val="-3"/>
        </w:rPr>
        <w:t> </w:t>
      </w:r>
      <w:r>
        <w:rPr/>
        <w:t>but</w:t>
      </w:r>
      <w:r>
        <w:rPr>
          <w:spacing w:val="-3"/>
        </w:rPr>
        <w:t> </w:t>
      </w:r>
      <w:r>
        <w:rPr/>
        <w:t>this</w:t>
      </w:r>
      <w:r>
        <w:rPr>
          <w:spacing w:val="-3"/>
        </w:rPr>
        <w:t> </w:t>
      </w:r>
      <w:r>
        <w:rPr/>
        <w:t>reality</w:t>
      </w:r>
      <w:r>
        <w:rPr>
          <w:spacing w:val="-3"/>
        </w:rPr>
        <w:t> </w:t>
      </w:r>
      <w:r>
        <w:rPr/>
        <w:t>is</w:t>
      </w:r>
      <w:r>
        <w:rPr>
          <w:spacing w:val="-3"/>
        </w:rPr>
        <w:t> </w:t>
      </w:r>
      <w:r>
        <w:rPr/>
        <w:t>not</w:t>
      </w:r>
      <w:r>
        <w:rPr>
          <w:spacing w:val="-3"/>
        </w:rPr>
        <w:t> </w:t>
      </w:r>
      <w:r>
        <w:rPr/>
        <w:t>being</w:t>
      </w:r>
      <w:r>
        <w:rPr>
          <w:spacing w:val="-3"/>
        </w:rPr>
        <w:t> </w:t>
      </w:r>
      <w:r>
        <w:rPr/>
        <w:t>communicated</w:t>
      </w:r>
      <w:r>
        <w:rPr>
          <w:spacing w:val="-3"/>
        </w:rPr>
        <w:t> </w:t>
      </w:r>
      <w:r>
        <w:rPr/>
        <w:t>effectively</w:t>
      </w:r>
      <w:r>
        <w:rPr>
          <w:spacing w:val="-3"/>
        </w:rPr>
        <w:t> </w:t>
      </w:r>
      <w:r>
        <w:rPr/>
        <w:t>to</w:t>
      </w:r>
      <w:r>
        <w:rPr>
          <w:spacing w:val="-3"/>
        </w:rPr>
        <w:t> </w:t>
      </w:r>
      <w:r>
        <w:rPr/>
        <w:t>those</w:t>
      </w:r>
      <w:r>
        <w:rPr>
          <w:spacing w:val="40"/>
        </w:rPr>
        <w:t> </w:t>
      </w:r>
      <w:r>
        <w:rPr/>
        <w:t>outside the major. This was echoed by a second participant, a current digital marketing</w:t>
      </w:r>
      <w:r>
        <w:rPr>
          <w:spacing w:val="40"/>
        </w:rPr>
        <w:t> </w:t>
      </w:r>
      <w:r>
        <w:rPr/>
        <w:t>student, who believed their major would provide “broad options” (P4) as opposed to a degree</w:t>
      </w:r>
      <w:r>
        <w:rPr>
          <w:spacing w:val="40"/>
        </w:rPr>
        <w:t> </w:t>
      </w:r>
      <w:r>
        <w:rPr/>
        <w:t>in</w:t>
      </w:r>
      <w:r>
        <w:rPr>
          <w:spacing w:val="-2"/>
        </w:rPr>
        <w:t> </w:t>
      </w:r>
      <w:r>
        <w:rPr/>
        <w:t>accounting. These statements suggest that while the accounting curriculum successfully</w:t>
      </w:r>
      <w:r>
        <w:rPr>
          <w:spacing w:val="40"/>
        </w:rPr>
        <w:t> </w:t>
      </w:r>
      <w:r>
        <w:rPr/>
        <w:t>conveys career stability, the profession is currently losing high-potential talent to other fields</w:t>
      </w:r>
      <w:r>
        <w:rPr>
          <w:spacing w:val="40"/>
        </w:rPr>
        <w:t> </w:t>
      </w:r>
      <w:r>
        <w:rPr/>
        <w:t>because</w:t>
      </w:r>
      <w:r>
        <w:rPr>
          <w:spacing w:val="-3"/>
        </w:rPr>
        <w:t> </w:t>
      </w:r>
      <w:r>
        <w:rPr/>
        <w:t>of</w:t>
      </w:r>
      <w:r>
        <w:rPr>
          <w:spacing w:val="-3"/>
        </w:rPr>
        <w:t> </w:t>
      </w:r>
      <w:r>
        <w:rPr/>
        <w:t>a</w:t>
      </w:r>
      <w:r>
        <w:rPr>
          <w:spacing w:val="-3"/>
        </w:rPr>
        <w:t> </w:t>
      </w:r>
      <w:r>
        <w:rPr/>
        <w:t>lack of understanding of opportunities offered by an accounting degree.</w:t>
      </w:r>
    </w:p>
    <w:p>
      <w:pPr>
        <w:pStyle w:val="BodyText"/>
        <w:spacing w:after="0" w:line="276" w:lineRule="auto"/>
        <w:jc w:val="both"/>
        <w:sectPr>
          <w:pgSz w:w="12240" w:h="15840"/>
          <w:pgMar w:header="0" w:footer="750" w:top="640" w:bottom="960" w:left="720" w:right="0"/>
        </w:sectPr>
      </w:pPr>
    </w:p>
    <w:p>
      <w:pPr>
        <w:pStyle w:val="BodyText"/>
        <w:spacing w:line="276" w:lineRule="auto" w:before="60"/>
        <w:ind w:left="720" w:right="1443"/>
        <w:jc w:val="both"/>
      </w:pPr>
      <w:r>
        <w:rPr/>
        <w:t>For other non-accounting majors who expressed curiosity in the accounting field and</w:t>
      </w:r>
      <w:r>
        <w:rPr>
          <w:spacing w:val="40"/>
        </w:rPr>
        <w:t> </w:t>
      </w:r>
      <w:r>
        <w:rPr/>
        <w:t>attended the Accounting Principles Dinner, learning about the major and career did</w:t>
      </w:r>
      <w:r>
        <w:rPr>
          <w:spacing w:val="40"/>
        </w:rPr>
        <w:t> </w:t>
      </w:r>
      <w:r>
        <w:rPr/>
        <w:t>encourage them to seek accounting-related opportunities. For example, one participant</w:t>
      </w:r>
      <w:r>
        <w:rPr>
          <w:spacing w:val="40"/>
        </w:rPr>
        <w:t> </w:t>
      </w:r>
      <w:r>
        <w:rPr/>
        <w:t>described seeking accounting internships, related to tax and</w:t>
      </w:r>
      <w:r>
        <w:rPr>
          <w:spacing w:val="-2"/>
        </w:rPr>
        <w:t> </w:t>
      </w:r>
      <w:r>
        <w:rPr/>
        <w:t>audit,</w:t>
      </w:r>
      <w:r>
        <w:rPr>
          <w:spacing w:val="-2"/>
        </w:rPr>
        <w:t> </w:t>
      </w:r>
      <w:r>
        <w:rPr/>
        <w:t>at</w:t>
      </w:r>
      <w:r>
        <w:rPr>
          <w:spacing w:val="-2"/>
        </w:rPr>
        <w:t> </w:t>
      </w:r>
      <w:r>
        <w:rPr/>
        <w:t>a</w:t>
      </w:r>
      <w:r>
        <w:rPr>
          <w:spacing w:val="-2"/>
        </w:rPr>
        <w:t> </w:t>
      </w:r>
      <w:r>
        <w:rPr/>
        <w:t>company</w:t>
      </w:r>
      <w:r>
        <w:rPr>
          <w:spacing w:val="-2"/>
        </w:rPr>
        <w:t> </w:t>
      </w:r>
      <w:r>
        <w:rPr/>
        <w:t>they</w:t>
      </w:r>
      <w:r>
        <w:rPr>
          <w:spacing w:val="-2"/>
        </w:rPr>
        <w:t> </w:t>
      </w:r>
      <w:r>
        <w:rPr/>
        <w:t>already</w:t>
      </w:r>
      <w:r>
        <w:rPr>
          <w:spacing w:val="40"/>
        </w:rPr>
        <w:t> </w:t>
      </w:r>
      <w:r>
        <w:rPr/>
        <w:t>felt</w:t>
      </w:r>
      <w:r>
        <w:rPr>
          <w:spacing w:val="-2"/>
        </w:rPr>
        <w:t> </w:t>
      </w:r>
      <w:r>
        <w:rPr/>
        <w:t>comfortable</w:t>
      </w:r>
      <w:r>
        <w:rPr>
          <w:spacing w:val="-2"/>
        </w:rPr>
        <w:t> </w:t>
      </w:r>
      <w:r>
        <w:rPr/>
        <w:t>with to further explore the field and commented:</w:t>
      </w:r>
    </w:p>
    <w:p>
      <w:pPr>
        <w:pStyle w:val="BodyText"/>
        <w:spacing w:line="276" w:lineRule="auto" w:before="160"/>
        <w:ind w:left="720" w:right="1447"/>
        <w:jc w:val="both"/>
      </w:pPr>
      <w:r>
        <w:rPr/>
        <w:t>Accounting has never been a main focus</w:t>
      </w:r>
      <w:r>
        <w:rPr>
          <w:spacing w:val="-2"/>
        </w:rPr>
        <w:t> </w:t>
      </w:r>
      <w:r>
        <w:rPr/>
        <w:t>to</w:t>
      </w:r>
      <w:r>
        <w:rPr>
          <w:spacing w:val="-2"/>
        </w:rPr>
        <w:t> </w:t>
      </w:r>
      <w:r>
        <w:rPr/>
        <w:t>me,</w:t>
      </w:r>
      <w:r>
        <w:rPr>
          <w:spacing w:val="-2"/>
        </w:rPr>
        <w:t> </w:t>
      </w:r>
      <w:r>
        <w:rPr/>
        <w:t>but</w:t>
      </w:r>
      <w:r>
        <w:rPr>
          <w:spacing w:val="-2"/>
        </w:rPr>
        <w:t> </w:t>
      </w:r>
      <w:r>
        <w:rPr/>
        <w:t>it's</w:t>
      </w:r>
      <w:r>
        <w:rPr>
          <w:spacing w:val="-2"/>
        </w:rPr>
        <w:t> </w:t>
      </w:r>
      <w:r>
        <w:rPr/>
        <w:t>always</w:t>
      </w:r>
      <w:r>
        <w:rPr>
          <w:spacing w:val="-2"/>
        </w:rPr>
        <w:t> </w:t>
      </w:r>
      <w:r>
        <w:rPr/>
        <w:t>been</w:t>
      </w:r>
      <w:r>
        <w:rPr>
          <w:spacing w:val="-2"/>
        </w:rPr>
        <w:t> </w:t>
      </w:r>
      <w:r>
        <w:rPr/>
        <w:t>a</w:t>
      </w:r>
      <w:r>
        <w:rPr>
          <w:spacing w:val="-2"/>
        </w:rPr>
        <w:t> </w:t>
      </w:r>
      <w:r>
        <w:rPr/>
        <w:t>priority</w:t>
      </w:r>
      <w:r>
        <w:rPr>
          <w:spacing w:val="-2"/>
        </w:rPr>
        <w:t> </w:t>
      </w:r>
      <w:r>
        <w:rPr/>
        <w:t>because</w:t>
      </w:r>
      <w:r>
        <w:rPr>
          <w:spacing w:val="40"/>
        </w:rPr>
        <w:t> </w:t>
      </w:r>
      <w:r>
        <w:rPr/>
        <w:t>it</w:t>
      </w:r>
      <w:r>
        <w:rPr>
          <w:spacing w:val="-2"/>
        </w:rPr>
        <w:t> </w:t>
      </w:r>
      <w:r>
        <w:rPr/>
        <w:t>is</w:t>
      </w:r>
      <w:r>
        <w:rPr>
          <w:spacing w:val="-2"/>
        </w:rPr>
        <w:t> </w:t>
      </w:r>
      <w:r>
        <w:rPr/>
        <w:t>a</w:t>
      </w:r>
      <w:r>
        <w:rPr>
          <w:spacing w:val="-2"/>
        </w:rPr>
        <w:t> </w:t>
      </w:r>
      <w:r>
        <w:rPr/>
        <w:t>big backbone</w:t>
      </w:r>
      <w:r>
        <w:rPr>
          <w:spacing w:val="40"/>
        </w:rPr>
        <w:t> </w:t>
      </w:r>
      <w:r>
        <w:rPr/>
        <w:t>of</w:t>
      </w:r>
      <w:r>
        <w:rPr>
          <w:spacing w:val="40"/>
        </w:rPr>
        <w:t> </w:t>
      </w:r>
      <w:r>
        <w:rPr/>
        <w:t>business.</w:t>
      </w:r>
      <w:r>
        <w:rPr>
          <w:spacing w:val="40"/>
        </w:rPr>
        <w:t> </w:t>
      </w:r>
      <w:r>
        <w:rPr/>
        <w:t>I've always strived hard to go and put myself in it and</w:t>
      </w:r>
      <w:r>
        <w:rPr>
          <w:spacing w:val="80"/>
        </w:rPr>
        <w:t> </w:t>
      </w:r>
      <w:r>
        <w:rPr/>
        <w:t>understand…I think my experience in accounting helped me decide where I wanted to</w:t>
      </w:r>
      <w:r>
        <w:rPr>
          <w:spacing w:val="40"/>
        </w:rPr>
        <w:t> </w:t>
      </w:r>
      <w:r>
        <w:rPr/>
        <w:t>go, but it also strengthened a lot of my skills, and I don't regret it at all. (P17)</w:t>
      </w:r>
    </w:p>
    <w:p>
      <w:pPr>
        <w:pStyle w:val="BodyText"/>
        <w:spacing w:line="276" w:lineRule="auto" w:before="161"/>
        <w:ind w:left="720" w:right="1438"/>
        <w:jc w:val="both"/>
      </w:pPr>
      <w:r>
        <w:rPr/>
        <w:t>Another participant, also a non-accounting major, felt that the opportunities presented at </w:t>
      </w:r>
      <w:r>
        <w:rPr/>
        <w:t>the Accounting Principles Dinner were great for accounting majors, but did not necessarily align with their own passions (P34). In their opinion, “accounting usually has more to do either</w:t>
      </w:r>
      <w:r>
        <w:rPr>
          <w:spacing w:val="40"/>
        </w:rPr>
        <w:t> </w:t>
      </w:r>
      <w:r>
        <w:rPr/>
        <w:t>with running the books for a business or, you know, getting your CPA,” which varied from</w:t>
      </w:r>
      <w:r>
        <w:rPr>
          <w:spacing w:val="40"/>
        </w:rPr>
        <w:t> </w:t>
      </w:r>
      <w:r>
        <w:rPr/>
        <w:t>their desire to interact with people and help them work towards their financial goals.</w:t>
      </w:r>
      <w:r>
        <w:rPr>
          <w:spacing w:val="40"/>
        </w:rPr>
        <w:t> </w:t>
      </w:r>
      <w:r>
        <w:rPr/>
        <w:t>Interestingly, they later went on to say:</w:t>
      </w:r>
    </w:p>
    <w:p>
      <w:pPr>
        <w:pStyle w:val="BodyText"/>
        <w:spacing w:line="276" w:lineRule="auto" w:before="160"/>
        <w:ind w:left="720" w:right="1438"/>
        <w:jc w:val="both"/>
      </w:pPr>
      <w:r>
        <w:rPr/>
        <w:t>I would even be willing to get my CPA in the future in addition to my certifications as</w:t>
      </w:r>
      <w:r>
        <w:rPr>
          <w:spacing w:val="40"/>
        </w:rPr>
        <w:t> </w:t>
      </w:r>
      <w:r>
        <w:rPr/>
        <w:t>an</w:t>
      </w:r>
      <w:r>
        <w:rPr>
          <w:spacing w:val="40"/>
        </w:rPr>
        <w:t> </w:t>
      </w:r>
      <w:r>
        <w:rPr/>
        <w:t>advisor if I felt that it would behoove me. (P34)</w:t>
      </w:r>
    </w:p>
    <w:p>
      <w:pPr>
        <w:pStyle w:val="BodyText"/>
        <w:spacing w:line="276" w:lineRule="auto" w:before="160"/>
        <w:ind w:left="720" w:right="1442"/>
        <w:jc w:val="both"/>
      </w:pPr>
      <w:r>
        <w:rPr/>
        <w:t>Perhaps there is a misunderstanding of the functional scope of accounting that remains </w:t>
      </w:r>
      <w:r>
        <w:rPr/>
        <w:t>a significant barrier to recruitment, even among high-potential students who respect the</w:t>
      </w:r>
      <w:r>
        <w:rPr>
          <w:spacing w:val="80"/>
        </w:rPr>
        <w:t> </w:t>
      </w:r>
      <w:r>
        <w:rPr/>
        <w:t>profession. If students continue to perceive accounting as purely</w:t>
      </w:r>
      <w:r>
        <w:rPr>
          <w:spacing w:val="-3"/>
        </w:rPr>
        <w:t> </w:t>
      </w:r>
      <w:r>
        <w:rPr/>
        <w:t>administrative</w:t>
      </w:r>
      <w:r>
        <w:rPr>
          <w:spacing w:val="-3"/>
        </w:rPr>
        <w:t> </w:t>
      </w:r>
      <w:r>
        <w:rPr/>
        <w:t>work,</w:t>
      </w:r>
      <w:r>
        <w:rPr>
          <w:spacing w:val="-3"/>
        </w:rPr>
        <w:t> </w:t>
      </w:r>
      <w:r>
        <w:rPr/>
        <w:t>they</w:t>
      </w:r>
      <w:r>
        <w:rPr>
          <w:spacing w:val="40"/>
        </w:rPr>
        <w:t> </w:t>
      </w:r>
      <w:r>
        <w:rPr/>
        <w:t>may continue to pursue</w:t>
      </w:r>
      <w:r>
        <w:rPr>
          <w:spacing w:val="-3"/>
        </w:rPr>
        <w:t> </w:t>
      </w:r>
      <w:r>
        <w:rPr/>
        <w:t>other</w:t>
      </w:r>
      <w:r>
        <w:rPr>
          <w:spacing w:val="-3"/>
        </w:rPr>
        <w:t> </w:t>
      </w:r>
      <w:r>
        <w:rPr/>
        <w:t>business</w:t>
      </w:r>
      <w:r>
        <w:rPr>
          <w:spacing w:val="-3"/>
        </w:rPr>
        <w:t> </w:t>
      </w:r>
      <w:r>
        <w:rPr/>
        <w:t>disciplines</w:t>
      </w:r>
      <w:r>
        <w:rPr>
          <w:spacing w:val="-3"/>
        </w:rPr>
        <w:t> </w:t>
      </w:r>
      <w:r>
        <w:rPr/>
        <w:t>without</w:t>
      </w:r>
      <w:r>
        <w:rPr>
          <w:spacing w:val="-3"/>
        </w:rPr>
        <w:t> </w:t>
      </w:r>
      <w:r>
        <w:rPr/>
        <w:t>ever</w:t>
      </w:r>
      <w:r>
        <w:rPr>
          <w:spacing w:val="-3"/>
        </w:rPr>
        <w:t> </w:t>
      </w:r>
      <w:r>
        <w:rPr/>
        <w:t>realizing</w:t>
      </w:r>
      <w:r>
        <w:rPr>
          <w:spacing w:val="-3"/>
        </w:rPr>
        <w:t> </w:t>
      </w:r>
      <w:r>
        <w:rPr/>
        <w:t>the</w:t>
      </w:r>
      <w:r>
        <w:rPr>
          <w:spacing w:val="-3"/>
        </w:rPr>
        <w:t> </w:t>
      </w:r>
      <w:r>
        <w:rPr/>
        <w:t>interpersonal</w:t>
      </w:r>
      <w:r>
        <w:rPr>
          <w:spacing w:val="40"/>
        </w:rPr>
        <w:t> </w:t>
      </w:r>
      <w:r>
        <w:rPr/>
        <w:t>importance of accounting.</w:t>
      </w:r>
    </w:p>
    <w:p>
      <w:pPr>
        <w:pStyle w:val="BodyText"/>
        <w:spacing w:before="159"/>
        <w:ind w:left="720"/>
        <w:jc w:val="both"/>
      </w:pPr>
      <w:r>
        <w:rPr>
          <w:b/>
        </w:rPr>
        <w:t>Theme</w:t>
      </w:r>
      <w:r>
        <w:rPr>
          <w:b/>
          <w:spacing w:val="-2"/>
        </w:rPr>
        <w:t> </w:t>
      </w:r>
      <w:r>
        <w:rPr>
          <w:b/>
        </w:rPr>
        <w:t>3</w:t>
      </w:r>
      <w:r>
        <w:rPr/>
        <w:t>:</w:t>
      </w:r>
      <w:r>
        <w:rPr>
          <w:spacing w:val="-1"/>
        </w:rPr>
        <w:t> </w:t>
      </w:r>
      <w:r>
        <w:rPr/>
        <w:t>Bridging</w:t>
      </w:r>
      <w:r>
        <w:rPr>
          <w:spacing w:val="-1"/>
        </w:rPr>
        <w:t> </w:t>
      </w:r>
      <w:r>
        <w:rPr/>
        <w:t>the</w:t>
      </w:r>
      <w:r>
        <w:rPr>
          <w:spacing w:val="-2"/>
        </w:rPr>
        <w:t> </w:t>
      </w:r>
      <w:r>
        <w:rPr/>
        <w:t>Gap</w:t>
      </w:r>
      <w:r>
        <w:rPr>
          <w:spacing w:val="-1"/>
        </w:rPr>
        <w:t> </w:t>
      </w:r>
      <w:r>
        <w:rPr/>
        <w:t>Between</w:t>
      </w:r>
      <w:r>
        <w:rPr>
          <w:spacing w:val="-1"/>
        </w:rPr>
        <w:t> </w:t>
      </w:r>
      <w:r>
        <w:rPr/>
        <w:t>Technical</w:t>
      </w:r>
      <w:r>
        <w:rPr>
          <w:spacing w:val="-2"/>
        </w:rPr>
        <w:t> </w:t>
      </w:r>
      <w:r>
        <w:rPr/>
        <w:t>Proficiency</w:t>
      </w:r>
      <w:r>
        <w:rPr>
          <w:spacing w:val="-1"/>
        </w:rPr>
        <w:t> </w:t>
      </w:r>
      <w:r>
        <w:rPr/>
        <w:t>and</w:t>
      </w:r>
      <w:r>
        <w:rPr>
          <w:spacing w:val="-1"/>
        </w:rPr>
        <w:t> </w:t>
      </w:r>
      <w:r>
        <w:rPr/>
        <w:t>Societal</w:t>
      </w:r>
      <w:r>
        <w:rPr>
          <w:spacing w:val="-2"/>
        </w:rPr>
        <w:t> </w:t>
      </w:r>
      <w:r>
        <w:rPr/>
        <w:t>Impact</w:t>
      </w:r>
      <w:r>
        <w:rPr>
          <w:spacing w:val="-1"/>
        </w:rPr>
        <w:t> </w:t>
      </w:r>
      <w:r>
        <w:rPr/>
        <w:t>in</w:t>
      </w:r>
      <w:r>
        <w:rPr>
          <w:spacing w:val="58"/>
        </w:rPr>
        <w:t> </w:t>
      </w:r>
      <w:r>
        <w:rPr>
          <w:spacing w:val="-2"/>
        </w:rPr>
        <w:t>Accounting</w:t>
      </w:r>
    </w:p>
    <w:p>
      <w:pPr>
        <w:pStyle w:val="BodyText"/>
        <w:spacing w:line="276" w:lineRule="auto" w:before="202"/>
        <w:ind w:left="720" w:right="1439"/>
        <w:jc w:val="both"/>
      </w:pPr>
      <w:r>
        <w:rPr/>
        <w:t>The findings in Theme 3 respond to the research question by revealing that</w:t>
      </w:r>
      <w:r>
        <w:rPr>
          <w:spacing w:val="40"/>
        </w:rPr>
        <w:t> </w:t>
      </w:r>
      <w:r>
        <w:rPr/>
        <w:t>purpose-</w:t>
      </w:r>
      <w:r>
        <w:rPr/>
        <w:t>driven alignment was a significant factor for some participants deciding whether or</w:t>
      </w:r>
      <w:r>
        <w:rPr>
          <w:spacing w:val="40"/>
        </w:rPr>
        <w:t> </w:t>
      </w:r>
      <w:r>
        <w:rPr/>
        <w:t>not to major in accounting. By addressing the perceived societal value of the accounting</w:t>
      </w:r>
      <w:r>
        <w:rPr>
          <w:spacing w:val="40"/>
        </w:rPr>
        <w:t> </w:t>
      </w:r>
      <w:r>
        <w:rPr/>
        <w:t>profession from the perspectives of both accounting and non-accounting majors, this theme</w:t>
      </w:r>
      <w:r>
        <w:rPr>
          <w:spacing w:val="80"/>
        </w:rPr>
        <w:t> </w:t>
      </w:r>
      <w:r>
        <w:rPr/>
        <w:t>supports how critical it</w:t>
      </w:r>
      <w:r>
        <w:rPr>
          <w:spacing w:val="40"/>
        </w:rPr>
        <w:t> </w:t>
      </w:r>
      <w:r>
        <w:rPr/>
        <w:t>is for students to be aware that they can integrate their intrinsic values</w:t>
      </w:r>
      <w:r>
        <w:rPr>
          <w:spacing w:val="40"/>
        </w:rPr>
        <w:t> </w:t>
      </w:r>
      <w:r>
        <w:rPr/>
        <w:t>with a career in accounting. Ultimately, demonstrating that personal values and the</w:t>
      </w:r>
      <w:r>
        <w:rPr>
          <w:spacing w:val="40"/>
        </w:rPr>
        <w:t> </w:t>
      </w:r>
      <w:r>
        <w:rPr/>
        <w:t>professional accounting practice are not mutually exclusive can lower the barriers to entry for</w:t>
      </w:r>
      <w:r>
        <w:rPr>
          <w:spacing w:val="40"/>
        </w:rPr>
        <w:t> </w:t>
      </w:r>
      <w:r>
        <w:rPr/>
        <w:t>students who prioritize social impact.</w:t>
      </w:r>
    </w:p>
    <w:p>
      <w:pPr>
        <w:pStyle w:val="BodyText"/>
        <w:spacing w:before="160"/>
        <w:ind w:left="720"/>
        <w:jc w:val="both"/>
      </w:pPr>
      <w:r>
        <w:rPr>
          <w:b/>
        </w:rPr>
        <w:t>Subtheme 3.1</w:t>
      </w:r>
      <w:r>
        <w:rPr/>
        <w:t>: Learning to Align the Accounting Profession with Students’ Personal</w:t>
      </w:r>
      <w:r>
        <w:rPr>
          <w:spacing w:val="60"/>
        </w:rPr>
        <w:t> </w:t>
      </w:r>
      <w:r>
        <w:rPr>
          <w:spacing w:val="-2"/>
        </w:rPr>
        <w:t>Values</w:t>
      </w:r>
    </w:p>
    <w:p>
      <w:pPr>
        <w:pStyle w:val="BodyText"/>
        <w:spacing w:line="276" w:lineRule="auto" w:before="201"/>
        <w:ind w:left="720" w:right="1440"/>
        <w:jc w:val="both"/>
      </w:pPr>
      <w:r>
        <w:rPr/>
        <w:t>When exploring the influences behind major selection, the majority of participants</w:t>
      </w:r>
      <w:r>
        <w:rPr>
          <w:spacing w:val="80"/>
        </w:rPr>
        <w:t> </w:t>
      </w:r>
      <w:r>
        <w:rPr/>
        <w:t>who represent Theme 3 expressed getting personal fulfillment from their accounting degree</w:t>
      </w:r>
      <w:r>
        <w:rPr>
          <w:spacing w:val="40"/>
        </w:rPr>
        <w:t> </w:t>
      </w:r>
      <w:r>
        <w:rPr/>
        <w:t>and</w:t>
      </w:r>
      <w:r>
        <w:rPr>
          <w:spacing w:val="40"/>
        </w:rPr>
        <w:t> </w:t>
      </w:r>
      <w:r>
        <w:rPr/>
        <w:t>future career goals. The idea of helping others was a common sentiment, particularly</w:t>
      </w:r>
      <w:r>
        <w:rPr>
          <w:spacing w:val="40"/>
        </w:rPr>
        <w:t> </w:t>
      </w:r>
      <w:r>
        <w:rPr/>
        <w:t>among many accounting majors. One participant</w:t>
      </w:r>
      <w:r>
        <w:rPr>
          <w:spacing w:val="-3"/>
        </w:rPr>
        <w:t> </w:t>
      </w:r>
      <w:r>
        <w:rPr/>
        <w:t>noted</w:t>
      </w:r>
      <w:r>
        <w:rPr>
          <w:spacing w:val="-3"/>
        </w:rPr>
        <w:t> </w:t>
      </w:r>
      <w:r>
        <w:rPr/>
        <w:t>that</w:t>
      </w:r>
      <w:r>
        <w:rPr>
          <w:spacing w:val="-3"/>
        </w:rPr>
        <w:t> </w:t>
      </w:r>
      <w:r>
        <w:rPr/>
        <w:t>having</w:t>
      </w:r>
      <w:r>
        <w:rPr>
          <w:spacing w:val="-3"/>
        </w:rPr>
        <w:t> </w:t>
      </w:r>
      <w:r>
        <w:rPr/>
        <w:t>an</w:t>
      </w:r>
      <w:r>
        <w:rPr>
          <w:spacing w:val="-3"/>
        </w:rPr>
        <w:t> </w:t>
      </w:r>
      <w:r>
        <w:rPr/>
        <w:t>enthusiastic</w:t>
      </w:r>
      <w:r>
        <w:rPr>
          <w:spacing w:val="-3"/>
        </w:rPr>
        <w:t> </w:t>
      </w:r>
      <w:r>
        <w:rPr/>
        <w:t>accounting</w:t>
      </w:r>
      <w:r>
        <w:rPr>
          <w:spacing w:val="40"/>
        </w:rPr>
        <w:t> </w:t>
      </w:r>
      <w:r>
        <w:rPr/>
        <w:t>professor helped them understand the importance of accountants and stated:</w:t>
      </w:r>
    </w:p>
    <w:p>
      <w:pPr>
        <w:pStyle w:val="BodyText"/>
        <w:spacing w:line="276" w:lineRule="auto" w:before="160"/>
        <w:ind w:left="720" w:right="1441"/>
        <w:jc w:val="both"/>
      </w:pPr>
      <w:r>
        <w:rPr/>
        <w:t>I love the idea of gaining a skill and that kind of</w:t>
      </w:r>
      <w:r>
        <w:rPr>
          <w:spacing w:val="-2"/>
        </w:rPr>
        <w:t> </w:t>
      </w:r>
      <w:r>
        <w:rPr/>
        <w:t>thing,</w:t>
      </w:r>
      <w:r>
        <w:rPr>
          <w:spacing w:val="-2"/>
        </w:rPr>
        <w:t> </w:t>
      </w:r>
      <w:r>
        <w:rPr/>
        <w:t>and</w:t>
      </w:r>
      <w:r>
        <w:rPr>
          <w:spacing w:val="-2"/>
        </w:rPr>
        <w:t> </w:t>
      </w:r>
      <w:r>
        <w:rPr/>
        <w:t>being</w:t>
      </w:r>
      <w:r>
        <w:rPr>
          <w:spacing w:val="-2"/>
        </w:rPr>
        <w:t> </w:t>
      </w:r>
      <w:r>
        <w:rPr/>
        <w:t>able</w:t>
      </w:r>
      <w:r>
        <w:rPr>
          <w:spacing w:val="-2"/>
        </w:rPr>
        <w:t> </w:t>
      </w:r>
      <w:r>
        <w:rPr/>
        <w:t>to</w:t>
      </w:r>
      <w:r>
        <w:rPr>
          <w:spacing w:val="-2"/>
        </w:rPr>
        <w:t> </w:t>
      </w:r>
      <w:r>
        <w:rPr/>
        <w:t>use</w:t>
      </w:r>
      <w:r>
        <w:rPr>
          <w:spacing w:val="-2"/>
        </w:rPr>
        <w:t> </w:t>
      </w:r>
      <w:r>
        <w:rPr/>
        <w:t>it</w:t>
      </w:r>
      <w:r>
        <w:rPr>
          <w:spacing w:val="-2"/>
        </w:rPr>
        <w:t> </w:t>
      </w:r>
      <w:r>
        <w:rPr/>
        <w:t>to</w:t>
      </w:r>
      <w:r>
        <w:rPr>
          <w:spacing w:val="-2"/>
        </w:rPr>
        <w:t> </w:t>
      </w:r>
      <w:r>
        <w:rPr/>
        <w:t>help</w:t>
      </w:r>
      <w:r>
        <w:rPr>
          <w:spacing w:val="40"/>
        </w:rPr>
        <w:t> </w:t>
      </w:r>
      <w:r>
        <w:rPr/>
        <w:t>people.</w:t>
      </w:r>
      <w:r>
        <w:rPr>
          <w:spacing w:val="-2"/>
        </w:rPr>
        <w:t> </w:t>
      </w:r>
      <w:r>
        <w:rPr/>
        <w:t>I think there were definitely people in the room [Accounting Principles</w:t>
      </w:r>
      <w:r>
        <w:rPr>
          <w:spacing w:val="40"/>
        </w:rPr>
        <w:t> </w:t>
      </w:r>
      <w:r>
        <w:rPr/>
        <w:t>Dinner], like Dr.</w:t>
      </w:r>
      <w:r>
        <w:rPr>
          <w:spacing w:val="-3"/>
        </w:rPr>
        <w:t> </w:t>
      </w:r>
      <w:r>
        <w:rPr/>
        <w:t>Hasson who</w:t>
      </w:r>
      <w:r>
        <w:rPr>
          <w:spacing w:val="30"/>
        </w:rPr>
        <w:t> </w:t>
      </w:r>
      <w:r>
        <w:rPr/>
        <w:t>is</w:t>
      </w:r>
      <w:r>
        <w:rPr>
          <w:spacing w:val="30"/>
        </w:rPr>
        <w:t> </w:t>
      </w:r>
      <w:r>
        <w:rPr/>
        <w:t>a</w:t>
      </w:r>
      <w:r>
        <w:rPr>
          <w:spacing w:val="30"/>
        </w:rPr>
        <w:t> </w:t>
      </w:r>
      <w:r>
        <w:rPr/>
        <w:t>great</w:t>
      </w:r>
      <w:r>
        <w:rPr>
          <w:spacing w:val="30"/>
        </w:rPr>
        <w:t> </w:t>
      </w:r>
      <w:r>
        <w:rPr/>
        <w:t>example</w:t>
      </w:r>
      <w:r>
        <w:rPr>
          <w:spacing w:val="30"/>
        </w:rPr>
        <w:t> </w:t>
      </w:r>
      <w:r>
        <w:rPr/>
        <w:t>of</w:t>
      </w:r>
      <w:r>
        <w:rPr>
          <w:spacing w:val="30"/>
        </w:rPr>
        <w:t> </w:t>
      </w:r>
      <w:r>
        <w:rPr/>
        <w:t>someone</w:t>
      </w:r>
      <w:r>
        <w:rPr>
          <w:spacing w:val="30"/>
        </w:rPr>
        <w:t> </w:t>
      </w:r>
      <w:r>
        <w:rPr/>
        <w:t>who</w:t>
      </w:r>
      <w:r>
        <w:rPr>
          <w:spacing w:val="30"/>
        </w:rPr>
        <w:t> </w:t>
      </w:r>
      <w:r>
        <w:rPr/>
        <w:t>loves</w:t>
      </w:r>
      <w:r>
        <w:rPr>
          <w:spacing w:val="15"/>
        </w:rPr>
        <w:t> </w:t>
      </w:r>
      <w:r>
        <w:rPr/>
        <w:t>having</w:t>
      </w:r>
      <w:r>
        <w:rPr>
          <w:spacing w:val="15"/>
        </w:rPr>
        <w:t> </w:t>
      </w:r>
      <w:r>
        <w:rPr/>
        <w:t>the</w:t>
      </w:r>
      <w:r>
        <w:rPr>
          <w:spacing w:val="60"/>
          <w:w w:val="150"/>
        </w:rPr>
        <w:t> </w:t>
      </w:r>
      <w:r>
        <w:rPr/>
        <w:t>skill</w:t>
      </w:r>
      <w:r>
        <w:rPr>
          <w:spacing w:val="15"/>
        </w:rPr>
        <w:t> </w:t>
      </w:r>
      <w:r>
        <w:rPr/>
        <w:t>that</w:t>
      </w:r>
      <w:r>
        <w:rPr>
          <w:spacing w:val="15"/>
        </w:rPr>
        <w:t> </w:t>
      </w:r>
      <w:r>
        <w:rPr/>
        <w:t>is</w:t>
      </w:r>
      <w:r>
        <w:rPr>
          <w:spacing w:val="15"/>
        </w:rPr>
        <w:t> </w:t>
      </w:r>
      <w:r>
        <w:rPr/>
        <w:t>able</w:t>
      </w:r>
      <w:r>
        <w:rPr>
          <w:spacing w:val="15"/>
        </w:rPr>
        <w:t> </w:t>
      </w:r>
      <w:r>
        <w:rPr/>
        <w:t>to</w:t>
      </w:r>
      <w:r>
        <w:rPr>
          <w:spacing w:val="15"/>
        </w:rPr>
        <w:t> </w:t>
      </w:r>
      <w:r>
        <w:rPr/>
        <w:t>help</w:t>
      </w:r>
      <w:r>
        <w:rPr>
          <w:spacing w:val="15"/>
        </w:rPr>
        <w:t> </w:t>
      </w:r>
      <w:r>
        <w:rPr/>
        <w:t>people.</w:t>
      </w:r>
      <w:r>
        <w:rPr>
          <w:spacing w:val="15"/>
        </w:rPr>
        <w:t> </w:t>
      </w:r>
      <w:r>
        <w:rPr>
          <w:spacing w:val="-5"/>
        </w:rPr>
        <w:t>He</w:t>
      </w:r>
    </w:p>
    <w:p>
      <w:pPr>
        <w:pStyle w:val="BodyText"/>
        <w:spacing w:after="0" w:line="276" w:lineRule="auto"/>
        <w:jc w:val="both"/>
        <w:sectPr>
          <w:pgSz w:w="12240" w:h="15840"/>
          <w:pgMar w:header="0" w:footer="750" w:top="640" w:bottom="960" w:left="720" w:right="0"/>
        </w:sectPr>
      </w:pPr>
    </w:p>
    <w:p>
      <w:pPr>
        <w:pStyle w:val="BodyText"/>
        <w:spacing w:before="60"/>
        <w:ind w:left="720"/>
        <w:jc w:val="both"/>
      </w:pPr>
      <w:r>
        <w:rPr/>
        <w:t>understands the drastic importance of accountants.</w:t>
      </w:r>
      <w:r>
        <w:rPr>
          <w:spacing w:val="60"/>
        </w:rPr>
        <w:t> </w:t>
      </w:r>
      <w:r>
        <w:rPr>
          <w:spacing w:val="-2"/>
        </w:rPr>
        <w:t>(P10)</w:t>
      </w:r>
    </w:p>
    <w:p>
      <w:pPr>
        <w:pStyle w:val="BodyText"/>
        <w:spacing w:line="276" w:lineRule="auto" w:before="202"/>
        <w:ind w:left="720" w:right="1439"/>
        <w:jc w:val="both"/>
      </w:pPr>
      <w:r>
        <w:rPr/>
        <w:t>Another participant, who is passionate about sustainability, recognized that they could</w:t>
      </w:r>
      <w:r>
        <w:rPr>
          <w:spacing w:val="40"/>
        </w:rPr>
        <w:t> </w:t>
      </w:r>
      <w:r>
        <w:rPr/>
        <w:t>combine their personal values with accounting after talking with a professor and having the</w:t>
      </w:r>
      <w:r>
        <w:rPr>
          <w:spacing w:val="40"/>
        </w:rPr>
        <w:t> </w:t>
      </w:r>
      <w:r>
        <w:rPr/>
        <w:t>following </w:t>
      </w:r>
      <w:r>
        <w:rPr>
          <w:spacing w:val="-2"/>
        </w:rPr>
        <w:t>experience:</w:t>
      </w:r>
    </w:p>
    <w:p>
      <w:pPr>
        <w:pStyle w:val="BodyText"/>
        <w:spacing w:line="276" w:lineRule="auto" w:before="160"/>
        <w:ind w:left="720" w:right="1443"/>
        <w:jc w:val="both"/>
      </w:pPr>
      <w:r>
        <w:rPr/>
        <w:t>And so throughout managerial accounting, I realized that when I described the type of</w:t>
      </w:r>
      <w:r>
        <w:rPr>
          <w:spacing w:val="40"/>
        </w:rPr>
        <w:t> </w:t>
      </w:r>
      <w:r>
        <w:rPr/>
        <w:t>job </w:t>
      </w:r>
      <w:r>
        <w:rPr/>
        <w:t>and daily work life that I wanted, it kind of fit right in with that … I like how</w:t>
      </w:r>
      <w:r>
        <w:rPr>
          <w:spacing w:val="40"/>
        </w:rPr>
        <w:t> </w:t>
      </w:r>
      <w:r>
        <w:rPr/>
        <w:t>you're working to</w:t>
      </w:r>
      <w:r>
        <w:rPr>
          <w:spacing w:val="40"/>
        </w:rPr>
        <w:t> </w:t>
      </w:r>
      <w:r>
        <w:rPr/>
        <w:t>make a little bit more of a difference,</w:t>
      </w:r>
      <w:r>
        <w:rPr>
          <w:spacing w:val="-4"/>
        </w:rPr>
        <w:t> </w:t>
      </w:r>
      <w:r>
        <w:rPr/>
        <w:t>more</w:t>
      </w:r>
      <w:r>
        <w:rPr>
          <w:spacing w:val="-4"/>
        </w:rPr>
        <w:t> </w:t>
      </w:r>
      <w:r>
        <w:rPr/>
        <w:t>directly,</w:t>
      </w:r>
      <w:r>
        <w:rPr>
          <w:spacing w:val="-4"/>
        </w:rPr>
        <w:t> </w:t>
      </w:r>
      <w:r>
        <w:rPr/>
        <w:t>I</w:t>
      </w:r>
      <w:r>
        <w:rPr>
          <w:spacing w:val="-4"/>
        </w:rPr>
        <w:t> </w:t>
      </w:r>
      <w:r>
        <w:rPr/>
        <w:t>guess,</w:t>
      </w:r>
      <w:r>
        <w:rPr>
          <w:spacing w:val="-4"/>
        </w:rPr>
        <w:t> </w:t>
      </w:r>
      <w:r>
        <w:rPr/>
        <w:t>in</w:t>
      </w:r>
      <w:r>
        <w:rPr>
          <w:spacing w:val="-4"/>
        </w:rPr>
        <w:t> </w:t>
      </w:r>
      <w:r>
        <w:rPr/>
        <w:t>the</w:t>
      </w:r>
      <w:r>
        <w:rPr>
          <w:spacing w:val="40"/>
        </w:rPr>
        <w:t> </w:t>
      </w:r>
      <w:r>
        <w:rPr/>
        <w:t>company</w:t>
      </w:r>
      <w:r>
        <w:rPr>
          <w:spacing w:val="-4"/>
        </w:rPr>
        <w:t> </w:t>
      </w:r>
      <w:r>
        <w:rPr/>
        <w:t>you're</w:t>
      </w:r>
      <w:r>
        <w:rPr>
          <w:spacing w:val="-4"/>
        </w:rPr>
        <w:t> </w:t>
      </w:r>
      <w:r>
        <w:rPr/>
        <w:t>working</w:t>
      </w:r>
      <w:r>
        <w:rPr>
          <w:spacing w:val="-4"/>
        </w:rPr>
        <w:t> </w:t>
      </w:r>
      <w:r>
        <w:rPr/>
        <w:t>for. </w:t>
      </w:r>
      <w:r>
        <w:rPr>
          <w:spacing w:val="-2"/>
        </w:rPr>
        <w:t>(P20)</w:t>
      </w:r>
    </w:p>
    <w:p>
      <w:pPr>
        <w:pStyle w:val="BodyText"/>
        <w:spacing w:line="276" w:lineRule="auto" w:before="160"/>
        <w:ind w:left="720" w:right="1445"/>
        <w:jc w:val="both"/>
      </w:pPr>
      <w:r>
        <w:rPr/>
        <w:t>This</w:t>
      </w:r>
      <w:r>
        <w:rPr>
          <w:spacing w:val="40"/>
        </w:rPr>
        <w:t> </w:t>
      </w:r>
      <w:r>
        <w:rPr/>
        <w:t>specific</w:t>
      </w:r>
      <w:r>
        <w:rPr>
          <w:spacing w:val="40"/>
        </w:rPr>
        <w:t> </w:t>
      </w:r>
      <w:r>
        <w:rPr/>
        <w:t>example</w:t>
      </w:r>
      <w:r>
        <w:rPr>
          <w:spacing w:val="40"/>
        </w:rPr>
        <w:t> </w:t>
      </w:r>
      <w:r>
        <w:rPr/>
        <w:t>is</w:t>
      </w:r>
      <w:r>
        <w:rPr>
          <w:spacing w:val="40"/>
        </w:rPr>
        <w:t> </w:t>
      </w:r>
      <w:r>
        <w:rPr/>
        <w:t>interesting</w:t>
      </w:r>
      <w:r>
        <w:rPr>
          <w:spacing w:val="40"/>
        </w:rPr>
        <w:t> </w:t>
      </w:r>
      <w:r>
        <w:rPr/>
        <w:t>when compared to the perception of accounting </w:t>
      </w:r>
      <w:r>
        <w:rPr/>
        <w:t>from another participant, a non-accounting major, who enjoyed the subject but did not pursue the profession for a different reason:</w:t>
      </w:r>
    </w:p>
    <w:p>
      <w:pPr>
        <w:pStyle w:val="BodyText"/>
        <w:spacing w:line="276" w:lineRule="auto" w:before="160"/>
        <w:ind w:left="720" w:right="1442"/>
        <w:jc w:val="both"/>
      </w:pPr>
      <w:r>
        <w:rPr/>
        <w:t>I was</w:t>
      </w:r>
      <w:r>
        <w:rPr>
          <w:spacing w:val="-3"/>
        </w:rPr>
        <w:t> </w:t>
      </w:r>
      <w:r>
        <w:rPr/>
        <w:t>pretty</w:t>
      </w:r>
      <w:r>
        <w:rPr>
          <w:spacing w:val="-3"/>
        </w:rPr>
        <w:t> </w:t>
      </w:r>
      <w:r>
        <w:rPr/>
        <w:t>set</w:t>
      </w:r>
      <w:r>
        <w:rPr>
          <w:spacing w:val="-3"/>
        </w:rPr>
        <w:t> </w:t>
      </w:r>
      <w:r>
        <w:rPr/>
        <w:t>on</w:t>
      </w:r>
      <w:r>
        <w:rPr>
          <w:spacing w:val="-3"/>
        </w:rPr>
        <w:t> </w:t>
      </w:r>
      <w:r>
        <w:rPr/>
        <w:t>the</w:t>
      </w:r>
      <w:r>
        <w:rPr>
          <w:spacing w:val="-3"/>
        </w:rPr>
        <w:t> </w:t>
      </w:r>
      <w:r>
        <w:rPr/>
        <w:t>sustainable</w:t>
      </w:r>
      <w:r>
        <w:rPr>
          <w:spacing w:val="-3"/>
        </w:rPr>
        <w:t> </w:t>
      </w:r>
      <w:r>
        <w:rPr/>
        <w:t>business</w:t>
      </w:r>
      <w:r>
        <w:rPr>
          <w:spacing w:val="-3"/>
        </w:rPr>
        <w:t> </w:t>
      </w:r>
      <w:r>
        <w:rPr/>
        <w:t>management</w:t>
      </w:r>
      <w:r>
        <w:rPr>
          <w:spacing w:val="-3"/>
        </w:rPr>
        <w:t> </w:t>
      </w:r>
      <w:r>
        <w:rPr/>
        <w:t>path,</w:t>
      </w:r>
      <w:r>
        <w:rPr>
          <w:spacing w:val="-3"/>
        </w:rPr>
        <w:t> </w:t>
      </w:r>
      <w:r>
        <w:rPr/>
        <w:t>but</w:t>
      </w:r>
      <w:r>
        <w:rPr>
          <w:spacing w:val="-3"/>
        </w:rPr>
        <w:t> </w:t>
      </w:r>
      <w:r>
        <w:rPr/>
        <w:t>accounting</w:t>
      </w:r>
      <w:r>
        <w:rPr>
          <w:spacing w:val="-3"/>
        </w:rPr>
        <w:t> </w:t>
      </w:r>
      <w:r>
        <w:rPr/>
        <w:t>had</w:t>
      </w:r>
      <w:r>
        <w:rPr>
          <w:spacing w:val="40"/>
        </w:rPr>
        <w:t> </w:t>
      </w:r>
      <w:r>
        <w:rPr/>
        <w:t>kind</w:t>
      </w:r>
      <w:r>
        <w:rPr>
          <w:spacing w:val="-3"/>
        </w:rPr>
        <w:t> </w:t>
      </w:r>
      <w:r>
        <w:rPr/>
        <w:t>of</w:t>
      </w:r>
      <w:r>
        <w:rPr>
          <w:spacing w:val="-3"/>
        </w:rPr>
        <w:t> </w:t>
      </w:r>
      <w:r>
        <w:rPr/>
        <w:t>piqued my interest just because, as I mentioned, I liked more of the numbers</w:t>
      </w:r>
      <w:r>
        <w:rPr>
          <w:spacing w:val="80"/>
        </w:rPr>
        <w:t> </w:t>
      </w:r>
      <w:r>
        <w:rPr/>
        <w:t>and the more tangible work. I think ultimately I wasn't as interested in accounting just</w:t>
      </w:r>
      <w:r>
        <w:rPr>
          <w:spacing w:val="40"/>
        </w:rPr>
        <w:t> </w:t>
      </w:r>
      <w:r>
        <w:rPr/>
        <w:t>because it was generally more specific to money. (P16)</w:t>
      </w:r>
    </w:p>
    <w:p>
      <w:pPr>
        <w:pStyle w:val="BodyText"/>
        <w:spacing w:line="276" w:lineRule="auto" w:before="160"/>
        <w:ind w:left="720" w:right="1444"/>
        <w:jc w:val="both"/>
      </w:pPr>
      <w:r>
        <w:rPr/>
        <w:t>To help mitigate leaks in the accounting pipeline, recruiting efforts may need to amplify </w:t>
      </w:r>
      <w:r>
        <w:rPr/>
        <w:t>the narratives of professionals who have integrated their personal values with their career goals, demonstrating that accounting can lead to professional success and personal fulfillment.</w:t>
      </w:r>
    </w:p>
    <w:p>
      <w:pPr>
        <w:pStyle w:val="BodyText"/>
        <w:spacing w:line="276" w:lineRule="auto" w:before="160"/>
        <w:ind w:left="720" w:right="1438"/>
        <w:jc w:val="both"/>
      </w:pPr>
      <w:r>
        <w:rPr/>
        <w:t>Findings for this subtheme suggest that most current accounting majors, who are</w:t>
      </w:r>
      <w:r>
        <w:rPr>
          <w:spacing w:val="40"/>
        </w:rPr>
        <w:t> </w:t>
      </w:r>
      <w:r>
        <w:rPr/>
        <w:t>more</w:t>
      </w:r>
      <w:r>
        <w:rPr>
          <w:spacing w:val="-3"/>
        </w:rPr>
        <w:t> </w:t>
      </w:r>
      <w:r>
        <w:rPr/>
        <w:t>familiar with the profession and its different paths, are generally more likely to align</w:t>
      </w:r>
      <w:r>
        <w:rPr>
          <w:spacing w:val="40"/>
        </w:rPr>
        <w:t> </w:t>
      </w:r>
      <w:r>
        <w:rPr/>
        <w:t>their personal</w:t>
      </w:r>
      <w:r>
        <w:rPr>
          <w:spacing w:val="40"/>
        </w:rPr>
        <w:t> </w:t>
      </w:r>
      <w:r>
        <w:rPr/>
        <w:t>values with the profession. For one participant, who started as a psychology</w:t>
      </w:r>
      <w:r>
        <w:rPr>
          <w:spacing w:val="40"/>
        </w:rPr>
        <w:t> </w:t>
      </w:r>
      <w:r>
        <w:rPr/>
        <w:t>major wanting to become a therapist, this was evident when they realized that helping others</w:t>
      </w:r>
      <w:r>
        <w:rPr>
          <w:spacing w:val="40"/>
        </w:rPr>
        <w:t> </w:t>
      </w:r>
      <w:r>
        <w:rPr/>
        <w:t>can be achieved through many types of careers:</w:t>
      </w:r>
    </w:p>
    <w:p>
      <w:pPr>
        <w:pStyle w:val="BodyText"/>
        <w:spacing w:line="276" w:lineRule="auto" w:before="160"/>
        <w:ind w:left="720" w:right="1441"/>
        <w:jc w:val="both"/>
      </w:pPr>
      <w:r>
        <w:rPr/>
        <w:t>For me in accounting, that looked like going into</w:t>
      </w:r>
      <w:r>
        <w:rPr>
          <w:spacing w:val="-2"/>
        </w:rPr>
        <w:t> </w:t>
      </w:r>
      <w:r>
        <w:rPr/>
        <w:t>auditing</w:t>
      </w:r>
      <w:r>
        <w:rPr>
          <w:spacing w:val="-2"/>
        </w:rPr>
        <w:t> </w:t>
      </w:r>
      <w:r>
        <w:rPr/>
        <w:t>and</w:t>
      </w:r>
      <w:r>
        <w:rPr>
          <w:spacing w:val="-2"/>
        </w:rPr>
        <w:t> </w:t>
      </w:r>
      <w:r>
        <w:rPr/>
        <w:t>gaining</w:t>
      </w:r>
      <w:r>
        <w:rPr>
          <w:spacing w:val="-2"/>
        </w:rPr>
        <w:t> </w:t>
      </w:r>
      <w:r>
        <w:rPr/>
        <w:t>this</w:t>
      </w:r>
      <w:r>
        <w:rPr>
          <w:spacing w:val="40"/>
        </w:rPr>
        <w:t> </w:t>
      </w:r>
      <w:r>
        <w:rPr/>
        <w:t>information,</w:t>
      </w:r>
      <w:r>
        <w:rPr>
          <w:spacing w:val="-2"/>
        </w:rPr>
        <w:t> </w:t>
      </w:r>
      <w:r>
        <w:rPr/>
        <w:t>gaining this knowledge from</w:t>
      </w:r>
      <w:r>
        <w:rPr>
          <w:spacing w:val="-3"/>
        </w:rPr>
        <w:t> </w:t>
      </w:r>
      <w:r>
        <w:rPr/>
        <w:t>other</w:t>
      </w:r>
      <w:r>
        <w:rPr>
          <w:spacing w:val="-3"/>
        </w:rPr>
        <w:t> </w:t>
      </w:r>
      <w:r>
        <w:rPr/>
        <w:t>people</w:t>
      </w:r>
      <w:r>
        <w:rPr>
          <w:spacing w:val="-3"/>
        </w:rPr>
        <w:t> </w:t>
      </w:r>
      <w:r>
        <w:rPr/>
        <w:t>around</w:t>
      </w:r>
      <w:r>
        <w:rPr>
          <w:spacing w:val="-3"/>
        </w:rPr>
        <w:t> </w:t>
      </w:r>
      <w:r>
        <w:rPr/>
        <w:t>me,</w:t>
      </w:r>
      <w:r>
        <w:rPr>
          <w:spacing w:val="-3"/>
        </w:rPr>
        <w:t> </w:t>
      </w:r>
      <w:r>
        <w:rPr/>
        <w:t>and</w:t>
      </w:r>
      <w:r>
        <w:rPr>
          <w:spacing w:val="-3"/>
        </w:rPr>
        <w:t> </w:t>
      </w:r>
      <w:r>
        <w:rPr/>
        <w:t>then</w:t>
      </w:r>
      <w:r>
        <w:rPr>
          <w:spacing w:val="-3"/>
        </w:rPr>
        <w:t> </w:t>
      </w:r>
      <w:r>
        <w:rPr/>
        <w:t>being</w:t>
      </w:r>
      <w:r>
        <w:rPr>
          <w:spacing w:val="40"/>
        </w:rPr>
        <w:t> </w:t>
      </w:r>
      <w:r>
        <w:rPr/>
        <w:t>able</w:t>
      </w:r>
      <w:r>
        <w:rPr>
          <w:spacing w:val="-3"/>
        </w:rPr>
        <w:t> </w:t>
      </w:r>
      <w:r>
        <w:rPr/>
        <w:t>to</w:t>
      </w:r>
      <w:r>
        <w:rPr>
          <w:spacing w:val="-3"/>
        </w:rPr>
        <w:t> </w:t>
      </w:r>
      <w:r>
        <w:rPr/>
        <w:t>regurgitate</w:t>
      </w:r>
      <w:r>
        <w:rPr>
          <w:spacing w:val="-3"/>
        </w:rPr>
        <w:t> </w:t>
      </w:r>
      <w:r>
        <w:rPr/>
        <w:t>that</w:t>
      </w:r>
      <w:r>
        <w:rPr>
          <w:spacing w:val="-3"/>
        </w:rPr>
        <w:t> </w:t>
      </w:r>
      <w:r>
        <w:rPr/>
        <w:t>information to others and help others grow and learn from my</w:t>
      </w:r>
      <w:r>
        <w:rPr>
          <w:spacing w:val="40"/>
        </w:rPr>
        <w:t> </w:t>
      </w:r>
      <w:r>
        <w:rPr/>
        <w:t>experiences in accounting. It doesn't necessarily have to be therapy that I'm helping</w:t>
      </w:r>
      <w:r>
        <w:rPr>
          <w:spacing w:val="40"/>
        </w:rPr>
        <w:t> </w:t>
      </w:r>
      <w:r>
        <w:rPr/>
        <w:t>people grow. (P13)</w:t>
      </w:r>
    </w:p>
    <w:p>
      <w:pPr>
        <w:pStyle w:val="BodyText"/>
        <w:spacing w:line="276" w:lineRule="auto" w:before="160"/>
        <w:ind w:left="720" w:right="1449"/>
        <w:jc w:val="both"/>
      </w:pPr>
      <w:r>
        <w:rPr/>
        <w:t>A</w:t>
      </w:r>
      <w:r>
        <w:rPr>
          <w:spacing w:val="40"/>
        </w:rPr>
        <w:t> </w:t>
      </w:r>
      <w:r>
        <w:rPr/>
        <w:t>second</w:t>
      </w:r>
      <w:r>
        <w:rPr>
          <w:spacing w:val="40"/>
        </w:rPr>
        <w:t> </w:t>
      </w:r>
      <w:r>
        <w:rPr/>
        <w:t>participant,</w:t>
      </w:r>
      <w:r>
        <w:rPr>
          <w:spacing w:val="40"/>
        </w:rPr>
        <w:t> </w:t>
      </w:r>
      <w:r>
        <w:rPr/>
        <w:t>with</w:t>
      </w:r>
      <w:r>
        <w:rPr>
          <w:spacing w:val="40"/>
        </w:rPr>
        <w:t> </w:t>
      </w:r>
      <w:r>
        <w:rPr/>
        <w:t>a</w:t>
      </w:r>
      <w:r>
        <w:rPr>
          <w:spacing w:val="40"/>
        </w:rPr>
        <w:t> </w:t>
      </w:r>
      <w:r>
        <w:rPr/>
        <w:t>specific goal or becoming a forensic accountant, expressed </w:t>
      </w:r>
      <w:r>
        <w:rPr/>
        <w:t>how they connect a career in accounting with their values:</w:t>
      </w:r>
    </w:p>
    <w:p>
      <w:pPr>
        <w:pStyle w:val="BodyText"/>
        <w:spacing w:line="276" w:lineRule="auto" w:before="160"/>
        <w:ind w:left="720" w:right="1438"/>
        <w:jc w:val="both"/>
      </w:pPr>
      <w:r>
        <w:rPr/>
        <w:t>For me, I really do get a lot of joy out of solving puzzles, helping people, and also</w:t>
      </w:r>
      <w:r>
        <w:rPr>
          <w:spacing w:val="-2"/>
        </w:rPr>
        <w:t> </w:t>
      </w:r>
      <w:r>
        <w:rPr/>
        <w:t>I</w:t>
      </w:r>
      <w:r>
        <w:rPr>
          <w:spacing w:val="40"/>
        </w:rPr>
        <w:t> </w:t>
      </w:r>
      <w:r>
        <w:rPr/>
        <w:t>feel</w:t>
      </w:r>
      <w:r>
        <w:rPr>
          <w:spacing w:val="-2"/>
        </w:rPr>
        <w:t> </w:t>
      </w:r>
      <w:r>
        <w:rPr/>
        <w:t>really strongly about honesty, like having integrity. And so for me, the whole</w:t>
      </w:r>
      <w:r>
        <w:rPr>
          <w:spacing w:val="40"/>
        </w:rPr>
        <w:t> </w:t>
      </w:r>
      <w:r>
        <w:rPr/>
        <w:t>point of accounting is you have to have integrity and be</w:t>
      </w:r>
      <w:r>
        <w:rPr>
          <w:spacing w:val="-2"/>
        </w:rPr>
        <w:t> </w:t>
      </w:r>
      <w:r>
        <w:rPr/>
        <w:t>honest</w:t>
      </w:r>
      <w:r>
        <w:rPr>
          <w:spacing w:val="-2"/>
        </w:rPr>
        <w:t> </w:t>
      </w:r>
      <w:r>
        <w:rPr/>
        <w:t>…</w:t>
      </w:r>
      <w:r>
        <w:rPr>
          <w:spacing w:val="-2"/>
        </w:rPr>
        <w:t> </w:t>
      </w:r>
      <w:r>
        <w:rPr/>
        <w:t>And</w:t>
      </w:r>
      <w:r>
        <w:rPr>
          <w:spacing w:val="-2"/>
        </w:rPr>
        <w:t> </w:t>
      </w:r>
      <w:r>
        <w:rPr/>
        <w:t>so</w:t>
      </w:r>
      <w:r>
        <w:rPr>
          <w:spacing w:val="-2"/>
        </w:rPr>
        <w:t> </w:t>
      </w:r>
      <w:r>
        <w:rPr/>
        <w:t>I</w:t>
      </w:r>
      <w:r>
        <w:rPr>
          <w:spacing w:val="-2"/>
        </w:rPr>
        <w:t> </w:t>
      </w:r>
      <w:r>
        <w:rPr/>
        <w:t>think</w:t>
      </w:r>
      <w:r>
        <w:rPr>
          <w:spacing w:val="-2"/>
        </w:rPr>
        <w:t> </w:t>
      </w:r>
      <w:r>
        <w:rPr/>
        <w:t>that</w:t>
      </w:r>
      <w:r>
        <w:rPr>
          <w:spacing w:val="-2"/>
        </w:rPr>
        <w:t> </w:t>
      </w:r>
      <w:r>
        <w:rPr/>
        <w:t>accounting</w:t>
      </w:r>
      <w:r>
        <w:rPr>
          <w:spacing w:val="-2"/>
        </w:rPr>
        <w:t> </w:t>
      </w:r>
      <w:r>
        <w:rPr/>
        <w:t>lets</w:t>
      </w:r>
      <w:r>
        <w:rPr>
          <w:spacing w:val="-2"/>
        </w:rPr>
        <w:t> </w:t>
      </w:r>
      <w:r>
        <w:rPr/>
        <w:t>me</w:t>
      </w:r>
      <w:r>
        <w:rPr>
          <w:spacing w:val="-2"/>
        </w:rPr>
        <w:t> </w:t>
      </w:r>
      <w:r>
        <w:rPr/>
        <w:t>do</w:t>
      </w:r>
      <w:r>
        <w:rPr>
          <w:spacing w:val="-2"/>
        </w:rPr>
        <w:t> </w:t>
      </w:r>
      <w:r>
        <w:rPr/>
        <w:t>stuff</w:t>
      </w:r>
      <w:r>
        <w:rPr>
          <w:spacing w:val="-2"/>
        </w:rPr>
        <w:t> </w:t>
      </w:r>
      <w:r>
        <w:rPr/>
        <w:t>that's business oriented, but I don't feel like I'm screwing</w:t>
      </w:r>
      <w:r>
        <w:rPr>
          <w:spacing w:val="40"/>
        </w:rPr>
        <w:t> </w:t>
      </w:r>
      <w:r>
        <w:rPr/>
        <w:t>people over. (P23)</w:t>
      </w:r>
    </w:p>
    <w:p>
      <w:pPr>
        <w:pStyle w:val="BodyText"/>
        <w:spacing w:line="276" w:lineRule="auto" w:before="160"/>
        <w:ind w:left="720" w:right="1445"/>
        <w:jc w:val="both"/>
      </w:pPr>
      <w:r>
        <w:rPr/>
        <w:t>Rather than accepting the traditional views of accounting majors, these stories highlight a</w:t>
      </w:r>
      <w:r>
        <w:rPr>
          <w:spacing w:val="40"/>
        </w:rPr>
        <w:t> </w:t>
      </w:r>
      <w:r>
        <w:rPr/>
        <w:t>new narrative of how students are learning to find value in the accounting profession. An</w:t>
      </w:r>
      <w:r>
        <w:rPr>
          <w:spacing w:val="40"/>
        </w:rPr>
        <w:t> </w:t>
      </w:r>
      <w:r>
        <w:rPr/>
        <w:t>essential next step would be to ensure that all students, not just those already majoring in</w:t>
      </w:r>
    </w:p>
    <w:p>
      <w:pPr>
        <w:pStyle w:val="BodyText"/>
        <w:spacing w:line="276" w:lineRule="auto" w:before="160"/>
        <w:ind w:left="720" w:right="1451"/>
        <w:jc w:val="both"/>
      </w:pPr>
      <w:r>
        <w:rPr/>
        <w:t>accounting, are</w:t>
      </w:r>
      <w:r>
        <w:rPr>
          <w:spacing w:val="-3"/>
        </w:rPr>
        <w:t> </w:t>
      </w:r>
      <w:r>
        <w:rPr/>
        <w:t>aware</w:t>
      </w:r>
      <w:r>
        <w:rPr>
          <w:spacing w:val="-3"/>
        </w:rPr>
        <w:t> </w:t>
      </w:r>
      <w:r>
        <w:rPr/>
        <w:t>of</w:t>
      </w:r>
      <w:r>
        <w:rPr>
          <w:spacing w:val="-3"/>
        </w:rPr>
        <w:t> </w:t>
      </w:r>
      <w:r>
        <w:rPr/>
        <w:t>this</w:t>
      </w:r>
      <w:r>
        <w:rPr>
          <w:spacing w:val="-3"/>
        </w:rPr>
        <w:t> </w:t>
      </w:r>
      <w:r>
        <w:rPr/>
        <w:t>possibility</w:t>
      </w:r>
      <w:r>
        <w:rPr>
          <w:spacing w:val="-3"/>
        </w:rPr>
        <w:t> </w:t>
      </w:r>
      <w:r>
        <w:rPr/>
        <w:t>so</w:t>
      </w:r>
      <w:r>
        <w:rPr>
          <w:spacing w:val="-3"/>
        </w:rPr>
        <w:t> </w:t>
      </w:r>
      <w:r>
        <w:rPr/>
        <w:t>that</w:t>
      </w:r>
      <w:r>
        <w:rPr>
          <w:spacing w:val="-3"/>
        </w:rPr>
        <w:t> </w:t>
      </w:r>
      <w:r>
        <w:rPr/>
        <w:t>they</w:t>
      </w:r>
      <w:r>
        <w:rPr>
          <w:spacing w:val="-3"/>
        </w:rPr>
        <w:t> </w:t>
      </w:r>
      <w:r>
        <w:rPr/>
        <w:t>do</w:t>
      </w:r>
      <w:r>
        <w:rPr>
          <w:spacing w:val="-3"/>
        </w:rPr>
        <w:t> </w:t>
      </w:r>
      <w:r>
        <w:rPr/>
        <w:t>not</w:t>
      </w:r>
      <w:r>
        <w:rPr>
          <w:spacing w:val="-3"/>
        </w:rPr>
        <w:t> </w:t>
      </w:r>
      <w:r>
        <w:rPr/>
        <w:t>automatically</w:t>
      </w:r>
      <w:r>
        <w:rPr>
          <w:spacing w:val="-3"/>
        </w:rPr>
        <w:t> </w:t>
      </w:r>
      <w:r>
        <w:rPr/>
        <w:t>block</w:t>
      </w:r>
      <w:r>
        <w:rPr>
          <w:spacing w:val="-3"/>
        </w:rPr>
        <w:t> </w:t>
      </w:r>
      <w:r>
        <w:rPr/>
        <w:t>themselves</w:t>
      </w:r>
      <w:r>
        <w:rPr>
          <w:spacing w:val="40"/>
        </w:rPr>
        <w:t> </w:t>
      </w:r>
      <w:r>
        <w:rPr/>
        <w:t>from entering the pipeline.</w:t>
      </w:r>
    </w:p>
    <w:p>
      <w:pPr>
        <w:pStyle w:val="BodyText"/>
        <w:spacing w:after="0" w:line="276" w:lineRule="auto"/>
        <w:jc w:val="both"/>
        <w:sectPr>
          <w:pgSz w:w="12240" w:h="15840"/>
          <w:pgMar w:header="0" w:footer="750" w:top="640" w:bottom="960" w:left="720" w:right="0"/>
        </w:sectPr>
      </w:pPr>
    </w:p>
    <w:p>
      <w:pPr>
        <w:spacing w:before="60"/>
        <w:ind w:left="720" w:right="0" w:firstLine="0"/>
        <w:jc w:val="both"/>
        <w:rPr>
          <w:sz w:val="24"/>
        </w:rPr>
      </w:pPr>
      <w:r>
        <w:rPr>
          <w:b/>
          <w:sz w:val="24"/>
        </w:rPr>
        <w:t>Subtheme 3.2</w:t>
      </w:r>
      <w:r>
        <w:rPr>
          <w:sz w:val="24"/>
        </w:rPr>
        <w:t>: Empowerment Through Financial </w:t>
      </w:r>
      <w:r>
        <w:rPr>
          <w:spacing w:val="-2"/>
          <w:sz w:val="24"/>
        </w:rPr>
        <w:t>Literacy</w:t>
      </w:r>
    </w:p>
    <w:p>
      <w:pPr>
        <w:pStyle w:val="BodyText"/>
        <w:spacing w:line="276" w:lineRule="auto" w:before="202"/>
        <w:ind w:left="720" w:right="1441"/>
        <w:jc w:val="both"/>
      </w:pPr>
      <w:r>
        <w:rPr/>
        <w:t>Among the participants whose responses aligned with Theme 3, a majority of them</w:t>
      </w:r>
      <w:r>
        <w:rPr>
          <w:spacing w:val="40"/>
        </w:rPr>
        <w:t> </w:t>
      </w:r>
      <w:r>
        <w:rPr/>
        <w:t>mentioned financial literacy as one of their influencing factors to selecting their major. One</w:t>
      </w:r>
      <w:r>
        <w:rPr>
          <w:spacing w:val="40"/>
        </w:rPr>
        <w:t> </w:t>
      </w:r>
      <w:r>
        <w:rPr/>
        <w:t>participant shared their story of helping on-campus organizations manage their money and</w:t>
      </w:r>
      <w:r>
        <w:rPr>
          <w:spacing w:val="40"/>
        </w:rPr>
        <w:t> </w:t>
      </w:r>
      <w:r>
        <w:rPr/>
        <w:t>how it mimics what they have learned in accounting classes and commented:</w:t>
      </w:r>
    </w:p>
    <w:p>
      <w:pPr>
        <w:pStyle w:val="BodyText"/>
        <w:spacing w:line="276" w:lineRule="auto" w:before="160"/>
        <w:ind w:left="720" w:right="1439"/>
        <w:jc w:val="both"/>
      </w:pPr>
      <w:r>
        <w:rPr/>
        <w:t>After that, I knew I was never going to change my major because what I am doing is</w:t>
      </w:r>
      <w:r>
        <w:rPr>
          <w:spacing w:val="40"/>
        </w:rPr>
        <w:t> </w:t>
      </w:r>
      <w:r>
        <w:rPr/>
        <w:t>currently what I’m</w:t>
      </w:r>
      <w:r>
        <w:rPr>
          <w:spacing w:val="-3"/>
        </w:rPr>
        <w:t> </w:t>
      </w:r>
      <w:r>
        <w:rPr/>
        <w:t>doing</w:t>
      </w:r>
      <w:r>
        <w:rPr>
          <w:spacing w:val="-3"/>
        </w:rPr>
        <w:t> </w:t>
      </w:r>
      <w:r>
        <w:rPr/>
        <w:t>in</w:t>
      </w:r>
      <w:r>
        <w:rPr>
          <w:spacing w:val="-3"/>
        </w:rPr>
        <w:t> </w:t>
      </w:r>
      <w:r>
        <w:rPr/>
        <w:t>the</w:t>
      </w:r>
      <w:r>
        <w:rPr>
          <w:spacing w:val="-3"/>
        </w:rPr>
        <w:t> </w:t>
      </w:r>
      <w:r>
        <w:rPr/>
        <w:t>classroom.</w:t>
      </w:r>
      <w:r>
        <w:rPr>
          <w:spacing w:val="-3"/>
        </w:rPr>
        <w:t> </w:t>
      </w:r>
      <w:r>
        <w:rPr/>
        <w:t>I'm</w:t>
      </w:r>
      <w:r>
        <w:rPr>
          <w:spacing w:val="-3"/>
        </w:rPr>
        <w:t> </w:t>
      </w:r>
      <w:r>
        <w:rPr/>
        <w:t>learning</w:t>
      </w:r>
      <w:r>
        <w:rPr>
          <w:spacing w:val="-3"/>
        </w:rPr>
        <w:t> </w:t>
      </w:r>
      <w:r>
        <w:rPr/>
        <w:t>about</w:t>
      </w:r>
      <w:r>
        <w:rPr>
          <w:spacing w:val="-3"/>
        </w:rPr>
        <w:t> </w:t>
      </w:r>
      <w:r>
        <w:rPr/>
        <w:t>how</w:t>
      </w:r>
      <w:r>
        <w:rPr>
          <w:spacing w:val="-3"/>
        </w:rPr>
        <w:t> </w:t>
      </w:r>
      <w:r>
        <w:rPr/>
        <w:t>to</w:t>
      </w:r>
      <w:r>
        <w:rPr>
          <w:spacing w:val="-3"/>
        </w:rPr>
        <w:t> </w:t>
      </w:r>
      <w:r>
        <w:rPr/>
        <w:t>do</w:t>
      </w:r>
      <w:r>
        <w:rPr>
          <w:spacing w:val="-3"/>
        </w:rPr>
        <w:t> </w:t>
      </w:r>
      <w:r>
        <w:rPr/>
        <w:t>this</w:t>
      </w:r>
      <w:r>
        <w:rPr>
          <w:spacing w:val="-3"/>
        </w:rPr>
        <w:t> </w:t>
      </w:r>
      <w:r>
        <w:rPr/>
        <w:t>on</w:t>
      </w:r>
      <w:r>
        <w:rPr>
          <w:spacing w:val="-3"/>
        </w:rPr>
        <w:t> </w:t>
      </w:r>
      <w:r>
        <w:rPr/>
        <w:t>a</w:t>
      </w:r>
      <w:r>
        <w:rPr>
          <w:spacing w:val="40"/>
        </w:rPr>
        <w:t> </w:t>
      </w:r>
      <w:r>
        <w:rPr/>
        <w:t>larger</w:t>
      </w:r>
      <w:r>
        <w:rPr>
          <w:spacing w:val="-3"/>
        </w:rPr>
        <w:t> </w:t>
      </w:r>
      <w:r>
        <w:rPr/>
        <w:t>scale,</w:t>
      </w:r>
      <w:r>
        <w:rPr>
          <w:spacing w:val="-3"/>
        </w:rPr>
        <w:t> </w:t>
      </w:r>
      <w:r>
        <w:rPr/>
        <w:t>how</w:t>
      </w:r>
      <w:r>
        <w:rPr>
          <w:spacing w:val="-3"/>
        </w:rPr>
        <w:t> </w:t>
      </w:r>
      <w:r>
        <w:rPr/>
        <w:t>to</w:t>
      </w:r>
      <w:r>
        <w:rPr>
          <w:spacing w:val="-3"/>
        </w:rPr>
        <w:t> </w:t>
      </w:r>
      <w:r>
        <w:rPr/>
        <w:t>help organizations that have</w:t>
      </w:r>
      <w:r>
        <w:rPr>
          <w:spacing w:val="-3"/>
        </w:rPr>
        <w:t> </w:t>
      </w:r>
      <w:r>
        <w:rPr/>
        <w:t>helped</w:t>
      </w:r>
      <w:r>
        <w:rPr>
          <w:spacing w:val="-3"/>
        </w:rPr>
        <w:t> </w:t>
      </w:r>
      <w:r>
        <w:rPr/>
        <w:t>me</w:t>
      </w:r>
      <w:r>
        <w:rPr>
          <w:spacing w:val="-3"/>
        </w:rPr>
        <w:t> </w:t>
      </w:r>
      <w:r>
        <w:rPr/>
        <w:t>growing</w:t>
      </w:r>
      <w:r>
        <w:rPr>
          <w:spacing w:val="-3"/>
        </w:rPr>
        <w:t> </w:t>
      </w:r>
      <w:r>
        <w:rPr/>
        <w:t>up.</w:t>
      </w:r>
      <w:r>
        <w:rPr>
          <w:spacing w:val="-3"/>
        </w:rPr>
        <w:t> </w:t>
      </w:r>
      <w:r>
        <w:rPr/>
        <w:t>I</w:t>
      </w:r>
      <w:r>
        <w:rPr>
          <w:spacing w:val="-3"/>
        </w:rPr>
        <w:t> </w:t>
      </w:r>
      <w:r>
        <w:rPr/>
        <w:t>would</w:t>
      </w:r>
      <w:r>
        <w:rPr>
          <w:spacing w:val="-3"/>
        </w:rPr>
        <w:t> </w:t>
      </w:r>
      <w:r>
        <w:rPr/>
        <w:t>love</w:t>
      </w:r>
      <w:r>
        <w:rPr>
          <w:spacing w:val="40"/>
        </w:rPr>
        <w:t> </w:t>
      </w:r>
      <w:r>
        <w:rPr/>
        <w:t>to</w:t>
      </w:r>
      <w:r>
        <w:rPr>
          <w:spacing w:val="-3"/>
        </w:rPr>
        <w:t> </w:t>
      </w:r>
      <w:r>
        <w:rPr/>
        <w:t>work</w:t>
      </w:r>
      <w:r>
        <w:rPr>
          <w:spacing w:val="-3"/>
        </w:rPr>
        <w:t> </w:t>
      </w:r>
      <w:r>
        <w:rPr/>
        <w:t>for</w:t>
      </w:r>
      <w:r>
        <w:rPr>
          <w:spacing w:val="-3"/>
        </w:rPr>
        <w:t> </w:t>
      </w:r>
      <w:r>
        <w:rPr/>
        <w:t>educational</w:t>
      </w:r>
      <w:r>
        <w:rPr>
          <w:spacing w:val="-3"/>
        </w:rPr>
        <w:t> </w:t>
      </w:r>
      <w:r>
        <w:rPr/>
        <w:t>institutions, not for profits, those kinds of places. (P10)</w:t>
      </w:r>
    </w:p>
    <w:p>
      <w:pPr>
        <w:pStyle w:val="BodyText"/>
        <w:spacing w:line="276" w:lineRule="auto" w:before="160"/>
        <w:ind w:left="720" w:right="1440"/>
        <w:jc w:val="both"/>
      </w:pPr>
      <w:r>
        <w:rPr/>
        <w:t>A second participant, who simply found a passion for a career in human resources, </w:t>
      </w:r>
      <w:r>
        <w:rPr/>
        <w:t>eventually came to this realization during the interview:</w:t>
      </w:r>
    </w:p>
    <w:p>
      <w:pPr>
        <w:pStyle w:val="BodyText"/>
        <w:spacing w:line="276" w:lineRule="auto" w:before="160"/>
        <w:ind w:left="720" w:right="1441"/>
        <w:jc w:val="both"/>
      </w:pPr>
      <w:r>
        <w:rPr/>
        <w:t>I think if I actually thought about it more then accounting could have been that way</w:t>
      </w:r>
      <w:r>
        <w:rPr>
          <w:spacing w:val="40"/>
        </w:rPr>
        <w:t> </w:t>
      </w:r>
      <w:r>
        <w:rPr/>
        <w:t>like </w:t>
      </w:r>
      <w:r>
        <w:rPr/>
        <w:t>by helping people be financially literate and helping</w:t>
      </w:r>
      <w:r>
        <w:rPr>
          <w:spacing w:val="-4"/>
        </w:rPr>
        <w:t> </w:t>
      </w:r>
      <w:r>
        <w:rPr/>
        <w:t>them</w:t>
      </w:r>
      <w:r>
        <w:rPr>
          <w:spacing w:val="-4"/>
        </w:rPr>
        <w:t> </w:t>
      </w:r>
      <w:r>
        <w:rPr/>
        <w:t>with</w:t>
      </w:r>
      <w:r>
        <w:rPr>
          <w:spacing w:val="-4"/>
        </w:rPr>
        <w:t> </w:t>
      </w:r>
      <w:r>
        <w:rPr/>
        <w:t>their</w:t>
      </w:r>
      <w:r>
        <w:rPr>
          <w:spacing w:val="-4"/>
        </w:rPr>
        <w:t> </w:t>
      </w:r>
      <w:r>
        <w:rPr/>
        <w:t>accounts.</w:t>
      </w:r>
      <w:r>
        <w:rPr>
          <w:spacing w:val="40"/>
        </w:rPr>
        <w:t> </w:t>
      </w:r>
      <w:r>
        <w:rPr/>
        <w:t>You</w:t>
      </w:r>
      <w:r>
        <w:rPr>
          <w:spacing w:val="-4"/>
        </w:rPr>
        <w:t> </w:t>
      </w:r>
      <w:r>
        <w:rPr/>
        <w:t>can</w:t>
      </w:r>
      <w:r>
        <w:rPr>
          <w:spacing w:val="-4"/>
        </w:rPr>
        <w:t> </w:t>
      </w:r>
      <w:r>
        <w:rPr/>
        <w:t>help</w:t>
      </w:r>
      <w:r>
        <w:rPr>
          <w:spacing w:val="-4"/>
        </w:rPr>
        <w:t> </w:t>
      </w:r>
      <w:r>
        <w:rPr/>
        <w:t>people in any career you have, I guess I just saw HR as more</w:t>
      </w:r>
      <w:r>
        <w:rPr>
          <w:spacing w:val="40"/>
        </w:rPr>
        <w:t> </w:t>
      </w:r>
      <w:r>
        <w:rPr/>
        <w:t>one-on-one. (P11)</w:t>
      </w:r>
    </w:p>
    <w:p>
      <w:pPr>
        <w:pStyle w:val="BodyText"/>
        <w:spacing w:line="276" w:lineRule="auto" w:before="160"/>
        <w:ind w:left="720" w:right="1439"/>
        <w:jc w:val="both"/>
      </w:pPr>
      <w:r>
        <w:rPr/>
        <w:t>Helping others and empowering communities is not the only way that students felt </w:t>
      </w:r>
      <w:r>
        <w:rPr/>
        <w:t>financial literacy played an important role in. For some, this topic was more personal and a way that participants felt they could improve their own lives and those around them:</w:t>
      </w:r>
    </w:p>
    <w:p>
      <w:pPr>
        <w:pStyle w:val="BodyText"/>
        <w:spacing w:line="276" w:lineRule="auto" w:before="160"/>
        <w:ind w:left="720" w:right="1442"/>
        <w:jc w:val="both"/>
      </w:pPr>
      <w:r>
        <w:rPr/>
        <w:t>Me and my husband are trying to</w:t>
      </w:r>
      <w:r>
        <w:rPr>
          <w:spacing w:val="-2"/>
        </w:rPr>
        <w:t> </w:t>
      </w:r>
      <w:r>
        <w:rPr/>
        <w:t>find</w:t>
      </w:r>
      <w:r>
        <w:rPr>
          <w:spacing w:val="-2"/>
        </w:rPr>
        <w:t> </w:t>
      </w:r>
      <w:r>
        <w:rPr/>
        <w:t>our</w:t>
      </w:r>
      <w:r>
        <w:rPr>
          <w:spacing w:val="-2"/>
        </w:rPr>
        <w:t> </w:t>
      </w:r>
      <w:r>
        <w:rPr/>
        <w:t>roots</w:t>
      </w:r>
      <w:r>
        <w:rPr>
          <w:spacing w:val="-2"/>
        </w:rPr>
        <w:t> </w:t>
      </w:r>
      <w:r>
        <w:rPr/>
        <w:t>and</w:t>
      </w:r>
      <w:r>
        <w:rPr>
          <w:spacing w:val="-2"/>
        </w:rPr>
        <w:t> </w:t>
      </w:r>
      <w:r>
        <w:rPr/>
        <w:t>our</w:t>
      </w:r>
      <w:r>
        <w:rPr>
          <w:spacing w:val="-2"/>
        </w:rPr>
        <w:t> </w:t>
      </w:r>
      <w:r>
        <w:rPr/>
        <w:t>path,</w:t>
      </w:r>
      <w:r>
        <w:rPr>
          <w:spacing w:val="-2"/>
        </w:rPr>
        <w:t> </w:t>
      </w:r>
      <w:r>
        <w:rPr/>
        <w:t>so</w:t>
      </w:r>
      <w:r>
        <w:rPr>
          <w:spacing w:val="-2"/>
        </w:rPr>
        <w:t> </w:t>
      </w:r>
      <w:r>
        <w:rPr/>
        <w:t>I</w:t>
      </w:r>
      <w:r>
        <w:rPr>
          <w:spacing w:val="-2"/>
        </w:rPr>
        <w:t> </w:t>
      </w:r>
      <w:r>
        <w:rPr/>
        <w:t>think</w:t>
      </w:r>
      <w:r>
        <w:rPr>
          <w:spacing w:val="-2"/>
        </w:rPr>
        <w:t> </w:t>
      </w:r>
      <w:r>
        <w:rPr/>
        <w:t>accounting</w:t>
      </w:r>
      <w:r>
        <w:rPr>
          <w:spacing w:val="-2"/>
        </w:rPr>
        <w:t> </w:t>
      </w:r>
      <w:r>
        <w:rPr/>
        <w:t>is</w:t>
      </w:r>
      <w:r>
        <w:rPr>
          <w:spacing w:val="40"/>
        </w:rPr>
        <w:t> </w:t>
      </w:r>
      <w:r>
        <w:rPr/>
        <w:t>very</w:t>
      </w:r>
      <w:r>
        <w:rPr>
          <w:spacing w:val="-2"/>
        </w:rPr>
        <w:t> </w:t>
      </w:r>
      <w:r>
        <w:rPr/>
        <w:t>good for that, because I can kind of bring it home and help us financially. And he's thinking about starting his own business, so I can</w:t>
      </w:r>
      <w:r>
        <w:rPr>
          <w:spacing w:val="-2"/>
        </w:rPr>
        <w:t> </w:t>
      </w:r>
      <w:r>
        <w:rPr/>
        <w:t>help</w:t>
      </w:r>
      <w:r>
        <w:rPr>
          <w:spacing w:val="-2"/>
        </w:rPr>
        <w:t> </w:t>
      </w:r>
      <w:r>
        <w:rPr/>
        <w:t>him</w:t>
      </w:r>
      <w:r>
        <w:rPr>
          <w:spacing w:val="-2"/>
        </w:rPr>
        <w:t> </w:t>
      </w:r>
      <w:r>
        <w:rPr/>
        <w:t>with</w:t>
      </w:r>
      <w:r>
        <w:rPr>
          <w:spacing w:val="-2"/>
        </w:rPr>
        <w:t> </w:t>
      </w:r>
      <w:r>
        <w:rPr/>
        <w:t>that</w:t>
      </w:r>
      <w:r>
        <w:rPr>
          <w:spacing w:val="-2"/>
        </w:rPr>
        <w:t> </w:t>
      </w:r>
      <w:r>
        <w:rPr/>
        <w:t>part</w:t>
      </w:r>
      <w:r>
        <w:rPr>
          <w:spacing w:val="-2"/>
        </w:rPr>
        <w:t> </w:t>
      </w:r>
      <w:r>
        <w:rPr/>
        <w:t>as</w:t>
      </w:r>
      <w:r>
        <w:rPr>
          <w:spacing w:val="-2"/>
        </w:rPr>
        <w:t> </w:t>
      </w:r>
      <w:r>
        <w:rPr/>
        <w:t>well.</w:t>
      </w:r>
      <w:r>
        <w:rPr>
          <w:spacing w:val="40"/>
        </w:rPr>
        <w:t> </w:t>
      </w:r>
      <w:r>
        <w:rPr/>
        <w:t>And</w:t>
      </w:r>
      <w:r>
        <w:rPr>
          <w:spacing w:val="-2"/>
        </w:rPr>
        <w:t> </w:t>
      </w:r>
      <w:r>
        <w:rPr/>
        <w:t>it</w:t>
      </w:r>
      <w:r>
        <w:rPr>
          <w:spacing w:val="-2"/>
        </w:rPr>
        <w:t> </w:t>
      </w:r>
      <w:r>
        <w:rPr/>
        <w:t>will</w:t>
      </w:r>
      <w:r>
        <w:rPr>
          <w:spacing w:val="-2"/>
        </w:rPr>
        <w:t> </w:t>
      </w:r>
      <w:r>
        <w:rPr/>
        <w:t>help</w:t>
      </w:r>
      <w:r>
        <w:rPr>
          <w:spacing w:val="-2"/>
        </w:rPr>
        <w:t> </w:t>
      </w:r>
      <w:r>
        <w:rPr/>
        <w:t>me</w:t>
      </w:r>
      <w:r>
        <w:rPr>
          <w:spacing w:val="-2"/>
        </w:rPr>
        <w:t> </w:t>
      </w:r>
      <w:r>
        <w:rPr/>
        <w:t>a</w:t>
      </w:r>
      <w:r>
        <w:rPr>
          <w:spacing w:val="-2"/>
        </w:rPr>
        <w:t> </w:t>
      </w:r>
      <w:r>
        <w:rPr/>
        <w:t>lot</w:t>
      </w:r>
      <w:r>
        <w:rPr>
          <w:spacing w:val="-2"/>
        </w:rPr>
        <w:t> </w:t>
      </w:r>
      <w:r>
        <w:rPr/>
        <w:t>with teaching our kids how</w:t>
      </w:r>
      <w:r>
        <w:rPr>
          <w:spacing w:val="-3"/>
        </w:rPr>
        <w:t> </w:t>
      </w:r>
      <w:r>
        <w:rPr/>
        <w:t>to</w:t>
      </w:r>
      <w:r>
        <w:rPr>
          <w:spacing w:val="-3"/>
        </w:rPr>
        <w:t> </w:t>
      </w:r>
      <w:r>
        <w:rPr/>
        <w:t>handle</w:t>
      </w:r>
      <w:r>
        <w:rPr>
          <w:spacing w:val="-3"/>
        </w:rPr>
        <w:t> </w:t>
      </w:r>
      <w:r>
        <w:rPr/>
        <w:t>money</w:t>
      </w:r>
      <w:r>
        <w:rPr>
          <w:spacing w:val="-3"/>
        </w:rPr>
        <w:t> </w:t>
      </w:r>
      <w:r>
        <w:rPr/>
        <w:t>and</w:t>
      </w:r>
      <w:r>
        <w:rPr>
          <w:spacing w:val="-3"/>
        </w:rPr>
        <w:t> </w:t>
      </w:r>
      <w:r>
        <w:rPr/>
        <w:t>what</w:t>
      </w:r>
      <w:r>
        <w:rPr>
          <w:spacing w:val="-3"/>
        </w:rPr>
        <w:t> </w:t>
      </w:r>
      <w:r>
        <w:rPr/>
        <w:t>to</w:t>
      </w:r>
      <w:r>
        <w:rPr>
          <w:spacing w:val="40"/>
        </w:rPr>
        <w:t> </w:t>
      </w:r>
      <w:r>
        <w:rPr/>
        <w:t>expect</w:t>
      </w:r>
      <w:r>
        <w:rPr>
          <w:spacing w:val="-3"/>
        </w:rPr>
        <w:t> </w:t>
      </w:r>
      <w:r>
        <w:rPr/>
        <w:t>with</w:t>
      </w:r>
      <w:r>
        <w:rPr>
          <w:spacing w:val="-3"/>
        </w:rPr>
        <w:t> </w:t>
      </w:r>
      <w:r>
        <w:rPr/>
        <w:t>money,</w:t>
      </w:r>
      <w:r>
        <w:rPr>
          <w:spacing w:val="-3"/>
        </w:rPr>
        <w:t> </w:t>
      </w:r>
      <w:r>
        <w:rPr/>
        <w:t>which</w:t>
      </w:r>
      <w:r>
        <w:rPr>
          <w:spacing w:val="-3"/>
        </w:rPr>
        <w:t> </w:t>
      </w:r>
      <w:r>
        <w:rPr/>
        <w:t>is</w:t>
      </w:r>
      <w:r>
        <w:rPr>
          <w:spacing w:val="-3"/>
        </w:rPr>
        <w:t> </w:t>
      </w:r>
      <w:r>
        <w:rPr/>
        <w:t>very</w:t>
      </w:r>
      <w:r>
        <w:rPr>
          <w:spacing w:val="-3"/>
        </w:rPr>
        <w:t> </w:t>
      </w:r>
      <w:r>
        <w:rPr/>
        <w:t>important to me. (P31)</w:t>
      </w:r>
    </w:p>
    <w:p>
      <w:pPr>
        <w:pStyle w:val="BodyText"/>
        <w:spacing w:line="276" w:lineRule="auto" w:before="160"/>
        <w:ind w:left="720" w:right="1438"/>
        <w:jc w:val="both"/>
      </w:pPr>
      <w:r>
        <w:rPr/>
        <w:t>I knew I wanted something in business to begin with because my parents are small</w:t>
      </w:r>
      <w:r>
        <w:rPr>
          <w:spacing w:val="40"/>
        </w:rPr>
        <w:t> </w:t>
      </w:r>
      <w:r>
        <w:rPr/>
        <w:t>business owners, and I've</w:t>
      </w:r>
      <w:r>
        <w:rPr>
          <w:spacing w:val="-2"/>
        </w:rPr>
        <w:t> </w:t>
      </w:r>
      <w:r>
        <w:rPr/>
        <w:t>always</w:t>
      </w:r>
      <w:r>
        <w:rPr>
          <w:spacing w:val="-2"/>
        </w:rPr>
        <w:t> </w:t>
      </w:r>
      <w:r>
        <w:rPr/>
        <w:t>been</w:t>
      </w:r>
      <w:r>
        <w:rPr>
          <w:spacing w:val="-2"/>
        </w:rPr>
        <w:t> </w:t>
      </w:r>
      <w:r>
        <w:rPr/>
        <w:t>in</w:t>
      </w:r>
      <w:r>
        <w:rPr>
          <w:spacing w:val="-2"/>
        </w:rPr>
        <w:t> </w:t>
      </w:r>
      <w:r>
        <w:rPr/>
        <w:t>that</w:t>
      </w:r>
      <w:r>
        <w:rPr>
          <w:spacing w:val="-2"/>
        </w:rPr>
        <w:t> </w:t>
      </w:r>
      <w:r>
        <w:rPr/>
        <w:t>space.</w:t>
      </w:r>
      <w:r>
        <w:rPr>
          <w:spacing w:val="-2"/>
        </w:rPr>
        <w:t> </w:t>
      </w:r>
      <w:r>
        <w:rPr/>
        <w:t>And</w:t>
      </w:r>
      <w:r>
        <w:rPr>
          <w:spacing w:val="-2"/>
        </w:rPr>
        <w:t> </w:t>
      </w:r>
      <w:r>
        <w:rPr/>
        <w:t>to</w:t>
      </w:r>
      <w:r>
        <w:rPr>
          <w:spacing w:val="-2"/>
        </w:rPr>
        <w:t> </w:t>
      </w:r>
      <w:r>
        <w:rPr/>
        <w:t>me,</w:t>
      </w:r>
      <w:r>
        <w:rPr>
          <w:spacing w:val="-2"/>
        </w:rPr>
        <w:t> </w:t>
      </w:r>
      <w:r>
        <w:rPr/>
        <w:t>I</w:t>
      </w:r>
      <w:r>
        <w:rPr>
          <w:spacing w:val="-2"/>
        </w:rPr>
        <w:t> </w:t>
      </w:r>
      <w:r>
        <w:rPr/>
        <w:t>love</w:t>
      </w:r>
      <w:r>
        <w:rPr>
          <w:spacing w:val="-2"/>
        </w:rPr>
        <w:t> </w:t>
      </w:r>
      <w:r>
        <w:rPr/>
        <w:t>that.</w:t>
      </w:r>
      <w:r>
        <w:rPr>
          <w:spacing w:val="-2"/>
        </w:rPr>
        <w:t> </w:t>
      </w:r>
      <w:r>
        <w:rPr/>
        <w:t>And</w:t>
      </w:r>
      <w:r>
        <w:rPr>
          <w:spacing w:val="-2"/>
        </w:rPr>
        <w:t> </w:t>
      </w:r>
      <w:r>
        <w:rPr/>
        <w:t>so</w:t>
      </w:r>
      <w:r>
        <w:rPr>
          <w:spacing w:val="40"/>
        </w:rPr>
        <w:t> </w:t>
      </w:r>
      <w:r>
        <w:rPr/>
        <w:t>then</w:t>
      </w:r>
      <w:r>
        <w:rPr>
          <w:spacing w:val="-2"/>
        </w:rPr>
        <w:t> </w:t>
      </w:r>
      <w:r>
        <w:rPr/>
        <w:t>getting</w:t>
      </w:r>
      <w:r>
        <w:rPr>
          <w:spacing w:val="-2"/>
        </w:rPr>
        <w:t> </w:t>
      </w:r>
      <w:r>
        <w:rPr/>
        <w:t>to</w:t>
      </w:r>
      <w:r>
        <w:rPr>
          <w:spacing w:val="-2"/>
        </w:rPr>
        <w:t> </w:t>
      </w:r>
      <w:r>
        <w:rPr/>
        <w:t>go</w:t>
      </w:r>
      <w:r>
        <w:rPr>
          <w:spacing w:val="-2"/>
        </w:rPr>
        <w:t> </w:t>
      </w:r>
      <w:r>
        <w:rPr/>
        <w:t>to</w:t>
      </w:r>
      <w:r>
        <w:rPr>
          <w:spacing w:val="-2"/>
        </w:rPr>
        <w:t> </w:t>
      </w:r>
      <w:r>
        <w:rPr/>
        <w:t>a different level with, you know, finance, and being able to be a</w:t>
      </w:r>
      <w:r>
        <w:rPr>
          <w:spacing w:val="40"/>
        </w:rPr>
        <w:t> </w:t>
      </w:r>
      <w:r>
        <w:rPr/>
        <w:t>resource for my family, for my community as well, and kind of show them that. (P21)</w:t>
      </w:r>
    </w:p>
    <w:p>
      <w:pPr>
        <w:pStyle w:val="BodyText"/>
        <w:spacing w:line="276" w:lineRule="auto" w:before="160"/>
        <w:ind w:left="720" w:right="1439"/>
        <w:jc w:val="both"/>
      </w:pPr>
      <w:r>
        <w:rPr/>
        <w:t>These narratives indicate that for first-generation students, Table 3: Additional Follow-Up Questions (see Appendix), or those with entrepreneurial backgrounds, financial literacy can</w:t>
      </w:r>
      <w:r>
        <w:rPr>
          <w:spacing w:val="40"/>
        </w:rPr>
        <w:t> </w:t>
      </w:r>
      <w:r>
        <w:rPr/>
        <w:t>be viewed as a form of economic stability for themselves and their families. Ultimately, these narratives promote financial literacy as a transformative tool for generational and community empowerment.</w:t>
      </w:r>
      <w:r>
        <w:rPr>
          <w:spacing w:val="80"/>
        </w:rPr>
        <w:t> </w:t>
      </w:r>
      <w:r>
        <w:rPr/>
        <w:t>To</w:t>
      </w:r>
      <w:r>
        <w:rPr>
          <w:spacing w:val="80"/>
        </w:rPr>
        <w:t> </w:t>
      </w:r>
      <w:r>
        <w:rPr/>
        <w:t>address</w:t>
      </w:r>
      <w:r>
        <w:rPr>
          <w:spacing w:val="80"/>
        </w:rPr>
        <w:t> </w:t>
      </w:r>
      <w:r>
        <w:rPr/>
        <w:t>the</w:t>
      </w:r>
      <w:r>
        <w:rPr>
          <w:spacing w:val="80"/>
        </w:rPr>
        <w:t> </w:t>
      </w:r>
      <w:r>
        <w:rPr/>
        <w:t>pipeline</w:t>
      </w:r>
      <w:r>
        <w:rPr>
          <w:spacing w:val="80"/>
        </w:rPr>
        <w:t> </w:t>
      </w:r>
      <w:r>
        <w:rPr/>
        <w:t>issue,</w:t>
      </w:r>
      <w:r>
        <w:rPr>
          <w:spacing w:val="80"/>
        </w:rPr>
        <w:t> </w:t>
      </w:r>
      <w:r>
        <w:rPr/>
        <w:t>perhaps</w:t>
      </w:r>
      <w:r>
        <w:rPr>
          <w:spacing w:val="80"/>
        </w:rPr>
        <w:t> </w:t>
      </w:r>
      <w:r>
        <w:rPr/>
        <w:t>recruitment</w:t>
      </w:r>
      <w:r>
        <w:rPr>
          <w:spacing w:val="80"/>
        </w:rPr>
        <w:t> </w:t>
      </w:r>
      <w:r>
        <w:rPr/>
        <w:t>efforts</w:t>
      </w:r>
      <w:r>
        <w:rPr>
          <w:spacing w:val="40"/>
        </w:rPr>
        <w:t> </w:t>
      </w:r>
      <w:r>
        <w:rPr/>
        <w:t>can</w:t>
      </w:r>
      <w:r>
        <w:rPr>
          <w:spacing w:val="40"/>
        </w:rPr>
        <w:t> </w:t>
      </w:r>
      <w:r>
        <w:rPr/>
        <w:t>signal</w:t>
      </w:r>
      <w:r>
        <w:rPr>
          <w:spacing w:val="40"/>
        </w:rPr>
        <w:t> </w:t>
      </w:r>
      <w:r>
        <w:rPr/>
        <w:t>to high-potential students that accounting can be</w:t>
      </w:r>
      <w:r>
        <w:rPr>
          <w:spacing w:val="-3"/>
        </w:rPr>
        <w:t> </w:t>
      </w:r>
      <w:r>
        <w:rPr/>
        <w:t>a</w:t>
      </w:r>
      <w:r>
        <w:rPr>
          <w:spacing w:val="-3"/>
        </w:rPr>
        <w:t> </w:t>
      </w:r>
      <w:r>
        <w:rPr/>
        <w:t>direct</w:t>
      </w:r>
      <w:r>
        <w:rPr>
          <w:spacing w:val="-3"/>
        </w:rPr>
        <w:t> </w:t>
      </w:r>
      <w:r>
        <w:rPr/>
        <w:t>way</w:t>
      </w:r>
      <w:r>
        <w:rPr>
          <w:spacing w:val="-3"/>
        </w:rPr>
        <w:t> </w:t>
      </w:r>
      <w:r>
        <w:rPr/>
        <w:t>to</w:t>
      </w:r>
      <w:r>
        <w:rPr>
          <w:spacing w:val="-3"/>
        </w:rPr>
        <w:t> </w:t>
      </w:r>
      <w:r>
        <w:rPr/>
        <w:t>protect</w:t>
      </w:r>
      <w:r>
        <w:rPr>
          <w:spacing w:val="-3"/>
        </w:rPr>
        <w:t> </w:t>
      </w:r>
      <w:r>
        <w:rPr/>
        <w:t>and</w:t>
      </w:r>
      <w:r>
        <w:rPr>
          <w:spacing w:val="-3"/>
        </w:rPr>
        <w:t> </w:t>
      </w:r>
      <w:r>
        <w:rPr/>
        <w:t>grow</w:t>
      </w:r>
      <w:r>
        <w:rPr>
          <w:spacing w:val="-3"/>
        </w:rPr>
        <w:t> </w:t>
      </w:r>
      <w:r>
        <w:rPr/>
        <w:t>the</w:t>
      </w:r>
      <w:r>
        <w:rPr>
          <w:spacing w:val="40"/>
        </w:rPr>
        <w:t> </w:t>
      </w:r>
      <w:r>
        <w:rPr/>
        <w:t>communities they care about most</w:t>
      </w:r>
    </w:p>
    <w:p>
      <w:pPr>
        <w:pStyle w:val="Heading4"/>
        <w:spacing w:before="160"/>
        <w:ind w:left="720"/>
        <w:jc w:val="both"/>
      </w:pPr>
      <w:r>
        <w:rPr/>
        <w:t>Unexpected </w:t>
      </w:r>
      <w:r>
        <w:rPr>
          <w:spacing w:val="-2"/>
        </w:rPr>
        <w:t>Findings</w:t>
      </w:r>
    </w:p>
    <w:p>
      <w:pPr>
        <w:pStyle w:val="BodyText"/>
        <w:spacing w:line="276" w:lineRule="auto" w:before="201"/>
        <w:ind w:left="720" w:right="1438"/>
        <w:jc w:val="both"/>
      </w:pPr>
      <w:r>
        <w:rPr/>
        <w:t>An additional finding arose from the interviews, supporting the perceived difficulty of</w:t>
      </w:r>
      <w:r>
        <w:rPr>
          <w:spacing w:val="40"/>
        </w:rPr>
        <w:t> </w:t>
      </w:r>
      <w:r>
        <w:rPr/>
        <w:t>learning accounting. One participant expressed not thinking they were “good enough at</w:t>
      </w:r>
      <w:r>
        <w:rPr>
          <w:spacing w:val="40"/>
        </w:rPr>
        <w:t> </w:t>
      </w:r>
      <w:r>
        <w:rPr/>
        <w:t>accounting to pursue a degree in it” (P5). This feeling was echoed in a second participant’s</w:t>
      </w:r>
      <w:r>
        <w:rPr>
          <w:spacing w:val="40"/>
        </w:rPr>
        <w:t> </w:t>
      </w:r>
      <w:r>
        <w:rPr/>
        <w:t>response who described not thinking they “did that well in that class</w:t>
      </w:r>
      <w:r>
        <w:rPr>
          <w:spacing w:val="-3"/>
        </w:rPr>
        <w:t> </w:t>
      </w:r>
      <w:r>
        <w:rPr/>
        <w:t>[Principles</w:t>
      </w:r>
      <w:r>
        <w:rPr>
          <w:spacing w:val="-3"/>
        </w:rPr>
        <w:t> </w:t>
      </w:r>
      <w:r>
        <w:rPr/>
        <w:t>of</w:t>
      </w:r>
      <w:r>
        <w:rPr>
          <w:spacing w:val="40"/>
        </w:rPr>
        <w:t> </w:t>
      </w:r>
      <w:r>
        <w:rPr/>
        <w:t>Accounting]</w:t>
      </w:r>
      <w:r>
        <w:rPr>
          <w:spacing w:val="-3"/>
        </w:rPr>
        <w:t> </w:t>
      </w:r>
      <w:r>
        <w:rPr/>
        <w:t>enough</w:t>
      </w:r>
      <w:r>
        <w:rPr>
          <w:spacing w:val="-3"/>
        </w:rPr>
        <w:t> </w:t>
      </w:r>
      <w:r>
        <w:rPr/>
        <w:t>to</w:t>
      </w:r>
      <w:r>
        <w:rPr>
          <w:spacing w:val="-3"/>
        </w:rPr>
        <w:t> </w:t>
      </w:r>
      <w:r>
        <w:rPr/>
        <w:t>get invited”</w:t>
      </w:r>
      <w:r>
        <w:rPr>
          <w:spacing w:val="13"/>
        </w:rPr>
        <w:t> </w:t>
      </w:r>
      <w:r>
        <w:rPr/>
        <w:t>to</w:t>
      </w:r>
      <w:r>
        <w:rPr>
          <w:spacing w:val="14"/>
        </w:rPr>
        <w:t> </w:t>
      </w:r>
      <w:r>
        <w:rPr/>
        <w:t>the</w:t>
      </w:r>
      <w:r>
        <w:rPr>
          <w:spacing w:val="14"/>
        </w:rPr>
        <w:t> </w:t>
      </w:r>
      <w:r>
        <w:rPr/>
        <w:t>Accounting</w:t>
      </w:r>
      <w:r>
        <w:rPr>
          <w:spacing w:val="14"/>
        </w:rPr>
        <w:t> </w:t>
      </w:r>
      <w:r>
        <w:rPr/>
        <w:t>Principles</w:t>
      </w:r>
      <w:r>
        <w:rPr>
          <w:spacing w:val="14"/>
        </w:rPr>
        <w:t> </w:t>
      </w:r>
      <w:r>
        <w:rPr/>
        <w:t>Dinner.</w:t>
      </w:r>
      <w:r>
        <w:rPr>
          <w:spacing w:val="14"/>
        </w:rPr>
        <w:t> </w:t>
      </w:r>
      <w:r>
        <w:rPr/>
        <w:t>Despite</w:t>
      </w:r>
      <w:r>
        <w:rPr>
          <w:spacing w:val="14"/>
        </w:rPr>
        <w:t> </w:t>
      </w:r>
      <w:r>
        <w:rPr/>
        <w:t>their</w:t>
      </w:r>
      <w:r>
        <w:rPr>
          <w:spacing w:val="14"/>
        </w:rPr>
        <w:t> </w:t>
      </w:r>
      <w:r>
        <w:rPr/>
        <w:t>high</w:t>
      </w:r>
      <w:r>
        <w:rPr>
          <w:spacing w:val="58"/>
          <w:w w:val="150"/>
        </w:rPr>
        <w:t> </w:t>
      </w:r>
      <w:r>
        <w:rPr/>
        <w:t>performance</w:t>
      </w:r>
      <w:r>
        <w:rPr>
          <w:spacing w:val="14"/>
        </w:rPr>
        <w:t> </w:t>
      </w:r>
      <w:r>
        <w:rPr/>
        <w:t>in</w:t>
      </w:r>
      <w:r>
        <w:rPr>
          <w:spacing w:val="14"/>
        </w:rPr>
        <w:t> </w:t>
      </w:r>
      <w:r>
        <w:rPr/>
        <w:t>a</w:t>
      </w:r>
      <w:r>
        <w:rPr>
          <w:spacing w:val="14"/>
        </w:rPr>
        <w:t> </w:t>
      </w:r>
      <w:r>
        <w:rPr/>
        <w:t>Principles </w:t>
      </w:r>
      <w:r>
        <w:rPr>
          <w:spacing w:val="-5"/>
        </w:rPr>
        <w:t>of</w:t>
      </w:r>
    </w:p>
    <w:p>
      <w:pPr>
        <w:pStyle w:val="BodyText"/>
        <w:spacing w:after="0" w:line="276" w:lineRule="auto"/>
        <w:jc w:val="both"/>
        <w:sectPr>
          <w:pgSz w:w="12240" w:h="15840"/>
          <w:pgMar w:header="0" w:footer="750" w:top="640" w:bottom="960" w:left="720" w:right="0"/>
        </w:sectPr>
      </w:pPr>
    </w:p>
    <w:p>
      <w:pPr>
        <w:pStyle w:val="BodyText"/>
        <w:spacing w:line="276" w:lineRule="auto" w:before="60"/>
        <w:ind w:left="720" w:right="1439"/>
        <w:jc w:val="both"/>
      </w:pPr>
      <w:r>
        <w:rPr/>
        <w:t>Accounting class, these statements reflect students’ lack of</w:t>
      </w:r>
      <w:r>
        <w:rPr>
          <w:spacing w:val="40"/>
        </w:rPr>
        <w:t> </w:t>
      </w:r>
      <w:r>
        <w:rPr/>
        <w:t>academic self-efficacy </w:t>
      </w:r>
      <w:r>
        <w:rPr/>
        <w:t>which prevented them from further exploring the accounting major. In</w:t>
      </w:r>
      <w:r>
        <w:rPr>
          <w:spacing w:val="40"/>
        </w:rPr>
        <w:t> </w:t>
      </w:r>
      <w:r>
        <w:rPr/>
        <w:t>addition to these sentiments, it was also interesting to hear from current accounting students</w:t>
      </w:r>
      <w:r>
        <w:rPr>
          <w:spacing w:val="40"/>
        </w:rPr>
        <w:t> </w:t>
      </w:r>
      <w:r>
        <w:rPr/>
        <w:t>and how</w:t>
      </w:r>
      <w:r>
        <w:rPr>
          <w:spacing w:val="-2"/>
        </w:rPr>
        <w:t> </w:t>
      </w:r>
      <w:r>
        <w:rPr/>
        <w:t>they</w:t>
      </w:r>
      <w:r>
        <w:rPr>
          <w:spacing w:val="-2"/>
        </w:rPr>
        <w:t> </w:t>
      </w:r>
      <w:r>
        <w:rPr/>
        <w:t>feel</w:t>
      </w:r>
      <w:r>
        <w:rPr>
          <w:spacing w:val="-2"/>
        </w:rPr>
        <w:t> </w:t>
      </w:r>
      <w:r>
        <w:rPr/>
        <w:t>they</w:t>
      </w:r>
      <w:r>
        <w:rPr>
          <w:spacing w:val="-2"/>
        </w:rPr>
        <w:t> </w:t>
      </w:r>
      <w:r>
        <w:rPr/>
        <w:t>learn</w:t>
      </w:r>
      <w:r>
        <w:rPr>
          <w:spacing w:val="-2"/>
        </w:rPr>
        <w:t> </w:t>
      </w:r>
      <w:r>
        <w:rPr/>
        <w:t>best. One participant described:</w:t>
      </w:r>
    </w:p>
    <w:p>
      <w:pPr>
        <w:pStyle w:val="BodyText"/>
        <w:spacing w:line="276" w:lineRule="auto" w:before="161"/>
        <w:ind w:left="720" w:right="1441"/>
        <w:jc w:val="both"/>
      </w:pPr>
      <w:r>
        <w:rPr/>
        <w:t>But with accounting, there's bills, cash, checks, assets, things that I can get my hands</w:t>
      </w:r>
      <w:r>
        <w:rPr>
          <w:spacing w:val="40"/>
        </w:rPr>
        <w:t> </w:t>
      </w:r>
      <w:r>
        <w:rPr/>
        <w:t>on </w:t>
      </w:r>
      <w:r>
        <w:rPr/>
        <w:t>and place around, and the way the math works feels like I can see that even on the</w:t>
      </w:r>
      <w:r>
        <w:rPr>
          <w:spacing w:val="40"/>
        </w:rPr>
        <w:t> </w:t>
      </w:r>
      <w:r>
        <w:rPr/>
        <w:t>page. (P31)</w:t>
      </w:r>
    </w:p>
    <w:p>
      <w:pPr>
        <w:pStyle w:val="BodyText"/>
        <w:spacing w:line="276" w:lineRule="auto" w:before="159"/>
        <w:ind w:left="720" w:right="1439"/>
        <w:jc w:val="both"/>
      </w:pPr>
      <w:r>
        <w:rPr/>
        <w:t>This sentiment</w:t>
      </w:r>
      <w:r>
        <w:rPr>
          <w:spacing w:val="-3"/>
        </w:rPr>
        <w:t> </w:t>
      </w:r>
      <w:r>
        <w:rPr/>
        <w:t>reveals</w:t>
      </w:r>
      <w:r>
        <w:rPr>
          <w:spacing w:val="-3"/>
        </w:rPr>
        <w:t> </w:t>
      </w:r>
      <w:r>
        <w:rPr/>
        <w:t>how</w:t>
      </w:r>
      <w:r>
        <w:rPr>
          <w:spacing w:val="-3"/>
        </w:rPr>
        <w:t> </w:t>
      </w:r>
      <w:r>
        <w:rPr/>
        <w:t>accounting</w:t>
      </w:r>
      <w:r>
        <w:rPr>
          <w:spacing w:val="-3"/>
        </w:rPr>
        <w:t> </w:t>
      </w:r>
      <w:r>
        <w:rPr/>
        <w:t>can</w:t>
      </w:r>
      <w:r>
        <w:rPr>
          <w:spacing w:val="-3"/>
        </w:rPr>
        <w:t> </w:t>
      </w:r>
      <w:r>
        <w:rPr/>
        <w:t>appear</w:t>
      </w:r>
      <w:r>
        <w:rPr>
          <w:spacing w:val="-3"/>
        </w:rPr>
        <w:t> </w:t>
      </w:r>
      <w:r>
        <w:rPr/>
        <w:t>tangible</w:t>
      </w:r>
      <w:r>
        <w:rPr>
          <w:spacing w:val="-3"/>
        </w:rPr>
        <w:t> </w:t>
      </w:r>
      <w:r>
        <w:rPr/>
        <w:t>to</w:t>
      </w:r>
      <w:r>
        <w:rPr>
          <w:spacing w:val="-3"/>
        </w:rPr>
        <w:t> </w:t>
      </w:r>
      <w:r>
        <w:rPr/>
        <w:t>those</w:t>
      </w:r>
      <w:r>
        <w:rPr>
          <w:spacing w:val="-3"/>
        </w:rPr>
        <w:t> </w:t>
      </w:r>
      <w:r>
        <w:rPr/>
        <w:t>who</w:t>
      </w:r>
      <w:r>
        <w:rPr>
          <w:spacing w:val="-3"/>
        </w:rPr>
        <w:t> </w:t>
      </w:r>
      <w:r>
        <w:rPr/>
        <w:t>gravitate</w:t>
      </w:r>
      <w:r>
        <w:rPr>
          <w:spacing w:val="-3"/>
        </w:rPr>
        <w:t> </w:t>
      </w:r>
      <w:r>
        <w:rPr/>
        <w:t>towards</w:t>
      </w:r>
      <w:r>
        <w:rPr>
          <w:spacing w:val="-3"/>
        </w:rPr>
        <w:t> </w:t>
      </w:r>
      <w:r>
        <w:rPr/>
        <w:t>it.</w:t>
      </w:r>
      <w:r>
        <w:rPr>
          <w:spacing w:val="40"/>
        </w:rPr>
        <w:t> </w:t>
      </w:r>
      <w:r>
        <w:rPr/>
        <w:t>On a similar note, another participant described</w:t>
      </w:r>
      <w:r>
        <w:rPr>
          <w:spacing w:val="-3"/>
        </w:rPr>
        <w:t> </w:t>
      </w:r>
      <w:r>
        <w:rPr/>
        <w:t>“I</w:t>
      </w:r>
      <w:r>
        <w:rPr>
          <w:spacing w:val="-3"/>
        </w:rPr>
        <w:t> </w:t>
      </w:r>
      <w:r>
        <w:rPr/>
        <w:t>would</w:t>
      </w:r>
      <w:r>
        <w:rPr>
          <w:spacing w:val="-3"/>
        </w:rPr>
        <w:t> </w:t>
      </w:r>
      <w:r>
        <w:rPr/>
        <w:t>rather</w:t>
      </w:r>
      <w:r>
        <w:rPr>
          <w:spacing w:val="-3"/>
        </w:rPr>
        <w:t> </w:t>
      </w:r>
      <w:r>
        <w:rPr/>
        <w:t>be</w:t>
      </w:r>
      <w:r>
        <w:rPr>
          <w:spacing w:val="-3"/>
        </w:rPr>
        <w:t> </w:t>
      </w:r>
      <w:r>
        <w:rPr/>
        <w:t>working</w:t>
      </w:r>
      <w:r>
        <w:rPr>
          <w:spacing w:val="-3"/>
        </w:rPr>
        <w:t> </w:t>
      </w:r>
      <w:r>
        <w:rPr/>
        <w:t>than</w:t>
      </w:r>
      <w:r>
        <w:rPr>
          <w:spacing w:val="-3"/>
        </w:rPr>
        <w:t> </w:t>
      </w:r>
      <w:r>
        <w:rPr/>
        <w:t>learning,</w:t>
      </w:r>
      <w:r>
        <w:rPr>
          <w:spacing w:val="40"/>
        </w:rPr>
        <w:t> </w:t>
      </w:r>
      <w:r>
        <w:rPr/>
        <w:t>because</w:t>
      </w:r>
      <w:r>
        <w:rPr>
          <w:spacing w:val="-3"/>
        </w:rPr>
        <w:t> </w:t>
      </w:r>
      <w:r>
        <w:rPr/>
        <w:t>I think I learn while working” (P33), further supporting that accounting students may</w:t>
      </w:r>
      <w:r>
        <w:rPr>
          <w:spacing w:val="40"/>
        </w:rPr>
        <w:t> </w:t>
      </w:r>
      <w:r>
        <w:rPr/>
        <w:t>have a different way of approaching the subject as opposed to their non-accounting peers.</w:t>
      </w:r>
      <w:r>
        <w:rPr>
          <w:spacing w:val="40"/>
        </w:rPr>
        <w:t> </w:t>
      </w:r>
      <w:r>
        <w:rPr/>
        <w:t>The importance of this topic should be further explored as</w:t>
      </w:r>
      <w:r>
        <w:rPr>
          <w:spacing w:val="-2"/>
        </w:rPr>
        <w:t> </w:t>
      </w:r>
      <w:r>
        <w:rPr/>
        <w:t>it</w:t>
      </w:r>
      <w:r>
        <w:rPr>
          <w:spacing w:val="-2"/>
        </w:rPr>
        <w:t> </w:t>
      </w:r>
      <w:r>
        <w:rPr/>
        <w:t>may</w:t>
      </w:r>
      <w:r>
        <w:rPr>
          <w:spacing w:val="-2"/>
        </w:rPr>
        <w:t> </w:t>
      </w:r>
      <w:r>
        <w:rPr/>
        <w:t>pose</w:t>
      </w:r>
      <w:r>
        <w:rPr>
          <w:spacing w:val="-2"/>
        </w:rPr>
        <w:t> </w:t>
      </w:r>
      <w:r>
        <w:rPr/>
        <w:t>a</w:t>
      </w:r>
      <w:r>
        <w:rPr>
          <w:spacing w:val="-2"/>
        </w:rPr>
        <w:t> </w:t>
      </w:r>
      <w:r>
        <w:rPr/>
        <w:t>potential</w:t>
      </w:r>
      <w:r>
        <w:rPr>
          <w:spacing w:val="-2"/>
        </w:rPr>
        <w:t> </w:t>
      </w:r>
      <w:r>
        <w:rPr/>
        <w:t>barrier</w:t>
      </w:r>
      <w:r>
        <w:rPr>
          <w:spacing w:val="-2"/>
        </w:rPr>
        <w:t> </w:t>
      </w:r>
      <w:r>
        <w:rPr/>
        <w:t>to</w:t>
      </w:r>
      <w:r>
        <w:rPr>
          <w:spacing w:val="40"/>
        </w:rPr>
        <w:t> </w:t>
      </w:r>
      <w:r>
        <w:rPr/>
        <w:t>entering the pipeline. One participant, although now an accounting major, shared their</w:t>
      </w:r>
      <w:r>
        <w:rPr>
          <w:spacing w:val="40"/>
        </w:rPr>
        <w:t> </w:t>
      </w:r>
      <w:r>
        <w:rPr/>
        <w:t>experience with not having taken accounting courses in high school when they had the</w:t>
      </w:r>
      <w:r>
        <w:rPr>
          <w:spacing w:val="40"/>
        </w:rPr>
        <w:t> </w:t>
      </w:r>
      <w:r>
        <w:rPr/>
        <w:t>chance:</w:t>
      </w:r>
    </w:p>
    <w:p>
      <w:pPr>
        <w:pStyle w:val="BodyText"/>
        <w:spacing w:line="276" w:lineRule="auto" w:before="161"/>
        <w:ind w:left="720" w:right="1441"/>
        <w:jc w:val="both"/>
      </w:pPr>
      <w:r>
        <w:rPr/>
        <w:t>I have a lot of regrets because everyone around me said it</w:t>
      </w:r>
      <w:r>
        <w:rPr>
          <w:spacing w:val="-2"/>
        </w:rPr>
        <w:t> </w:t>
      </w:r>
      <w:r>
        <w:rPr/>
        <w:t>[accounting]</w:t>
      </w:r>
      <w:r>
        <w:rPr>
          <w:spacing w:val="-2"/>
        </w:rPr>
        <w:t> </w:t>
      </w:r>
      <w:r>
        <w:rPr/>
        <w:t>was</w:t>
      </w:r>
      <w:r>
        <w:rPr>
          <w:spacing w:val="-2"/>
        </w:rPr>
        <w:t> </w:t>
      </w:r>
      <w:r>
        <w:rPr/>
        <w:t>hard,</w:t>
      </w:r>
      <w:r>
        <w:rPr>
          <w:spacing w:val="-2"/>
        </w:rPr>
        <w:t> </w:t>
      </w:r>
      <w:r>
        <w:rPr/>
        <w:t>but</w:t>
      </w:r>
      <w:r>
        <w:rPr>
          <w:spacing w:val="40"/>
        </w:rPr>
        <w:t> </w:t>
      </w:r>
      <w:r>
        <w:rPr/>
        <w:t>I</w:t>
      </w:r>
      <w:r>
        <w:rPr>
          <w:spacing w:val="-2"/>
        </w:rPr>
        <w:t> </w:t>
      </w:r>
      <w:r>
        <w:rPr/>
        <w:t>feel</w:t>
      </w:r>
      <w:r>
        <w:rPr>
          <w:spacing w:val="-2"/>
        </w:rPr>
        <w:t> </w:t>
      </w:r>
      <w:r>
        <w:rPr/>
        <w:t>like now that I chose it as</w:t>
      </w:r>
      <w:r>
        <w:rPr>
          <w:spacing w:val="-2"/>
        </w:rPr>
        <w:t> </w:t>
      </w:r>
      <w:r>
        <w:rPr/>
        <w:t>my</w:t>
      </w:r>
      <w:r>
        <w:rPr>
          <w:spacing w:val="-2"/>
        </w:rPr>
        <w:t> </w:t>
      </w:r>
      <w:r>
        <w:rPr/>
        <w:t>major,</w:t>
      </w:r>
      <w:r>
        <w:rPr>
          <w:spacing w:val="-2"/>
        </w:rPr>
        <w:t> </w:t>
      </w:r>
      <w:r>
        <w:rPr/>
        <w:t>and</w:t>
      </w:r>
      <w:r>
        <w:rPr>
          <w:spacing w:val="-2"/>
        </w:rPr>
        <w:t> </w:t>
      </w:r>
      <w:r>
        <w:rPr/>
        <w:t>I</w:t>
      </w:r>
      <w:r>
        <w:rPr>
          <w:spacing w:val="-2"/>
        </w:rPr>
        <w:t> </w:t>
      </w:r>
      <w:r>
        <w:rPr/>
        <w:t>know</w:t>
      </w:r>
      <w:r>
        <w:rPr>
          <w:spacing w:val="-2"/>
        </w:rPr>
        <w:t> </w:t>
      </w:r>
      <w:r>
        <w:rPr/>
        <w:t>I</w:t>
      </w:r>
      <w:r>
        <w:rPr>
          <w:spacing w:val="-2"/>
        </w:rPr>
        <w:t> </w:t>
      </w:r>
      <w:r>
        <w:rPr/>
        <w:t>really</w:t>
      </w:r>
      <w:r>
        <w:rPr>
          <w:spacing w:val="-2"/>
        </w:rPr>
        <w:t> </w:t>
      </w:r>
      <w:r>
        <w:rPr/>
        <w:t>like</w:t>
      </w:r>
      <w:r>
        <w:rPr>
          <w:spacing w:val="-2"/>
        </w:rPr>
        <w:t> </w:t>
      </w:r>
      <w:r>
        <w:rPr/>
        <w:t>it,</w:t>
      </w:r>
      <w:r>
        <w:rPr>
          <w:spacing w:val="-2"/>
        </w:rPr>
        <w:t> </w:t>
      </w:r>
      <w:r>
        <w:rPr/>
        <w:t>I</w:t>
      </w:r>
      <w:r>
        <w:rPr>
          <w:spacing w:val="-2"/>
        </w:rPr>
        <w:t> </w:t>
      </w:r>
      <w:r>
        <w:rPr/>
        <w:t>wish</w:t>
      </w:r>
      <w:r>
        <w:rPr>
          <w:spacing w:val="-2"/>
        </w:rPr>
        <w:t> </w:t>
      </w:r>
      <w:r>
        <w:rPr/>
        <w:t>I</w:t>
      </w:r>
      <w:r>
        <w:rPr>
          <w:spacing w:val="-2"/>
        </w:rPr>
        <w:t> </w:t>
      </w:r>
      <w:r>
        <w:rPr/>
        <w:t>could</w:t>
      </w:r>
      <w:r>
        <w:rPr>
          <w:spacing w:val="40"/>
        </w:rPr>
        <w:t> </w:t>
      </w:r>
      <w:r>
        <w:rPr/>
        <w:t>have</w:t>
      </w:r>
      <w:r>
        <w:rPr>
          <w:spacing w:val="-2"/>
        </w:rPr>
        <w:t> </w:t>
      </w:r>
      <w:r>
        <w:rPr/>
        <w:t>just</w:t>
      </w:r>
      <w:r>
        <w:rPr>
          <w:spacing w:val="-2"/>
        </w:rPr>
        <w:t> </w:t>
      </w:r>
      <w:r>
        <w:rPr/>
        <w:t>gotten</w:t>
      </w:r>
      <w:r>
        <w:rPr>
          <w:spacing w:val="-2"/>
        </w:rPr>
        <w:t> </w:t>
      </w:r>
      <w:r>
        <w:rPr/>
        <w:t>into</w:t>
      </w:r>
      <w:r>
        <w:rPr>
          <w:spacing w:val="-2"/>
        </w:rPr>
        <w:t> </w:t>
      </w:r>
      <w:r>
        <w:rPr/>
        <w:t>it more in high school. (P18)</w:t>
      </w:r>
    </w:p>
    <w:p>
      <w:pPr>
        <w:pStyle w:val="BodyText"/>
        <w:spacing w:line="276" w:lineRule="auto" w:before="159"/>
        <w:ind w:left="720" w:right="1441"/>
        <w:jc w:val="both"/>
      </w:pPr>
      <w:r>
        <w:rPr/>
        <w:t>Ultimately, this finding suggests that the</w:t>
      </w:r>
      <w:r>
        <w:rPr>
          <w:spacing w:val="-3"/>
        </w:rPr>
        <w:t> </w:t>
      </w:r>
      <w:r>
        <w:rPr/>
        <w:t>accounting</w:t>
      </w:r>
      <w:r>
        <w:rPr>
          <w:spacing w:val="-3"/>
        </w:rPr>
        <w:t> </w:t>
      </w:r>
      <w:r>
        <w:rPr/>
        <w:t>shortage</w:t>
      </w:r>
      <w:r>
        <w:rPr>
          <w:spacing w:val="-3"/>
        </w:rPr>
        <w:t> </w:t>
      </w:r>
      <w:r>
        <w:rPr/>
        <w:t>is</w:t>
      </w:r>
      <w:r>
        <w:rPr>
          <w:spacing w:val="-3"/>
        </w:rPr>
        <w:t> </w:t>
      </w:r>
      <w:r>
        <w:rPr/>
        <w:t>not</w:t>
      </w:r>
      <w:r>
        <w:rPr>
          <w:spacing w:val="-3"/>
        </w:rPr>
        <w:t> </w:t>
      </w:r>
      <w:r>
        <w:rPr/>
        <w:t>only</w:t>
      </w:r>
      <w:r>
        <w:rPr>
          <w:spacing w:val="-3"/>
        </w:rPr>
        <w:t> </w:t>
      </w:r>
      <w:r>
        <w:rPr/>
        <w:t>an</w:t>
      </w:r>
      <w:r>
        <w:rPr>
          <w:spacing w:val="-3"/>
        </w:rPr>
        <w:t> </w:t>
      </w:r>
      <w:r>
        <w:rPr/>
        <w:t>issue</w:t>
      </w:r>
      <w:r>
        <w:rPr>
          <w:spacing w:val="-3"/>
        </w:rPr>
        <w:t> </w:t>
      </w:r>
      <w:r>
        <w:rPr/>
        <w:t>of</w:t>
      </w:r>
      <w:r>
        <w:rPr>
          <w:spacing w:val="-3"/>
        </w:rPr>
        <w:t> </w:t>
      </w:r>
      <w:r>
        <w:rPr/>
        <w:t>interest,</w:t>
      </w:r>
      <w:r>
        <w:rPr>
          <w:spacing w:val="40"/>
        </w:rPr>
        <w:t> </w:t>
      </w:r>
      <w:r>
        <w:rPr/>
        <w:t>but one of confidence. To reframe the subject, educators may need to help students overcome</w:t>
      </w:r>
      <w:r>
        <w:rPr>
          <w:spacing w:val="40"/>
        </w:rPr>
        <w:t> </w:t>
      </w:r>
      <w:r>
        <w:rPr/>
        <w:t>their fear of failure and recognize</w:t>
      </w:r>
      <w:r>
        <w:rPr>
          <w:spacing w:val="-3"/>
        </w:rPr>
        <w:t> </w:t>
      </w:r>
      <w:r>
        <w:rPr/>
        <w:t>that</w:t>
      </w:r>
      <w:r>
        <w:rPr>
          <w:spacing w:val="-3"/>
        </w:rPr>
        <w:t> </w:t>
      </w:r>
      <w:r>
        <w:rPr/>
        <w:t>their</w:t>
      </w:r>
      <w:r>
        <w:rPr>
          <w:spacing w:val="-3"/>
        </w:rPr>
        <w:t> </w:t>
      </w:r>
      <w:r>
        <w:rPr/>
        <w:t>unique</w:t>
      </w:r>
      <w:r>
        <w:rPr>
          <w:spacing w:val="-3"/>
        </w:rPr>
        <w:t> </w:t>
      </w:r>
      <w:r>
        <w:rPr/>
        <w:t>learning</w:t>
      </w:r>
      <w:r>
        <w:rPr>
          <w:spacing w:val="-3"/>
        </w:rPr>
        <w:t> </w:t>
      </w:r>
      <w:r>
        <w:rPr/>
        <w:t>styles</w:t>
      </w:r>
      <w:r>
        <w:rPr>
          <w:spacing w:val="-3"/>
        </w:rPr>
        <w:t> </w:t>
      </w:r>
      <w:r>
        <w:rPr/>
        <w:t>are</w:t>
      </w:r>
      <w:r>
        <w:rPr>
          <w:spacing w:val="-3"/>
        </w:rPr>
        <w:t> </w:t>
      </w:r>
      <w:r>
        <w:rPr/>
        <w:t>compatible</w:t>
      </w:r>
      <w:r>
        <w:rPr>
          <w:spacing w:val="-3"/>
        </w:rPr>
        <w:t> </w:t>
      </w:r>
      <w:r>
        <w:rPr/>
        <w:t>with</w:t>
      </w:r>
      <w:r>
        <w:rPr>
          <w:spacing w:val="-3"/>
        </w:rPr>
        <w:t> </w:t>
      </w:r>
      <w:r>
        <w:rPr/>
        <w:t>the</w:t>
      </w:r>
      <w:r>
        <w:rPr>
          <w:spacing w:val="40"/>
        </w:rPr>
        <w:t> </w:t>
      </w:r>
      <w:r>
        <w:rPr/>
        <w:t>accounting </w:t>
      </w:r>
      <w:r>
        <w:rPr>
          <w:spacing w:val="-2"/>
        </w:rPr>
        <w:t>profession.</w:t>
      </w:r>
    </w:p>
    <w:p>
      <w:pPr>
        <w:pStyle w:val="Heading4"/>
        <w:spacing w:before="161"/>
        <w:ind w:left="720"/>
        <w:jc w:val="both"/>
      </w:pPr>
      <w:r>
        <w:rPr/>
        <w:t>IMPLICATIONS</w:t>
      </w:r>
      <w:r>
        <w:rPr>
          <w:spacing w:val="-9"/>
        </w:rPr>
        <w:t> </w:t>
      </w:r>
      <w:r>
        <w:rPr/>
        <w:t>AND</w:t>
      </w:r>
      <w:r>
        <w:rPr>
          <w:spacing w:val="-9"/>
        </w:rPr>
        <w:t> </w:t>
      </w:r>
      <w:r>
        <w:rPr>
          <w:spacing w:val="-2"/>
        </w:rPr>
        <w:t>RECOMMENDATIONS</w:t>
      </w:r>
    </w:p>
    <w:p>
      <w:pPr>
        <w:pStyle w:val="BodyText"/>
        <w:spacing w:line="276" w:lineRule="auto" w:before="201"/>
        <w:ind w:left="720" w:right="1438"/>
        <w:jc w:val="both"/>
      </w:pPr>
      <w:r>
        <w:rPr/>
        <w:t>Regardless of when students were first introduced to the accounting field, this study</w:t>
      </w:r>
      <w:r>
        <w:rPr>
          <w:spacing w:val="40"/>
        </w:rPr>
        <w:t> </w:t>
      </w:r>
      <w:r>
        <w:rPr/>
        <w:t>sought to uncover the specific motives underlying their major selection to help refine</w:t>
      </w:r>
      <w:r>
        <w:rPr>
          <w:spacing w:val="40"/>
        </w:rPr>
        <w:t> </w:t>
      </w:r>
      <w:r>
        <w:rPr/>
        <w:t>recruitment strategies. The data reveals a persistent misconception regarding the nature of</w:t>
      </w:r>
      <w:r>
        <w:rPr>
          <w:spacing w:val="40"/>
        </w:rPr>
        <w:t> </w:t>
      </w:r>
      <w:r>
        <w:rPr/>
        <w:t>accounting. Although targeted recruitment efforts, such as the Accounting Principles Dinner,</w:t>
      </w:r>
      <w:r>
        <w:rPr>
          <w:spacing w:val="40"/>
        </w:rPr>
        <w:t> </w:t>
      </w:r>
      <w:r>
        <w:rPr/>
        <w:t>have helped improve the</w:t>
      </w:r>
      <w:r>
        <w:rPr>
          <w:spacing w:val="-3"/>
        </w:rPr>
        <w:t> </w:t>
      </w:r>
      <w:r>
        <w:rPr/>
        <w:t>awareness</w:t>
      </w:r>
      <w:r>
        <w:rPr>
          <w:spacing w:val="-3"/>
        </w:rPr>
        <w:t> </w:t>
      </w:r>
      <w:r>
        <w:rPr/>
        <w:t>and</w:t>
      </w:r>
      <w:r>
        <w:rPr>
          <w:spacing w:val="-3"/>
        </w:rPr>
        <w:t> </w:t>
      </w:r>
      <w:r>
        <w:rPr/>
        <w:t>acceptance</w:t>
      </w:r>
      <w:r>
        <w:rPr>
          <w:spacing w:val="-3"/>
        </w:rPr>
        <w:t> </w:t>
      </w:r>
      <w:r>
        <w:rPr/>
        <w:t>of</w:t>
      </w:r>
      <w:r>
        <w:rPr>
          <w:spacing w:val="-3"/>
        </w:rPr>
        <w:t> </w:t>
      </w:r>
      <w:r>
        <w:rPr/>
        <w:t>the</w:t>
      </w:r>
      <w:r>
        <w:rPr>
          <w:spacing w:val="-3"/>
        </w:rPr>
        <w:t> </w:t>
      </w:r>
      <w:r>
        <w:rPr/>
        <w:t>profession,</w:t>
      </w:r>
      <w:r>
        <w:rPr>
          <w:spacing w:val="-3"/>
        </w:rPr>
        <w:t> </w:t>
      </w:r>
      <w:r>
        <w:rPr/>
        <w:t>students</w:t>
      </w:r>
      <w:r>
        <w:rPr>
          <w:spacing w:val="-3"/>
        </w:rPr>
        <w:t> </w:t>
      </w:r>
      <w:r>
        <w:rPr/>
        <w:t>still</w:t>
      </w:r>
      <w:r>
        <w:rPr>
          <w:spacing w:val="-3"/>
        </w:rPr>
        <w:t> </w:t>
      </w:r>
      <w:r>
        <w:rPr/>
        <w:t>lack</w:t>
      </w:r>
      <w:r>
        <w:rPr>
          <w:spacing w:val="-3"/>
        </w:rPr>
        <w:t> </w:t>
      </w:r>
      <w:r>
        <w:rPr/>
        <w:t>a</w:t>
      </w:r>
      <w:r>
        <w:rPr>
          <w:spacing w:val="40"/>
        </w:rPr>
        <w:t> </w:t>
      </w:r>
      <w:r>
        <w:rPr/>
        <w:t>deep</w:t>
      </w:r>
      <w:r>
        <w:rPr>
          <w:spacing w:val="-3"/>
        </w:rPr>
        <w:t> </w:t>
      </w:r>
      <w:r>
        <w:rPr/>
        <w:t>understanding of what a career in accounting entails. Rather than a restrictive, narrow</w:t>
      </w:r>
      <w:r>
        <w:rPr>
          <w:spacing w:val="40"/>
        </w:rPr>
        <w:t> </w:t>
      </w:r>
      <w:r>
        <w:rPr/>
        <w:t>path, accounting offers diverse opportunities for growth and human connection, which is often learned through a progression in the accounting major. An effective next</w:t>
      </w:r>
      <w:r>
        <w:rPr>
          <w:spacing w:val="-4"/>
        </w:rPr>
        <w:t> </w:t>
      </w:r>
      <w:r>
        <w:rPr/>
        <w:t>step</w:t>
      </w:r>
      <w:r>
        <w:rPr>
          <w:spacing w:val="-4"/>
        </w:rPr>
        <w:t> </w:t>
      </w:r>
      <w:r>
        <w:rPr/>
        <w:t>could</w:t>
      </w:r>
      <w:r>
        <w:rPr>
          <w:spacing w:val="-4"/>
        </w:rPr>
        <w:t> </w:t>
      </w:r>
      <w:r>
        <w:rPr/>
        <w:t>be</w:t>
      </w:r>
      <w:r>
        <w:rPr>
          <w:spacing w:val="40"/>
        </w:rPr>
        <w:t> </w:t>
      </w:r>
      <w:r>
        <w:rPr/>
        <w:t>to</w:t>
      </w:r>
      <w:r>
        <w:rPr>
          <w:spacing w:val="-4"/>
        </w:rPr>
        <w:t> </w:t>
      </w:r>
      <w:r>
        <w:rPr/>
        <w:t>extend</w:t>
      </w:r>
      <w:r>
        <w:rPr>
          <w:spacing w:val="-4"/>
        </w:rPr>
        <w:t> </w:t>
      </w:r>
      <w:r>
        <w:rPr/>
        <w:t>this</w:t>
      </w:r>
      <w:r>
        <w:rPr>
          <w:spacing w:val="-4"/>
        </w:rPr>
        <w:t> </w:t>
      </w:r>
      <w:r>
        <w:rPr/>
        <w:t>awareness</w:t>
      </w:r>
      <w:r>
        <w:rPr>
          <w:spacing w:val="-4"/>
        </w:rPr>
        <w:t> </w:t>
      </w:r>
      <w:r>
        <w:rPr/>
        <w:t>to those already curious about the accounting major and those</w:t>
      </w:r>
      <w:r>
        <w:rPr>
          <w:spacing w:val="40"/>
        </w:rPr>
        <w:t> </w:t>
      </w:r>
      <w:r>
        <w:rPr/>
        <w:t>outside of the business world altogether. The purpose in shifting our focus to these groups</w:t>
      </w:r>
      <w:r>
        <w:rPr>
          <w:spacing w:val="40"/>
        </w:rPr>
        <w:t> </w:t>
      </w:r>
      <w:r>
        <w:rPr/>
        <w:t>would be to retain interest in students who have already been exposed to the</w:t>
      </w:r>
      <w:r>
        <w:rPr>
          <w:spacing w:val="-2"/>
        </w:rPr>
        <w:t> </w:t>
      </w:r>
      <w:r>
        <w:rPr/>
        <w:t>field</w:t>
      </w:r>
      <w:r>
        <w:rPr>
          <w:spacing w:val="-2"/>
        </w:rPr>
        <w:t> </w:t>
      </w:r>
      <w:r>
        <w:rPr/>
        <w:t>and</w:t>
      </w:r>
      <w:r>
        <w:rPr>
          <w:spacing w:val="-2"/>
        </w:rPr>
        <w:t> </w:t>
      </w:r>
      <w:r>
        <w:rPr/>
        <w:t>see</w:t>
      </w:r>
      <w:r>
        <w:rPr>
          <w:spacing w:val="-2"/>
        </w:rPr>
        <w:t> </w:t>
      </w:r>
      <w:r>
        <w:rPr/>
        <w:t>its</w:t>
      </w:r>
      <w:r>
        <w:rPr>
          <w:spacing w:val="40"/>
        </w:rPr>
        <w:t> </w:t>
      </w:r>
      <w:r>
        <w:rPr/>
        <w:t>value,</w:t>
      </w:r>
      <w:r>
        <w:rPr>
          <w:spacing w:val="-2"/>
        </w:rPr>
        <w:t> </w:t>
      </w:r>
      <w:r>
        <w:rPr/>
        <w:t>while</w:t>
      </w:r>
      <w:r>
        <w:rPr>
          <w:spacing w:val="-2"/>
        </w:rPr>
        <w:t> </w:t>
      </w:r>
      <w:r>
        <w:rPr/>
        <w:t>also</w:t>
      </w:r>
      <w:r>
        <w:rPr>
          <w:spacing w:val="-2"/>
        </w:rPr>
        <w:t> </w:t>
      </w:r>
      <w:r>
        <w:rPr/>
        <w:t>reaching</w:t>
      </w:r>
      <w:r>
        <w:rPr>
          <w:spacing w:val="-2"/>
        </w:rPr>
        <w:t> </w:t>
      </w:r>
      <w:r>
        <w:rPr/>
        <w:t>those students who may otherwise not have an opportunity to learn</w:t>
      </w:r>
      <w:r>
        <w:rPr>
          <w:spacing w:val="40"/>
        </w:rPr>
        <w:t> </w:t>
      </w:r>
      <w:r>
        <w:rPr/>
        <w:t>about accounting</w:t>
      </w:r>
      <w:r>
        <w:rPr>
          <w:spacing w:val="-2"/>
        </w:rPr>
        <w:t> </w:t>
      </w:r>
      <w:r>
        <w:rPr/>
        <w:t>until</w:t>
      </w:r>
      <w:r>
        <w:rPr>
          <w:spacing w:val="-2"/>
        </w:rPr>
        <w:t> </w:t>
      </w:r>
      <w:r>
        <w:rPr/>
        <w:t>they</w:t>
      </w:r>
      <w:r>
        <w:rPr>
          <w:spacing w:val="-2"/>
        </w:rPr>
        <w:t> </w:t>
      </w:r>
      <w:r>
        <w:rPr/>
        <w:t>reach college. By transforming current recruitment strategies into</w:t>
      </w:r>
      <w:r>
        <w:rPr>
          <w:spacing w:val="40"/>
        </w:rPr>
        <w:t> </w:t>
      </w:r>
      <w:r>
        <w:rPr/>
        <w:t>opportunities where students can build connections with peers, have greater visibility into the</w:t>
      </w:r>
      <w:r>
        <w:rPr>
          <w:spacing w:val="40"/>
        </w:rPr>
        <w:t> </w:t>
      </w:r>
      <w:r>
        <w:rPr/>
        <w:t>major, and be directly approached by individuals familiar</w:t>
      </w:r>
      <w:r>
        <w:rPr>
          <w:spacing w:val="-3"/>
        </w:rPr>
        <w:t> </w:t>
      </w:r>
      <w:r>
        <w:rPr/>
        <w:t>with</w:t>
      </w:r>
      <w:r>
        <w:rPr>
          <w:spacing w:val="-3"/>
        </w:rPr>
        <w:t> </w:t>
      </w:r>
      <w:r>
        <w:rPr/>
        <w:t>the</w:t>
      </w:r>
      <w:r>
        <w:rPr>
          <w:spacing w:val="-3"/>
        </w:rPr>
        <w:t> </w:t>
      </w:r>
      <w:r>
        <w:rPr/>
        <w:t>field,</w:t>
      </w:r>
      <w:r>
        <w:rPr>
          <w:spacing w:val="-3"/>
        </w:rPr>
        <w:t> </w:t>
      </w:r>
      <w:r>
        <w:rPr/>
        <w:t>students</w:t>
      </w:r>
      <w:r>
        <w:rPr>
          <w:spacing w:val="-3"/>
        </w:rPr>
        <w:t> </w:t>
      </w:r>
      <w:r>
        <w:rPr/>
        <w:t>may</w:t>
      </w:r>
      <w:r>
        <w:rPr>
          <w:spacing w:val="-3"/>
        </w:rPr>
        <w:t> </w:t>
      </w:r>
      <w:r>
        <w:rPr/>
        <w:t>have</w:t>
      </w:r>
      <w:r>
        <w:rPr>
          <w:spacing w:val="40"/>
        </w:rPr>
        <w:t> </w:t>
      </w:r>
      <w:r>
        <w:rPr/>
        <w:t>more</w:t>
      </w:r>
      <w:r>
        <w:rPr>
          <w:spacing w:val="-3"/>
        </w:rPr>
        <w:t> </w:t>
      </w:r>
      <w:r>
        <w:rPr/>
        <w:t>chances</w:t>
      </w:r>
      <w:r>
        <w:rPr>
          <w:spacing w:val="-3"/>
        </w:rPr>
        <w:t> </w:t>
      </w:r>
      <w:r>
        <w:rPr/>
        <w:t>to</w:t>
      </w:r>
      <w:r>
        <w:rPr>
          <w:spacing w:val="-3"/>
        </w:rPr>
        <w:t> </w:t>
      </w:r>
      <w:r>
        <w:rPr/>
        <w:t>familiarize</w:t>
      </w:r>
      <w:r>
        <w:rPr>
          <w:spacing w:val="-3"/>
        </w:rPr>
        <w:t> </w:t>
      </w:r>
      <w:r>
        <w:rPr/>
        <w:t>themselves with accounting and gain a greater understanding of</w:t>
      </w:r>
      <w:r>
        <w:rPr>
          <w:spacing w:val="40"/>
        </w:rPr>
        <w:t> </w:t>
      </w:r>
      <w:r>
        <w:rPr/>
        <w:t>the profession.</w:t>
      </w:r>
    </w:p>
    <w:p>
      <w:pPr>
        <w:pStyle w:val="BodyText"/>
        <w:spacing w:line="276" w:lineRule="auto" w:before="160"/>
        <w:ind w:left="720" w:right="1438"/>
        <w:jc w:val="both"/>
      </w:pPr>
      <w:r>
        <w:rPr/>
        <w:t>To bridge the gap between initial interest and long-term commitment, university</w:t>
      </w:r>
      <w:r>
        <w:rPr>
          <w:spacing w:val="40"/>
        </w:rPr>
        <w:t> </w:t>
      </w:r>
      <w:r>
        <w:rPr/>
        <w:t>accounting departments could establish a peer-to-peer mentorship program where students</w:t>
      </w:r>
      <w:r>
        <w:rPr>
          <w:spacing w:val="40"/>
        </w:rPr>
        <w:t> </w:t>
      </w:r>
      <w:r>
        <w:rPr/>
        <w:t>can opt for the chance to engage with upperclassmen. This option appears to be most</w:t>
      </w:r>
      <w:r>
        <w:rPr>
          <w:spacing w:val="40"/>
        </w:rPr>
        <w:t> </w:t>
      </w:r>
      <w:r>
        <w:rPr/>
        <w:t>effective at </w:t>
      </w:r>
      <w:r>
        <w:rPr/>
        <w:t>targeted recruitment</w:t>
      </w:r>
      <w:r>
        <w:rPr>
          <w:spacing w:val="14"/>
        </w:rPr>
        <w:t> </w:t>
      </w:r>
      <w:r>
        <w:rPr/>
        <w:t>events</w:t>
      </w:r>
      <w:r>
        <w:rPr>
          <w:spacing w:val="14"/>
        </w:rPr>
        <w:t> </w:t>
      </w:r>
      <w:r>
        <w:rPr/>
        <w:t>like</w:t>
      </w:r>
      <w:r>
        <w:rPr>
          <w:spacing w:val="14"/>
        </w:rPr>
        <w:t> </w:t>
      </w:r>
      <w:r>
        <w:rPr/>
        <w:t>the</w:t>
      </w:r>
      <w:r>
        <w:rPr>
          <w:spacing w:val="14"/>
        </w:rPr>
        <w:t> </w:t>
      </w:r>
      <w:r>
        <w:rPr/>
        <w:t>Accounting</w:t>
      </w:r>
      <w:r>
        <w:rPr>
          <w:spacing w:val="14"/>
        </w:rPr>
        <w:t> </w:t>
      </w:r>
      <w:r>
        <w:rPr/>
        <w:t>Principles</w:t>
      </w:r>
      <w:r>
        <w:rPr>
          <w:spacing w:val="14"/>
        </w:rPr>
        <w:t> </w:t>
      </w:r>
      <w:r>
        <w:rPr/>
        <w:t>Dinner,</w:t>
      </w:r>
      <w:r>
        <w:rPr>
          <w:spacing w:val="14"/>
        </w:rPr>
        <w:t> </w:t>
      </w:r>
      <w:r>
        <w:rPr/>
        <w:t>helping</w:t>
      </w:r>
      <w:r>
        <w:rPr>
          <w:spacing w:val="58"/>
          <w:w w:val="150"/>
        </w:rPr>
        <w:t> </w:t>
      </w:r>
      <w:r>
        <w:rPr/>
        <w:t>students</w:t>
      </w:r>
      <w:r>
        <w:rPr>
          <w:spacing w:val="14"/>
        </w:rPr>
        <w:t> </w:t>
      </w:r>
      <w:r>
        <w:rPr/>
        <w:t>continue</w:t>
      </w:r>
      <w:r>
        <w:rPr>
          <w:spacing w:val="15"/>
        </w:rPr>
        <w:t> </w:t>
      </w:r>
      <w:r>
        <w:rPr>
          <w:spacing w:val="-2"/>
        </w:rPr>
        <w:t>interacting</w:t>
      </w:r>
    </w:p>
    <w:p>
      <w:pPr>
        <w:pStyle w:val="BodyText"/>
        <w:spacing w:after="0" w:line="276" w:lineRule="auto"/>
        <w:jc w:val="both"/>
        <w:sectPr>
          <w:pgSz w:w="12240" w:h="15840"/>
          <w:pgMar w:header="0" w:footer="750" w:top="640" w:bottom="960" w:left="720" w:right="0"/>
        </w:sectPr>
      </w:pPr>
    </w:p>
    <w:p>
      <w:pPr>
        <w:pStyle w:val="BodyText"/>
        <w:spacing w:line="276" w:lineRule="auto" w:before="60"/>
        <w:ind w:left="720" w:right="1442"/>
        <w:jc w:val="both"/>
      </w:pPr>
      <w:r>
        <w:rPr/>
        <w:t>with accounting even beyond the event. Utilizing a peer-to-peer</w:t>
      </w:r>
      <w:r>
        <w:rPr>
          <w:spacing w:val="40"/>
        </w:rPr>
        <w:t> </w:t>
      </w:r>
      <w:r>
        <w:rPr/>
        <w:t>approach would help </w:t>
      </w:r>
      <w:r>
        <w:rPr/>
        <w:t>the relationship feel informal so that Principles of Accounting students</w:t>
      </w:r>
      <w:r>
        <w:rPr>
          <w:spacing w:val="40"/>
        </w:rPr>
        <w:t> </w:t>
      </w:r>
      <w:r>
        <w:rPr/>
        <w:t>do not feel intimidated by asking questions. These mentors could serve as accessible</w:t>
      </w:r>
      <w:r>
        <w:rPr>
          <w:spacing w:val="40"/>
        </w:rPr>
        <w:t> </w:t>
      </w:r>
      <w:r>
        <w:rPr/>
        <w:t>resources to answer technical questions and share personal experiences, ensuring that the</w:t>
      </w:r>
      <w:r>
        <w:rPr>
          <w:spacing w:val="40"/>
        </w:rPr>
        <w:t> </w:t>
      </w:r>
      <w:r>
        <w:rPr/>
        <w:t>curiosity sparked at recruitment events is sustained through meaningful relationships.</w:t>
      </w:r>
    </w:p>
    <w:p>
      <w:pPr>
        <w:pStyle w:val="BodyText"/>
        <w:spacing w:line="276" w:lineRule="auto" w:before="160"/>
        <w:ind w:left="720" w:right="1438"/>
        <w:jc w:val="both"/>
      </w:pPr>
      <w:r>
        <w:rPr/>
        <w:t>The development and introduction of an exploratory accounting seminar class offered</w:t>
      </w:r>
      <w:r>
        <w:rPr>
          <w:spacing w:val="40"/>
        </w:rPr>
        <w:t> </w:t>
      </w:r>
      <w:r>
        <w:rPr/>
        <w:t>as a general education requirement for all undergraduate students may help to </w:t>
      </w:r>
      <w:r>
        <w:rPr/>
        <w:t>demonstrate accounting’s functional versatility to a broader student audience. Current accounting career readiness courses are often more visible to intended or declared accounting majors, therefore leaving</w:t>
      </w:r>
      <w:r>
        <w:rPr>
          <w:spacing w:val="40"/>
        </w:rPr>
        <w:t> </w:t>
      </w:r>
      <w:r>
        <w:rPr/>
        <w:t>out</w:t>
      </w:r>
      <w:r>
        <w:rPr>
          <w:spacing w:val="40"/>
        </w:rPr>
        <w:t> </w:t>
      </w:r>
      <w:r>
        <w:rPr/>
        <w:t>many</w:t>
      </w:r>
      <w:r>
        <w:rPr>
          <w:spacing w:val="40"/>
        </w:rPr>
        <w:t> </w:t>
      </w:r>
      <w:r>
        <w:rPr/>
        <w:t>students</w:t>
      </w:r>
      <w:r>
        <w:rPr>
          <w:spacing w:val="40"/>
        </w:rPr>
        <w:t> </w:t>
      </w:r>
      <w:r>
        <w:rPr/>
        <w:t>who</w:t>
      </w:r>
      <w:r>
        <w:rPr>
          <w:spacing w:val="40"/>
        </w:rPr>
        <w:t> </w:t>
      </w:r>
      <w:r>
        <w:rPr/>
        <w:t>enter college not yet knowing what they want to pursue. Offering</w:t>
      </w:r>
      <w:r>
        <w:rPr>
          <w:spacing w:val="-3"/>
        </w:rPr>
        <w:t> </w:t>
      </w:r>
      <w:r>
        <w:rPr/>
        <w:t>an</w:t>
      </w:r>
      <w:r>
        <w:rPr>
          <w:spacing w:val="-3"/>
        </w:rPr>
        <w:t> </w:t>
      </w:r>
      <w:r>
        <w:rPr/>
        <w:t>exploratory</w:t>
      </w:r>
      <w:r>
        <w:rPr>
          <w:spacing w:val="-3"/>
        </w:rPr>
        <w:t> </w:t>
      </w:r>
      <w:r>
        <w:rPr/>
        <w:t>accounting</w:t>
      </w:r>
      <w:r>
        <w:rPr>
          <w:spacing w:val="-3"/>
        </w:rPr>
        <w:t> </w:t>
      </w:r>
      <w:r>
        <w:rPr/>
        <w:t>seminar</w:t>
      </w:r>
      <w:r>
        <w:rPr>
          <w:spacing w:val="-3"/>
        </w:rPr>
        <w:t> </w:t>
      </w:r>
      <w:r>
        <w:rPr/>
        <w:t>class</w:t>
      </w:r>
      <w:r>
        <w:rPr>
          <w:spacing w:val="-3"/>
        </w:rPr>
        <w:t> </w:t>
      </w:r>
      <w:r>
        <w:rPr/>
        <w:t>can</w:t>
      </w:r>
      <w:r>
        <w:rPr>
          <w:spacing w:val="-3"/>
        </w:rPr>
        <w:t> </w:t>
      </w:r>
      <w:r>
        <w:rPr/>
        <w:t>target</w:t>
      </w:r>
      <w:r>
        <w:rPr>
          <w:spacing w:val="-3"/>
        </w:rPr>
        <w:t> </w:t>
      </w:r>
      <w:r>
        <w:rPr/>
        <w:t>these</w:t>
      </w:r>
      <w:r>
        <w:rPr>
          <w:spacing w:val="-3"/>
        </w:rPr>
        <w:t> </w:t>
      </w:r>
      <w:r>
        <w:rPr/>
        <w:t>students</w:t>
      </w:r>
      <w:r>
        <w:rPr>
          <w:spacing w:val="-3"/>
        </w:rPr>
        <w:t> </w:t>
      </w:r>
      <w:r>
        <w:rPr/>
        <w:t>and</w:t>
      </w:r>
      <w:r>
        <w:rPr>
          <w:spacing w:val="-3"/>
        </w:rPr>
        <w:t> </w:t>
      </w:r>
      <w:r>
        <w:rPr/>
        <w:t>introduce</w:t>
      </w:r>
      <w:r>
        <w:rPr>
          <w:spacing w:val="40"/>
        </w:rPr>
        <w:t> </w:t>
      </w:r>
      <w:r>
        <w:rPr/>
        <w:t>them</w:t>
      </w:r>
      <w:r>
        <w:rPr>
          <w:spacing w:val="-3"/>
        </w:rPr>
        <w:t> </w:t>
      </w:r>
      <w:r>
        <w:rPr/>
        <w:t>to the profession in a way that differs from introductory courses, effectively</w:t>
      </w:r>
      <w:r>
        <w:rPr>
          <w:spacing w:val="40"/>
        </w:rPr>
        <w:t> </w:t>
      </w:r>
      <w:r>
        <w:rPr/>
        <w:t>communicating what careers in accounting look like. By featuring guest speakers who have</w:t>
      </w:r>
      <w:r>
        <w:rPr>
          <w:spacing w:val="40"/>
        </w:rPr>
        <w:t> </w:t>
      </w:r>
      <w:r>
        <w:rPr/>
        <w:t>traditional and nontraditional careers in accounting, students can become familiar with the</w:t>
      </w:r>
      <w:r>
        <w:rPr>
          <w:spacing w:val="80"/>
        </w:rPr>
        <w:t> </w:t>
      </w:r>
      <w:r>
        <w:rPr/>
        <w:t>diverse sectors of</w:t>
      </w:r>
      <w:r>
        <w:rPr>
          <w:spacing w:val="40"/>
        </w:rPr>
        <w:t> </w:t>
      </w:r>
      <w:r>
        <w:rPr/>
        <w:t>the field and understand that it is not a narrow path.</w:t>
      </w:r>
    </w:p>
    <w:p>
      <w:pPr>
        <w:pStyle w:val="BodyText"/>
        <w:spacing w:line="276" w:lineRule="auto" w:before="160"/>
        <w:ind w:left="720" w:right="1439"/>
        <w:jc w:val="both"/>
      </w:pPr>
      <w:r>
        <w:rPr/>
        <w:t>To enhance the recruitment strategies currently in place to address the pipeline from</w:t>
      </w:r>
      <w:r>
        <w:rPr>
          <w:spacing w:val="40"/>
        </w:rPr>
        <w:t> </w:t>
      </w:r>
      <w:r>
        <w:rPr/>
        <w:t>an early intervention standpoint (e.g., introductory accounting courses offered at the high</w:t>
      </w:r>
      <w:r>
        <w:rPr>
          <w:spacing w:val="40"/>
        </w:rPr>
        <w:t> </w:t>
      </w:r>
      <w:r>
        <w:rPr/>
        <w:t>school level), college</w:t>
      </w:r>
      <w:r>
        <w:rPr>
          <w:spacing w:val="-3"/>
        </w:rPr>
        <w:t> </w:t>
      </w:r>
      <w:r>
        <w:rPr/>
        <w:t>outreach</w:t>
      </w:r>
      <w:r>
        <w:rPr>
          <w:spacing w:val="-3"/>
        </w:rPr>
        <w:t> </w:t>
      </w:r>
      <w:r>
        <w:rPr/>
        <w:t>programs</w:t>
      </w:r>
      <w:r>
        <w:rPr>
          <w:spacing w:val="-3"/>
        </w:rPr>
        <w:t> </w:t>
      </w:r>
      <w:r>
        <w:rPr/>
        <w:t>could</w:t>
      </w:r>
      <w:r>
        <w:rPr>
          <w:spacing w:val="-3"/>
        </w:rPr>
        <w:t> </w:t>
      </w:r>
      <w:r>
        <w:rPr/>
        <w:t>be</w:t>
      </w:r>
      <w:r>
        <w:rPr>
          <w:spacing w:val="-3"/>
        </w:rPr>
        <w:t> </w:t>
      </w:r>
      <w:r>
        <w:rPr/>
        <w:t>encouraged</w:t>
      </w:r>
      <w:r>
        <w:rPr>
          <w:spacing w:val="-3"/>
        </w:rPr>
        <w:t> </w:t>
      </w:r>
      <w:r>
        <w:rPr/>
        <w:t>to</w:t>
      </w:r>
      <w:r>
        <w:rPr>
          <w:spacing w:val="-3"/>
        </w:rPr>
        <w:t> </w:t>
      </w:r>
      <w:r>
        <w:rPr/>
        <w:t>get</w:t>
      </w:r>
      <w:r>
        <w:rPr>
          <w:spacing w:val="-3"/>
        </w:rPr>
        <w:t> </w:t>
      </w:r>
      <w:r>
        <w:rPr/>
        <w:t>younger</w:t>
      </w:r>
      <w:r>
        <w:rPr>
          <w:spacing w:val="-3"/>
        </w:rPr>
        <w:t> </w:t>
      </w:r>
      <w:r>
        <w:rPr/>
        <w:t>students</w:t>
      </w:r>
      <w:r>
        <w:rPr>
          <w:spacing w:val="40"/>
        </w:rPr>
        <w:t> </w:t>
      </w:r>
      <w:r>
        <w:rPr/>
        <w:t>interested</w:t>
      </w:r>
      <w:r>
        <w:rPr>
          <w:spacing w:val="-3"/>
        </w:rPr>
        <w:t> </w:t>
      </w:r>
      <w:r>
        <w:rPr/>
        <w:t>in</w:t>
      </w:r>
      <w:r>
        <w:rPr>
          <w:spacing w:val="-3"/>
        </w:rPr>
        <w:t> </w:t>
      </w:r>
      <w:r>
        <w:rPr/>
        <w:t>accounting. Ideally, these initiatives should be led by current college students</w:t>
      </w:r>
      <w:r>
        <w:rPr>
          <w:spacing w:val="40"/>
        </w:rPr>
        <w:t> </w:t>
      </w:r>
      <w:r>
        <w:rPr/>
        <w:t>who have benefited from the accounting program and believe in its value. To create a</w:t>
      </w:r>
      <w:r>
        <w:rPr>
          <w:spacing w:val="40"/>
        </w:rPr>
        <w:t> </w:t>
      </w:r>
      <w:r>
        <w:rPr/>
        <w:t>welcoming</w:t>
      </w:r>
      <w:r>
        <w:rPr>
          <w:spacing w:val="-3"/>
        </w:rPr>
        <w:t> </w:t>
      </w:r>
      <w:r>
        <w:rPr/>
        <w:t>atmosphere</w:t>
      </w:r>
      <w:r>
        <w:rPr>
          <w:spacing w:val="-3"/>
        </w:rPr>
        <w:t> </w:t>
      </w:r>
      <w:r>
        <w:rPr/>
        <w:t>where</w:t>
      </w:r>
      <w:r>
        <w:rPr>
          <w:spacing w:val="-3"/>
        </w:rPr>
        <w:t> </w:t>
      </w:r>
      <w:r>
        <w:rPr/>
        <w:t>younger students feel comfortable interacting with college</w:t>
      </w:r>
      <w:r>
        <w:rPr>
          <w:spacing w:val="40"/>
        </w:rPr>
        <w:t> </w:t>
      </w:r>
      <w:r>
        <w:rPr/>
        <w:t>students, a panel discussion may be most beneficial. These panels can be guided by certain</w:t>
      </w:r>
      <w:r>
        <w:rPr>
          <w:spacing w:val="40"/>
        </w:rPr>
        <w:t> </w:t>
      </w:r>
      <w:r>
        <w:rPr/>
        <w:t>topics, such as combating stereotypes,</w:t>
      </w:r>
      <w:r>
        <w:rPr>
          <w:spacing w:val="40"/>
        </w:rPr>
        <w:t> </w:t>
      </w:r>
      <w:r>
        <w:rPr/>
        <w:t>allowing younger students to share their current</w:t>
      </w:r>
      <w:r>
        <w:rPr>
          <w:spacing w:val="40"/>
        </w:rPr>
        <w:t> </w:t>
      </w:r>
      <w:r>
        <w:rPr/>
        <w:t>perceptions of accounting and learn</w:t>
      </w:r>
      <w:r>
        <w:rPr>
          <w:spacing w:val="-2"/>
        </w:rPr>
        <w:t> </w:t>
      </w:r>
      <w:r>
        <w:rPr/>
        <w:t>how</w:t>
      </w:r>
      <w:r>
        <w:rPr>
          <w:spacing w:val="-2"/>
        </w:rPr>
        <w:t> </w:t>
      </w:r>
      <w:r>
        <w:rPr/>
        <w:t>those align with the reality of college students who</w:t>
      </w:r>
      <w:r>
        <w:rPr>
          <w:spacing w:val="40"/>
        </w:rPr>
        <w:t> </w:t>
      </w:r>
      <w:r>
        <w:rPr/>
        <w:t>are more familiar</w:t>
      </w:r>
      <w:r>
        <w:rPr>
          <w:spacing w:val="-2"/>
        </w:rPr>
        <w:t> </w:t>
      </w:r>
      <w:r>
        <w:rPr/>
        <w:t>with</w:t>
      </w:r>
      <w:r>
        <w:rPr>
          <w:spacing w:val="-2"/>
        </w:rPr>
        <w:t> </w:t>
      </w:r>
      <w:r>
        <w:rPr/>
        <w:t>the</w:t>
      </w:r>
      <w:r>
        <w:rPr>
          <w:spacing w:val="-2"/>
        </w:rPr>
        <w:t> </w:t>
      </w:r>
      <w:r>
        <w:rPr/>
        <w:t>profession.</w:t>
      </w:r>
      <w:r>
        <w:rPr>
          <w:spacing w:val="-2"/>
        </w:rPr>
        <w:t> </w:t>
      </w:r>
      <w:r>
        <w:rPr/>
        <w:t>When</w:t>
      </w:r>
      <w:r>
        <w:rPr>
          <w:spacing w:val="-2"/>
        </w:rPr>
        <w:t> </w:t>
      </w:r>
      <w:r>
        <w:rPr/>
        <w:t>high schoolers interact with relatable college</w:t>
      </w:r>
      <w:r>
        <w:rPr>
          <w:spacing w:val="80"/>
        </w:rPr>
        <w:t> </w:t>
      </w:r>
      <w:r>
        <w:rPr/>
        <w:t>students who can speak to how the profession aligns with their personal values and lifestyle</w:t>
      </w:r>
      <w:r>
        <w:rPr>
          <w:spacing w:val="80"/>
        </w:rPr>
        <w:t> </w:t>
      </w:r>
      <w:r>
        <w:rPr/>
        <w:t>goals, it may foster a sense of relatability that institutional recruiting alone may not achieve.</w:t>
      </w:r>
    </w:p>
    <w:p>
      <w:pPr>
        <w:pStyle w:val="BodyText"/>
        <w:spacing w:line="276" w:lineRule="auto" w:before="160"/>
        <w:ind w:left="720" w:right="1441"/>
        <w:jc w:val="both"/>
      </w:pPr>
      <w:r>
        <w:rPr/>
        <w:t>While this research does not intend to suggest that every student should pursue an</w:t>
      </w:r>
      <w:r>
        <w:rPr>
          <w:spacing w:val="40"/>
        </w:rPr>
        <w:t> </w:t>
      </w:r>
      <w:r>
        <w:rPr/>
        <w:t>accounting major, it provides an enhanced framework to ensure that accounting is viewed as</w:t>
      </w:r>
      <w:r>
        <w:rPr>
          <w:spacing w:val="40"/>
        </w:rPr>
        <w:t> </w:t>
      </w:r>
      <w:r>
        <w:rPr/>
        <w:t>a viable and compelling option. The goal is not merely to increase enrollment</w:t>
      </w:r>
      <w:r>
        <w:rPr>
          <w:spacing w:val="-3"/>
        </w:rPr>
        <w:t> </w:t>
      </w:r>
      <w:r>
        <w:rPr/>
        <w:t>into</w:t>
      </w:r>
      <w:r>
        <w:rPr>
          <w:spacing w:val="-3"/>
        </w:rPr>
        <w:t> </w:t>
      </w:r>
      <w:r>
        <w:rPr/>
        <w:t>the</w:t>
      </w:r>
      <w:r>
        <w:rPr>
          <w:spacing w:val="40"/>
        </w:rPr>
        <w:t> </w:t>
      </w:r>
      <w:r>
        <w:rPr/>
        <w:t>accounting</w:t>
      </w:r>
      <w:r>
        <w:rPr>
          <w:spacing w:val="-3"/>
        </w:rPr>
        <w:t> </w:t>
      </w:r>
      <w:r>
        <w:rPr/>
        <w:t>major,</w:t>
      </w:r>
      <w:r>
        <w:rPr>
          <w:spacing w:val="-3"/>
        </w:rPr>
        <w:t> </w:t>
      </w:r>
      <w:r>
        <w:rPr/>
        <w:t>but to refine the professional image so that students</w:t>
      </w:r>
      <w:r>
        <w:rPr>
          <w:spacing w:val="-3"/>
        </w:rPr>
        <w:t> </w:t>
      </w:r>
      <w:r>
        <w:rPr/>
        <w:t>can</w:t>
      </w:r>
      <w:r>
        <w:rPr>
          <w:spacing w:val="-3"/>
        </w:rPr>
        <w:t> </w:t>
      </w:r>
      <w:r>
        <w:rPr/>
        <w:t>make</w:t>
      </w:r>
      <w:r>
        <w:rPr>
          <w:spacing w:val="-3"/>
        </w:rPr>
        <w:t> </w:t>
      </w:r>
      <w:r>
        <w:rPr/>
        <w:t>an</w:t>
      </w:r>
      <w:r>
        <w:rPr>
          <w:spacing w:val="-3"/>
        </w:rPr>
        <w:t> </w:t>
      </w:r>
      <w:r>
        <w:rPr/>
        <w:t>informed,</w:t>
      </w:r>
      <w:r>
        <w:rPr>
          <w:spacing w:val="40"/>
        </w:rPr>
        <w:t> </w:t>
      </w:r>
      <w:r>
        <w:rPr/>
        <w:t>serious</w:t>
      </w:r>
      <w:r>
        <w:rPr>
          <w:spacing w:val="-3"/>
        </w:rPr>
        <w:t> </w:t>
      </w:r>
      <w:r>
        <w:rPr/>
        <w:t>consideration</w:t>
      </w:r>
      <w:r>
        <w:rPr>
          <w:spacing w:val="-3"/>
        </w:rPr>
        <w:t> </w:t>
      </w:r>
      <w:r>
        <w:rPr/>
        <w:t>of the field.</w:t>
      </w:r>
    </w:p>
    <w:p>
      <w:pPr>
        <w:pStyle w:val="Heading4"/>
        <w:spacing w:before="161"/>
        <w:ind w:left="720"/>
        <w:jc w:val="both"/>
      </w:pPr>
      <w:r>
        <w:rPr/>
        <w:t>CONCLUSION AND FUTURE RESEARCH </w:t>
      </w:r>
      <w:r>
        <w:rPr>
          <w:spacing w:val="-2"/>
        </w:rPr>
        <w:t>DIRECTIONS</w:t>
      </w:r>
    </w:p>
    <w:p>
      <w:pPr>
        <w:pStyle w:val="BodyText"/>
        <w:spacing w:line="276" w:lineRule="auto" w:before="201"/>
        <w:ind w:left="720" w:right="1439"/>
        <w:jc w:val="both"/>
      </w:pPr>
      <w:r>
        <w:rPr/>
        <w:t>The primary goal of this study was to investigate the motivational factors influencing</w:t>
      </w:r>
      <w:r>
        <w:rPr>
          <w:spacing w:val="40"/>
        </w:rPr>
        <w:t> </w:t>
      </w:r>
      <w:r>
        <w:rPr/>
        <w:t>student major selection and to evaluate how targeted recruitment strategies play a role in that</w:t>
      </w:r>
      <w:r>
        <w:rPr>
          <w:spacing w:val="40"/>
        </w:rPr>
        <w:t> </w:t>
      </w:r>
      <w:r>
        <w:rPr/>
        <w:t>decision. By utilizing a qualitative, semi-structured approach, this research focused on the</w:t>
      </w:r>
      <w:r>
        <w:rPr>
          <w:spacing w:val="40"/>
        </w:rPr>
        <w:t> </w:t>
      </w:r>
      <w:r>
        <w:rPr/>
        <w:t>personal experiences of students who had the opportunity to engage in an early recruitment</w:t>
      </w:r>
      <w:r>
        <w:rPr>
          <w:spacing w:val="40"/>
        </w:rPr>
        <w:t> </w:t>
      </w:r>
      <w:r>
        <w:rPr/>
        <w:t>event. This methodology allowed for a peer-to-peer understanding and exploration of the</w:t>
      </w:r>
      <w:r>
        <w:rPr>
          <w:spacing w:val="40"/>
        </w:rPr>
        <w:t> </w:t>
      </w:r>
      <w:r>
        <w:rPr/>
        <w:t>perceptions that current undergraduate students possess about accounting. The resulting</w:t>
      </w:r>
      <w:r>
        <w:rPr>
          <w:spacing w:val="40"/>
        </w:rPr>
        <w:t> </w:t>
      </w:r>
      <w:r>
        <w:rPr/>
        <w:t>interview transcripts revealed that a general misconception of</w:t>
      </w:r>
      <w:r>
        <w:rPr>
          <w:spacing w:val="-2"/>
        </w:rPr>
        <w:t> </w:t>
      </w:r>
      <w:r>
        <w:rPr/>
        <w:t>accounting</w:t>
      </w:r>
      <w:r>
        <w:rPr>
          <w:spacing w:val="-2"/>
        </w:rPr>
        <w:t> </w:t>
      </w:r>
      <w:r>
        <w:rPr/>
        <w:t>persists.</w:t>
      </w:r>
      <w:r>
        <w:rPr>
          <w:spacing w:val="-2"/>
        </w:rPr>
        <w:t> </w:t>
      </w:r>
      <w:r>
        <w:rPr/>
        <w:t>While</w:t>
      </w:r>
      <w:r>
        <w:rPr>
          <w:spacing w:val="-2"/>
        </w:rPr>
        <w:t> </w:t>
      </w:r>
      <w:r>
        <w:rPr/>
        <w:t>it</w:t>
      </w:r>
      <w:r>
        <w:rPr>
          <w:spacing w:val="-2"/>
        </w:rPr>
        <w:t> </w:t>
      </w:r>
      <w:r>
        <w:rPr/>
        <w:t>is</w:t>
      </w:r>
      <w:r>
        <w:rPr>
          <w:spacing w:val="40"/>
        </w:rPr>
        <w:t> </w:t>
      </w:r>
      <w:r>
        <w:rPr/>
        <w:t>evident</w:t>
      </w:r>
      <w:r>
        <w:rPr>
          <w:spacing w:val="-2"/>
        </w:rPr>
        <w:t> </w:t>
      </w:r>
      <w:r>
        <w:rPr/>
        <w:t>that</w:t>
      </w:r>
      <w:r>
        <w:rPr>
          <w:spacing w:val="-2"/>
        </w:rPr>
        <w:t> </w:t>
      </w:r>
      <w:r>
        <w:rPr/>
        <w:t>individuals within the accounting community are highly aware of the</w:t>
      </w:r>
      <w:r>
        <w:rPr>
          <w:spacing w:val="40"/>
        </w:rPr>
        <w:t> </w:t>
      </w:r>
      <w:r>
        <w:rPr/>
        <w:t>profession's versatile nature, it is important</w:t>
      </w:r>
      <w:r>
        <w:rPr>
          <w:spacing w:val="30"/>
        </w:rPr>
        <w:t> </w:t>
      </w:r>
      <w:r>
        <w:rPr/>
        <w:t>to</w:t>
      </w:r>
      <w:r>
        <w:rPr>
          <w:spacing w:val="30"/>
        </w:rPr>
        <w:t> </w:t>
      </w:r>
      <w:r>
        <w:rPr/>
        <w:t>consider</w:t>
      </w:r>
      <w:r>
        <w:rPr>
          <w:spacing w:val="30"/>
        </w:rPr>
        <w:t> </w:t>
      </w:r>
      <w:r>
        <w:rPr/>
        <w:t>the</w:t>
      </w:r>
      <w:r>
        <w:rPr>
          <w:spacing w:val="30"/>
        </w:rPr>
        <w:t> </w:t>
      </w:r>
      <w:r>
        <w:rPr/>
        <w:t>implementation</w:t>
      </w:r>
      <w:r>
        <w:rPr>
          <w:spacing w:val="30"/>
        </w:rPr>
        <w:t> </w:t>
      </w:r>
      <w:r>
        <w:rPr/>
        <w:t>of</w:t>
      </w:r>
      <w:r>
        <w:rPr>
          <w:spacing w:val="30"/>
        </w:rPr>
        <w:t> </w:t>
      </w:r>
      <w:r>
        <w:rPr/>
        <w:t>promotional</w:t>
      </w:r>
      <w:r>
        <w:rPr>
          <w:spacing w:val="30"/>
        </w:rPr>
        <w:t>  </w:t>
      </w:r>
      <w:r>
        <w:rPr/>
        <w:t>strategies</w:t>
      </w:r>
      <w:r>
        <w:rPr>
          <w:spacing w:val="15"/>
        </w:rPr>
        <w:t> </w:t>
      </w:r>
      <w:r>
        <w:rPr/>
        <w:t>that</w:t>
      </w:r>
      <w:r>
        <w:rPr>
          <w:spacing w:val="15"/>
        </w:rPr>
        <w:t> </w:t>
      </w:r>
      <w:r>
        <w:rPr/>
        <w:t>closely</w:t>
      </w:r>
      <w:r>
        <w:rPr>
          <w:spacing w:val="15"/>
        </w:rPr>
        <w:t> </w:t>
      </w:r>
      <w:r>
        <w:rPr/>
        <w:t>align</w:t>
      </w:r>
      <w:r>
        <w:rPr>
          <w:spacing w:val="15"/>
        </w:rPr>
        <w:t> </w:t>
      </w:r>
      <w:r>
        <w:rPr/>
        <w:t>with</w:t>
      </w:r>
      <w:r>
        <w:rPr>
          <w:spacing w:val="15"/>
        </w:rPr>
        <w:t> </w:t>
      </w:r>
      <w:r>
        <w:rPr>
          <w:spacing w:val="-5"/>
        </w:rPr>
        <w:t>the</w:t>
      </w:r>
    </w:p>
    <w:p>
      <w:pPr>
        <w:pStyle w:val="BodyText"/>
        <w:spacing w:after="0" w:line="276" w:lineRule="auto"/>
        <w:jc w:val="both"/>
        <w:sectPr>
          <w:pgSz w:w="12240" w:h="15840"/>
          <w:pgMar w:header="0" w:footer="750" w:top="640" w:bottom="960" w:left="720" w:right="0"/>
        </w:sectPr>
      </w:pPr>
    </w:p>
    <w:p>
      <w:pPr>
        <w:pStyle w:val="BodyText"/>
        <w:spacing w:before="60"/>
        <w:ind w:left="720"/>
        <w:jc w:val="both"/>
      </w:pPr>
      <w:r>
        <w:rPr/>
        <w:t>values of current students, including those who are</w:t>
      </w:r>
      <w:r>
        <w:rPr>
          <w:spacing w:val="60"/>
        </w:rPr>
        <w:t> </w:t>
      </w:r>
      <w:r>
        <w:rPr/>
        <w:t>non-business </w:t>
      </w:r>
      <w:r>
        <w:rPr>
          <w:spacing w:val="-2"/>
        </w:rPr>
        <w:t>oriented.</w:t>
      </w:r>
    </w:p>
    <w:p>
      <w:pPr>
        <w:pStyle w:val="BodyText"/>
        <w:spacing w:before="1"/>
      </w:pPr>
    </w:p>
    <w:p>
      <w:pPr>
        <w:pStyle w:val="BodyText"/>
        <w:spacing w:line="230" w:lineRule="auto"/>
        <w:ind w:left="720" w:right="2176"/>
        <w:jc w:val="both"/>
      </w:pPr>
      <w:r>
        <w:rPr/>
        <w:t>As with any research, this study contains limitations. A primary limitation is the</w:t>
      </w:r>
      <w:r>
        <w:rPr>
          <w:spacing w:val="40"/>
        </w:rPr>
        <w:t> </w:t>
      </w:r>
      <w:r>
        <w:rPr/>
        <w:t>social desirability bias that may have emerged during</w:t>
      </w:r>
      <w:r>
        <w:rPr>
          <w:spacing w:val="-4"/>
        </w:rPr>
        <w:t> </w:t>
      </w:r>
      <w:r>
        <w:rPr/>
        <w:t>the</w:t>
      </w:r>
      <w:r>
        <w:rPr>
          <w:spacing w:val="-4"/>
        </w:rPr>
        <w:t> </w:t>
      </w:r>
      <w:r>
        <w:rPr/>
        <w:t>interviews.</w:t>
      </w:r>
      <w:r>
        <w:rPr>
          <w:spacing w:val="-4"/>
        </w:rPr>
        <w:t> </w:t>
      </w:r>
      <w:r>
        <w:rPr/>
        <w:t>Additionally,</w:t>
      </w:r>
      <w:r>
        <w:rPr>
          <w:spacing w:val="-4"/>
        </w:rPr>
        <w:t> </w:t>
      </w:r>
      <w:r>
        <w:rPr/>
        <w:t>because</w:t>
      </w:r>
      <w:r>
        <w:rPr>
          <w:spacing w:val="40"/>
        </w:rPr>
        <w:t> </w:t>
      </w:r>
      <w:r>
        <w:rPr/>
        <w:t>the themes were developed based on open-ended student responses rather than a set </w:t>
      </w:r>
      <w:r>
        <w:rPr/>
        <w:t>of predetermined questions, the depth of specific thematic categories may not fully be captured.</w:t>
      </w:r>
      <w:r>
        <w:rPr>
          <w:spacing w:val="40"/>
        </w:rPr>
        <w:t> </w:t>
      </w:r>
      <w:r>
        <w:rPr/>
        <w:t>Future research should build on this work by expanding the participant population to include</w:t>
      </w:r>
      <w:r>
        <w:rPr>
          <w:spacing w:val="40"/>
        </w:rPr>
        <w:t> </w:t>
      </w:r>
      <w:r>
        <w:rPr/>
        <w:t>a more diverse range of academic backgrounds and varying performance levels in</w:t>
      </w:r>
      <w:r>
        <w:rPr>
          <w:spacing w:val="40"/>
        </w:rPr>
        <w:t> </w:t>
      </w:r>
      <w:r>
        <w:rPr/>
        <w:t>introductory accounting courses. Furthermore, expanding the geographic and institutional</w:t>
      </w:r>
      <w:r>
        <w:rPr>
          <w:spacing w:val="80"/>
        </w:rPr>
        <w:t> </w:t>
      </w:r>
      <w:r>
        <w:rPr/>
        <w:t>scope to include multiple universities would provide</w:t>
      </w:r>
      <w:r>
        <w:rPr>
          <w:spacing w:val="40"/>
        </w:rPr>
        <w:t> </w:t>
      </w:r>
      <w:r>
        <w:rPr/>
        <w:t>broader validation for these findings.</w:t>
      </w:r>
      <w:r>
        <w:rPr>
          <w:spacing w:val="40"/>
        </w:rPr>
        <w:t> </w:t>
      </w:r>
      <w:r>
        <w:rPr/>
        <w:t>With persistent, collaborative efforts between students, educators, and professionals to</w:t>
      </w:r>
      <w:r>
        <w:rPr>
          <w:spacing w:val="40"/>
        </w:rPr>
        <w:t> </w:t>
      </w:r>
      <w:r>
        <w:rPr/>
        <w:t>reframe the profession’s image,</w:t>
      </w:r>
      <w:r>
        <w:rPr>
          <w:spacing w:val="-4"/>
        </w:rPr>
        <w:t> </w:t>
      </w:r>
      <w:r>
        <w:rPr/>
        <w:t>the</w:t>
      </w:r>
      <w:r>
        <w:rPr>
          <w:spacing w:val="-4"/>
        </w:rPr>
        <w:t> </w:t>
      </w:r>
      <w:r>
        <w:rPr/>
        <w:t>accounting pipeline may experience improvement that</w:t>
      </w:r>
      <w:r>
        <w:rPr>
          <w:spacing w:val="40"/>
        </w:rPr>
        <w:t> </w:t>
      </w:r>
      <w:r>
        <w:rPr/>
        <w:t>can help meet current industry demands.</w:t>
      </w:r>
    </w:p>
    <w:p>
      <w:pPr>
        <w:pStyle w:val="BodyText"/>
        <w:rPr>
          <w:sz w:val="20"/>
        </w:rPr>
      </w:pPr>
    </w:p>
    <w:p>
      <w:pPr>
        <w:pStyle w:val="BodyText"/>
        <w:rPr>
          <w:sz w:val="20"/>
        </w:rPr>
      </w:pPr>
    </w:p>
    <w:p>
      <w:pPr>
        <w:pStyle w:val="BodyText"/>
        <w:spacing w:before="208"/>
        <w:rPr>
          <w:sz w:val="20"/>
        </w:rPr>
      </w:pPr>
      <w:r>
        <w:rPr>
          <w:sz w:val="20"/>
        </w:rPr>
        <mc:AlternateContent>
          <mc:Choice Requires="wps">
            <w:drawing>
              <wp:anchor distT="0" distB="0" distL="0" distR="0" allowOverlap="1" layoutInCell="1" locked="0" behindDoc="1" simplePos="0" relativeHeight="487602688">
                <wp:simplePos x="0" y="0"/>
                <wp:positionH relativeFrom="page">
                  <wp:posOffset>952500</wp:posOffset>
                </wp:positionH>
                <wp:positionV relativeFrom="paragraph">
                  <wp:posOffset>293912</wp:posOffset>
                </wp:positionV>
                <wp:extent cx="5397500" cy="1270"/>
                <wp:effectExtent l="0" t="0" r="0" b="0"/>
                <wp:wrapTopAndBottom/>
                <wp:docPr id="60" name="Graphic 60"/>
                <wp:cNvGraphicFramePr>
                  <a:graphicFrameLocks/>
                </wp:cNvGraphicFramePr>
                <a:graphic>
                  <a:graphicData uri="http://schemas.microsoft.com/office/word/2010/wordprocessingShape">
                    <wps:wsp>
                      <wps:cNvPr id="60" name="Graphic 60"/>
                      <wps:cNvSpPr/>
                      <wps:spPr>
                        <a:xfrm>
                          <a:off x="0" y="0"/>
                          <a:ext cx="5397500" cy="1270"/>
                        </a:xfrm>
                        <a:custGeom>
                          <a:avLst/>
                          <a:gdLst/>
                          <a:ahLst/>
                          <a:cxnLst/>
                          <a:rect l="l" t="t" r="r" b="b"/>
                          <a:pathLst>
                            <a:path w="5397500" h="0">
                              <a:moveTo>
                                <a:pt x="0" y="0"/>
                              </a:moveTo>
                              <a:lnTo>
                                <a:pt x="53975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style="position:absolute;margin-left:75pt;margin-top:23.142706pt;width:425pt;height:.1pt;mso-position-horizontal-relative:page;mso-position-vertical-relative:paragraph;z-index:-15713792;mso-wrap-distance-left:0;mso-wrap-distance-right:0" id="docshape24" coordorigin="1500,463" coordsize="8500,0" path="m1500,463l10000,463e" filled="false" stroked="true" strokeweight="1.0pt" strokecolor="#878787">
                <v:path arrowok="t"/>
                <v:stroke dashstyle="solid"/>
                <w10:wrap type="topAndBottom"/>
              </v:shape>
            </w:pict>
          </mc:Fallback>
        </mc:AlternateContent>
      </w:r>
    </w:p>
    <w:p>
      <w:pPr>
        <w:pStyle w:val="BodyText"/>
        <w:spacing w:line="230" w:lineRule="auto" w:before="61"/>
        <w:ind w:left="720" w:right="1191"/>
      </w:pPr>
      <w:r>
        <w:rPr>
          <w:rFonts w:ascii="Arial" w:hAnsi="Arial"/>
          <w:sz w:val="20"/>
        </w:rPr>
        <w:t>[1]</w:t>
      </w:r>
      <w:r>
        <w:rPr>
          <w:rFonts w:ascii="Arial" w:hAnsi="Arial"/>
          <w:spacing w:val="29"/>
          <w:sz w:val="20"/>
        </w:rPr>
        <w:t> </w:t>
      </w:r>
      <w:r>
        <w:rPr/>
        <w:t>This</w:t>
      </w:r>
      <w:r>
        <w:rPr>
          <w:spacing w:val="26"/>
        </w:rPr>
        <w:t> </w:t>
      </w:r>
      <w:r>
        <w:rPr/>
        <w:t>study</w:t>
      </w:r>
      <w:r>
        <w:rPr>
          <w:spacing w:val="26"/>
        </w:rPr>
        <w:t> </w:t>
      </w:r>
      <w:r>
        <w:rPr/>
        <w:t>has</w:t>
      </w:r>
      <w:r>
        <w:rPr>
          <w:spacing w:val="26"/>
        </w:rPr>
        <w:t> </w:t>
      </w:r>
      <w:r>
        <w:rPr/>
        <w:t>been</w:t>
      </w:r>
      <w:r>
        <w:rPr>
          <w:spacing w:val="26"/>
        </w:rPr>
        <w:t> </w:t>
      </w:r>
      <w:r>
        <w:rPr/>
        <w:t>reviewed</w:t>
      </w:r>
      <w:r>
        <w:rPr>
          <w:spacing w:val="26"/>
        </w:rPr>
        <w:t> </w:t>
      </w:r>
      <w:r>
        <w:rPr/>
        <w:t>by</w:t>
      </w:r>
      <w:r>
        <w:rPr>
          <w:spacing w:val="26"/>
        </w:rPr>
        <w:t> </w:t>
      </w:r>
      <w:r>
        <w:rPr/>
        <w:t>the</w:t>
      </w:r>
      <w:r>
        <w:rPr>
          <w:spacing w:val="26"/>
        </w:rPr>
        <w:t> </w:t>
      </w:r>
      <w:r>
        <w:rPr/>
        <w:t>University’s</w:t>
      </w:r>
      <w:r>
        <w:rPr>
          <w:spacing w:val="26"/>
        </w:rPr>
        <w:t> </w:t>
      </w:r>
      <w:r>
        <w:rPr/>
        <w:t>Institutional</w:t>
      </w:r>
      <w:r>
        <w:rPr>
          <w:spacing w:val="26"/>
        </w:rPr>
        <w:t> </w:t>
      </w:r>
      <w:r>
        <w:rPr/>
        <w:t>Review</w:t>
      </w:r>
      <w:r>
        <w:rPr>
          <w:spacing w:val="26"/>
        </w:rPr>
        <w:t> </w:t>
      </w:r>
      <w:r>
        <w:rPr/>
        <w:t>Board</w:t>
      </w:r>
      <w:r>
        <w:rPr>
          <w:spacing w:val="26"/>
        </w:rPr>
        <w:t> </w:t>
      </w:r>
      <w:r>
        <w:rPr/>
        <w:t>and has </w:t>
      </w:r>
      <w:r>
        <w:rPr/>
        <w:t>been deemed exempt</w:t>
      </w:r>
    </w:p>
    <w:p>
      <w:pPr>
        <w:pStyle w:val="BodyText"/>
      </w:pPr>
    </w:p>
    <w:p>
      <w:pPr>
        <w:pStyle w:val="BodyText"/>
      </w:pPr>
    </w:p>
    <w:p>
      <w:pPr>
        <w:pStyle w:val="BodyText"/>
        <w:spacing w:before="224"/>
      </w:pPr>
    </w:p>
    <w:p>
      <w:pPr>
        <w:pStyle w:val="Heading4"/>
        <w:ind w:left="720"/>
      </w:pPr>
      <w:r>
        <w:rPr>
          <w:spacing w:val="-2"/>
        </w:rPr>
        <w:t>REFERENCES</w:t>
      </w:r>
    </w:p>
    <w:p>
      <w:pPr>
        <w:pStyle w:val="BodyText"/>
        <w:spacing w:line="230" w:lineRule="auto" w:before="235"/>
        <w:ind w:left="720" w:right="2180"/>
        <w:jc w:val="both"/>
      </w:pPr>
      <w:r>
        <w:rPr/>
        <w:t>Adams, M. T., Hines, C. S., Naegle, J. C., Ravenscroft, J., &amp; Tassin, K. L. (2025) </w:t>
      </w:r>
      <w:r>
        <w:rPr/>
        <w:t>CPA Evolution and Curriculum Revolution: Building Value in the Accounting Profession Through</w:t>
      </w:r>
      <w:r>
        <w:rPr>
          <w:spacing w:val="40"/>
        </w:rPr>
        <w:t> </w:t>
      </w:r>
      <w:r>
        <w:rPr/>
        <w:t>CPA and CISA Dual Certification. </w:t>
      </w:r>
      <w:r>
        <w:rPr>
          <w:i/>
        </w:rPr>
        <w:t>Journal of Emerging Technologies in</w:t>
      </w:r>
      <w:r>
        <w:rPr>
          <w:i/>
        </w:rPr>
        <w:t> Accounting, </w:t>
      </w:r>
      <w:r>
        <w:rPr/>
        <w:t>22(1),</w:t>
      </w:r>
      <w:r>
        <w:rPr>
          <w:spacing w:val="40"/>
        </w:rPr>
        <w:t> </w:t>
      </w:r>
      <w:r>
        <w:rPr/>
        <w:t>p. 1-21</w:t>
      </w:r>
    </w:p>
    <w:p>
      <w:pPr>
        <w:pStyle w:val="BodyText"/>
        <w:spacing w:line="230" w:lineRule="auto" w:before="244"/>
        <w:ind w:left="720" w:right="2176"/>
        <w:jc w:val="both"/>
      </w:pPr>
      <w:r>
        <w:rPr/>
        <w:t>Alston, C. A.,</w:t>
      </w:r>
      <w:r>
        <w:rPr>
          <w:spacing w:val="-3"/>
        </w:rPr>
        <w:t> </w:t>
      </w:r>
      <w:r>
        <w:rPr/>
        <w:t>Flint,</w:t>
      </w:r>
      <w:r>
        <w:rPr>
          <w:spacing w:val="-3"/>
        </w:rPr>
        <w:t> </w:t>
      </w:r>
      <w:r>
        <w:rPr/>
        <w:t>L.</w:t>
      </w:r>
      <w:r>
        <w:rPr>
          <w:spacing w:val="-3"/>
        </w:rPr>
        <w:t> </w:t>
      </w:r>
      <w:r>
        <w:rPr/>
        <w:t>L.,</w:t>
      </w:r>
      <w:r>
        <w:rPr>
          <w:spacing w:val="-3"/>
        </w:rPr>
        <w:t> </w:t>
      </w:r>
      <w:r>
        <w:rPr/>
        <w:t>&amp;</w:t>
      </w:r>
      <w:r>
        <w:rPr>
          <w:spacing w:val="-3"/>
        </w:rPr>
        <w:t> </w:t>
      </w:r>
      <w:r>
        <w:rPr/>
        <w:t>Manley,</w:t>
      </w:r>
      <w:r>
        <w:rPr>
          <w:spacing w:val="-3"/>
        </w:rPr>
        <w:t> </w:t>
      </w:r>
      <w:r>
        <w:rPr/>
        <w:t>S.</w:t>
      </w:r>
      <w:r>
        <w:rPr>
          <w:spacing w:val="-3"/>
        </w:rPr>
        <w:t> </w:t>
      </w:r>
      <w:r>
        <w:rPr/>
        <w:t>C.</w:t>
      </w:r>
      <w:r>
        <w:rPr>
          <w:spacing w:val="-3"/>
        </w:rPr>
        <w:t> </w:t>
      </w:r>
      <w:r>
        <w:rPr/>
        <w:t>(2024)</w:t>
      </w:r>
      <w:r>
        <w:rPr>
          <w:spacing w:val="-3"/>
        </w:rPr>
        <w:t> </w:t>
      </w:r>
      <w:r>
        <w:rPr/>
        <w:t>A</w:t>
      </w:r>
      <w:r>
        <w:rPr>
          <w:spacing w:val="-3"/>
        </w:rPr>
        <w:t> </w:t>
      </w:r>
      <w:r>
        <w:rPr/>
        <w:t>Content</w:t>
      </w:r>
      <w:r>
        <w:rPr>
          <w:spacing w:val="-3"/>
        </w:rPr>
        <w:t> </w:t>
      </w:r>
      <w:r>
        <w:rPr/>
        <w:t>Analysis</w:t>
      </w:r>
      <w:r>
        <w:rPr>
          <w:spacing w:val="-3"/>
        </w:rPr>
        <w:t> </w:t>
      </w:r>
      <w:r>
        <w:rPr/>
        <w:t>of</w:t>
      </w:r>
      <w:r>
        <w:rPr>
          <w:spacing w:val="-3"/>
        </w:rPr>
        <w:t> </w:t>
      </w:r>
      <w:r>
        <w:rPr/>
        <w:t>the</w:t>
      </w:r>
      <w:r>
        <w:rPr>
          <w:spacing w:val="-3"/>
        </w:rPr>
        <w:t> </w:t>
      </w:r>
      <w:r>
        <w:rPr/>
        <w:t>Portrayal</w:t>
      </w:r>
      <w:r>
        <w:rPr>
          <w:spacing w:val="-3"/>
        </w:rPr>
        <w:t> </w:t>
      </w:r>
      <w:r>
        <w:rPr/>
        <w:t>of Under-Represented Minorities in Introductory Accounting Textbooks. </w:t>
      </w:r>
      <w:r>
        <w:rPr>
          <w:i/>
        </w:rPr>
        <w:t>Issues </w:t>
      </w:r>
      <w:r>
        <w:rPr>
          <w:i/>
        </w:rPr>
        <w:t>in</w:t>
      </w:r>
      <w:r>
        <w:rPr>
          <w:i/>
        </w:rPr>
        <w:t> Accounting</w:t>
      </w:r>
      <w:r>
        <w:rPr>
          <w:i/>
          <w:spacing w:val="40"/>
        </w:rPr>
        <w:t> </w:t>
      </w:r>
      <w:r>
        <w:rPr>
          <w:i/>
        </w:rPr>
        <w:t>Education, </w:t>
      </w:r>
      <w:r>
        <w:rPr/>
        <w:t>39(2), p. 1-21</w:t>
      </w:r>
    </w:p>
    <w:p>
      <w:pPr>
        <w:pStyle w:val="BodyText"/>
        <w:spacing w:line="230" w:lineRule="auto" w:before="244"/>
        <w:ind w:left="720" w:right="2180"/>
        <w:jc w:val="both"/>
      </w:pPr>
      <w:r>
        <w:rPr/>
        <w:t>Blay, A. D., &amp; Fennema, M. G. (2017) Are Accountants Made or Born? An</w:t>
      </w:r>
      <w:r>
        <w:rPr>
          <w:spacing w:val="-3"/>
        </w:rPr>
        <w:t> </w:t>
      </w:r>
      <w:r>
        <w:rPr/>
        <w:t>Analysis</w:t>
      </w:r>
      <w:r>
        <w:rPr>
          <w:spacing w:val="-3"/>
        </w:rPr>
        <w:t> </w:t>
      </w:r>
      <w:r>
        <w:rPr/>
        <w:t>of Self-Selection into the Accounting Major and Performance in Accounting Courses and</w:t>
      </w:r>
      <w:r>
        <w:rPr>
          <w:spacing w:val="40"/>
        </w:rPr>
        <w:t> </w:t>
      </w:r>
      <w:r>
        <w:rPr/>
        <w:t>on the</w:t>
      </w:r>
      <w:r>
        <w:rPr>
          <w:spacing w:val="40"/>
        </w:rPr>
        <w:t> </w:t>
      </w:r>
      <w:r>
        <w:rPr/>
        <w:t>CPA Exam. </w:t>
      </w:r>
      <w:r>
        <w:rPr>
          <w:i/>
        </w:rPr>
        <w:t>Issues in Accounting Education, </w:t>
      </w:r>
      <w:r>
        <w:rPr/>
        <w:t>32(3), p. 33-50</w:t>
      </w:r>
    </w:p>
    <w:p>
      <w:pPr>
        <w:pStyle w:val="BodyText"/>
        <w:spacing w:line="230" w:lineRule="auto" w:before="245"/>
        <w:ind w:left="720" w:right="2176"/>
        <w:jc w:val="both"/>
      </w:pPr>
      <w:r>
        <w:rPr/>
        <w:t>Boyle, D. M., Carpenter, B. W., Hermanson, D. R., &amp; Mensah, M. O. (2013) The Accounting</w:t>
      </w:r>
      <w:r>
        <w:rPr>
          <w:spacing w:val="40"/>
        </w:rPr>
        <w:t> </w:t>
      </w:r>
      <w:r>
        <w:rPr/>
        <w:t>Doctorate Shortage: Opportunities for Practitioners. </w:t>
      </w:r>
      <w:r>
        <w:rPr>
          <w:i/>
        </w:rPr>
        <w:t>Strategic </w:t>
      </w:r>
      <w:r>
        <w:rPr>
          <w:i/>
        </w:rPr>
        <w:t>Finance,</w:t>
      </w:r>
      <w:r>
        <w:rPr>
          <w:i/>
        </w:rPr>
        <w:t> </w:t>
      </w:r>
      <w:r>
        <w:rPr/>
        <w:t>94(11), p. 31</w:t>
      </w:r>
    </w:p>
    <w:p>
      <w:pPr>
        <w:spacing w:line="230" w:lineRule="auto" w:before="244"/>
        <w:ind w:left="720" w:right="2550" w:firstLine="0"/>
        <w:jc w:val="left"/>
        <w:rPr>
          <w:sz w:val="24"/>
        </w:rPr>
      </w:pPr>
      <w:r>
        <w:rPr>
          <w:sz w:val="24"/>
        </w:rPr>
        <w:t>Chlebowski,</w:t>
      </w:r>
      <w:r>
        <w:rPr>
          <w:spacing w:val="-6"/>
          <w:sz w:val="24"/>
        </w:rPr>
        <w:t> </w:t>
      </w:r>
      <w:r>
        <w:rPr>
          <w:sz w:val="24"/>
        </w:rPr>
        <w:t>C.</w:t>
      </w:r>
      <w:r>
        <w:rPr>
          <w:spacing w:val="-6"/>
          <w:sz w:val="24"/>
        </w:rPr>
        <w:t> </w:t>
      </w:r>
      <w:r>
        <w:rPr>
          <w:sz w:val="24"/>
        </w:rPr>
        <w:t>(2024)</w:t>
      </w:r>
      <w:r>
        <w:rPr>
          <w:spacing w:val="-6"/>
          <w:sz w:val="24"/>
        </w:rPr>
        <w:t> </w:t>
      </w:r>
      <w:r>
        <w:rPr>
          <w:sz w:val="24"/>
        </w:rPr>
        <w:t>Early</w:t>
      </w:r>
      <w:r>
        <w:rPr>
          <w:spacing w:val="-6"/>
          <w:sz w:val="24"/>
        </w:rPr>
        <w:t> </w:t>
      </w:r>
      <w:r>
        <w:rPr>
          <w:sz w:val="24"/>
        </w:rPr>
        <w:t>Exposure</w:t>
      </w:r>
      <w:r>
        <w:rPr>
          <w:spacing w:val="-6"/>
          <w:sz w:val="24"/>
        </w:rPr>
        <w:t> </w:t>
      </w:r>
      <w:r>
        <w:rPr>
          <w:sz w:val="24"/>
        </w:rPr>
        <w:t>to</w:t>
      </w:r>
      <w:r>
        <w:rPr>
          <w:spacing w:val="-6"/>
          <w:sz w:val="24"/>
        </w:rPr>
        <w:t> </w:t>
      </w:r>
      <w:r>
        <w:rPr>
          <w:sz w:val="24"/>
        </w:rPr>
        <w:t>Accounting</w:t>
      </w:r>
      <w:r>
        <w:rPr>
          <w:spacing w:val="-6"/>
          <w:sz w:val="24"/>
        </w:rPr>
        <w:t> </w:t>
      </w:r>
      <w:r>
        <w:rPr>
          <w:sz w:val="24"/>
        </w:rPr>
        <w:t>Is</w:t>
      </w:r>
      <w:r>
        <w:rPr>
          <w:spacing w:val="-6"/>
          <w:sz w:val="24"/>
        </w:rPr>
        <w:t> </w:t>
      </w:r>
      <w:r>
        <w:rPr>
          <w:sz w:val="24"/>
        </w:rPr>
        <w:t>Why</w:t>
      </w:r>
      <w:r>
        <w:rPr>
          <w:spacing w:val="-6"/>
          <w:sz w:val="24"/>
        </w:rPr>
        <w:t> </w:t>
      </w:r>
      <w:r>
        <w:rPr>
          <w:sz w:val="24"/>
        </w:rPr>
        <w:t>I’m</w:t>
      </w:r>
      <w:r>
        <w:rPr>
          <w:spacing w:val="-6"/>
          <w:sz w:val="24"/>
        </w:rPr>
        <w:t> </w:t>
      </w:r>
      <w:r>
        <w:rPr>
          <w:sz w:val="24"/>
        </w:rPr>
        <w:t>Here</w:t>
      </w:r>
      <w:r>
        <w:rPr>
          <w:spacing w:val="-6"/>
          <w:sz w:val="24"/>
        </w:rPr>
        <w:t> </w:t>
      </w:r>
      <w:r>
        <w:rPr>
          <w:sz w:val="24"/>
        </w:rPr>
        <w:t>Today.</w:t>
      </w:r>
      <w:r>
        <w:rPr>
          <w:spacing w:val="-6"/>
          <w:sz w:val="24"/>
        </w:rPr>
        <w:t> </w:t>
      </w:r>
      <w:r>
        <w:rPr>
          <w:i/>
          <w:sz w:val="24"/>
        </w:rPr>
        <w:t>The</w:t>
      </w:r>
      <w:r>
        <w:rPr>
          <w:i/>
          <w:sz w:val="24"/>
        </w:rPr>
        <w:t> Journal</w:t>
      </w:r>
      <w:r>
        <w:rPr>
          <w:i/>
          <w:spacing w:val="40"/>
          <w:sz w:val="24"/>
        </w:rPr>
        <w:t> </w:t>
      </w:r>
      <w:r>
        <w:rPr>
          <w:i/>
          <w:sz w:val="24"/>
        </w:rPr>
        <w:t>of Government Financial Management, </w:t>
      </w:r>
      <w:r>
        <w:rPr>
          <w:sz w:val="24"/>
        </w:rPr>
        <w:t>73(1), p. 56-57</w:t>
      </w:r>
    </w:p>
    <w:p>
      <w:pPr>
        <w:pStyle w:val="BodyText"/>
        <w:spacing w:line="230" w:lineRule="auto" w:before="244"/>
        <w:ind w:left="720" w:right="2135"/>
      </w:pPr>
      <w:r>
        <w:rPr/>
        <w:t>Comunale,</w:t>
      </w:r>
      <w:r>
        <w:rPr>
          <w:spacing w:val="-4"/>
        </w:rPr>
        <w:t> </w:t>
      </w:r>
      <w:r>
        <w:rPr/>
        <w:t>C.</w:t>
      </w:r>
      <w:r>
        <w:rPr>
          <w:spacing w:val="-4"/>
        </w:rPr>
        <w:t> </w:t>
      </w:r>
      <w:r>
        <w:rPr/>
        <w:t>L.,</w:t>
      </w:r>
      <w:r>
        <w:rPr>
          <w:spacing w:val="-4"/>
        </w:rPr>
        <w:t> </w:t>
      </w:r>
      <w:r>
        <w:rPr/>
        <w:t>Irving,</w:t>
      </w:r>
      <w:r>
        <w:rPr>
          <w:spacing w:val="-4"/>
        </w:rPr>
        <w:t> </w:t>
      </w:r>
      <w:r>
        <w:rPr/>
        <w:t>J.</w:t>
      </w:r>
      <w:r>
        <w:rPr>
          <w:spacing w:val="-4"/>
        </w:rPr>
        <w:t> </w:t>
      </w:r>
      <w:r>
        <w:rPr/>
        <w:t>H.,</w:t>
      </w:r>
      <w:r>
        <w:rPr>
          <w:spacing w:val="-4"/>
        </w:rPr>
        <w:t> </w:t>
      </w:r>
      <w:r>
        <w:rPr/>
        <w:t>&amp;</w:t>
      </w:r>
      <w:r>
        <w:rPr>
          <w:spacing w:val="-4"/>
        </w:rPr>
        <w:t> </w:t>
      </w:r>
      <w:r>
        <w:rPr/>
        <w:t>Trainor,</w:t>
      </w:r>
      <w:r>
        <w:rPr>
          <w:spacing w:val="-4"/>
        </w:rPr>
        <w:t> </w:t>
      </w:r>
      <w:r>
        <w:rPr/>
        <w:t>J.</w:t>
      </w:r>
      <w:r>
        <w:rPr>
          <w:spacing w:val="-4"/>
        </w:rPr>
        <w:t> </w:t>
      </w:r>
      <w:r>
        <w:rPr/>
        <w:t>E.</w:t>
      </w:r>
      <w:r>
        <w:rPr>
          <w:spacing w:val="-4"/>
        </w:rPr>
        <w:t> </w:t>
      </w:r>
      <w:r>
        <w:rPr/>
        <w:t>(2023)</w:t>
      </w:r>
      <w:r>
        <w:rPr>
          <w:spacing w:val="-4"/>
        </w:rPr>
        <w:t> </w:t>
      </w:r>
      <w:r>
        <w:rPr/>
        <w:t>The</w:t>
      </w:r>
      <w:r>
        <w:rPr>
          <w:spacing w:val="-4"/>
        </w:rPr>
        <w:t> </w:t>
      </w:r>
      <w:r>
        <w:rPr/>
        <w:t>Accounting</w:t>
      </w:r>
      <w:r>
        <w:rPr>
          <w:spacing w:val="-4"/>
        </w:rPr>
        <w:t> </w:t>
      </w:r>
      <w:r>
        <w:rPr/>
        <w:t>Pipeline:</w:t>
      </w:r>
      <w:r>
        <w:rPr>
          <w:spacing w:val="-4"/>
        </w:rPr>
        <w:t> </w:t>
      </w:r>
      <w:r>
        <w:rPr/>
        <w:t>Insights from Professionals and Students. </w:t>
      </w:r>
      <w:r>
        <w:rPr>
          <w:i/>
        </w:rPr>
        <w:t>The CPA Journal, </w:t>
      </w:r>
      <w:r>
        <w:rPr/>
        <w:t>93(9-10), p. 44-49</w:t>
      </w:r>
    </w:p>
    <w:p>
      <w:pPr>
        <w:pStyle w:val="BodyText"/>
        <w:spacing w:line="230" w:lineRule="auto" w:before="246"/>
        <w:ind w:left="720" w:right="2878"/>
      </w:pPr>
      <w:r>
        <w:rPr/>
        <w:t>Crampton, W., Walstrom, K., &amp; Schambach, T. (2006) Factors Influencing Major Selection</w:t>
      </w:r>
      <w:r>
        <w:rPr>
          <w:spacing w:val="40"/>
        </w:rPr>
        <w:t> </w:t>
      </w:r>
      <w:r>
        <w:rPr/>
        <w:t>by</w:t>
      </w:r>
      <w:r>
        <w:rPr>
          <w:spacing w:val="-4"/>
        </w:rPr>
        <w:t> </w:t>
      </w:r>
      <w:r>
        <w:rPr/>
        <w:t>College</w:t>
      </w:r>
      <w:r>
        <w:rPr>
          <w:spacing w:val="-4"/>
        </w:rPr>
        <w:t> </w:t>
      </w:r>
      <w:r>
        <w:rPr/>
        <w:t>of</w:t>
      </w:r>
      <w:r>
        <w:rPr>
          <w:spacing w:val="-4"/>
        </w:rPr>
        <w:t> </w:t>
      </w:r>
      <w:r>
        <w:rPr/>
        <w:t>Business</w:t>
      </w:r>
      <w:r>
        <w:rPr>
          <w:spacing w:val="-4"/>
        </w:rPr>
        <w:t> </w:t>
      </w:r>
      <w:r>
        <w:rPr/>
        <w:t>Students.</w:t>
      </w:r>
      <w:r>
        <w:rPr>
          <w:spacing w:val="-4"/>
        </w:rPr>
        <w:t> </w:t>
      </w:r>
      <w:r>
        <w:rPr>
          <w:i/>
        </w:rPr>
        <w:t>Issues</w:t>
      </w:r>
      <w:r>
        <w:rPr>
          <w:i/>
          <w:spacing w:val="-4"/>
        </w:rPr>
        <w:t> </w:t>
      </w:r>
      <w:r>
        <w:rPr>
          <w:i/>
        </w:rPr>
        <w:t>in</w:t>
      </w:r>
      <w:r>
        <w:rPr>
          <w:i/>
          <w:spacing w:val="-4"/>
        </w:rPr>
        <w:t> </w:t>
      </w:r>
      <w:r>
        <w:rPr>
          <w:i/>
        </w:rPr>
        <w:t>Information</w:t>
      </w:r>
      <w:r>
        <w:rPr>
          <w:i/>
          <w:spacing w:val="-4"/>
        </w:rPr>
        <w:t> </w:t>
      </w:r>
      <w:r>
        <w:rPr>
          <w:i/>
        </w:rPr>
        <w:t>Systems,</w:t>
      </w:r>
      <w:r>
        <w:rPr>
          <w:i/>
          <w:spacing w:val="-4"/>
        </w:rPr>
        <w:t> </w:t>
      </w:r>
      <w:r>
        <w:rPr/>
        <w:t>7(1),</w:t>
      </w:r>
      <w:r>
        <w:rPr>
          <w:spacing w:val="-4"/>
        </w:rPr>
        <w:t> </w:t>
      </w:r>
      <w:r>
        <w:rPr/>
        <w:t>p. </w:t>
      </w:r>
      <w:r>
        <w:rPr>
          <w:spacing w:val="-2"/>
        </w:rPr>
        <w:t>226-230</w:t>
      </w:r>
    </w:p>
    <w:p>
      <w:pPr>
        <w:pStyle w:val="BodyText"/>
        <w:spacing w:line="230" w:lineRule="auto" w:before="244"/>
        <w:ind w:left="720" w:right="2550"/>
      </w:pPr>
      <w:r>
        <w:rPr/>
        <w:t>Dawkins,</w:t>
      </w:r>
      <w:r>
        <w:rPr>
          <w:spacing w:val="-4"/>
        </w:rPr>
        <w:t> </w:t>
      </w:r>
      <w:r>
        <w:rPr/>
        <w:t>M.</w:t>
      </w:r>
      <w:r>
        <w:rPr>
          <w:spacing w:val="-4"/>
        </w:rPr>
        <w:t> </w:t>
      </w:r>
      <w:r>
        <w:rPr/>
        <w:t>C.,</w:t>
      </w:r>
      <w:r>
        <w:rPr>
          <w:spacing w:val="-4"/>
        </w:rPr>
        <w:t> </w:t>
      </w:r>
      <w:r>
        <w:rPr/>
        <w:t>Dugan,</w:t>
      </w:r>
      <w:r>
        <w:rPr>
          <w:spacing w:val="-4"/>
        </w:rPr>
        <w:t> </w:t>
      </w:r>
      <w:r>
        <w:rPr/>
        <w:t>M.</w:t>
      </w:r>
      <w:r>
        <w:rPr>
          <w:spacing w:val="-4"/>
        </w:rPr>
        <w:t> </w:t>
      </w:r>
      <w:r>
        <w:rPr/>
        <w:t>T.,</w:t>
      </w:r>
      <w:r>
        <w:rPr>
          <w:spacing w:val="-4"/>
        </w:rPr>
        <w:t> </w:t>
      </w:r>
      <w:r>
        <w:rPr/>
        <w:t>&amp;</w:t>
      </w:r>
      <w:r>
        <w:rPr>
          <w:spacing w:val="-4"/>
        </w:rPr>
        <w:t> </w:t>
      </w:r>
      <w:r>
        <w:rPr/>
        <w:t>Muriel,</w:t>
      </w:r>
      <w:r>
        <w:rPr>
          <w:spacing w:val="-4"/>
        </w:rPr>
        <w:t> </w:t>
      </w:r>
      <w:r>
        <w:rPr/>
        <w:t>L.</w:t>
      </w:r>
      <w:r>
        <w:rPr>
          <w:spacing w:val="-4"/>
        </w:rPr>
        <w:t> </w:t>
      </w:r>
      <w:r>
        <w:rPr/>
        <w:t>(2024)</w:t>
      </w:r>
      <w:r>
        <w:rPr>
          <w:spacing w:val="-4"/>
        </w:rPr>
        <w:t> </w:t>
      </w:r>
      <w:r>
        <w:rPr/>
        <w:t>Pipeline</w:t>
      </w:r>
      <w:r>
        <w:rPr>
          <w:spacing w:val="-4"/>
        </w:rPr>
        <w:t> </w:t>
      </w:r>
      <w:r>
        <w:rPr/>
        <w:t>Impacts</w:t>
      </w:r>
      <w:r>
        <w:rPr>
          <w:spacing w:val="-4"/>
        </w:rPr>
        <w:t> </w:t>
      </w:r>
      <w:r>
        <w:rPr/>
        <w:t>of</w:t>
      </w:r>
      <w:r>
        <w:rPr>
          <w:spacing w:val="-4"/>
        </w:rPr>
        <w:t> </w:t>
      </w:r>
      <w:r>
        <w:rPr/>
        <w:t>the</w:t>
      </w:r>
      <w:r>
        <w:rPr>
          <w:spacing w:val="-4"/>
        </w:rPr>
        <w:t> </w:t>
      </w:r>
      <w:r>
        <w:rPr/>
        <w:t>Proposed CPA</w:t>
      </w:r>
      <w:r>
        <w:rPr>
          <w:spacing w:val="40"/>
        </w:rPr>
        <w:t> </w:t>
      </w:r>
      <w:r>
        <w:rPr/>
        <w:t>Competency-Based Experience Pathway. </w:t>
      </w:r>
      <w:r>
        <w:rPr>
          <w:i/>
        </w:rPr>
        <w:t>The CPA Journal, </w:t>
      </w:r>
      <w:r>
        <w:rPr/>
        <w:t>94(9-12), p. 10</w:t>
      </w:r>
    </w:p>
    <w:p>
      <w:pPr>
        <w:pStyle w:val="BodyText"/>
        <w:spacing w:after="0" w:line="230" w:lineRule="auto"/>
        <w:sectPr>
          <w:pgSz w:w="12240" w:h="15840"/>
          <w:pgMar w:header="0" w:footer="750" w:top="640" w:bottom="960" w:left="720" w:right="0"/>
        </w:sectPr>
      </w:pPr>
    </w:p>
    <w:p>
      <w:pPr>
        <w:pStyle w:val="BodyText"/>
        <w:spacing w:line="230" w:lineRule="auto" w:before="80"/>
        <w:ind w:left="720" w:right="2135"/>
      </w:pPr>
      <w:r>
        <w:rPr/>
        <w:t>Dresnack,</w:t>
      </w:r>
      <w:r>
        <w:rPr>
          <w:spacing w:val="-9"/>
        </w:rPr>
        <w:t> </w:t>
      </w:r>
      <w:r>
        <w:rPr/>
        <w:t>W.</w:t>
      </w:r>
      <w:r>
        <w:rPr>
          <w:spacing w:val="-9"/>
        </w:rPr>
        <w:t> </w:t>
      </w:r>
      <w:r>
        <w:rPr/>
        <w:t>H.</w:t>
      </w:r>
      <w:r>
        <w:rPr>
          <w:spacing w:val="-9"/>
        </w:rPr>
        <w:t> </w:t>
      </w:r>
      <w:r>
        <w:rPr/>
        <w:t>(2022)</w:t>
      </w:r>
      <w:r>
        <w:rPr>
          <w:spacing w:val="-9"/>
        </w:rPr>
        <w:t> </w:t>
      </w:r>
      <w:r>
        <w:rPr/>
        <w:t>Building</w:t>
      </w:r>
      <w:r>
        <w:rPr>
          <w:spacing w:val="-9"/>
        </w:rPr>
        <w:t> </w:t>
      </w:r>
      <w:r>
        <w:rPr/>
        <w:t>a</w:t>
      </w:r>
      <w:r>
        <w:rPr>
          <w:spacing w:val="-9"/>
        </w:rPr>
        <w:t> </w:t>
      </w:r>
      <w:r>
        <w:rPr/>
        <w:t>Stronger</w:t>
      </w:r>
      <w:r>
        <w:rPr>
          <w:spacing w:val="-9"/>
        </w:rPr>
        <w:t> </w:t>
      </w:r>
      <w:r>
        <w:rPr/>
        <w:t>Pipeline:</w:t>
      </w:r>
      <w:r>
        <w:rPr>
          <w:spacing w:val="-9"/>
        </w:rPr>
        <w:t> </w:t>
      </w:r>
      <w:r>
        <w:rPr/>
        <w:t>Stacking</w:t>
      </w:r>
      <w:r>
        <w:rPr>
          <w:spacing w:val="-9"/>
        </w:rPr>
        <w:t> </w:t>
      </w:r>
      <w:r>
        <w:rPr/>
        <w:t>Pre-CPA</w:t>
      </w:r>
      <w:r>
        <w:rPr>
          <w:spacing w:val="-9"/>
        </w:rPr>
        <w:t> </w:t>
      </w:r>
      <w:r>
        <w:rPr/>
        <w:t>Accounting Licenses on the Way to CPA. </w:t>
      </w:r>
      <w:r>
        <w:rPr>
          <w:i/>
        </w:rPr>
        <w:t>The CPA Journal, </w:t>
      </w:r>
      <w:r>
        <w:rPr/>
        <w:t>92(9-10), p. 56</w:t>
      </w:r>
    </w:p>
    <w:p>
      <w:pPr>
        <w:pStyle w:val="BodyText"/>
        <w:spacing w:line="230" w:lineRule="auto" w:before="245"/>
        <w:ind w:left="720" w:right="2177"/>
        <w:jc w:val="both"/>
      </w:pPr>
      <w:r>
        <w:rPr/>
        <w:t>Eisikovits, N., Johnson, W. C., &amp; Markelevich,</w:t>
      </w:r>
      <w:r>
        <w:rPr>
          <w:spacing w:val="-5"/>
        </w:rPr>
        <w:t> </w:t>
      </w:r>
      <w:r>
        <w:rPr/>
        <w:t>A.</w:t>
      </w:r>
      <w:r>
        <w:rPr>
          <w:spacing w:val="-5"/>
        </w:rPr>
        <w:t> </w:t>
      </w:r>
      <w:r>
        <w:rPr/>
        <w:t>(2025)</w:t>
      </w:r>
      <w:r>
        <w:rPr>
          <w:spacing w:val="-5"/>
        </w:rPr>
        <w:t> </w:t>
      </w:r>
      <w:r>
        <w:rPr/>
        <w:t>Should</w:t>
      </w:r>
      <w:r>
        <w:rPr>
          <w:spacing w:val="-5"/>
        </w:rPr>
        <w:t> </w:t>
      </w:r>
      <w:r>
        <w:rPr/>
        <w:t>Accountants</w:t>
      </w:r>
      <w:r>
        <w:rPr>
          <w:spacing w:val="-5"/>
        </w:rPr>
        <w:t> </w:t>
      </w:r>
      <w:r>
        <w:rPr/>
        <w:t>Be</w:t>
      </w:r>
      <w:r>
        <w:rPr>
          <w:spacing w:val="-5"/>
        </w:rPr>
        <w:t> </w:t>
      </w:r>
      <w:r>
        <w:rPr/>
        <w:t>Afraid of</w:t>
      </w:r>
      <w:r>
        <w:rPr>
          <w:spacing w:val="40"/>
        </w:rPr>
        <w:t> </w:t>
      </w:r>
      <w:r>
        <w:rPr/>
        <w:t>AI? Risks and Opportunities of Incorporating Artificial Intelligence into Accounting and</w:t>
      </w:r>
      <w:r>
        <w:rPr>
          <w:spacing w:val="40"/>
        </w:rPr>
        <w:t> </w:t>
      </w:r>
      <w:r>
        <w:rPr/>
        <w:t>Auditing. </w:t>
      </w:r>
      <w:r>
        <w:rPr>
          <w:i/>
        </w:rPr>
        <w:t>Accounting Horizons, </w:t>
      </w:r>
      <w:r>
        <w:rPr/>
        <w:t>39(2), p. 117-123</w:t>
      </w:r>
    </w:p>
    <w:p>
      <w:pPr>
        <w:spacing w:line="230" w:lineRule="auto" w:before="244"/>
        <w:ind w:left="720" w:right="2179" w:firstLine="0"/>
        <w:jc w:val="both"/>
        <w:rPr>
          <w:sz w:val="24"/>
        </w:rPr>
      </w:pPr>
      <w:r>
        <w:rPr>
          <w:sz w:val="24"/>
        </w:rPr>
        <w:t>Frezatti, F., Carter, D. B., &amp; Barroso, M. (2014) Accounting Without </w:t>
      </w:r>
      <w:r>
        <w:rPr>
          <w:sz w:val="24"/>
        </w:rPr>
        <w:t>Accounting: Informational Proxies and the Construction of Organisational Discourses. </w:t>
      </w:r>
      <w:r>
        <w:rPr>
          <w:i/>
          <w:sz w:val="24"/>
        </w:rPr>
        <w:t>Accounting,</w:t>
      </w:r>
      <w:r>
        <w:rPr>
          <w:i/>
          <w:sz w:val="24"/>
        </w:rPr>
        <w:t> Auditing &amp; Accountability Journal, </w:t>
      </w:r>
      <w:r>
        <w:rPr>
          <w:sz w:val="24"/>
        </w:rPr>
        <w:t>27(3), p. 426-464</w:t>
      </w:r>
    </w:p>
    <w:p>
      <w:pPr>
        <w:pStyle w:val="BodyText"/>
        <w:spacing w:line="230" w:lineRule="auto" w:before="244"/>
        <w:ind w:left="720" w:right="2182"/>
        <w:jc w:val="both"/>
      </w:pPr>
      <w:r>
        <w:rPr/>
        <w:t>Gabre, H., Flesher, D. L., &amp; Ross, F. (2015) Addressing the Challenges of Diversity </w:t>
      </w:r>
      <w:r>
        <w:rPr/>
        <w:t>in the</w:t>
      </w:r>
      <w:r>
        <w:rPr>
          <w:spacing w:val="40"/>
        </w:rPr>
        <w:t> </w:t>
      </w:r>
      <w:r>
        <w:rPr/>
        <w:t>Profession: Determinant Factors for the</w:t>
      </w:r>
      <w:r>
        <w:rPr>
          <w:spacing w:val="-7"/>
        </w:rPr>
        <w:t> </w:t>
      </w:r>
      <w:r>
        <w:rPr/>
        <w:t>Dearth</w:t>
      </w:r>
      <w:r>
        <w:rPr>
          <w:spacing w:val="-7"/>
        </w:rPr>
        <w:t> </w:t>
      </w:r>
      <w:r>
        <w:rPr/>
        <w:t>of</w:t>
      </w:r>
      <w:r>
        <w:rPr>
          <w:spacing w:val="-7"/>
        </w:rPr>
        <w:t> </w:t>
      </w:r>
      <w:r>
        <w:rPr/>
        <w:t>Minority</w:t>
      </w:r>
      <w:r>
        <w:rPr>
          <w:spacing w:val="-7"/>
        </w:rPr>
        <w:t> </w:t>
      </w:r>
      <w:r>
        <w:rPr/>
        <w:t>CPAs.</w:t>
      </w:r>
      <w:r>
        <w:rPr>
          <w:spacing w:val="-7"/>
        </w:rPr>
        <w:t> </w:t>
      </w:r>
      <w:r>
        <w:rPr>
          <w:i/>
        </w:rPr>
        <w:t>The</w:t>
      </w:r>
      <w:r>
        <w:rPr>
          <w:i/>
          <w:spacing w:val="-7"/>
        </w:rPr>
        <w:t> </w:t>
      </w:r>
      <w:r>
        <w:rPr>
          <w:i/>
        </w:rPr>
        <w:t>CPA</w:t>
      </w:r>
      <w:r>
        <w:rPr>
          <w:i/>
          <w:spacing w:val="-7"/>
        </w:rPr>
        <w:t> </w:t>
      </w:r>
      <w:r>
        <w:rPr>
          <w:i/>
        </w:rPr>
        <w:t>Journal,</w:t>
      </w:r>
      <w:r>
        <w:rPr>
          <w:i/>
        </w:rPr>
        <w:t> </w:t>
      </w:r>
      <w:r>
        <w:rPr/>
        <w:t>85(12),</w:t>
      </w:r>
      <w:r>
        <w:rPr>
          <w:spacing w:val="40"/>
        </w:rPr>
        <w:t> </w:t>
      </w:r>
      <w:r>
        <w:rPr/>
        <w:t>p. 30-37</w:t>
      </w:r>
    </w:p>
    <w:p>
      <w:pPr>
        <w:pStyle w:val="BodyText"/>
        <w:spacing w:line="230" w:lineRule="auto" w:before="244"/>
        <w:ind w:left="720" w:right="2550"/>
      </w:pPr>
      <w:r>
        <w:rPr/>
        <w:t>Gabre,</w:t>
      </w:r>
      <w:r>
        <w:rPr>
          <w:spacing w:val="-7"/>
        </w:rPr>
        <w:t> </w:t>
      </w:r>
      <w:r>
        <w:rPr/>
        <w:t>H.</w:t>
      </w:r>
      <w:r>
        <w:rPr>
          <w:spacing w:val="-7"/>
        </w:rPr>
        <w:t> </w:t>
      </w:r>
      <w:r>
        <w:rPr/>
        <w:t>G.,</w:t>
      </w:r>
      <w:r>
        <w:rPr>
          <w:spacing w:val="-7"/>
        </w:rPr>
        <w:t> </w:t>
      </w:r>
      <w:r>
        <w:rPr/>
        <w:t>Flesher,</w:t>
      </w:r>
      <w:r>
        <w:rPr>
          <w:spacing w:val="-7"/>
        </w:rPr>
        <w:t> </w:t>
      </w:r>
      <w:r>
        <w:rPr/>
        <w:t>D.</w:t>
      </w:r>
      <w:r>
        <w:rPr>
          <w:spacing w:val="-7"/>
        </w:rPr>
        <w:t> </w:t>
      </w:r>
      <w:r>
        <w:rPr/>
        <w:t>L.,</w:t>
      </w:r>
      <w:r>
        <w:rPr>
          <w:spacing w:val="-7"/>
        </w:rPr>
        <w:t> </w:t>
      </w:r>
      <w:r>
        <w:rPr/>
        <w:t>&amp;</w:t>
      </w:r>
      <w:r>
        <w:rPr>
          <w:spacing w:val="-7"/>
        </w:rPr>
        <w:t> </w:t>
      </w:r>
      <w:r>
        <w:rPr/>
        <w:t>Ross,</w:t>
      </w:r>
      <w:r>
        <w:rPr>
          <w:spacing w:val="-7"/>
        </w:rPr>
        <w:t> </w:t>
      </w:r>
      <w:r>
        <w:rPr/>
        <w:t>F.</w:t>
      </w:r>
      <w:r>
        <w:rPr>
          <w:spacing w:val="-7"/>
        </w:rPr>
        <w:t> </w:t>
      </w:r>
      <w:r>
        <w:rPr/>
        <w:t>(2017)</w:t>
      </w:r>
      <w:r>
        <w:rPr>
          <w:spacing w:val="-7"/>
        </w:rPr>
        <w:t> </w:t>
      </w:r>
      <w:r>
        <w:rPr/>
        <w:t>CPA</w:t>
      </w:r>
      <w:r>
        <w:rPr>
          <w:spacing w:val="-7"/>
        </w:rPr>
        <w:t> </w:t>
      </w:r>
      <w:r>
        <w:rPr/>
        <w:t>Credential</w:t>
      </w:r>
      <w:r>
        <w:rPr>
          <w:spacing w:val="-7"/>
        </w:rPr>
        <w:t> </w:t>
      </w:r>
      <w:r>
        <w:rPr/>
        <w:t>Perceptions:</w:t>
      </w:r>
      <w:r>
        <w:rPr>
          <w:spacing w:val="-7"/>
        </w:rPr>
        <w:t> </w:t>
      </w:r>
      <w:r>
        <w:rPr/>
        <w:t>A</w:t>
      </w:r>
      <w:r>
        <w:rPr>
          <w:spacing w:val="-7"/>
        </w:rPr>
        <w:t> </w:t>
      </w:r>
      <w:r>
        <w:rPr/>
        <w:t>Case Study of</w:t>
      </w:r>
      <w:r>
        <w:rPr>
          <w:spacing w:val="40"/>
        </w:rPr>
        <w:t> </w:t>
      </w:r>
      <w:r>
        <w:rPr/>
        <w:t>Hispanic Accountants. </w:t>
      </w:r>
      <w:r>
        <w:rPr>
          <w:i/>
        </w:rPr>
        <w:t>Accounting Education, </w:t>
      </w:r>
      <w:r>
        <w:rPr/>
        <w:t>26(1), p. 54-77</w:t>
      </w:r>
    </w:p>
    <w:p>
      <w:pPr>
        <w:pStyle w:val="BodyText"/>
        <w:spacing w:line="270" w:lineRule="exact" w:before="236"/>
        <w:ind w:left="720"/>
        <w:jc w:val="both"/>
      </w:pPr>
      <w:r>
        <w:rPr/>
        <w:t>Hagen,</w:t>
      </w:r>
      <w:r>
        <w:rPr>
          <w:spacing w:val="-1"/>
        </w:rPr>
        <w:t> </w:t>
      </w:r>
      <w:r>
        <w:rPr/>
        <w:t>A.</w:t>
      </w:r>
      <w:r>
        <w:rPr>
          <w:spacing w:val="-1"/>
        </w:rPr>
        <w:t> </w:t>
      </w:r>
      <w:r>
        <w:rPr/>
        <w:t>(2024)</w:t>
      </w:r>
      <w:r>
        <w:rPr>
          <w:spacing w:val="-1"/>
        </w:rPr>
        <w:t> </w:t>
      </w:r>
      <w:r>
        <w:rPr/>
        <w:t>Attracting</w:t>
      </w:r>
      <w:r>
        <w:rPr>
          <w:spacing w:val="-1"/>
        </w:rPr>
        <w:t> </w:t>
      </w:r>
      <w:r>
        <w:rPr/>
        <w:t>Trusted</w:t>
      </w:r>
      <w:r>
        <w:rPr>
          <w:spacing w:val="-1"/>
        </w:rPr>
        <w:t> </w:t>
      </w:r>
      <w:r>
        <w:rPr/>
        <w:t>Advisors:</w:t>
      </w:r>
      <w:r>
        <w:rPr>
          <w:spacing w:val="-1"/>
        </w:rPr>
        <w:t> </w:t>
      </w:r>
      <w:r>
        <w:rPr/>
        <w:t>Increasing</w:t>
      </w:r>
      <w:r>
        <w:rPr>
          <w:spacing w:val="-1"/>
        </w:rPr>
        <w:t> </w:t>
      </w:r>
      <w:r>
        <w:rPr/>
        <w:t>the</w:t>
      </w:r>
      <w:r>
        <w:rPr>
          <w:spacing w:val="-1"/>
        </w:rPr>
        <w:t> </w:t>
      </w:r>
      <w:r>
        <w:rPr/>
        <w:t>Accounting</w:t>
      </w:r>
      <w:r>
        <w:rPr>
          <w:spacing w:val="-1"/>
        </w:rPr>
        <w:t> </w:t>
      </w:r>
      <w:r>
        <w:rPr>
          <w:spacing w:val="-2"/>
        </w:rPr>
        <w:t>Pipeline.</w:t>
      </w:r>
    </w:p>
    <w:p>
      <w:pPr>
        <w:spacing w:line="270" w:lineRule="exact" w:before="0"/>
        <w:ind w:left="720" w:right="0" w:firstLine="0"/>
        <w:jc w:val="both"/>
        <w:rPr>
          <w:sz w:val="24"/>
        </w:rPr>
      </w:pPr>
      <w:r>
        <w:rPr>
          <w:i/>
          <w:sz w:val="24"/>
        </w:rPr>
        <w:t>Journal</w:t>
      </w:r>
      <w:r>
        <w:rPr>
          <w:i/>
          <w:spacing w:val="60"/>
          <w:sz w:val="24"/>
        </w:rPr>
        <w:t> </w:t>
      </w:r>
      <w:r>
        <w:rPr>
          <w:i/>
          <w:sz w:val="24"/>
        </w:rPr>
        <w:t>of Government Financial Management, </w:t>
      </w:r>
      <w:r>
        <w:rPr>
          <w:sz w:val="24"/>
        </w:rPr>
        <w:t>72(4), p. 22-</w:t>
      </w:r>
      <w:r>
        <w:rPr>
          <w:spacing w:val="-5"/>
          <w:sz w:val="24"/>
        </w:rPr>
        <w:t>23</w:t>
      </w:r>
    </w:p>
    <w:p>
      <w:pPr>
        <w:spacing w:line="230" w:lineRule="auto" w:before="244"/>
        <w:ind w:left="720" w:right="2178" w:firstLine="0"/>
        <w:jc w:val="both"/>
        <w:rPr>
          <w:sz w:val="24"/>
        </w:rPr>
      </w:pPr>
      <w:r>
        <w:rPr>
          <w:sz w:val="24"/>
        </w:rPr>
        <w:t>Halari, A., &amp; Baric, M. (2023) Exploring Accountant’s Involvement in </w:t>
      </w:r>
      <w:r>
        <w:rPr>
          <w:sz w:val="24"/>
        </w:rPr>
        <w:t>Circular Economy:</w:t>
      </w:r>
      <w:r>
        <w:rPr>
          <w:spacing w:val="40"/>
          <w:sz w:val="24"/>
        </w:rPr>
        <w:t> </w:t>
      </w:r>
      <w:r>
        <w:rPr>
          <w:sz w:val="24"/>
        </w:rPr>
        <w:t>Experiences and Perspectives of Practitioners. </w:t>
      </w:r>
      <w:r>
        <w:rPr>
          <w:i/>
          <w:sz w:val="24"/>
        </w:rPr>
        <w:t>Qualitative Research in</w:t>
      </w:r>
      <w:r>
        <w:rPr>
          <w:i/>
          <w:sz w:val="24"/>
        </w:rPr>
        <w:t> Accounting and</w:t>
      </w:r>
      <w:r>
        <w:rPr>
          <w:i/>
          <w:spacing w:val="40"/>
          <w:sz w:val="24"/>
        </w:rPr>
        <w:t> </w:t>
      </w:r>
      <w:r>
        <w:rPr>
          <w:i/>
          <w:sz w:val="24"/>
        </w:rPr>
        <w:t>Management, </w:t>
      </w:r>
      <w:r>
        <w:rPr>
          <w:sz w:val="24"/>
        </w:rPr>
        <w:t>20(4), p. 421-446</w:t>
      </w:r>
    </w:p>
    <w:p>
      <w:pPr>
        <w:pStyle w:val="BodyText"/>
        <w:spacing w:line="230" w:lineRule="auto" w:before="244"/>
        <w:ind w:left="720" w:right="2178"/>
        <w:jc w:val="both"/>
      </w:pPr>
      <w:r>
        <w:rPr/>
        <w:t>Hatane, S. E., Emerson, B., Soesanto, O., Gunawan, R. A., &amp; Semuel, H. (2022) Accounting</w:t>
      </w:r>
      <w:r>
        <w:rPr>
          <w:spacing w:val="40"/>
        </w:rPr>
        <w:t> </w:t>
      </w:r>
      <w:r>
        <w:rPr/>
        <w:t>Students' Perceptions of Work–Life Balance, Accounting Career</w:t>
      </w:r>
      <w:r>
        <w:rPr>
          <w:spacing w:val="-5"/>
        </w:rPr>
        <w:t> </w:t>
      </w:r>
      <w:r>
        <w:rPr/>
        <w:t>Image</w:t>
      </w:r>
      <w:r>
        <w:rPr>
          <w:spacing w:val="-5"/>
        </w:rPr>
        <w:t> </w:t>
      </w:r>
      <w:r>
        <w:rPr/>
        <w:t>and Intention to</w:t>
      </w:r>
      <w:r>
        <w:rPr>
          <w:spacing w:val="40"/>
        </w:rPr>
        <w:t> </w:t>
      </w:r>
      <w:r>
        <w:rPr/>
        <w:t>Pursue Accounting Careers. </w:t>
      </w:r>
      <w:r>
        <w:rPr>
          <w:i/>
        </w:rPr>
        <w:t>Higher Education, Skills and Work-Based</w:t>
      </w:r>
      <w:r>
        <w:rPr>
          <w:i/>
        </w:rPr>
        <w:t> Learning, </w:t>
      </w:r>
      <w:r>
        <w:rPr/>
        <w:t>12(3), p.</w:t>
      </w:r>
      <w:r>
        <w:rPr>
          <w:spacing w:val="40"/>
        </w:rPr>
        <w:t> </w:t>
      </w:r>
      <w:r>
        <w:rPr/>
        <w:t>401-418</w:t>
      </w:r>
    </w:p>
    <w:p>
      <w:pPr>
        <w:pStyle w:val="BodyText"/>
        <w:spacing w:line="230" w:lineRule="auto" w:before="244"/>
        <w:ind w:left="720" w:right="2178"/>
        <w:jc w:val="both"/>
      </w:pPr>
      <w:r>
        <w:rPr/>
        <w:t>Jackson, D., Richardson, J., Michelson, G., &amp; Munir, R. (2023) The Future </w:t>
      </w:r>
      <w:r>
        <w:rPr/>
        <w:t>of</w:t>
      </w:r>
      <w:r>
        <w:rPr>
          <w:spacing w:val="40"/>
        </w:rPr>
        <w:t> </w:t>
      </w:r>
      <w:r>
        <w:rPr/>
        <w:t>Accounting</w:t>
      </w:r>
      <w:r>
        <w:rPr>
          <w:spacing w:val="40"/>
        </w:rPr>
        <w:t> </w:t>
      </w:r>
      <w:r>
        <w:rPr/>
        <w:t>Talent: Career Values, Choices and Satisfaction Among Early Career Accountants.</w:t>
      </w:r>
      <w:r>
        <w:rPr>
          <w:spacing w:val="40"/>
        </w:rPr>
        <w:t> </w:t>
      </w:r>
      <w:r>
        <w:rPr>
          <w:i/>
        </w:rPr>
        <w:t>Australian Accounting Review, </w:t>
      </w:r>
      <w:r>
        <w:rPr/>
        <w:t>33(4), p. 391-406</w:t>
      </w:r>
    </w:p>
    <w:p>
      <w:pPr>
        <w:spacing w:line="230" w:lineRule="auto" w:before="244"/>
        <w:ind w:left="720" w:right="2240" w:firstLine="0"/>
        <w:jc w:val="left"/>
        <w:rPr>
          <w:sz w:val="24"/>
        </w:rPr>
      </w:pPr>
      <w:r>
        <w:rPr>
          <w:sz w:val="24"/>
        </w:rPr>
        <w:t>Jaijairam, P. (2012) Engaging Accounting Students: How to Teach Principles of Accounting</w:t>
      </w:r>
      <w:r>
        <w:rPr>
          <w:spacing w:val="40"/>
          <w:sz w:val="24"/>
        </w:rPr>
        <w:t> </w:t>
      </w:r>
      <w:r>
        <w:rPr>
          <w:sz w:val="24"/>
        </w:rPr>
        <w:t>in</w:t>
      </w:r>
      <w:r>
        <w:rPr>
          <w:spacing w:val="-6"/>
          <w:sz w:val="24"/>
        </w:rPr>
        <w:t> </w:t>
      </w:r>
      <w:r>
        <w:rPr>
          <w:sz w:val="24"/>
        </w:rPr>
        <w:t>Creative</w:t>
      </w:r>
      <w:r>
        <w:rPr>
          <w:spacing w:val="-6"/>
          <w:sz w:val="24"/>
        </w:rPr>
        <w:t> </w:t>
      </w:r>
      <w:r>
        <w:rPr>
          <w:sz w:val="24"/>
        </w:rPr>
        <w:t>and</w:t>
      </w:r>
      <w:r>
        <w:rPr>
          <w:spacing w:val="-6"/>
          <w:sz w:val="24"/>
        </w:rPr>
        <w:t> </w:t>
      </w:r>
      <w:r>
        <w:rPr>
          <w:sz w:val="24"/>
        </w:rPr>
        <w:t>Exciting</w:t>
      </w:r>
      <w:r>
        <w:rPr>
          <w:spacing w:val="-6"/>
          <w:sz w:val="24"/>
        </w:rPr>
        <w:t> </w:t>
      </w:r>
      <w:r>
        <w:rPr>
          <w:sz w:val="24"/>
        </w:rPr>
        <w:t>Ways.</w:t>
      </w:r>
      <w:r>
        <w:rPr>
          <w:spacing w:val="-6"/>
          <w:sz w:val="24"/>
        </w:rPr>
        <w:t> </w:t>
      </w:r>
      <w:r>
        <w:rPr>
          <w:i/>
          <w:sz w:val="24"/>
        </w:rPr>
        <w:t>American</w:t>
      </w:r>
      <w:r>
        <w:rPr>
          <w:i/>
          <w:spacing w:val="-6"/>
          <w:sz w:val="24"/>
        </w:rPr>
        <w:t> </w:t>
      </w:r>
      <w:r>
        <w:rPr>
          <w:i/>
          <w:sz w:val="24"/>
        </w:rPr>
        <w:t>Journal</w:t>
      </w:r>
      <w:r>
        <w:rPr>
          <w:i/>
          <w:spacing w:val="-6"/>
          <w:sz w:val="24"/>
        </w:rPr>
        <w:t> </w:t>
      </w:r>
      <w:r>
        <w:rPr>
          <w:i/>
          <w:sz w:val="24"/>
        </w:rPr>
        <w:t>of</w:t>
      </w:r>
      <w:r>
        <w:rPr>
          <w:i/>
          <w:spacing w:val="-6"/>
          <w:sz w:val="24"/>
        </w:rPr>
        <w:t> </w:t>
      </w:r>
      <w:r>
        <w:rPr>
          <w:i/>
          <w:sz w:val="24"/>
        </w:rPr>
        <w:t>Business</w:t>
      </w:r>
      <w:r>
        <w:rPr>
          <w:i/>
          <w:spacing w:val="-6"/>
          <w:sz w:val="24"/>
        </w:rPr>
        <w:t> </w:t>
      </w:r>
      <w:r>
        <w:rPr>
          <w:i/>
          <w:sz w:val="24"/>
        </w:rPr>
        <w:t>Education,</w:t>
      </w:r>
      <w:r>
        <w:rPr>
          <w:i/>
          <w:sz w:val="24"/>
        </w:rPr>
        <w:t> </w:t>
      </w:r>
      <w:r>
        <w:rPr>
          <w:sz w:val="24"/>
        </w:rPr>
        <w:t>5(1), p. 75-78</w:t>
      </w:r>
    </w:p>
    <w:p>
      <w:pPr>
        <w:pStyle w:val="BodyText"/>
        <w:spacing w:line="230" w:lineRule="auto" w:before="244"/>
        <w:ind w:left="720" w:right="2377"/>
      </w:pPr>
      <w:r>
        <w:rPr/>
        <w:t>Jiles, L., Duong, Q., &amp; Venkatesh, R. (2024) Perceived Organizational Inclusion: Evidence</w:t>
      </w:r>
      <w:r>
        <w:rPr>
          <w:spacing w:val="40"/>
        </w:rPr>
        <w:t> </w:t>
      </w:r>
      <w:r>
        <w:rPr/>
        <w:t>from</w:t>
      </w:r>
      <w:r>
        <w:rPr>
          <w:spacing w:val="-4"/>
        </w:rPr>
        <w:t> </w:t>
      </w:r>
      <w:r>
        <w:rPr/>
        <w:t>Neurodivergent</w:t>
      </w:r>
      <w:r>
        <w:rPr>
          <w:spacing w:val="-4"/>
        </w:rPr>
        <w:t> </w:t>
      </w:r>
      <w:r>
        <w:rPr/>
        <w:t>Accountants</w:t>
      </w:r>
      <w:r>
        <w:rPr>
          <w:spacing w:val="-4"/>
        </w:rPr>
        <w:t> </w:t>
      </w:r>
      <w:r>
        <w:rPr/>
        <w:t>in</w:t>
      </w:r>
      <w:r>
        <w:rPr>
          <w:spacing w:val="-4"/>
        </w:rPr>
        <w:t> </w:t>
      </w:r>
      <w:r>
        <w:rPr/>
        <w:t>the</w:t>
      </w:r>
      <w:r>
        <w:rPr>
          <w:spacing w:val="-4"/>
        </w:rPr>
        <w:t> </w:t>
      </w:r>
      <w:r>
        <w:rPr/>
        <w:t>U.S.</w:t>
      </w:r>
      <w:r>
        <w:rPr>
          <w:spacing w:val="-4"/>
        </w:rPr>
        <w:t> </w:t>
      </w:r>
      <w:r>
        <w:rPr>
          <w:i/>
        </w:rPr>
        <w:t>Accounting</w:t>
      </w:r>
      <w:r>
        <w:rPr>
          <w:i/>
          <w:spacing w:val="-4"/>
        </w:rPr>
        <w:t> </w:t>
      </w:r>
      <w:r>
        <w:rPr>
          <w:i/>
        </w:rPr>
        <w:t>Horizons,</w:t>
      </w:r>
      <w:r>
        <w:rPr>
          <w:i/>
          <w:spacing w:val="-4"/>
        </w:rPr>
        <w:t> </w:t>
      </w:r>
      <w:r>
        <w:rPr/>
        <w:t>38(1),</w:t>
      </w:r>
      <w:r>
        <w:rPr>
          <w:spacing w:val="-4"/>
        </w:rPr>
        <w:t> </w:t>
      </w:r>
      <w:r>
        <w:rPr/>
        <w:t>p. </w:t>
      </w:r>
      <w:r>
        <w:rPr>
          <w:spacing w:val="-2"/>
        </w:rPr>
        <w:t>95-110</w:t>
      </w:r>
    </w:p>
    <w:p>
      <w:pPr>
        <w:pStyle w:val="BodyText"/>
        <w:spacing w:line="230" w:lineRule="auto" w:before="244"/>
        <w:ind w:left="720" w:right="2175"/>
        <w:jc w:val="both"/>
      </w:pPr>
      <w:r>
        <w:rPr/>
        <w:t>Johnson, T., Lang, B., &amp; Mauldin, S. (2024) The Impact of the CPA Evolution </w:t>
      </w:r>
      <w:r>
        <w:rPr/>
        <w:t>on Students’</w:t>
      </w:r>
      <w:r>
        <w:rPr>
          <w:spacing w:val="80"/>
        </w:rPr>
        <w:t> </w:t>
      </w:r>
      <w:r>
        <w:rPr/>
        <w:t>Interest in Earning a CPA License and Working in Public Accounting. </w:t>
      </w:r>
      <w:r>
        <w:rPr>
          <w:i/>
        </w:rPr>
        <w:t>Issues</w:t>
      </w:r>
      <w:r>
        <w:rPr>
          <w:i/>
        </w:rPr>
        <w:t> in Accounting</w:t>
      </w:r>
      <w:r>
        <w:rPr>
          <w:i/>
          <w:spacing w:val="40"/>
        </w:rPr>
        <w:t> </w:t>
      </w:r>
      <w:r>
        <w:rPr>
          <w:i/>
        </w:rPr>
        <w:t>Education, </w:t>
      </w:r>
      <w:r>
        <w:rPr/>
        <w:t>39(3), p. 45-58</w:t>
      </w:r>
    </w:p>
    <w:p>
      <w:pPr>
        <w:pStyle w:val="BodyText"/>
        <w:spacing w:line="230" w:lineRule="auto" w:before="245"/>
        <w:ind w:left="720" w:right="2176"/>
        <w:jc w:val="both"/>
      </w:pPr>
      <w:r>
        <w:rPr/>
        <w:t>Jones, S., &amp; Free, C. (2026) What Accountants Need to Know about </w:t>
      </w:r>
      <w:r>
        <w:rPr/>
        <w:t>Artificial Intelligence</w:t>
      </w:r>
      <w:r>
        <w:rPr>
          <w:spacing w:val="40"/>
        </w:rPr>
        <w:t> </w:t>
      </w:r>
      <w:r>
        <w:rPr/>
        <w:t>and Machine Learning: A Review and Call for Future</w:t>
      </w:r>
      <w:r>
        <w:rPr>
          <w:spacing w:val="-2"/>
        </w:rPr>
        <w:t> </w:t>
      </w:r>
      <w:r>
        <w:rPr/>
        <w:t>Research.</w:t>
      </w:r>
      <w:r>
        <w:rPr>
          <w:spacing w:val="-2"/>
        </w:rPr>
        <w:t> </w:t>
      </w:r>
      <w:r>
        <w:rPr>
          <w:i/>
        </w:rPr>
        <w:t>Journal</w:t>
      </w:r>
      <w:r>
        <w:rPr>
          <w:i/>
          <w:spacing w:val="-2"/>
        </w:rPr>
        <w:t> </w:t>
      </w:r>
      <w:r>
        <w:rPr>
          <w:i/>
        </w:rPr>
        <w:t>of</w:t>
      </w:r>
      <w:r>
        <w:rPr>
          <w:i/>
        </w:rPr>
        <w:t> Accounting</w:t>
      </w:r>
      <w:r>
        <w:rPr>
          <w:i/>
          <w:spacing w:val="40"/>
        </w:rPr>
        <w:t> </w:t>
      </w:r>
      <w:r>
        <w:rPr>
          <w:i/>
        </w:rPr>
        <w:t>Literature, </w:t>
      </w:r>
      <w:r>
        <w:rPr/>
        <w:t>48(5), p. 133-158</w:t>
      </w:r>
    </w:p>
    <w:p>
      <w:pPr>
        <w:pStyle w:val="BodyText"/>
        <w:spacing w:line="230" w:lineRule="auto" w:before="244"/>
        <w:ind w:left="720" w:right="2174"/>
        <w:jc w:val="both"/>
      </w:pPr>
      <w:r>
        <w:rPr/>
        <w:t>Jordan,</w:t>
      </w:r>
      <w:r>
        <w:rPr>
          <w:spacing w:val="26"/>
        </w:rPr>
        <w:t> </w:t>
      </w:r>
      <w:r>
        <w:rPr/>
        <w:t>E. E., Kaplan, S. E., &amp; Samuels, J. A. (2023) Accounting or Finance? The </w:t>
      </w:r>
      <w:r>
        <w:rPr/>
        <w:t>Role of</w:t>
      </w:r>
      <w:r>
        <w:rPr>
          <w:spacing w:val="40"/>
        </w:rPr>
        <w:t> </w:t>
      </w:r>
      <w:r>
        <w:rPr/>
        <w:t>Differential Career Beliefs on Undergraduate Students’ Choices of Major. </w:t>
      </w:r>
      <w:r>
        <w:rPr>
          <w:i/>
        </w:rPr>
        <w:t>Issues in</w:t>
      </w:r>
      <w:r>
        <w:rPr>
          <w:i/>
        </w:rPr>
        <w:t> Accounting Education, </w:t>
      </w:r>
      <w:r>
        <w:rPr/>
        <w:t>38(3), p. 1-19</w:t>
      </w:r>
    </w:p>
    <w:p>
      <w:pPr>
        <w:pStyle w:val="BodyText"/>
        <w:spacing w:after="0" w:line="230" w:lineRule="auto"/>
        <w:jc w:val="both"/>
        <w:sectPr>
          <w:pgSz w:w="12240" w:h="15840"/>
          <w:pgMar w:header="0" w:footer="750" w:top="620" w:bottom="960" w:left="720" w:right="0"/>
        </w:sectPr>
      </w:pPr>
    </w:p>
    <w:p>
      <w:pPr>
        <w:spacing w:line="230" w:lineRule="auto" w:before="80"/>
        <w:ind w:left="720" w:right="2174" w:firstLine="0"/>
        <w:jc w:val="both"/>
        <w:rPr>
          <w:sz w:val="24"/>
        </w:rPr>
      </w:pPr>
      <w:r>
        <w:rPr>
          <w:sz w:val="24"/>
        </w:rPr>
        <w:t>Knight,</w:t>
      </w:r>
      <w:r>
        <w:rPr>
          <w:spacing w:val="40"/>
          <w:sz w:val="24"/>
        </w:rPr>
        <w:t> </w:t>
      </w:r>
      <w:r>
        <w:rPr>
          <w:sz w:val="24"/>
        </w:rPr>
        <w:t>E.,</w:t>
      </w:r>
      <w:r>
        <w:rPr>
          <w:spacing w:val="40"/>
          <w:sz w:val="24"/>
        </w:rPr>
        <w:t> </w:t>
      </w:r>
      <w:r>
        <w:rPr>
          <w:sz w:val="24"/>
        </w:rPr>
        <w:t>Braun,</w:t>
      </w:r>
      <w:r>
        <w:rPr>
          <w:spacing w:val="40"/>
          <w:sz w:val="24"/>
        </w:rPr>
        <w:t> </w:t>
      </w:r>
      <w:r>
        <w:rPr>
          <w:sz w:val="24"/>
        </w:rPr>
        <w:t>R.</w:t>
      </w:r>
      <w:r>
        <w:rPr>
          <w:spacing w:val="40"/>
          <w:sz w:val="24"/>
        </w:rPr>
        <w:t> </w:t>
      </w:r>
      <w:r>
        <w:rPr>
          <w:sz w:val="24"/>
        </w:rPr>
        <w:t>L.,</w:t>
      </w:r>
      <w:r>
        <w:rPr>
          <w:spacing w:val="39"/>
          <w:sz w:val="24"/>
        </w:rPr>
        <w:t> </w:t>
      </w:r>
      <w:r>
        <w:rPr>
          <w:sz w:val="24"/>
        </w:rPr>
        <w:t>Simpson,</w:t>
      </w:r>
      <w:r>
        <w:rPr>
          <w:spacing w:val="39"/>
          <w:sz w:val="24"/>
        </w:rPr>
        <w:t> </w:t>
      </w:r>
      <w:r>
        <w:rPr>
          <w:sz w:val="24"/>
        </w:rPr>
        <w:t>W.</w:t>
      </w:r>
      <w:r>
        <w:rPr>
          <w:spacing w:val="39"/>
          <w:sz w:val="24"/>
        </w:rPr>
        <w:t> </w:t>
      </w:r>
      <w:r>
        <w:rPr>
          <w:sz w:val="24"/>
        </w:rPr>
        <w:t>R.,</w:t>
      </w:r>
      <w:r>
        <w:rPr>
          <w:spacing w:val="39"/>
          <w:sz w:val="24"/>
        </w:rPr>
        <w:t> </w:t>
      </w:r>
      <w:r>
        <w:rPr>
          <w:sz w:val="24"/>
        </w:rPr>
        <w:t>&amp;</w:t>
      </w:r>
      <w:r>
        <w:rPr>
          <w:spacing w:val="39"/>
          <w:sz w:val="24"/>
        </w:rPr>
        <w:t> </w:t>
      </w:r>
      <w:r>
        <w:rPr>
          <w:sz w:val="24"/>
        </w:rPr>
        <w:t>Le</w:t>
      </w:r>
      <w:r>
        <w:rPr>
          <w:spacing w:val="39"/>
          <w:sz w:val="24"/>
        </w:rPr>
        <w:t> </w:t>
      </w:r>
      <w:r>
        <w:rPr>
          <w:sz w:val="24"/>
        </w:rPr>
        <w:t>Guyader,</w:t>
      </w:r>
      <w:r>
        <w:rPr>
          <w:spacing w:val="39"/>
          <w:sz w:val="24"/>
        </w:rPr>
        <w:t> </w:t>
      </w:r>
      <w:r>
        <w:rPr>
          <w:sz w:val="24"/>
        </w:rPr>
        <w:t>L.</w:t>
      </w:r>
      <w:r>
        <w:rPr>
          <w:spacing w:val="39"/>
          <w:sz w:val="24"/>
        </w:rPr>
        <w:t> </w:t>
      </w:r>
      <w:r>
        <w:rPr>
          <w:sz w:val="24"/>
        </w:rPr>
        <w:t>P.</w:t>
      </w:r>
      <w:r>
        <w:rPr>
          <w:spacing w:val="39"/>
          <w:sz w:val="24"/>
        </w:rPr>
        <w:t> </w:t>
      </w:r>
      <w:r>
        <w:rPr>
          <w:sz w:val="24"/>
        </w:rPr>
        <w:t>(2021)</w:t>
      </w:r>
      <w:r>
        <w:rPr>
          <w:spacing w:val="39"/>
          <w:sz w:val="24"/>
        </w:rPr>
        <w:t> </w:t>
      </w:r>
      <w:r>
        <w:rPr>
          <w:sz w:val="24"/>
        </w:rPr>
        <w:t>Attitudes</w:t>
      </w:r>
      <w:r>
        <w:rPr>
          <w:spacing w:val="39"/>
          <w:sz w:val="24"/>
        </w:rPr>
        <w:t> </w:t>
      </w:r>
      <w:r>
        <w:rPr>
          <w:sz w:val="24"/>
        </w:rPr>
        <w:t>of Non-Accounting Majors Toward an Introductory Accounting Course: Results from Student</w:t>
      </w:r>
      <w:r>
        <w:rPr>
          <w:spacing w:val="70"/>
          <w:w w:val="150"/>
          <w:sz w:val="24"/>
        </w:rPr>
        <w:t> </w:t>
      </w:r>
      <w:r>
        <w:rPr>
          <w:sz w:val="24"/>
        </w:rPr>
        <w:t>Interviews.</w:t>
      </w:r>
      <w:r>
        <w:rPr>
          <w:spacing w:val="13"/>
          <w:sz w:val="24"/>
        </w:rPr>
        <w:t> </w:t>
      </w:r>
      <w:r>
        <w:rPr>
          <w:i/>
          <w:sz w:val="24"/>
        </w:rPr>
        <w:t>E-journal</w:t>
      </w:r>
      <w:r>
        <w:rPr>
          <w:i/>
          <w:spacing w:val="13"/>
          <w:sz w:val="24"/>
        </w:rPr>
        <w:t> </w:t>
      </w:r>
      <w:r>
        <w:rPr>
          <w:i/>
          <w:sz w:val="24"/>
        </w:rPr>
        <w:t>of</w:t>
      </w:r>
      <w:r>
        <w:rPr>
          <w:i/>
          <w:spacing w:val="13"/>
          <w:sz w:val="24"/>
        </w:rPr>
        <w:t> </w:t>
      </w:r>
      <w:r>
        <w:rPr>
          <w:i/>
          <w:sz w:val="24"/>
        </w:rPr>
        <w:t>Business</w:t>
      </w:r>
      <w:r>
        <w:rPr>
          <w:i/>
          <w:spacing w:val="13"/>
          <w:sz w:val="24"/>
        </w:rPr>
        <w:t> </w:t>
      </w:r>
      <w:r>
        <w:rPr>
          <w:i/>
          <w:sz w:val="24"/>
        </w:rPr>
        <w:t>Education</w:t>
      </w:r>
      <w:r>
        <w:rPr>
          <w:i/>
          <w:spacing w:val="13"/>
          <w:sz w:val="24"/>
        </w:rPr>
        <w:t> </w:t>
      </w:r>
      <w:r>
        <w:rPr>
          <w:i/>
          <w:sz w:val="24"/>
        </w:rPr>
        <w:t>&amp;</w:t>
      </w:r>
      <w:r>
        <w:rPr>
          <w:i/>
          <w:spacing w:val="13"/>
          <w:sz w:val="24"/>
        </w:rPr>
        <w:t> </w:t>
      </w:r>
      <w:r>
        <w:rPr>
          <w:i/>
          <w:sz w:val="24"/>
        </w:rPr>
        <w:t>Scholarship</w:t>
      </w:r>
      <w:r>
        <w:rPr>
          <w:i/>
          <w:spacing w:val="13"/>
          <w:sz w:val="24"/>
        </w:rPr>
        <w:t> </w:t>
      </w:r>
      <w:r>
        <w:rPr>
          <w:i/>
          <w:sz w:val="24"/>
        </w:rPr>
        <w:t>of</w:t>
      </w:r>
      <w:r>
        <w:rPr>
          <w:i/>
          <w:spacing w:val="13"/>
          <w:sz w:val="24"/>
        </w:rPr>
        <w:t> </w:t>
      </w:r>
      <w:r>
        <w:rPr>
          <w:i/>
          <w:sz w:val="24"/>
        </w:rPr>
        <w:t>Teaching,</w:t>
      </w:r>
      <w:r>
        <w:rPr>
          <w:i/>
          <w:spacing w:val="13"/>
          <w:sz w:val="24"/>
        </w:rPr>
        <w:t> </w:t>
      </w:r>
      <w:r>
        <w:rPr>
          <w:spacing w:val="-2"/>
          <w:sz w:val="24"/>
        </w:rPr>
        <w:t>15(3),</w:t>
      </w:r>
    </w:p>
    <w:p>
      <w:pPr>
        <w:pStyle w:val="BodyText"/>
        <w:spacing w:line="265" w:lineRule="exact"/>
        <w:ind w:left="720"/>
        <w:jc w:val="both"/>
      </w:pPr>
      <w:r>
        <w:rPr/>
        <w:t>p. 16-</w:t>
      </w:r>
      <w:r>
        <w:rPr>
          <w:spacing w:val="-5"/>
        </w:rPr>
        <w:t>24</w:t>
      </w:r>
    </w:p>
    <w:p>
      <w:pPr>
        <w:spacing w:line="230" w:lineRule="auto" w:before="243"/>
        <w:ind w:left="720" w:right="2173" w:firstLine="0"/>
        <w:jc w:val="both"/>
        <w:rPr>
          <w:sz w:val="24"/>
        </w:rPr>
      </w:pPr>
      <w:r>
        <w:rPr>
          <w:sz w:val="24"/>
        </w:rPr>
        <w:t>Kumar, A., &amp; Kumar, P. (2013) An Examination of Factors Influencing </w:t>
      </w:r>
      <w:r>
        <w:rPr>
          <w:sz w:val="24"/>
        </w:rPr>
        <w:t>Students Selection of</w:t>
      </w:r>
      <w:r>
        <w:rPr>
          <w:spacing w:val="40"/>
          <w:sz w:val="24"/>
        </w:rPr>
        <w:t> </w:t>
      </w:r>
      <w:r>
        <w:rPr>
          <w:sz w:val="24"/>
        </w:rPr>
        <w:t>Business Majors Using TRA Framework. </w:t>
      </w:r>
      <w:r>
        <w:rPr>
          <w:i/>
          <w:sz w:val="24"/>
        </w:rPr>
        <w:t>Decision Sciences Journal of</w:t>
      </w:r>
      <w:r>
        <w:rPr>
          <w:i/>
          <w:sz w:val="24"/>
        </w:rPr>
        <w:t> Innovative</w:t>
      </w:r>
      <w:r>
        <w:rPr>
          <w:i/>
          <w:spacing w:val="40"/>
          <w:sz w:val="24"/>
        </w:rPr>
        <w:t> </w:t>
      </w:r>
      <w:r>
        <w:rPr>
          <w:i/>
          <w:sz w:val="24"/>
        </w:rPr>
        <w:t>Education, </w:t>
      </w:r>
      <w:r>
        <w:rPr>
          <w:sz w:val="24"/>
        </w:rPr>
        <w:t>11(1), p. 77-105</w:t>
      </w:r>
    </w:p>
    <w:p>
      <w:pPr>
        <w:spacing w:before="236"/>
        <w:ind w:left="720" w:right="0" w:firstLine="0"/>
        <w:jc w:val="left"/>
        <w:rPr>
          <w:sz w:val="24"/>
        </w:rPr>
      </w:pPr>
      <w:r>
        <w:rPr>
          <w:sz w:val="24"/>
        </w:rPr>
        <w:t>Lewis,</w:t>
      </w:r>
      <w:r>
        <w:rPr>
          <w:spacing w:val="-6"/>
          <w:sz w:val="24"/>
        </w:rPr>
        <w:t> </w:t>
      </w:r>
      <w:r>
        <w:rPr>
          <w:sz w:val="24"/>
        </w:rPr>
        <w:t>A.</w:t>
      </w:r>
      <w:r>
        <w:rPr>
          <w:spacing w:val="-4"/>
          <w:sz w:val="24"/>
        </w:rPr>
        <w:t> </w:t>
      </w:r>
      <w:r>
        <w:rPr>
          <w:sz w:val="24"/>
        </w:rPr>
        <w:t>(2024)</w:t>
      </w:r>
      <w:r>
        <w:rPr>
          <w:spacing w:val="-4"/>
          <w:sz w:val="24"/>
        </w:rPr>
        <w:t> </w:t>
      </w:r>
      <w:r>
        <w:rPr>
          <w:sz w:val="24"/>
        </w:rPr>
        <w:t>The</w:t>
      </w:r>
      <w:r>
        <w:rPr>
          <w:spacing w:val="-4"/>
          <w:sz w:val="24"/>
        </w:rPr>
        <w:t> </w:t>
      </w:r>
      <w:r>
        <w:rPr>
          <w:sz w:val="24"/>
        </w:rPr>
        <w:t>Divergent</w:t>
      </w:r>
      <w:r>
        <w:rPr>
          <w:spacing w:val="-4"/>
          <w:sz w:val="24"/>
        </w:rPr>
        <w:t> </w:t>
      </w:r>
      <w:r>
        <w:rPr>
          <w:sz w:val="24"/>
        </w:rPr>
        <w:t>Accountant.</w:t>
      </w:r>
      <w:r>
        <w:rPr>
          <w:spacing w:val="-4"/>
          <w:sz w:val="24"/>
        </w:rPr>
        <w:t> </w:t>
      </w:r>
      <w:r>
        <w:rPr>
          <w:i/>
          <w:sz w:val="24"/>
        </w:rPr>
        <w:t>The</w:t>
      </w:r>
      <w:r>
        <w:rPr>
          <w:i/>
          <w:spacing w:val="-4"/>
          <w:sz w:val="24"/>
        </w:rPr>
        <w:t> </w:t>
      </w:r>
      <w:r>
        <w:rPr>
          <w:i/>
          <w:sz w:val="24"/>
        </w:rPr>
        <w:t>CPA</w:t>
      </w:r>
      <w:r>
        <w:rPr>
          <w:i/>
          <w:spacing w:val="-4"/>
          <w:sz w:val="24"/>
        </w:rPr>
        <w:t> </w:t>
      </w:r>
      <w:r>
        <w:rPr>
          <w:i/>
          <w:sz w:val="24"/>
        </w:rPr>
        <w:t>Journal,</w:t>
      </w:r>
      <w:r>
        <w:rPr>
          <w:i/>
          <w:spacing w:val="-4"/>
          <w:sz w:val="24"/>
        </w:rPr>
        <w:t> </w:t>
      </w:r>
      <w:r>
        <w:rPr>
          <w:spacing w:val="-2"/>
          <w:sz w:val="24"/>
        </w:rPr>
        <w:t>94(1/2)</w:t>
      </w:r>
    </w:p>
    <w:p>
      <w:pPr>
        <w:pStyle w:val="BodyText"/>
        <w:spacing w:line="230" w:lineRule="auto" w:before="233"/>
        <w:ind w:left="720" w:right="2175"/>
        <w:jc w:val="both"/>
      </w:pPr>
      <w:r>
        <w:rPr/>
        <w:t>Maulana,</w:t>
      </w:r>
      <w:r>
        <w:rPr>
          <w:spacing w:val="-3"/>
        </w:rPr>
        <w:t> </w:t>
      </w:r>
      <w:r>
        <w:rPr/>
        <w:t>A.,</w:t>
      </w:r>
      <w:r>
        <w:rPr>
          <w:spacing w:val="-3"/>
        </w:rPr>
        <w:t> </w:t>
      </w:r>
      <w:r>
        <w:rPr/>
        <w:t>Fenitra,</w:t>
      </w:r>
      <w:r>
        <w:rPr>
          <w:spacing w:val="-3"/>
        </w:rPr>
        <w:t> </w:t>
      </w:r>
      <w:r>
        <w:rPr/>
        <w:t>R.</w:t>
      </w:r>
      <w:r>
        <w:rPr>
          <w:spacing w:val="-3"/>
        </w:rPr>
        <w:t> </w:t>
      </w:r>
      <w:r>
        <w:rPr/>
        <w:t>M.,</w:t>
      </w:r>
      <w:r>
        <w:rPr>
          <w:spacing w:val="-3"/>
        </w:rPr>
        <w:t> </w:t>
      </w:r>
      <w:r>
        <w:rPr/>
        <w:t>Sutrisno,</w:t>
      </w:r>
      <w:r>
        <w:rPr>
          <w:spacing w:val="-3"/>
        </w:rPr>
        <w:t> </w:t>
      </w:r>
      <w:r>
        <w:rPr/>
        <w:t>S.,</w:t>
      </w:r>
      <w:r>
        <w:rPr>
          <w:spacing w:val="-3"/>
        </w:rPr>
        <w:t> </w:t>
      </w:r>
      <w:r>
        <w:rPr/>
        <w:t>&amp;</w:t>
      </w:r>
      <w:r>
        <w:rPr>
          <w:spacing w:val="-3"/>
        </w:rPr>
        <w:t> </w:t>
      </w:r>
      <w:r>
        <w:rPr/>
        <w:t>Kurniawan</w:t>
      </w:r>
      <w:r>
        <w:rPr>
          <w:spacing w:val="-3"/>
        </w:rPr>
        <w:t> </w:t>
      </w:r>
      <w:r>
        <w:rPr/>
        <w:t>(2025)</w:t>
      </w:r>
      <w:r>
        <w:rPr>
          <w:spacing w:val="-3"/>
        </w:rPr>
        <w:t> </w:t>
      </w:r>
      <w:r>
        <w:rPr/>
        <w:t>Artificial</w:t>
      </w:r>
      <w:r>
        <w:rPr>
          <w:spacing w:val="-3"/>
        </w:rPr>
        <w:t> </w:t>
      </w:r>
      <w:r>
        <w:rPr/>
        <w:t>Intelligence,</w:t>
      </w:r>
      <w:r>
        <w:rPr>
          <w:spacing w:val="-3"/>
        </w:rPr>
        <w:t> </w:t>
      </w:r>
      <w:r>
        <w:rPr/>
        <w:t>Job Seeker, and Career Trajectory: How AI-based</w:t>
      </w:r>
      <w:r>
        <w:rPr>
          <w:spacing w:val="-6"/>
        </w:rPr>
        <w:t> </w:t>
      </w:r>
      <w:r>
        <w:rPr/>
        <w:t>Learning</w:t>
      </w:r>
      <w:r>
        <w:rPr>
          <w:spacing w:val="-6"/>
        </w:rPr>
        <w:t> </w:t>
      </w:r>
      <w:r>
        <w:rPr/>
        <w:t>Experiences</w:t>
      </w:r>
      <w:r>
        <w:rPr>
          <w:spacing w:val="-6"/>
        </w:rPr>
        <w:t> </w:t>
      </w:r>
      <w:r>
        <w:rPr/>
        <w:t>Affect</w:t>
      </w:r>
      <w:r>
        <w:rPr>
          <w:spacing w:val="-6"/>
        </w:rPr>
        <w:t> </w:t>
      </w:r>
      <w:r>
        <w:rPr/>
        <w:t>Commitment of</w:t>
      </w:r>
      <w:r>
        <w:rPr>
          <w:spacing w:val="40"/>
        </w:rPr>
        <w:t> </w:t>
      </w:r>
      <w:r>
        <w:rPr/>
        <w:t>Fresh Graduates to be an Accountant? </w:t>
      </w:r>
      <w:r>
        <w:rPr>
          <w:i/>
        </w:rPr>
        <w:t>Computer and Education, </w:t>
      </w:r>
      <w:r>
        <w:rPr/>
        <w:t>8</w:t>
      </w:r>
    </w:p>
    <w:p>
      <w:pPr>
        <w:pStyle w:val="BodyText"/>
        <w:spacing w:line="230" w:lineRule="auto" w:before="234"/>
        <w:ind w:left="720" w:right="2177"/>
        <w:jc w:val="both"/>
      </w:pPr>
      <w:r>
        <w:rPr/>
        <w:t>Mayse, A.</w:t>
      </w:r>
      <w:r>
        <w:rPr>
          <w:spacing w:val="-4"/>
        </w:rPr>
        <w:t> </w:t>
      </w:r>
      <w:r>
        <w:rPr/>
        <w:t>L.</w:t>
      </w:r>
      <w:r>
        <w:rPr>
          <w:spacing w:val="-4"/>
        </w:rPr>
        <w:t> </w:t>
      </w:r>
      <w:r>
        <w:rPr/>
        <w:t>(2024)</w:t>
      </w:r>
      <w:r>
        <w:rPr>
          <w:spacing w:val="-4"/>
        </w:rPr>
        <w:t> </w:t>
      </w:r>
      <w:r>
        <w:rPr/>
        <w:t>Exploring</w:t>
      </w:r>
      <w:r>
        <w:rPr>
          <w:spacing w:val="-4"/>
        </w:rPr>
        <w:t> </w:t>
      </w:r>
      <w:r>
        <w:rPr/>
        <w:t>the</w:t>
      </w:r>
      <w:r>
        <w:rPr>
          <w:spacing w:val="-4"/>
        </w:rPr>
        <w:t> </w:t>
      </w:r>
      <w:r>
        <w:rPr/>
        <w:t>Evolution</w:t>
      </w:r>
      <w:r>
        <w:rPr>
          <w:spacing w:val="-4"/>
        </w:rPr>
        <w:t> </w:t>
      </w:r>
      <w:r>
        <w:rPr/>
        <w:t>of</w:t>
      </w:r>
      <w:r>
        <w:rPr>
          <w:spacing w:val="-4"/>
        </w:rPr>
        <w:t> </w:t>
      </w:r>
      <w:r>
        <w:rPr/>
        <w:t>the</w:t>
      </w:r>
      <w:r>
        <w:rPr>
          <w:spacing w:val="-4"/>
        </w:rPr>
        <w:t> </w:t>
      </w:r>
      <w:r>
        <w:rPr/>
        <w:t>Accounting</w:t>
      </w:r>
      <w:r>
        <w:rPr>
          <w:spacing w:val="-4"/>
        </w:rPr>
        <w:t> </w:t>
      </w:r>
      <w:r>
        <w:rPr/>
        <w:t>Profession:</w:t>
      </w:r>
      <w:r>
        <w:rPr>
          <w:spacing w:val="-4"/>
        </w:rPr>
        <w:t> </w:t>
      </w:r>
      <w:r>
        <w:rPr/>
        <w:t>An</w:t>
      </w:r>
      <w:r>
        <w:rPr>
          <w:spacing w:val="-4"/>
        </w:rPr>
        <w:t> </w:t>
      </w:r>
      <w:r>
        <w:rPr/>
        <w:t>Interview with Frank K. Ross. </w:t>
      </w:r>
      <w:r>
        <w:rPr>
          <w:i/>
        </w:rPr>
        <w:t>The CPA Journal, </w:t>
      </w:r>
      <w:r>
        <w:rPr/>
        <w:t>94(1/2), p. 6-7</w:t>
      </w:r>
    </w:p>
    <w:p>
      <w:pPr>
        <w:spacing w:line="230" w:lineRule="auto" w:before="245"/>
        <w:ind w:left="720" w:right="2178" w:firstLine="0"/>
        <w:jc w:val="both"/>
        <w:rPr>
          <w:sz w:val="24"/>
        </w:rPr>
      </w:pPr>
      <w:r>
        <w:rPr>
          <w:sz w:val="24"/>
        </w:rPr>
        <w:t>Mohamed, A., &amp; Saad, A. M. (2025) Adapting Accountants to the AI </w:t>
      </w:r>
      <w:r>
        <w:rPr>
          <w:sz w:val="24"/>
        </w:rPr>
        <w:t>Revolution: University</w:t>
      </w:r>
      <w:r>
        <w:rPr>
          <w:spacing w:val="40"/>
          <w:sz w:val="24"/>
        </w:rPr>
        <w:t> </w:t>
      </w:r>
      <w:r>
        <w:rPr>
          <w:sz w:val="24"/>
        </w:rPr>
        <w:t>Strategies for Skill Enhancement, Job Security and Competence in Accounting. </w:t>
      </w:r>
      <w:r>
        <w:rPr>
          <w:i/>
          <w:sz w:val="24"/>
        </w:rPr>
        <w:t>Higher</w:t>
      </w:r>
      <w:r>
        <w:rPr>
          <w:i/>
          <w:spacing w:val="40"/>
          <w:sz w:val="24"/>
        </w:rPr>
        <w:t> </w:t>
      </w:r>
      <w:r>
        <w:rPr>
          <w:i/>
          <w:sz w:val="24"/>
        </w:rPr>
        <w:t>Education, Skills and Work - Based Learning, </w:t>
      </w:r>
      <w:r>
        <w:rPr>
          <w:sz w:val="24"/>
        </w:rPr>
        <w:t>15(2), p. 290-305</w:t>
      </w:r>
    </w:p>
    <w:p>
      <w:pPr>
        <w:spacing w:line="230" w:lineRule="auto" w:before="244"/>
        <w:ind w:left="720" w:right="2174" w:firstLine="0"/>
        <w:jc w:val="both"/>
        <w:rPr>
          <w:sz w:val="24"/>
        </w:rPr>
      </w:pPr>
      <w:r>
        <w:rPr>
          <w:sz w:val="24"/>
        </w:rPr>
        <w:t>Mrsik, J., &amp; Kostovski, N. (2017) Offshoring Accounting Services: New </w:t>
      </w:r>
      <w:r>
        <w:rPr>
          <w:sz w:val="24"/>
        </w:rPr>
        <w:t>opportunities</w:t>
      </w:r>
      <w:r>
        <w:rPr>
          <w:spacing w:val="40"/>
          <w:sz w:val="24"/>
        </w:rPr>
        <w:t> </w:t>
      </w:r>
      <w:r>
        <w:rPr>
          <w:sz w:val="24"/>
        </w:rPr>
        <w:t>for</w:t>
      </w:r>
      <w:r>
        <w:rPr>
          <w:spacing w:val="40"/>
          <w:sz w:val="24"/>
        </w:rPr>
        <w:t> </w:t>
      </w:r>
      <w:r>
        <w:rPr>
          <w:sz w:val="24"/>
        </w:rPr>
        <w:t>Developing Countries. </w:t>
      </w:r>
      <w:r>
        <w:rPr>
          <w:i/>
          <w:sz w:val="24"/>
        </w:rPr>
        <w:t>Accounting and Management Information Systems, </w:t>
      </w:r>
      <w:r>
        <w:rPr>
          <w:sz w:val="24"/>
        </w:rPr>
        <w:t>16(1), p. </w:t>
      </w:r>
      <w:r>
        <w:rPr>
          <w:spacing w:val="-2"/>
          <w:sz w:val="24"/>
        </w:rPr>
        <w:t>132-146</w:t>
      </w:r>
    </w:p>
    <w:p>
      <w:pPr>
        <w:pStyle w:val="BodyText"/>
        <w:spacing w:line="230" w:lineRule="auto" w:before="244"/>
        <w:ind w:left="720" w:right="2181"/>
        <w:jc w:val="both"/>
      </w:pPr>
      <w:r>
        <w:rPr/>
        <w:t>Oben, J. K., &amp; Van Rooyen, A. (2023) Social Cognitive Career Theory and Rural </w:t>
      </w:r>
      <w:r>
        <w:rPr/>
        <w:t>High School Learners' Intentions to Pursue an Accounting Career. </w:t>
      </w:r>
      <w:r>
        <w:rPr>
          <w:i/>
        </w:rPr>
        <w:t>Accounting Education,</w:t>
      </w:r>
      <w:r>
        <w:rPr>
          <w:i/>
        </w:rPr>
        <w:t> </w:t>
      </w:r>
      <w:r>
        <w:rPr/>
        <w:t>32(4), p.</w:t>
      </w:r>
      <w:r>
        <w:rPr>
          <w:spacing w:val="40"/>
        </w:rPr>
        <w:t> </w:t>
      </w:r>
      <w:r>
        <w:rPr/>
        <w:t>445-478</w:t>
      </w:r>
    </w:p>
    <w:p>
      <w:pPr>
        <w:pStyle w:val="BodyText"/>
        <w:spacing w:line="230" w:lineRule="auto" w:before="244"/>
        <w:ind w:left="720" w:right="2173"/>
        <w:jc w:val="both"/>
      </w:pPr>
      <w:r>
        <w:rPr/>
        <w:t>Pelzer, J. R. E., Booker, D., Pencle, N., &amp; Brown, V. L. (2023) Making the Case for Diversity: Exploring the Use of Case Studies for Underrepresented Minorities in </w:t>
      </w:r>
      <w:r>
        <w:rPr/>
        <w:t>the Accounting Curriculum. </w:t>
      </w:r>
      <w:r>
        <w:rPr>
          <w:i/>
        </w:rPr>
        <w:t>Issues in Accounting Education, </w:t>
      </w:r>
      <w:r>
        <w:rPr/>
        <w:t>38(3), p. 39-63</w:t>
      </w:r>
    </w:p>
    <w:p>
      <w:pPr>
        <w:pStyle w:val="BodyText"/>
        <w:spacing w:before="245"/>
        <w:ind w:left="806"/>
      </w:pPr>
      <w:r>
        <w:rPr/>
        <w:t>Putney,</w:t>
      </w:r>
      <w:r>
        <w:rPr>
          <w:spacing w:val="-6"/>
        </w:rPr>
        <w:t> </w:t>
      </w:r>
      <w:r>
        <w:rPr/>
        <w:t>T.,</w:t>
      </w:r>
      <w:r>
        <w:rPr>
          <w:spacing w:val="-5"/>
        </w:rPr>
        <w:t> </w:t>
      </w:r>
      <w:r>
        <w:rPr/>
        <w:t>&amp;</w:t>
      </w:r>
      <w:r>
        <w:rPr>
          <w:spacing w:val="-6"/>
        </w:rPr>
        <w:t> </w:t>
      </w:r>
      <w:r>
        <w:rPr/>
        <w:t>Sinkin,</w:t>
      </w:r>
      <w:r>
        <w:rPr>
          <w:spacing w:val="-5"/>
        </w:rPr>
        <w:t> </w:t>
      </w:r>
      <w:r>
        <w:rPr/>
        <w:t>J.</w:t>
      </w:r>
      <w:r>
        <w:rPr>
          <w:spacing w:val="-6"/>
        </w:rPr>
        <w:t> </w:t>
      </w:r>
      <w:r>
        <w:rPr/>
        <w:t>(2009)</w:t>
      </w:r>
      <w:r>
        <w:rPr>
          <w:spacing w:val="-5"/>
        </w:rPr>
        <w:t> </w:t>
      </w:r>
      <w:r>
        <w:rPr/>
        <w:t>Replacing</w:t>
      </w:r>
      <w:r>
        <w:rPr>
          <w:spacing w:val="-5"/>
        </w:rPr>
        <w:t> </w:t>
      </w:r>
      <w:r>
        <w:rPr/>
        <w:t>Retiring</w:t>
      </w:r>
      <w:r>
        <w:rPr>
          <w:spacing w:val="-6"/>
        </w:rPr>
        <w:t> </w:t>
      </w:r>
      <w:r>
        <w:rPr/>
        <w:t>Partners.</w:t>
      </w:r>
      <w:r>
        <w:rPr>
          <w:spacing w:val="-5"/>
        </w:rPr>
        <w:t> </w:t>
      </w:r>
      <w:r>
        <w:rPr>
          <w:i/>
        </w:rPr>
        <w:t>The</w:t>
      </w:r>
      <w:r>
        <w:rPr>
          <w:i/>
          <w:spacing w:val="-6"/>
        </w:rPr>
        <w:t> </w:t>
      </w:r>
      <w:r>
        <w:rPr>
          <w:i/>
        </w:rPr>
        <w:t>CPA</w:t>
      </w:r>
      <w:r>
        <w:rPr>
          <w:i/>
          <w:spacing w:val="-5"/>
        </w:rPr>
        <w:t> </w:t>
      </w:r>
      <w:r>
        <w:rPr>
          <w:i/>
        </w:rPr>
        <w:t>Journal,</w:t>
      </w:r>
      <w:r>
        <w:rPr>
          <w:i/>
          <w:spacing w:val="-5"/>
        </w:rPr>
        <w:t> </w:t>
      </w:r>
      <w:r>
        <w:rPr>
          <w:spacing w:val="-2"/>
        </w:rPr>
        <w:t>79(10),</w:t>
      </w:r>
    </w:p>
    <w:p>
      <w:pPr>
        <w:pStyle w:val="BodyText"/>
        <w:ind w:left="4687"/>
      </w:pPr>
      <w:r>
        <w:rPr/>
        <w:t>p. </w:t>
      </w:r>
      <w:r>
        <w:rPr>
          <w:spacing w:val="-5"/>
        </w:rPr>
        <w:t>62</w:t>
      </w:r>
    </w:p>
    <w:p>
      <w:pPr>
        <w:spacing w:line="230" w:lineRule="auto" w:before="235"/>
        <w:ind w:left="720" w:right="2368" w:firstLine="0"/>
        <w:jc w:val="left"/>
        <w:rPr>
          <w:sz w:val="24"/>
        </w:rPr>
      </w:pPr>
      <w:r>
        <w:rPr>
          <w:sz w:val="24"/>
        </w:rPr>
        <w:t>Rampe,</w:t>
      </w:r>
      <w:r>
        <w:rPr>
          <w:spacing w:val="-5"/>
          <w:sz w:val="24"/>
        </w:rPr>
        <w:t> </w:t>
      </w:r>
      <w:r>
        <w:rPr>
          <w:sz w:val="24"/>
        </w:rPr>
        <w:t>K.,</w:t>
      </w:r>
      <w:r>
        <w:rPr>
          <w:spacing w:val="-5"/>
          <w:sz w:val="24"/>
        </w:rPr>
        <w:t> </w:t>
      </w:r>
      <w:r>
        <w:rPr>
          <w:sz w:val="24"/>
        </w:rPr>
        <w:t>&amp;</w:t>
      </w:r>
      <w:r>
        <w:rPr>
          <w:spacing w:val="-5"/>
          <w:sz w:val="24"/>
        </w:rPr>
        <w:t> </w:t>
      </w:r>
      <w:r>
        <w:rPr>
          <w:sz w:val="24"/>
        </w:rPr>
        <w:t>Elliott,</w:t>
      </w:r>
      <w:r>
        <w:rPr>
          <w:spacing w:val="-5"/>
          <w:sz w:val="24"/>
        </w:rPr>
        <w:t> </w:t>
      </w:r>
      <w:r>
        <w:rPr>
          <w:sz w:val="24"/>
        </w:rPr>
        <w:t>S.</w:t>
      </w:r>
      <w:r>
        <w:rPr>
          <w:spacing w:val="-5"/>
          <w:sz w:val="24"/>
        </w:rPr>
        <w:t> </w:t>
      </w:r>
      <w:r>
        <w:rPr>
          <w:sz w:val="24"/>
        </w:rPr>
        <w:t>(2016)</w:t>
      </w:r>
      <w:r>
        <w:rPr>
          <w:spacing w:val="-5"/>
          <w:sz w:val="24"/>
        </w:rPr>
        <w:t> </w:t>
      </w:r>
      <w:r>
        <w:rPr>
          <w:sz w:val="24"/>
        </w:rPr>
        <w:t>Gender</w:t>
      </w:r>
      <w:r>
        <w:rPr>
          <w:spacing w:val="-5"/>
          <w:sz w:val="24"/>
        </w:rPr>
        <w:t> </w:t>
      </w:r>
      <w:r>
        <w:rPr>
          <w:sz w:val="24"/>
        </w:rPr>
        <w:t>Equity</w:t>
      </w:r>
      <w:r>
        <w:rPr>
          <w:spacing w:val="-5"/>
          <w:sz w:val="24"/>
        </w:rPr>
        <w:t> </w:t>
      </w:r>
      <w:r>
        <w:rPr>
          <w:sz w:val="24"/>
        </w:rPr>
        <w:t>in</w:t>
      </w:r>
      <w:r>
        <w:rPr>
          <w:spacing w:val="-5"/>
          <w:sz w:val="24"/>
        </w:rPr>
        <w:t> </w:t>
      </w:r>
      <w:r>
        <w:rPr>
          <w:sz w:val="24"/>
        </w:rPr>
        <w:t>Accounting:</w:t>
      </w:r>
      <w:r>
        <w:rPr>
          <w:spacing w:val="-5"/>
          <w:sz w:val="24"/>
        </w:rPr>
        <w:t> </w:t>
      </w:r>
      <w:r>
        <w:rPr>
          <w:sz w:val="24"/>
        </w:rPr>
        <w:t>How</w:t>
      </w:r>
      <w:r>
        <w:rPr>
          <w:spacing w:val="-5"/>
          <w:sz w:val="24"/>
        </w:rPr>
        <w:t> </w:t>
      </w:r>
      <w:r>
        <w:rPr>
          <w:sz w:val="24"/>
        </w:rPr>
        <w:t>the</w:t>
      </w:r>
      <w:r>
        <w:rPr>
          <w:spacing w:val="-5"/>
          <w:sz w:val="24"/>
        </w:rPr>
        <w:t> </w:t>
      </w:r>
      <w:r>
        <w:rPr>
          <w:sz w:val="24"/>
        </w:rPr>
        <w:t>CPA</w:t>
      </w:r>
      <w:r>
        <w:rPr>
          <w:spacing w:val="-5"/>
          <w:sz w:val="24"/>
        </w:rPr>
        <w:t> </w:t>
      </w:r>
      <w:r>
        <w:rPr>
          <w:sz w:val="24"/>
        </w:rPr>
        <w:t>Profession is</w:t>
      </w:r>
      <w:r>
        <w:rPr>
          <w:spacing w:val="40"/>
          <w:sz w:val="24"/>
        </w:rPr>
        <w:t> </w:t>
      </w:r>
      <w:r>
        <w:rPr>
          <w:sz w:val="24"/>
        </w:rPr>
        <w:t>Balancing the Numbers. </w:t>
      </w:r>
      <w:r>
        <w:rPr>
          <w:i/>
          <w:sz w:val="24"/>
        </w:rPr>
        <w:t>Global Business and Organizational Excellence, </w:t>
      </w:r>
      <w:r>
        <w:rPr>
          <w:sz w:val="24"/>
        </w:rPr>
        <w:t>35(5), p.</w:t>
      </w:r>
    </w:p>
    <w:p>
      <w:pPr>
        <w:pStyle w:val="BodyText"/>
        <w:spacing w:line="266" w:lineRule="exact"/>
        <w:ind w:left="720"/>
      </w:pPr>
      <w:r>
        <w:rPr/>
        <w:t>6-</w:t>
      </w:r>
      <w:r>
        <w:rPr>
          <w:spacing w:val="-5"/>
        </w:rPr>
        <w:t>18</w:t>
      </w:r>
    </w:p>
    <w:p>
      <w:pPr>
        <w:spacing w:line="230" w:lineRule="auto" w:before="244"/>
        <w:ind w:left="720" w:right="2177" w:firstLine="0"/>
        <w:jc w:val="both"/>
        <w:rPr>
          <w:sz w:val="24"/>
        </w:rPr>
      </w:pPr>
      <w:r>
        <w:rPr>
          <w:sz w:val="24"/>
        </w:rPr>
        <w:t>Tiron-Tudor, A., &amp; Faragalla, W. A. (2022) Intersections of Women’s Identities </w:t>
      </w:r>
      <w:r>
        <w:rPr>
          <w:sz w:val="24"/>
        </w:rPr>
        <w:t>in Professional Accountancy Careers. </w:t>
      </w:r>
      <w:r>
        <w:rPr>
          <w:i/>
          <w:sz w:val="24"/>
        </w:rPr>
        <w:t>Qualitative Research in Accounting and</w:t>
      </w:r>
      <w:r>
        <w:rPr>
          <w:i/>
          <w:spacing w:val="40"/>
          <w:sz w:val="24"/>
        </w:rPr>
        <w:t> </w:t>
      </w:r>
      <w:r>
        <w:rPr>
          <w:i/>
          <w:sz w:val="24"/>
        </w:rPr>
        <w:t>Management,</w:t>
      </w:r>
      <w:r>
        <w:rPr>
          <w:i/>
          <w:spacing w:val="40"/>
          <w:sz w:val="24"/>
        </w:rPr>
        <w:t> </w:t>
      </w:r>
      <w:r>
        <w:rPr>
          <w:sz w:val="24"/>
        </w:rPr>
        <w:t>19(5), p. 564-603</w:t>
      </w:r>
    </w:p>
    <w:p>
      <w:pPr>
        <w:pStyle w:val="BodyText"/>
        <w:spacing w:line="230" w:lineRule="auto" w:before="244"/>
        <w:ind w:left="720" w:right="2486"/>
      </w:pPr>
      <w:r>
        <w:rPr/>
        <w:t>Tucci, A. J., (2024) Navigating the Accounting Pipeline Crisis: The Risks of Blurring Education</w:t>
      </w:r>
      <w:r>
        <w:rPr>
          <w:spacing w:val="-9"/>
        </w:rPr>
        <w:t> </w:t>
      </w:r>
      <w:r>
        <w:rPr/>
        <w:t>and</w:t>
      </w:r>
      <w:r>
        <w:rPr>
          <w:spacing w:val="-9"/>
        </w:rPr>
        <w:t> </w:t>
      </w:r>
      <w:r>
        <w:rPr/>
        <w:t>Experience</w:t>
      </w:r>
      <w:r>
        <w:rPr>
          <w:spacing w:val="-9"/>
        </w:rPr>
        <w:t> </w:t>
      </w:r>
      <w:r>
        <w:rPr/>
        <w:t>in</w:t>
      </w:r>
      <w:r>
        <w:rPr>
          <w:spacing w:val="-9"/>
        </w:rPr>
        <w:t> </w:t>
      </w:r>
      <w:r>
        <w:rPr/>
        <w:t>CPA</w:t>
      </w:r>
      <w:r>
        <w:rPr>
          <w:spacing w:val="-9"/>
        </w:rPr>
        <w:t> </w:t>
      </w:r>
      <w:r>
        <w:rPr/>
        <w:t>Licensure</w:t>
      </w:r>
      <w:r>
        <w:rPr>
          <w:spacing w:val="-9"/>
        </w:rPr>
        <w:t> </w:t>
      </w:r>
      <w:r>
        <w:rPr/>
        <w:t>Standards.</w:t>
      </w:r>
      <w:r>
        <w:rPr>
          <w:spacing w:val="-9"/>
        </w:rPr>
        <w:t> </w:t>
      </w:r>
      <w:r>
        <w:rPr>
          <w:i/>
        </w:rPr>
        <w:t>The</w:t>
      </w:r>
      <w:r>
        <w:rPr>
          <w:i/>
          <w:spacing w:val="-9"/>
        </w:rPr>
        <w:t> </w:t>
      </w:r>
      <w:r>
        <w:rPr>
          <w:i/>
        </w:rPr>
        <w:t>CPA</w:t>
      </w:r>
      <w:r>
        <w:rPr>
          <w:i/>
          <w:spacing w:val="-9"/>
        </w:rPr>
        <w:t> </w:t>
      </w:r>
      <w:r>
        <w:rPr>
          <w:i/>
        </w:rPr>
        <w:t>Journal,</w:t>
      </w:r>
      <w:r>
        <w:rPr>
          <w:i/>
          <w:spacing w:val="-9"/>
        </w:rPr>
        <w:t> </w:t>
      </w:r>
      <w:r>
        <w:rPr/>
        <w:t>94(9-12),</w:t>
      </w:r>
      <w:r>
        <w:rPr>
          <w:spacing w:val="-9"/>
        </w:rPr>
        <w:t> </w:t>
      </w:r>
      <w:r>
        <w:rPr/>
        <w:t>p. </w:t>
      </w:r>
      <w:r>
        <w:rPr>
          <w:spacing w:val="-2"/>
        </w:rPr>
        <w:t>20-22</w:t>
      </w:r>
    </w:p>
    <w:p>
      <w:pPr>
        <w:pStyle w:val="BodyText"/>
        <w:spacing w:line="230" w:lineRule="auto" w:before="244"/>
        <w:ind w:left="720" w:right="2176"/>
        <w:jc w:val="both"/>
      </w:pPr>
      <w:r>
        <w:rPr/>
        <w:t>Ugrin, J. C., &amp; Honn, D. D. (2018) Advanced Placement and CPA Exam </w:t>
      </w:r>
      <w:r>
        <w:rPr/>
        <w:t>Performance: Implications for Recruitment of Quality Students into College Accounting Programs. </w:t>
      </w:r>
      <w:r>
        <w:rPr>
          <w:i/>
        </w:rPr>
        <w:t>Advances in Accounting, </w:t>
      </w:r>
      <w:r>
        <w:rPr/>
        <w:t>42, p. 96-109</w:t>
      </w:r>
    </w:p>
    <w:p>
      <w:pPr>
        <w:pStyle w:val="BodyText"/>
        <w:spacing w:before="235"/>
        <w:ind w:left="720"/>
      </w:pPr>
      <w:r>
        <w:rPr/>
        <w:t>Walker,</w:t>
      </w:r>
      <w:r>
        <w:rPr>
          <w:spacing w:val="-6"/>
        </w:rPr>
        <w:t> </w:t>
      </w:r>
      <w:r>
        <w:rPr/>
        <w:t>R.,</w:t>
      </w:r>
      <w:r>
        <w:rPr>
          <w:spacing w:val="-5"/>
        </w:rPr>
        <w:t> </w:t>
      </w:r>
      <w:r>
        <w:rPr/>
        <w:t>Grimmer,</w:t>
      </w:r>
      <w:r>
        <w:rPr>
          <w:spacing w:val="-5"/>
        </w:rPr>
        <w:t> </w:t>
      </w:r>
      <w:r>
        <w:rPr/>
        <w:t>T.,</w:t>
      </w:r>
      <w:r>
        <w:rPr>
          <w:spacing w:val="-6"/>
        </w:rPr>
        <w:t> </w:t>
      </w:r>
      <w:r>
        <w:rPr/>
        <w:t>&amp;</w:t>
      </w:r>
      <w:r>
        <w:rPr>
          <w:spacing w:val="-5"/>
        </w:rPr>
        <w:t> </w:t>
      </w:r>
      <w:r>
        <w:rPr/>
        <w:t>Borchers.</w:t>
      </w:r>
      <w:r>
        <w:rPr>
          <w:spacing w:val="-5"/>
        </w:rPr>
        <w:t> </w:t>
      </w:r>
      <w:r>
        <w:rPr/>
        <w:t>S.</w:t>
      </w:r>
      <w:r>
        <w:rPr>
          <w:spacing w:val="-5"/>
        </w:rPr>
        <w:t> </w:t>
      </w:r>
      <w:r>
        <w:rPr/>
        <w:t>(2024)</w:t>
      </w:r>
      <w:r>
        <w:rPr>
          <w:spacing w:val="-6"/>
        </w:rPr>
        <w:t> </w:t>
      </w:r>
      <w:r>
        <w:rPr/>
        <w:t>Accounting</w:t>
      </w:r>
      <w:r>
        <w:rPr>
          <w:spacing w:val="-5"/>
        </w:rPr>
        <w:t> </w:t>
      </w:r>
      <w:r>
        <w:rPr/>
        <w:t>Students’</w:t>
      </w:r>
      <w:r>
        <w:rPr>
          <w:spacing w:val="-5"/>
        </w:rPr>
        <w:t> </w:t>
      </w:r>
      <w:r>
        <w:rPr/>
        <w:t>Perceptions</w:t>
      </w:r>
      <w:r>
        <w:rPr>
          <w:spacing w:val="-5"/>
        </w:rPr>
        <w:t> of</w:t>
      </w:r>
    </w:p>
    <w:p>
      <w:pPr>
        <w:pStyle w:val="BodyText"/>
        <w:spacing w:after="0"/>
        <w:sectPr>
          <w:pgSz w:w="12240" w:h="15840"/>
          <w:pgMar w:header="0" w:footer="750" w:top="620" w:bottom="960" w:left="720" w:right="0"/>
        </w:sectPr>
      </w:pPr>
    </w:p>
    <w:p>
      <w:pPr>
        <w:spacing w:before="71"/>
        <w:ind w:left="720" w:right="0" w:firstLine="0"/>
        <w:jc w:val="left"/>
        <w:rPr>
          <w:sz w:val="24"/>
        </w:rPr>
      </w:pPr>
      <w:r>
        <w:rPr>
          <w:sz w:val="24"/>
        </w:rPr>
        <w:t>Teaching</w:t>
      </w:r>
      <w:r>
        <w:rPr>
          <w:spacing w:val="-2"/>
          <w:sz w:val="24"/>
        </w:rPr>
        <w:t> </w:t>
      </w:r>
      <w:r>
        <w:rPr>
          <w:sz w:val="24"/>
        </w:rPr>
        <w:t>and</w:t>
      </w:r>
      <w:r>
        <w:rPr>
          <w:spacing w:val="-2"/>
          <w:sz w:val="24"/>
        </w:rPr>
        <w:t> </w:t>
      </w:r>
      <w:r>
        <w:rPr>
          <w:sz w:val="24"/>
        </w:rPr>
        <w:t>Assessment</w:t>
      </w:r>
      <w:r>
        <w:rPr>
          <w:spacing w:val="-1"/>
          <w:sz w:val="24"/>
        </w:rPr>
        <w:t> </w:t>
      </w:r>
      <w:r>
        <w:rPr>
          <w:sz w:val="24"/>
        </w:rPr>
        <w:t>Methods.</w:t>
      </w:r>
      <w:r>
        <w:rPr>
          <w:spacing w:val="-2"/>
          <w:sz w:val="24"/>
        </w:rPr>
        <w:t> </w:t>
      </w:r>
      <w:r>
        <w:rPr>
          <w:i/>
          <w:sz w:val="24"/>
        </w:rPr>
        <w:t>Journal</w:t>
      </w:r>
      <w:r>
        <w:rPr>
          <w:i/>
          <w:spacing w:val="-1"/>
          <w:sz w:val="24"/>
        </w:rPr>
        <w:t> </w:t>
      </w:r>
      <w:r>
        <w:rPr>
          <w:i/>
          <w:sz w:val="24"/>
        </w:rPr>
        <w:t>of</w:t>
      </w:r>
      <w:r>
        <w:rPr>
          <w:i/>
          <w:spacing w:val="-2"/>
          <w:sz w:val="24"/>
        </w:rPr>
        <w:t> </w:t>
      </w:r>
      <w:r>
        <w:rPr>
          <w:i/>
          <w:sz w:val="24"/>
        </w:rPr>
        <w:t>Education</w:t>
      </w:r>
      <w:r>
        <w:rPr>
          <w:i/>
          <w:spacing w:val="-1"/>
          <w:sz w:val="24"/>
        </w:rPr>
        <w:t> </w:t>
      </w:r>
      <w:r>
        <w:rPr>
          <w:i/>
          <w:sz w:val="24"/>
        </w:rPr>
        <w:t>for</w:t>
      </w:r>
      <w:r>
        <w:rPr>
          <w:i/>
          <w:spacing w:val="-2"/>
          <w:sz w:val="24"/>
        </w:rPr>
        <w:t> </w:t>
      </w:r>
      <w:r>
        <w:rPr>
          <w:i/>
          <w:sz w:val="24"/>
        </w:rPr>
        <w:t>Business,</w:t>
      </w:r>
      <w:r>
        <w:rPr>
          <w:i/>
          <w:spacing w:val="-1"/>
          <w:sz w:val="24"/>
        </w:rPr>
        <w:t> </w:t>
      </w:r>
      <w:r>
        <w:rPr>
          <w:sz w:val="24"/>
        </w:rPr>
        <w:t>99(6),</w:t>
      </w:r>
      <w:r>
        <w:rPr>
          <w:spacing w:val="-2"/>
          <w:sz w:val="24"/>
        </w:rPr>
        <w:t> </w:t>
      </w:r>
      <w:r>
        <w:rPr>
          <w:sz w:val="24"/>
        </w:rPr>
        <w:t>p.</w:t>
      </w:r>
      <w:r>
        <w:rPr>
          <w:spacing w:val="-1"/>
          <w:sz w:val="24"/>
        </w:rPr>
        <w:t> </w:t>
      </w:r>
      <w:r>
        <w:rPr>
          <w:sz w:val="24"/>
        </w:rPr>
        <w:t>371-</w:t>
      </w:r>
      <w:r>
        <w:rPr>
          <w:spacing w:val="-5"/>
          <w:sz w:val="24"/>
        </w:rPr>
        <w:t>380</w:t>
      </w:r>
    </w:p>
    <w:p>
      <w:pPr>
        <w:spacing w:line="230" w:lineRule="auto" w:before="243"/>
        <w:ind w:left="720" w:right="2897" w:firstLine="0"/>
        <w:jc w:val="both"/>
        <w:rPr>
          <w:sz w:val="24"/>
        </w:rPr>
      </w:pPr>
      <w:r>
        <w:rPr>
          <w:sz w:val="24"/>
        </w:rPr>
        <w:t>Weigel,</w:t>
      </w:r>
      <w:r>
        <w:rPr>
          <w:spacing w:val="-10"/>
          <w:sz w:val="24"/>
        </w:rPr>
        <w:t> </w:t>
      </w:r>
      <w:r>
        <w:rPr>
          <w:sz w:val="24"/>
        </w:rPr>
        <w:t>C.,</w:t>
      </w:r>
      <w:r>
        <w:rPr>
          <w:spacing w:val="-10"/>
          <w:sz w:val="24"/>
        </w:rPr>
        <w:t> </w:t>
      </w:r>
      <w:r>
        <w:rPr>
          <w:sz w:val="24"/>
        </w:rPr>
        <w:t>&amp;</w:t>
      </w:r>
      <w:r>
        <w:rPr>
          <w:spacing w:val="-10"/>
          <w:sz w:val="24"/>
        </w:rPr>
        <w:t> </w:t>
      </w:r>
      <w:r>
        <w:rPr>
          <w:sz w:val="24"/>
        </w:rPr>
        <w:t>Hiebl,</w:t>
      </w:r>
      <w:r>
        <w:rPr>
          <w:spacing w:val="-10"/>
          <w:sz w:val="24"/>
        </w:rPr>
        <w:t> </w:t>
      </w:r>
      <w:r>
        <w:rPr>
          <w:sz w:val="24"/>
        </w:rPr>
        <w:t>M.</w:t>
      </w:r>
      <w:r>
        <w:rPr>
          <w:spacing w:val="-10"/>
          <w:sz w:val="24"/>
        </w:rPr>
        <w:t> </w:t>
      </w:r>
      <w:r>
        <w:rPr>
          <w:sz w:val="24"/>
        </w:rPr>
        <w:t>RW.</w:t>
      </w:r>
      <w:r>
        <w:rPr>
          <w:spacing w:val="-10"/>
          <w:sz w:val="24"/>
        </w:rPr>
        <w:t> </w:t>
      </w:r>
      <w:r>
        <w:rPr>
          <w:sz w:val="24"/>
        </w:rPr>
        <w:t>(2023)</w:t>
      </w:r>
      <w:r>
        <w:rPr>
          <w:spacing w:val="-10"/>
          <w:sz w:val="24"/>
        </w:rPr>
        <w:t> </w:t>
      </w:r>
      <w:r>
        <w:rPr>
          <w:sz w:val="24"/>
        </w:rPr>
        <w:t>Accountants</w:t>
      </w:r>
      <w:r>
        <w:rPr>
          <w:spacing w:val="-10"/>
          <w:sz w:val="24"/>
        </w:rPr>
        <w:t> </w:t>
      </w:r>
      <w:r>
        <w:rPr>
          <w:sz w:val="24"/>
        </w:rPr>
        <w:t>and</w:t>
      </w:r>
      <w:r>
        <w:rPr>
          <w:spacing w:val="-10"/>
          <w:sz w:val="24"/>
        </w:rPr>
        <w:t> </w:t>
      </w:r>
      <w:r>
        <w:rPr>
          <w:sz w:val="24"/>
        </w:rPr>
        <w:t>Small</w:t>
      </w:r>
      <w:r>
        <w:rPr>
          <w:spacing w:val="-10"/>
          <w:sz w:val="24"/>
        </w:rPr>
        <w:t> </w:t>
      </w:r>
      <w:r>
        <w:rPr>
          <w:sz w:val="24"/>
        </w:rPr>
        <w:t>Businesses:</w:t>
      </w:r>
      <w:r>
        <w:rPr>
          <w:spacing w:val="-10"/>
          <w:sz w:val="24"/>
        </w:rPr>
        <w:t> </w:t>
      </w:r>
      <w:r>
        <w:rPr>
          <w:sz w:val="24"/>
        </w:rPr>
        <w:t>Toward</w:t>
      </w:r>
      <w:r>
        <w:rPr>
          <w:spacing w:val="-10"/>
          <w:sz w:val="24"/>
        </w:rPr>
        <w:t> </w:t>
      </w:r>
      <w:r>
        <w:rPr>
          <w:sz w:val="24"/>
        </w:rPr>
        <w:t>a Resource-Based</w:t>
      </w:r>
      <w:r>
        <w:rPr>
          <w:spacing w:val="-7"/>
          <w:sz w:val="24"/>
        </w:rPr>
        <w:t> </w:t>
      </w:r>
      <w:r>
        <w:rPr>
          <w:sz w:val="24"/>
        </w:rPr>
        <w:t>View.</w:t>
      </w:r>
      <w:r>
        <w:rPr>
          <w:spacing w:val="-7"/>
          <w:sz w:val="24"/>
        </w:rPr>
        <w:t> </w:t>
      </w:r>
      <w:r>
        <w:rPr>
          <w:i/>
          <w:sz w:val="24"/>
        </w:rPr>
        <w:t>Journal</w:t>
      </w:r>
      <w:r>
        <w:rPr>
          <w:i/>
          <w:spacing w:val="-7"/>
          <w:sz w:val="24"/>
        </w:rPr>
        <w:t> </w:t>
      </w:r>
      <w:r>
        <w:rPr>
          <w:i/>
          <w:sz w:val="24"/>
        </w:rPr>
        <w:t>of</w:t>
      </w:r>
      <w:r>
        <w:rPr>
          <w:i/>
          <w:spacing w:val="-7"/>
          <w:sz w:val="24"/>
        </w:rPr>
        <w:t> </w:t>
      </w:r>
      <w:r>
        <w:rPr>
          <w:i/>
          <w:sz w:val="24"/>
        </w:rPr>
        <w:t>Accounting</w:t>
      </w:r>
      <w:r>
        <w:rPr>
          <w:i/>
          <w:spacing w:val="-7"/>
          <w:sz w:val="24"/>
        </w:rPr>
        <w:t> </w:t>
      </w:r>
      <w:r>
        <w:rPr>
          <w:i/>
          <w:sz w:val="24"/>
        </w:rPr>
        <w:t>&amp;</w:t>
      </w:r>
      <w:r>
        <w:rPr>
          <w:i/>
          <w:spacing w:val="-7"/>
          <w:sz w:val="24"/>
        </w:rPr>
        <w:t> </w:t>
      </w:r>
      <w:r>
        <w:rPr>
          <w:i/>
          <w:sz w:val="24"/>
        </w:rPr>
        <w:t>Organizational</w:t>
      </w:r>
      <w:r>
        <w:rPr>
          <w:i/>
          <w:spacing w:val="-7"/>
          <w:sz w:val="24"/>
        </w:rPr>
        <w:t> </w:t>
      </w:r>
      <w:r>
        <w:rPr>
          <w:i/>
          <w:sz w:val="24"/>
        </w:rPr>
        <w:t>Change,</w:t>
      </w:r>
      <w:r>
        <w:rPr>
          <w:i/>
          <w:spacing w:val="-7"/>
          <w:sz w:val="24"/>
        </w:rPr>
        <w:t> </w:t>
      </w:r>
      <w:r>
        <w:rPr>
          <w:sz w:val="24"/>
        </w:rPr>
        <w:t>19(5),</w:t>
      </w:r>
      <w:r>
        <w:rPr>
          <w:spacing w:val="-7"/>
          <w:sz w:val="24"/>
        </w:rPr>
        <w:t> </w:t>
      </w:r>
      <w:r>
        <w:rPr>
          <w:sz w:val="24"/>
        </w:rPr>
        <w:t>p. </w:t>
      </w:r>
      <w:r>
        <w:rPr>
          <w:spacing w:val="-2"/>
          <w:sz w:val="24"/>
        </w:rPr>
        <w:t>642-666.</w:t>
      </w:r>
    </w:p>
    <w:p>
      <w:pPr>
        <w:pStyle w:val="BodyText"/>
        <w:spacing w:before="245"/>
        <w:ind w:left="720"/>
      </w:pPr>
      <w:r>
        <w:rPr/>
        <w:t>Whittam,</w:t>
      </w:r>
      <w:r>
        <w:rPr>
          <w:spacing w:val="-3"/>
        </w:rPr>
        <w:t> </w:t>
      </w:r>
      <w:r>
        <w:rPr/>
        <w:t>L.,</w:t>
      </w:r>
      <w:r>
        <w:rPr>
          <w:spacing w:val="-3"/>
        </w:rPr>
        <w:t> </w:t>
      </w:r>
      <w:r>
        <w:rPr/>
        <w:t>&amp;</w:t>
      </w:r>
      <w:r>
        <w:rPr>
          <w:spacing w:val="-2"/>
        </w:rPr>
        <w:t> </w:t>
      </w:r>
      <w:r>
        <w:rPr/>
        <w:t>Polakoff,</w:t>
      </w:r>
      <w:r>
        <w:rPr>
          <w:spacing w:val="-3"/>
        </w:rPr>
        <w:t> </w:t>
      </w:r>
      <w:r>
        <w:rPr/>
        <w:t>K.</w:t>
      </w:r>
      <w:r>
        <w:rPr>
          <w:spacing w:val="-2"/>
        </w:rPr>
        <w:t> </w:t>
      </w:r>
      <w:r>
        <w:rPr/>
        <w:t>(2024)</w:t>
      </w:r>
      <w:r>
        <w:rPr>
          <w:spacing w:val="-3"/>
        </w:rPr>
        <w:t> </w:t>
      </w:r>
      <w:r>
        <w:rPr/>
        <w:t>Offshoring</w:t>
      </w:r>
      <w:r>
        <w:rPr>
          <w:spacing w:val="-2"/>
        </w:rPr>
        <w:t> </w:t>
      </w:r>
      <w:r>
        <w:rPr/>
        <w:t>for</w:t>
      </w:r>
      <w:r>
        <w:rPr>
          <w:spacing w:val="-3"/>
        </w:rPr>
        <w:t> </w:t>
      </w:r>
      <w:r>
        <w:rPr/>
        <w:t>CPA</w:t>
      </w:r>
      <w:r>
        <w:rPr>
          <w:spacing w:val="-2"/>
        </w:rPr>
        <w:t> </w:t>
      </w:r>
      <w:r>
        <w:rPr/>
        <w:t>firms:</w:t>
      </w:r>
      <w:r>
        <w:rPr>
          <w:spacing w:val="-3"/>
        </w:rPr>
        <w:t> </w:t>
      </w:r>
      <w:r>
        <w:rPr/>
        <w:t>The</w:t>
      </w:r>
      <w:r>
        <w:rPr>
          <w:spacing w:val="-2"/>
        </w:rPr>
        <w:t> </w:t>
      </w:r>
      <w:r>
        <w:rPr/>
        <w:t>Hows</w:t>
      </w:r>
      <w:r>
        <w:rPr>
          <w:spacing w:val="-3"/>
        </w:rPr>
        <w:t> </w:t>
      </w:r>
      <w:r>
        <w:rPr/>
        <w:t>and</w:t>
      </w:r>
      <w:r>
        <w:rPr>
          <w:spacing w:val="-2"/>
        </w:rPr>
        <w:t> Whys.</w:t>
      </w:r>
    </w:p>
    <w:p>
      <w:pPr>
        <w:spacing w:before="24"/>
        <w:ind w:left="720" w:right="0" w:firstLine="0"/>
        <w:jc w:val="left"/>
        <w:rPr>
          <w:sz w:val="24"/>
        </w:rPr>
      </w:pPr>
      <w:r>
        <w:rPr>
          <w:i/>
          <w:sz w:val="24"/>
        </w:rPr>
        <w:t>Journal</w:t>
      </w:r>
      <w:r>
        <w:rPr>
          <w:i/>
          <w:spacing w:val="52"/>
          <w:sz w:val="24"/>
        </w:rPr>
        <w:t> </w:t>
      </w:r>
      <w:r>
        <w:rPr>
          <w:i/>
          <w:sz w:val="24"/>
        </w:rPr>
        <w:t>of</w:t>
      </w:r>
      <w:r>
        <w:rPr>
          <w:i/>
          <w:spacing w:val="-4"/>
          <w:sz w:val="24"/>
        </w:rPr>
        <w:t> </w:t>
      </w:r>
      <w:r>
        <w:rPr>
          <w:i/>
          <w:sz w:val="24"/>
        </w:rPr>
        <w:t>Accountancy,</w:t>
      </w:r>
      <w:r>
        <w:rPr>
          <w:i/>
          <w:spacing w:val="-4"/>
          <w:sz w:val="24"/>
        </w:rPr>
        <w:t> </w:t>
      </w:r>
      <w:r>
        <w:rPr>
          <w:sz w:val="24"/>
        </w:rPr>
        <w:t>235(11),</w:t>
      </w:r>
      <w:r>
        <w:rPr>
          <w:spacing w:val="-4"/>
          <w:sz w:val="24"/>
        </w:rPr>
        <w:t> </w:t>
      </w:r>
      <w:r>
        <w:rPr>
          <w:sz w:val="24"/>
        </w:rPr>
        <w:t>p.</w:t>
      </w:r>
      <w:r>
        <w:rPr>
          <w:spacing w:val="-3"/>
          <w:sz w:val="24"/>
        </w:rPr>
        <w:t> </w:t>
      </w:r>
      <w:r>
        <w:rPr>
          <w:sz w:val="24"/>
        </w:rPr>
        <w:t>1-</w:t>
      </w:r>
      <w:r>
        <w:rPr>
          <w:spacing w:val="-10"/>
          <w:sz w:val="24"/>
        </w:rPr>
        <w:t>8</w:t>
      </w:r>
    </w:p>
    <w:p>
      <w:pPr>
        <w:pStyle w:val="BodyText"/>
      </w:pPr>
    </w:p>
    <w:p>
      <w:pPr>
        <w:pStyle w:val="BodyText"/>
      </w:pPr>
    </w:p>
    <w:p>
      <w:pPr>
        <w:pStyle w:val="BodyText"/>
      </w:pPr>
    </w:p>
    <w:p>
      <w:pPr>
        <w:pStyle w:val="BodyText"/>
      </w:pPr>
    </w:p>
    <w:p>
      <w:pPr>
        <w:pStyle w:val="BodyText"/>
        <w:spacing w:before="175"/>
      </w:pPr>
    </w:p>
    <w:p>
      <w:pPr>
        <w:spacing w:before="0"/>
        <w:ind w:left="720" w:right="0" w:firstLine="0"/>
        <w:jc w:val="left"/>
        <w:rPr>
          <w:b/>
          <w:sz w:val="20"/>
        </w:rPr>
      </w:pPr>
      <w:r>
        <w:rPr>
          <w:b/>
          <w:spacing w:val="-2"/>
          <w:sz w:val="20"/>
        </w:rPr>
        <w:t>APPENDIX</w:t>
      </w:r>
      <w:r>
        <w:rPr>
          <w:b/>
          <w:spacing w:val="-2"/>
          <w:sz w:val="20"/>
          <w:vertAlign w:val="superscript"/>
        </w:rPr>
        <w:t>6</w:t>
      </w:r>
    </w:p>
    <w:p>
      <w:pPr>
        <w:spacing w:before="1"/>
        <w:ind w:left="720" w:right="0" w:firstLine="0"/>
        <w:jc w:val="left"/>
        <w:rPr>
          <w:b/>
          <w:sz w:val="20"/>
        </w:rPr>
      </w:pPr>
      <w:r>
        <w:rPr>
          <w:b/>
          <w:sz w:val="20"/>
        </w:rPr>
        <w:t>Interview</w:t>
      </w:r>
      <w:r>
        <w:rPr>
          <w:b/>
          <w:spacing w:val="-9"/>
          <w:sz w:val="20"/>
        </w:rPr>
        <w:t> </w:t>
      </w:r>
      <w:r>
        <w:rPr>
          <w:b/>
          <w:spacing w:val="-2"/>
          <w:sz w:val="20"/>
        </w:rPr>
        <w:t>Protocol</w:t>
      </w:r>
    </w:p>
    <w:p>
      <w:pPr>
        <w:spacing w:before="200"/>
        <w:ind w:left="720" w:right="0" w:firstLine="0"/>
        <w:jc w:val="left"/>
        <w:rPr>
          <w:sz w:val="20"/>
        </w:rPr>
      </w:pPr>
      <w:r>
        <w:rPr>
          <w:b/>
          <w:sz w:val="20"/>
        </w:rPr>
        <w:t>Q1:</w:t>
      </w:r>
      <w:r>
        <w:rPr>
          <w:b/>
          <w:spacing w:val="-4"/>
          <w:sz w:val="20"/>
        </w:rPr>
        <w:t> </w:t>
      </w:r>
      <w:r>
        <w:rPr>
          <w:sz w:val="20"/>
        </w:rPr>
        <w:t>What</w:t>
      </w:r>
      <w:r>
        <w:rPr>
          <w:spacing w:val="-4"/>
          <w:sz w:val="20"/>
        </w:rPr>
        <w:t> </w:t>
      </w:r>
      <w:r>
        <w:rPr>
          <w:sz w:val="20"/>
        </w:rPr>
        <w:t>is</w:t>
      </w:r>
      <w:r>
        <w:rPr>
          <w:spacing w:val="-4"/>
          <w:sz w:val="20"/>
        </w:rPr>
        <w:t> </w:t>
      </w:r>
      <w:r>
        <w:rPr>
          <w:sz w:val="20"/>
        </w:rPr>
        <w:t>your</w:t>
      </w:r>
      <w:r>
        <w:rPr>
          <w:spacing w:val="-4"/>
          <w:sz w:val="20"/>
        </w:rPr>
        <w:t> </w:t>
      </w:r>
      <w:r>
        <w:rPr>
          <w:sz w:val="20"/>
        </w:rPr>
        <w:t>current</w:t>
      </w:r>
      <w:r>
        <w:rPr>
          <w:spacing w:val="-4"/>
          <w:sz w:val="20"/>
        </w:rPr>
        <w:t> </w:t>
      </w:r>
      <w:r>
        <w:rPr>
          <w:spacing w:val="-2"/>
          <w:sz w:val="20"/>
        </w:rPr>
        <w:t>major?</w:t>
      </w:r>
    </w:p>
    <w:p>
      <w:pPr>
        <w:spacing w:before="200"/>
        <w:ind w:left="720" w:right="3448" w:firstLine="0"/>
        <w:jc w:val="left"/>
        <w:rPr>
          <w:i/>
          <w:sz w:val="20"/>
        </w:rPr>
      </w:pPr>
      <w:r>
        <w:rPr>
          <w:b/>
          <w:sz w:val="20"/>
        </w:rPr>
        <w:t>Q2:</w:t>
      </w:r>
      <w:r>
        <w:rPr>
          <w:b/>
          <w:spacing w:val="-4"/>
          <w:sz w:val="20"/>
        </w:rPr>
        <w:t> </w:t>
      </w:r>
      <w:r>
        <w:rPr>
          <w:sz w:val="20"/>
        </w:rPr>
        <w:t>Have</w:t>
      </w:r>
      <w:r>
        <w:rPr>
          <w:spacing w:val="-4"/>
          <w:sz w:val="20"/>
        </w:rPr>
        <w:t> </w:t>
      </w:r>
      <w:r>
        <w:rPr>
          <w:sz w:val="20"/>
        </w:rPr>
        <w:t>you</w:t>
      </w:r>
      <w:r>
        <w:rPr>
          <w:spacing w:val="-4"/>
          <w:sz w:val="20"/>
        </w:rPr>
        <w:t> </w:t>
      </w:r>
      <w:r>
        <w:rPr>
          <w:sz w:val="20"/>
        </w:rPr>
        <w:t>always</w:t>
      </w:r>
      <w:r>
        <w:rPr>
          <w:spacing w:val="-4"/>
          <w:sz w:val="20"/>
        </w:rPr>
        <w:t> </w:t>
      </w:r>
      <w:r>
        <w:rPr>
          <w:sz w:val="20"/>
        </w:rPr>
        <w:t>been</w:t>
      </w:r>
      <w:r>
        <w:rPr>
          <w:spacing w:val="-4"/>
          <w:sz w:val="20"/>
        </w:rPr>
        <w:t> </w:t>
      </w:r>
      <w:r>
        <w:rPr>
          <w:sz w:val="20"/>
        </w:rPr>
        <w:t>in</w:t>
      </w:r>
      <w:r>
        <w:rPr>
          <w:spacing w:val="-4"/>
          <w:sz w:val="20"/>
        </w:rPr>
        <w:t> </w:t>
      </w:r>
      <w:r>
        <w:rPr>
          <w:sz w:val="20"/>
        </w:rPr>
        <w:t>that</w:t>
      </w:r>
      <w:r>
        <w:rPr>
          <w:spacing w:val="-4"/>
          <w:sz w:val="20"/>
        </w:rPr>
        <w:t> </w:t>
      </w:r>
      <w:r>
        <w:rPr>
          <w:sz w:val="20"/>
        </w:rPr>
        <w:t>major,</w:t>
      </w:r>
      <w:r>
        <w:rPr>
          <w:spacing w:val="-4"/>
          <w:sz w:val="20"/>
        </w:rPr>
        <w:t> </w:t>
      </w:r>
      <w:r>
        <w:rPr>
          <w:sz w:val="20"/>
        </w:rPr>
        <w:t>or</w:t>
      </w:r>
      <w:r>
        <w:rPr>
          <w:spacing w:val="-4"/>
          <w:sz w:val="20"/>
        </w:rPr>
        <w:t> </w:t>
      </w:r>
      <w:r>
        <w:rPr>
          <w:sz w:val="20"/>
        </w:rPr>
        <w:t>did</w:t>
      </w:r>
      <w:r>
        <w:rPr>
          <w:spacing w:val="-4"/>
          <w:sz w:val="20"/>
        </w:rPr>
        <w:t> </w:t>
      </w:r>
      <w:r>
        <w:rPr>
          <w:sz w:val="20"/>
        </w:rPr>
        <w:t>you</w:t>
      </w:r>
      <w:r>
        <w:rPr>
          <w:spacing w:val="-4"/>
          <w:sz w:val="20"/>
        </w:rPr>
        <w:t> </w:t>
      </w:r>
      <w:r>
        <w:rPr>
          <w:sz w:val="20"/>
        </w:rPr>
        <w:t>switch</w:t>
      </w:r>
      <w:r>
        <w:rPr>
          <w:spacing w:val="-4"/>
          <w:sz w:val="20"/>
        </w:rPr>
        <w:t> </w:t>
      </w:r>
      <w:r>
        <w:rPr>
          <w:sz w:val="20"/>
        </w:rPr>
        <w:t>from</w:t>
      </w:r>
      <w:r>
        <w:rPr>
          <w:spacing w:val="-4"/>
          <w:sz w:val="20"/>
        </w:rPr>
        <w:t> </w:t>
      </w:r>
      <w:r>
        <w:rPr>
          <w:sz w:val="20"/>
        </w:rPr>
        <w:t>something</w:t>
      </w:r>
      <w:r>
        <w:rPr>
          <w:spacing w:val="-4"/>
          <w:sz w:val="20"/>
        </w:rPr>
        <w:t> </w:t>
      </w:r>
      <w:r>
        <w:rPr>
          <w:sz w:val="20"/>
        </w:rPr>
        <w:t>else?</w:t>
      </w:r>
      <w:r>
        <w:rPr>
          <w:spacing w:val="40"/>
          <w:sz w:val="20"/>
        </w:rPr>
        <w:t> </w:t>
      </w:r>
      <w:r>
        <w:rPr>
          <w:i/>
          <w:sz w:val="20"/>
        </w:rPr>
        <w:t>Question</w:t>
      </w:r>
      <w:r>
        <w:rPr>
          <w:i/>
          <w:sz w:val="20"/>
        </w:rPr>
        <w:t> 3 varied based on the participant’s response to Q2</w:t>
      </w:r>
    </w:p>
    <w:p>
      <w:pPr>
        <w:spacing w:before="199"/>
        <w:ind w:left="720" w:right="2878" w:firstLine="0"/>
        <w:jc w:val="left"/>
        <w:rPr>
          <w:sz w:val="20"/>
        </w:rPr>
      </w:pPr>
      <w:r>
        <w:rPr>
          <w:b/>
          <w:sz w:val="20"/>
        </w:rPr>
        <w:t>Q3</w:t>
      </w:r>
      <w:r>
        <w:rPr>
          <w:b/>
          <w:spacing w:val="-3"/>
          <w:sz w:val="20"/>
        </w:rPr>
        <w:t> </w:t>
      </w:r>
      <w:r>
        <w:rPr>
          <w:b/>
          <w:sz w:val="20"/>
        </w:rPr>
        <w:t>A:</w:t>
      </w:r>
      <w:r>
        <w:rPr>
          <w:b/>
          <w:spacing w:val="-3"/>
          <w:sz w:val="20"/>
        </w:rPr>
        <w:t> </w:t>
      </w:r>
      <w:r>
        <w:rPr>
          <w:sz w:val="20"/>
        </w:rPr>
        <w:t>Can</w:t>
      </w:r>
      <w:r>
        <w:rPr>
          <w:spacing w:val="-3"/>
          <w:sz w:val="20"/>
        </w:rPr>
        <w:t> </w:t>
      </w:r>
      <w:r>
        <w:rPr>
          <w:sz w:val="20"/>
        </w:rPr>
        <w:t>you</w:t>
      </w:r>
      <w:r>
        <w:rPr>
          <w:spacing w:val="-3"/>
          <w:sz w:val="20"/>
        </w:rPr>
        <w:t> </w:t>
      </w:r>
      <w:r>
        <w:rPr>
          <w:sz w:val="20"/>
        </w:rPr>
        <w:t>walk</w:t>
      </w:r>
      <w:r>
        <w:rPr>
          <w:spacing w:val="-3"/>
          <w:sz w:val="20"/>
        </w:rPr>
        <w:t> </w:t>
      </w:r>
      <w:r>
        <w:rPr>
          <w:sz w:val="20"/>
        </w:rPr>
        <w:t>me</w:t>
      </w:r>
      <w:r>
        <w:rPr>
          <w:spacing w:val="-3"/>
          <w:sz w:val="20"/>
        </w:rPr>
        <w:t> </w:t>
      </w:r>
      <w:r>
        <w:rPr>
          <w:sz w:val="20"/>
        </w:rPr>
        <w:t>through</w:t>
      </w:r>
      <w:r>
        <w:rPr>
          <w:spacing w:val="-3"/>
          <w:sz w:val="20"/>
        </w:rPr>
        <w:t> </w:t>
      </w:r>
      <w:r>
        <w:rPr>
          <w:sz w:val="20"/>
        </w:rPr>
        <w:t>your</w:t>
      </w:r>
      <w:r>
        <w:rPr>
          <w:spacing w:val="-3"/>
          <w:sz w:val="20"/>
        </w:rPr>
        <w:t> </w:t>
      </w:r>
      <w:r>
        <w:rPr>
          <w:sz w:val="20"/>
        </w:rPr>
        <w:t>decision</w:t>
      </w:r>
      <w:r>
        <w:rPr>
          <w:spacing w:val="-3"/>
          <w:sz w:val="20"/>
        </w:rPr>
        <w:t> </w:t>
      </w:r>
      <w:r>
        <w:rPr>
          <w:sz w:val="20"/>
        </w:rPr>
        <w:t>to</w:t>
      </w:r>
      <w:r>
        <w:rPr>
          <w:spacing w:val="-3"/>
          <w:sz w:val="20"/>
        </w:rPr>
        <w:t> </w:t>
      </w:r>
      <w:r>
        <w:rPr>
          <w:sz w:val="20"/>
        </w:rPr>
        <w:t>pursue</w:t>
      </w:r>
      <w:r>
        <w:rPr>
          <w:spacing w:val="-3"/>
          <w:sz w:val="20"/>
        </w:rPr>
        <w:t> </w:t>
      </w:r>
      <w:r>
        <w:rPr>
          <w:sz w:val="20"/>
        </w:rPr>
        <w:t>an</w:t>
      </w:r>
      <w:r>
        <w:rPr>
          <w:spacing w:val="-3"/>
          <w:sz w:val="20"/>
        </w:rPr>
        <w:t> </w:t>
      </w:r>
      <w:r>
        <w:rPr>
          <w:sz w:val="20"/>
        </w:rPr>
        <w:t>accounting</w:t>
      </w:r>
      <w:r>
        <w:rPr>
          <w:spacing w:val="-3"/>
          <w:sz w:val="20"/>
        </w:rPr>
        <w:t> </w:t>
      </w:r>
      <w:r>
        <w:rPr>
          <w:sz w:val="20"/>
        </w:rPr>
        <w:t>degree?</w:t>
      </w:r>
      <w:r>
        <w:rPr>
          <w:spacing w:val="-3"/>
          <w:sz w:val="20"/>
        </w:rPr>
        <w:t> </w:t>
      </w:r>
      <w:r>
        <w:rPr>
          <w:sz w:val="20"/>
        </w:rPr>
        <w:t>Can</w:t>
      </w:r>
      <w:r>
        <w:rPr>
          <w:spacing w:val="-3"/>
          <w:sz w:val="20"/>
        </w:rPr>
        <w:t> </w:t>
      </w:r>
      <w:r>
        <w:rPr>
          <w:sz w:val="20"/>
        </w:rPr>
        <w:t>you</w:t>
      </w:r>
      <w:r>
        <w:rPr>
          <w:spacing w:val="40"/>
          <w:sz w:val="20"/>
        </w:rPr>
        <w:t> </w:t>
      </w:r>
      <w:r>
        <w:rPr>
          <w:sz w:val="20"/>
        </w:rPr>
        <w:t>explain why you chose to stay an accounting major?</w:t>
      </w:r>
    </w:p>
    <w:p>
      <w:pPr>
        <w:spacing w:before="200"/>
        <w:ind w:left="720" w:right="2878" w:firstLine="0"/>
        <w:jc w:val="left"/>
        <w:rPr>
          <w:sz w:val="20"/>
        </w:rPr>
      </w:pPr>
      <w:r>
        <w:rPr>
          <w:b/>
          <w:sz w:val="20"/>
        </w:rPr>
        <w:t>Q3</w:t>
      </w:r>
      <w:r>
        <w:rPr>
          <w:b/>
          <w:spacing w:val="-3"/>
          <w:sz w:val="20"/>
        </w:rPr>
        <w:t> </w:t>
      </w:r>
      <w:r>
        <w:rPr>
          <w:b/>
          <w:sz w:val="20"/>
        </w:rPr>
        <w:t>B:</w:t>
      </w:r>
      <w:r>
        <w:rPr>
          <w:b/>
          <w:spacing w:val="-3"/>
          <w:sz w:val="20"/>
        </w:rPr>
        <w:t> </w:t>
      </w:r>
      <w:r>
        <w:rPr>
          <w:sz w:val="20"/>
        </w:rPr>
        <w:t>Can</w:t>
      </w:r>
      <w:r>
        <w:rPr>
          <w:spacing w:val="-3"/>
          <w:sz w:val="20"/>
        </w:rPr>
        <w:t> </w:t>
      </w:r>
      <w:r>
        <w:rPr>
          <w:sz w:val="20"/>
        </w:rPr>
        <w:t>you</w:t>
      </w:r>
      <w:r>
        <w:rPr>
          <w:spacing w:val="-3"/>
          <w:sz w:val="20"/>
        </w:rPr>
        <w:t> </w:t>
      </w:r>
      <w:r>
        <w:rPr>
          <w:sz w:val="20"/>
        </w:rPr>
        <w:t>walk</w:t>
      </w:r>
      <w:r>
        <w:rPr>
          <w:spacing w:val="-3"/>
          <w:sz w:val="20"/>
        </w:rPr>
        <w:t> </w:t>
      </w:r>
      <w:r>
        <w:rPr>
          <w:sz w:val="20"/>
        </w:rPr>
        <w:t>me</w:t>
      </w:r>
      <w:r>
        <w:rPr>
          <w:spacing w:val="-3"/>
          <w:sz w:val="20"/>
        </w:rPr>
        <w:t> </w:t>
      </w:r>
      <w:r>
        <w:rPr>
          <w:sz w:val="20"/>
        </w:rPr>
        <w:t>through</w:t>
      </w:r>
      <w:r>
        <w:rPr>
          <w:spacing w:val="-3"/>
          <w:sz w:val="20"/>
        </w:rPr>
        <w:t> </w:t>
      </w:r>
      <w:r>
        <w:rPr>
          <w:sz w:val="20"/>
        </w:rPr>
        <w:t>your</w:t>
      </w:r>
      <w:r>
        <w:rPr>
          <w:spacing w:val="-3"/>
          <w:sz w:val="20"/>
        </w:rPr>
        <w:t> </w:t>
      </w:r>
      <w:r>
        <w:rPr>
          <w:sz w:val="20"/>
        </w:rPr>
        <w:t>decision</w:t>
      </w:r>
      <w:r>
        <w:rPr>
          <w:spacing w:val="-3"/>
          <w:sz w:val="20"/>
        </w:rPr>
        <w:t> </w:t>
      </w:r>
      <w:r>
        <w:rPr>
          <w:sz w:val="20"/>
        </w:rPr>
        <w:t>to</w:t>
      </w:r>
      <w:r>
        <w:rPr>
          <w:spacing w:val="-3"/>
          <w:sz w:val="20"/>
        </w:rPr>
        <w:t> </w:t>
      </w:r>
      <w:r>
        <w:rPr>
          <w:sz w:val="20"/>
        </w:rPr>
        <w:t>change</w:t>
      </w:r>
      <w:r>
        <w:rPr>
          <w:spacing w:val="-3"/>
          <w:sz w:val="20"/>
        </w:rPr>
        <w:t> </w:t>
      </w:r>
      <w:r>
        <w:rPr>
          <w:sz w:val="20"/>
        </w:rPr>
        <w:t>your</w:t>
      </w:r>
      <w:r>
        <w:rPr>
          <w:spacing w:val="-3"/>
          <w:sz w:val="20"/>
        </w:rPr>
        <w:t> </w:t>
      </w:r>
      <w:r>
        <w:rPr>
          <w:sz w:val="20"/>
        </w:rPr>
        <w:t>major</w:t>
      </w:r>
      <w:r>
        <w:rPr>
          <w:spacing w:val="-3"/>
          <w:sz w:val="20"/>
        </w:rPr>
        <w:t> </w:t>
      </w:r>
      <w:r>
        <w:rPr>
          <w:sz w:val="20"/>
        </w:rPr>
        <w:t>to</w:t>
      </w:r>
      <w:r>
        <w:rPr>
          <w:spacing w:val="-3"/>
          <w:sz w:val="20"/>
        </w:rPr>
        <w:t> </w:t>
      </w:r>
      <w:r>
        <w:rPr>
          <w:sz w:val="20"/>
        </w:rPr>
        <w:t>accounting?</w:t>
      </w:r>
      <w:r>
        <w:rPr>
          <w:spacing w:val="40"/>
          <w:sz w:val="20"/>
        </w:rPr>
        <w:t> </w:t>
      </w:r>
      <w:r>
        <w:rPr>
          <w:b/>
          <w:sz w:val="20"/>
        </w:rPr>
        <w:t>Q3</w:t>
      </w:r>
      <w:r>
        <w:rPr>
          <w:b/>
          <w:spacing w:val="-3"/>
          <w:sz w:val="20"/>
        </w:rPr>
        <w:t> </w:t>
      </w:r>
      <w:r>
        <w:rPr>
          <w:b/>
          <w:sz w:val="20"/>
        </w:rPr>
        <w:t>C:</w:t>
      </w:r>
      <w:r>
        <w:rPr>
          <w:b/>
          <w:spacing w:val="-3"/>
          <w:sz w:val="20"/>
        </w:rPr>
        <w:t> </w:t>
      </w:r>
      <w:r>
        <w:rPr>
          <w:sz w:val="20"/>
        </w:rPr>
        <w:t>Can you walk me through your decision to change your major from accounting?</w:t>
      </w:r>
    </w:p>
    <w:p>
      <w:pPr>
        <w:spacing w:before="201"/>
        <w:ind w:left="720" w:right="2317" w:firstLine="0"/>
        <w:jc w:val="left"/>
        <w:rPr>
          <w:sz w:val="20"/>
        </w:rPr>
      </w:pPr>
      <w:r>
        <w:rPr>
          <w:b/>
          <w:sz w:val="20"/>
        </w:rPr>
        <w:t>Q3</w:t>
      </w:r>
      <w:r>
        <w:rPr>
          <w:b/>
          <w:spacing w:val="-4"/>
          <w:sz w:val="20"/>
        </w:rPr>
        <w:t> </w:t>
      </w:r>
      <w:r>
        <w:rPr>
          <w:b/>
          <w:sz w:val="20"/>
        </w:rPr>
        <w:t>D:</w:t>
      </w:r>
      <w:r>
        <w:rPr>
          <w:b/>
          <w:spacing w:val="-4"/>
          <w:sz w:val="20"/>
        </w:rPr>
        <w:t> </w:t>
      </w:r>
      <w:r>
        <w:rPr>
          <w:sz w:val="20"/>
        </w:rPr>
        <w:t>Considering</w:t>
      </w:r>
      <w:r>
        <w:rPr>
          <w:spacing w:val="-4"/>
          <w:sz w:val="20"/>
        </w:rPr>
        <w:t> </w:t>
      </w:r>
      <w:r>
        <w:rPr>
          <w:sz w:val="20"/>
        </w:rPr>
        <w:t>you</w:t>
      </w:r>
      <w:r>
        <w:rPr>
          <w:spacing w:val="-4"/>
          <w:sz w:val="20"/>
        </w:rPr>
        <w:t> </w:t>
      </w:r>
      <w:r>
        <w:rPr>
          <w:sz w:val="20"/>
        </w:rPr>
        <w:t>were</w:t>
      </w:r>
      <w:r>
        <w:rPr>
          <w:spacing w:val="-4"/>
          <w:sz w:val="20"/>
        </w:rPr>
        <w:t> </w:t>
      </w:r>
      <w:r>
        <w:rPr>
          <w:sz w:val="20"/>
        </w:rPr>
        <w:t>invited</w:t>
      </w:r>
      <w:r>
        <w:rPr>
          <w:spacing w:val="-4"/>
          <w:sz w:val="20"/>
        </w:rPr>
        <w:t> </w:t>
      </w:r>
      <w:r>
        <w:rPr>
          <w:sz w:val="20"/>
        </w:rPr>
        <w:t>to</w:t>
      </w:r>
      <w:r>
        <w:rPr>
          <w:spacing w:val="-4"/>
          <w:sz w:val="20"/>
        </w:rPr>
        <w:t> </w:t>
      </w:r>
      <w:r>
        <w:rPr>
          <w:sz w:val="20"/>
        </w:rPr>
        <w:t>the</w:t>
      </w:r>
      <w:r>
        <w:rPr>
          <w:spacing w:val="-4"/>
          <w:sz w:val="20"/>
        </w:rPr>
        <w:t> </w:t>
      </w:r>
      <w:r>
        <w:rPr>
          <w:sz w:val="20"/>
        </w:rPr>
        <w:t>accounting</w:t>
      </w:r>
      <w:r>
        <w:rPr>
          <w:spacing w:val="-4"/>
          <w:sz w:val="20"/>
        </w:rPr>
        <w:t> </w:t>
      </w:r>
      <w:r>
        <w:rPr>
          <w:sz w:val="20"/>
        </w:rPr>
        <w:t>principles</w:t>
      </w:r>
      <w:r>
        <w:rPr>
          <w:spacing w:val="-4"/>
          <w:sz w:val="20"/>
        </w:rPr>
        <w:t> </w:t>
      </w:r>
      <w:r>
        <w:rPr>
          <w:sz w:val="20"/>
        </w:rPr>
        <w:t>dinner,</w:t>
      </w:r>
      <w:r>
        <w:rPr>
          <w:spacing w:val="-4"/>
          <w:sz w:val="20"/>
        </w:rPr>
        <w:t> </w:t>
      </w:r>
      <w:r>
        <w:rPr>
          <w:sz w:val="20"/>
        </w:rPr>
        <w:t>where</w:t>
      </w:r>
      <w:r>
        <w:rPr>
          <w:spacing w:val="40"/>
          <w:sz w:val="20"/>
        </w:rPr>
        <w:t> </w:t>
      </w:r>
      <w:r>
        <w:rPr>
          <w:sz w:val="20"/>
        </w:rPr>
        <w:t>high-performing</w:t>
      </w:r>
      <w:r>
        <w:rPr>
          <w:spacing w:val="-4"/>
          <w:sz w:val="20"/>
        </w:rPr>
        <w:t> </w:t>
      </w:r>
      <w:r>
        <w:rPr>
          <w:sz w:val="20"/>
        </w:rPr>
        <w:t>students in</w:t>
      </w:r>
      <w:r>
        <w:rPr>
          <w:spacing w:val="-2"/>
          <w:sz w:val="20"/>
        </w:rPr>
        <w:t> </w:t>
      </w:r>
      <w:r>
        <w:rPr>
          <w:sz w:val="20"/>
        </w:rPr>
        <w:t>the</w:t>
      </w:r>
      <w:r>
        <w:rPr>
          <w:spacing w:val="-2"/>
          <w:sz w:val="20"/>
        </w:rPr>
        <w:t> </w:t>
      </w:r>
      <w:r>
        <w:rPr>
          <w:sz w:val="20"/>
        </w:rPr>
        <w:t>principles</w:t>
      </w:r>
      <w:r>
        <w:rPr>
          <w:spacing w:val="-2"/>
          <w:sz w:val="20"/>
        </w:rPr>
        <w:t> </w:t>
      </w:r>
      <w:r>
        <w:rPr>
          <w:sz w:val="20"/>
        </w:rPr>
        <w:t>of</w:t>
      </w:r>
      <w:r>
        <w:rPr>
          <w:spacing w:val="-2"/>
          <w:sz w:val="20"/>
        </w:rPr>
        <w:t> </w:t>
      </w:r>
      <w:r>
        <w:rPr>
          <w:sz w:val="20"/>
        </w:rPr>
        <w:t>accounting</w:t>
      </w:r>
      <w:r>
        <w:rPr>
          <w:spacing w:val="-2"/>
          <w:sz w:val="20"/>
        </w:rPr>
        <w:t> </w:t>
      </w:r>
      <w:r>
        <w:rPr>
          <w:sz w:val="20"/>
        </w:rPr>
        <w:t>class</w:t>
      </w:r>
      <w:r>
        <w:rPr>
          <w:spacing w:val="-2"/>
          <w:sz w:val="20"/>
        </w:rPr>
        <w:t> </w:t>
      </w:r>
      <w:r>
        <w:rPr>
          <w:sz w:val="20"/>
        </w:rPr>
        <w:t>are</w:t>
      </w:r>
      <w:r>
        <w:rPr>
          <w:spacing w:val="-2"/>
          <w:sz w:val="20"/>
        </w:rPr>
        <w:t> </w:t>
      </w:r>
      <w:r>
        <w:rPr>
          <w:sz w:val="20"/>
        </w:rPr>
        <w:t>extended</w:t>
      </w:r>
      <w:r>
        <w:rPr>
          <w:spacing w:val="-2"/>
          <w:sz w:val="20"/>
        </w:rPr>
        <w:t> </w:t>
      </w:r>
      <w:r>
        <w:rPr>
          <w:sz w:val="20"/>
        </w:rPr>
        <w:t>invitations,</w:t>
      </w:r>
      <w:r>
        <w:rPr>
          <w:spacing w:val="-2"/>
          <w:sz w:val="20"/>
        </w:rPr>
        <w:t> </w:t>
      </w:r>
      <w:r>
        <w:rPr>
          <w:sz w:val="20"/>
        </w:rPr>
        <w:t>you</w:t>
      </w:r>
      <w:r>
        <w:rPr>
          <w:spacing w:val="40"/>
          <w:sz w:val="20"/>
        </w:rPr>
        <w:t> </w:t>
      </w:r>
      <w:r>
        <w:rPr>
          <w:sz w:val="20"/>
        </w:rPr>
        <w:t>had</w:t>
      </w:r>
      <w:r>
        <w:rPr>
          <w:spacing w:val="-2"/>
          <w:sz w:val="20"/>
        </w:rPr>
        <w:t> </w:t>
      </w:r>
      <w:r>
        <w:rPr>
          <w:sz w:val="20"/>
        </w:rPr>
        <w:t>an</w:t>
      </w:r>
      <w:r>
        <w:rPr>
          <w:spacing w:val="-2"/>
          <w:sz w:val="20"/>
        </w:rPr>
        <w:t> </w:t>
      </w:r>
      <w:r>
        <w:rPr>
          <w:sz w:val="20"/>
        </w:rPr>
        <w:t>opportunity</w:t>
      </w:r>
      <w:r>
        <w:rPr>
          <w:spacing w:val="-2"/>
          <w:sz w:val="20"/>
        </w:rPr>
        <w:t> </w:t>
      </w:r>
      <w:r>
        <w:rPr>
          <w:sz w:val="20"/>
        </w:rPr>
        <w:t>to</w:t>
      </w:r>
      <w:r>
        <w:rPr>
          <w:spacing w:val="-2"/>
          <w:sz w:val="20"/>
        </w:rPr>
        <w:t> </w:t>
      </w:r>
      <w:r>
        <w:rPr>
          <w:sz w:val="20"/>
        </w:rPr>
        <w:t>learn</w:t>
      </w:r>
      <w:r>
        <w:rPr>
          <w:spacing w:val="-2"/>
          <w:sz w:val="20"/>
        </w:rPr>
        <w:t> </w:t>
      </w:r>
      <w:r>
        <w:rPr>
          <w:sz w:val="20"/>
        </w:rPr>
        <w:t>more</w:t>
      </w:r>
      <w:r>
        <w:rPr>
          <w:spacing w:val="-2"/>
          <w:sz w:val="20"/>
        </w:rPr>
        <w:t> </w:t>
      </w:r>
      <w:r>
        <w:rPr>
          <w:sz w:val="20"/>
        </w:rPr>
        <w:t>about the major. Still, you did not switch your major to</w:t>
      </w:r>
      <w:r>
        <w:rPr>
          <w:spacing w:val="40"/>
          <w:sz w:val="20"/>
        </w:rPr>
        <w:t> </w:t>
      </w:r>
      <w:r>
        <w:rPr>
          <w:sz w:val="20"/>
        </w:rPr>
        <w:t>accounting. Can you walk me through your thought process regarding the accounting major?</w:t>
      </w:r>
    </w:p>
    <w:p>
      <w:pPr>
        <w:spacing w:before="200"/>
        <w:ind w:left="1935" w:right="2550" w:firstLine="0"/>
        <w:jc w:val="left"/>
        <w:rPr>
          <w:sz w:val="20"/>
        </w:rPr>
      </w:pPr>
      <w:r>
        <w:rPr>
          <w:b/>
          <w:sz w:val="20"/>
        </w:rPr>
        <w:t>Q4:</w:t>
      </w:r>
      <w:r>
        <w:rPr>
          <w:b/>
          <w:spacing w:val="-3"/>
          <w:sz w:val="20"/>
        </w:rPr>
        <w:t> </w:t>
      </w:r>
      <w:r>
        <w:rPr>
          <w:sz w:val="20"/>
        </w:rPr>
        <w:t>Is</w:t>
      </w:r>
      <w:r>
        <w:rPr>
          <w:spacing w:val="-3"/>
          <w:sz w:val="20"/>
        </w:rPr>
        <w:t> </w:t>
      </w:r>
      <w:r>
        <w:rPr>
          <w:sz w:val="20"/>
        </w:rPr>
        <w:t>there</w:t>
      </w:r>
      <w:r>
        <w:rPr>
          <w:spacing w:val="-3"/>
          <w:sz w:val="20"/>
        </w:rPr>
        <w:t> </w:t>
      </w:r>
      <w:r>
        <w:rPr>
          <w:sz w:val="20"/>
        </w:rPr>
        <w:t>anything</w:t>
      </w:r>
      <w:r>
        <w:rPr>
          <w:spacing w:val="-3"/>
          <w:sz w:val="20"/>
        </w:rPr>
        <w:t> </w:t>
      </w:r>
      <w:r>
        <w:rPr>
          <w:sz w:val="20"/>
        </w:rPr>
        <w:t>else</w:t>
      </w:r>
      <w:r>
        <w:rPr>
          <w:spacing w:val="-3"/>
          <w:sz w:val="20"/>
        </w:rPr>
        <w:t> </w:t>
      </w:r>
      <w:r>
        <w:rPr>
          <w:sz w:val="20"/>
        </w:rPr>
        <w:t>you</w:t>
      </w:r>
      <w:r>
        <w:rPr>
          <w:spacing w:val="-3"/>
          <w:sz w:val="20"/>
        </w:rPr>
        <w:t> </w:t>
      </w:r>
      <w:r>
        <w:rPr>
          <w:sz w:val="20"/>
        </w:rPr>
        <w:t>would</w:t>
      </w:r>
      <w:r>
        <w:rPr>
          <w:spacing w:val="-3"/>
          <w:sz w:val="20"/>
        </w:rPr>
        <w:t> </w:t>
      </w:r>
      <w:r>
        <w:rPr>
          <w:sz w:val="20"/>
        </w:rPr>
        <w:t>like</w:t>
      </w:r>
      <w:r>
        <w:rPr>
          <w:spacing w:val="-3"/>
          <w:sz w:val="20"/>
        </w:rPr>
        <w:t> </w:t>
      </w:r>
      <w:r>
        <w:rPr>
          <w:sz w:val="20"/>
        </w:rPr>
        <w:t>to</w:t>
      </w:r>
      <w:r>
        <w:rPr>
          <w:spacing w:val="-3"/>
          <w:sz w:val="20"/>
        </w:rPr>
        <w:t> </w:t>
      </w:r>
      <w:r>
        <w:rPr>
          <w:sz w:val="20"/>
        </w:rPr>
        <w:t>share</w:t>
      </w:r>
      <w:r>
        <w:rPr>
          <w:spacing w:val="-3"/>
          <w:sz w:val="20"/>
        </w:rPr>
        <w:t> </w:t>
      </w:r>
      <w:r>
        <w:rPr>
          <w:sz w:val="20"/>
        </w:rPr>
        <w:t>with</w:t>
      </w:r>
      <w:r>
        <w:rPr>
          <w:spacing w:val="-3"/>
          <w:sz w:val="20"/>
        </w:rPr>
        <w:t> </w:t>
      </w:r>
      <w:r>
        <w:rPr>
          <w:sz w:val="20"/>
        </w:rPr>
        <w:t>me</w:t>
      </w:r>
      <w:r>
        <w:rPr>
          <w:spacing w:val="-3"/>
          <w:sz w:val="20"/>
        </w:rPr>
        <w:t> </w:t>
      </w:r>
      <w:r>
        <w:rPr>
          <w:sz w:val="20"/>
        </w:rPr>
        <w:t>about</w:t>
      </w:r>
      <w:r>
        <w:rPr>
          <w:spacing w:val="-3"/>
          <w:sz w:val="20"/>
        </w:rPr>
        <w:t> </w:t>
      </w:r>
      <w:r>
        <w:rPr>
          <w:sz w:val="20"/>
        </w:rPr>
        <w:t>the</w:t>
      </w:r>
      <w:r>
        <w:rPr>
          <w:spacing w:val="-3"/>
          <w:sz w:val="20"/>
        </w:rPr>
        <w:t> </w:t>
      </w:r>
      <w:r>
        <w:rPr>
          <w:sz w:val="20"/>
        </w:rPr>
        <w:t>accounting</w:t>
      </w:r>
      <w:r>
        <w:rPr>
          <w:spacing w:val="-3"/>
          <w:sz w:val="20"/>
        </w:rPr>
        <w:t> </w:t>
      </w:r>
      <w:r>
        <w:rPr>
          <w:sz w:val="20"/>
        </w:rPr>
        <w:t>major and</w:t>
      </w:r>
      <w:r>
        <w:rPr>
          <w:spacing w:val="40"/>
          <w:sz w:val="20"/>
        </w:rPr>
        <w:t> </w:t>
      </w:r>
      <w:r>
        <w:rPr>
          <w:sz w:val="20"/>
        </w:rPr>
        <w:t>your decisions regarding it?</w:t>
      </w:r>
    </w:p>
    <w:p>
      <w:pPr>
        <w:spacing w:before="230"/>
        <w:ind w:left="2409" w:right="0" w:firstLine="0"/>
        <w:jc w:val="left"/>
        <w:rPr>
          <w:b/>
          <w:sz w:val="20"/>
        </w:rPr>
      </w:pPr>
      <w:r>
        <w:rPr>
          <w:b/>
          <w:sz w:val="20"/>
        </w:rPr>
        <w:t>Table</w:t>
      </w:r>
      <w:r>
        <w:rPr>
          <w:b/>
          <w:spacing w:val="-11"/>
          <w:sz w:val="20"/>
        </w:rPr>
        <w:t> </w:t>
      </w:r>
      <w:r>
        <w:rPr>
          <w:b/>
          <w:sz w:val="20"/>
        </w:rPr>
        <w:t>1:</w:t>
      </w:r>
      <w:r>
        <w:rPr>
          <w:b/>
          <w:spacing w:val="-9"/>
          <w:sz w:val="20"/>
        </w:rPr>
        <w:t> </w:t>
      </w:r>
      <w:r>
        <w:rPr>
          <w:b/>
          <w:sz w:val="20"/>
        </w:rPr>
        <w:t>Summary</w:t>
      </w:r>
      <w:r>
        <w:rPr>
          <w:b/>
          <w:spacing w:val="-9"/>
          <w:sz w:val="20"/>
        </w:rPr>
        <w:t> </w:t>
      </w:r>
      <w:r>
        <w:rPr>
          <w:b/>
          <w:sz w:val="20"/>
        </w:rPr>
        <w:t>of</w:t>
      </w:r>
      <w:r>
        <w:rPr>
          <w:b/>
          <w:spacing w:val="-8"/>
          <w:sz w:val="20"/>
        </w:rPr>
        <w:t> </w:t>
      </w:r>
      <w:r>
        <w:rPr>
          <w:b/>
          <w:sz w:val="20"/>
        </w:rPr>
        <w:t>Participant</w:t>
      </w:r>
      <w:r>
        <w:rPr>
          <w:b/>
          <w:spacing w:val="-9"/>
          <w:sz w:val="20"/>
        </w:rPr>
        <w:t> </w:t>
      </w:r>
      <w:r>
        <w:rPr>
          <w:b/>
          <w:sz w:val="20"/>
        </w:rPr>
        <w:t>Majors,</w:t>
      </w:r>
      <w:r>
        <w:rPr>
          <w:b/>
          <w:spacing w:val="-9"/>
          <w:sz w:val="20"/>
        </w:rPr>
        <w:t> </w:t>
      </w:r>
      <w:r>
        <w:rPr>
          <w:b/>
          <w:sz w:val="20"/>
        </w:rPr>
        <w:t>Concentrations,</w:t>
      </w:r>
      <w:r>
        <w:rPr>
          <w:b/>
          <w:spacing w:val="-9"/>
          <w:sz w:val="20"/>
        </w:rPr>
        <w:t> </w:t>
      </w:r>
      <w:r>
        <w:rPr>
          <w:b/>
          <w:sz w:val="20"/>
        </w:rPr>
        <w:t>and</w:t>
      </w:r>
      <w:r>
        <w:rPr>
          <w:b/>
          <w:spacing w:val="-8"/>
          <w:sz w:val="20"/>
        </w:rPr>
        <w:t> </w:t>
      </w:r>
      <w:r>
        <w:rPr>
          <w:b/>
          <w:spacing w:val="-2"/>
          <w:sz w:val="20"/>
        </w:rPr>
        <w:t>Minors</w:t>
      </w:r>
    </w:p>
    <w:tbl>
      <w:tblPr>
        <w:tblW w:w="0" w:type="auto"/>
        <w:jc w:val="left"/>
        <w:tblInd w:w="1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80"/>
        <w:gridCol w:w="2440"/>
        <w:gridCol w:w="3120"/>
        <w:gridCol w:w="2420"/>
      </w:tblGrid>
      <w:tr>
        <w:trPr>
          <w:trHeight w:val="700" w:hRule="atLeast"/>
        </w:trPr>
        <w:tc>
          <w:tcPr>
            <w:tcW w:w="1380" w:type="dxa"/>
            <w:shd w:val="clear" w:color="auto" w:fill="424242"/>
          </w:tcPr>
          <w:p>
            <w:pPr>
              <w:pStyle w:val="TableParagraph"/>
              <w:spacing w:before="100"/>
              <w:jc w:val="center"/>
              <w:rPr>
                <w:b/>
                <w:sz w:val="20"/>
              </w:rPr>
            </w:pPr>
            <w:r>
              <w:rPr>
                <w:b/>
                <w:color w:val="FFFFFF"/>
                <w:spacing w:val="-2"/>
                <w:sz w:val="20"/>
              </w:rPr>
              <w:t>Participant</w:t>
            </w:r>
          </w:p>
        </w:tc>
        <w:tc>
          <w:tcPr>
            <w:tcW w:w="2440" w:type="dxa"/>
            <w:shd w:val="clear" w:color="auto" w:fill="424242"/>
          </w:tcPr>
          <w:p>
            <w:pPr>
              <w:pStyle w:val="TableParagraph"/>
              <w:spacing w:before="100"/>
              <w:ind w:left="20" w:right="83"/>
              <w:jc w:val="center"/>
              <w:rPr>
                <w:b/>
                <w:sz w:val="20"/>
              </w:rPr>
            </w:pPr>
            <w:r>
              <w:rPr>
                <w:b/>
                <w:color w:val="FFFFFF"/>
                <w:sz w:val="20"/>
              </w:rPr>
              <w:t>Original</w:t>
            </w:r>
            <w:r>
              <w:rPr>
                <w:b/>
                <w:color w:val="FFFFFF"/>
                <w:spacing w:val="-8"/>
                <w:sz w:val="20"/>
              </w:rPr>
              <w:t> </w:t>
            </w:r>
            <w:r>
              <w:rPr>
                <w:b/>
                <w:color w:val="FFFFFF"/>
                <w:spacing w:val="-2"/>
                <w:sz w:val="20"/>
              </w:rPr>
              <w:t>Major</w:t>
            </w:r>
          </w:p>
        </w:tc>
        <w:tc>
          <w:tcPr>
            <w:tcW w:w="3120" w:type="dxa"/>
            <w:shd w:val="clear" w:color="auto" w:fill="424242"/>
          </w:tcPr>
          <w:p>
            <w:pPr>
              <w:pStyle w:val="TableParagraph"/>
              <w:spacing w:before="100"/>
              <w:ind w:left="5" w:right="82"/>
              <w:jc w:val="center"/>
              <w:rPr>
                <w:b/>
                <w:sz w:val="20"/>
              </w:rPr>
            </w:pPr>
            <w:r>
              <w:rPr>
                <w:b/>
                <w:color w:val="FFFFFF"/>
                <w:sz w:val="20"/>
              </w:rPr>
              <w:t>Current</w:t>
            </w:r>
            <w:r>
              <w:rPr>
                <w:b/>
                <w:color w:val="FFFFFF"/>
                <w:spacing w:val="-10"/>
                <w:sz w:val="20"/>
              </w:rPr>
              <w:t> </w:t>
            </w:r>
            <w:r>
              <w:rPr>
                <w:b/>
                <w:color w:val="FFFFFF"/>
                <w:spacing w:val="-2"/>
                <w:sz w:val="20"/>
              </w:rPr>
              <w:t>Major</w:t>
            </w:r>
          </w:p>
        </w:tc>
        <w:tc>
          <w:tcPr>
            <w:tcW w:w="2420" w:type="dxa"/>
            <w:shd w:val="clear" w:color="auto" w:fill="424242"/>
          </w:tcPr>
          <w:p>
            <w:pPr>
              <w:pStyle w:val="TableParagraph"/>
              <w:spacing w:before="100"/>
              <w:ind w:left="547" w:right="523" w:firstLine="42"/>
              <w:rPr>
                <w:b/>
                <w:sz w:val="20"/>
              </w:rPr>
            </w:pPr>
            <w:r>
              <w:rPr>
                <w:b/>
                <w:color w:val="FFFFFF"/>
                <w:sz w:val="20"/>
              </w:rPr>
              <w:t>Minor</w:t>
            </w:r>
            <w:r>
              <w:rPr>
                <w:b/>
                <w:color w:val="FFFFFF"/>
                <w:spacing w:val="-8"/>
                <w:sz w:val="20"/>
              </w:rPr>
              <w:t> </w:t>
            </w:r>
            <w:r>
              <w:rPr>
                <w:b/>
                <w:color w:val="FFFFFF"/>
                <w:sz w:val="20"/>
              </w:rPr>
              <w:t>and/or </w:t>
            </w:r>
            <w:r>
              <w:rPr>
                <w:b/>
                <w:color w:val="FFFFFF"/>
                <w:spacing w:val="-2"/>
                <w:sz w:val="20"/>
              </w:rPr>
              <w:t>Concentration</w:t>
            </w:r>
          </w:p>
        </w:tc>
      </w:tr>
      <w:tr>
        <w:trPr>
          <w:trHeight w:val="479" w:hRule="atLeast"/>
        </w:trPr>
        <w:tc>
          <w:tcPr>
            <w:tcW w:w="1380" w:type="dxa"/>
            <w:shd w:val="clear" w:color="auto" w:fill="F2F2F2"/>
          </w:tcPr>
          <w:p>
            <w:pPr>
              <w:pStyle w:val="TableParagraph"/>
              <w:spacing w:before="100"/>
              <w:jc w:val="center"/>
              <w:rPr>
                <w:sz w:val="20"/>
              </w:rPr>
            </w:pPr>
            <w:r>
              <w:rPr>
                <w:spacing w:val="-5"/>
                <w:sz w:val="20"/>
              </w:rPr>
              <w:t>P1</w:t>
            </w:r>
          </w:p>
        </w:tc>
        <w:tc>
          <w:tcPr>
            <w:tcW w:w="2440" w:type="dxa"/>
            <w:shd w:val="clear" w:color="auto" w:fill="F2F2F2"/>
          </w:tcPr>
          <w:p>
            <w:pPr>
              <w:pStyle w:val="TableParagraph"/>
              <w:spacing w:before="100"/>
              <w:ind w:left="88" w:right="83"/>
              <w:jc w:val="center"/>
              <w:rPr>
                <w:sz w:val="20"/>
              </w:rPr>
            </w:pPr>
            <w:r>
              <w:rPr>
                <w:sz w:val="20"/>
              </w:rPr>
              <w:t>Middle</w:t>
            </w:r>
            <w:r>
              <w:rPr>
                <w:spacing w:val="-6"/>
                <w:sz w:val="20"/>
              </w:rPr>
              <w:t> </w:t>
            </w:r>
            <w:r>
              <w:rPr>
                <w:sz w:val="20"/>
              </w:rPr>
              <w:t>Grade</w:t>
            </w:r>
            <w:r>
              <w:rPr>
                <w:spacing w:val="-5"/>
                <w:sz w:val="20"/>
              </w:rPr>
              <w:t> </w:t>
            </w:r>
            <w:r>
              <w:rPr>
                <w:spacing w:val="-2"/>
                <w:sz w:val="20"/>
              </w:rPr>
              <w:t>Mathematics</w:t>
            </w:r>
          </w:p>
        </w:tc>
        <w:tc>
          <w:tcPr>
            <w:tcW w:w="3120" w:type="dxa"/>
            <w:shd w:val="clear" w:color="auto" w:fill="F2F2F2"/>
          </w:tcPr>
          <w:p>
            <w:pPr>
              <w:pStyle w:val="TableParagraph"/>
              <w:spacing w:before="100"/>
              <w:ind w:left="2" w:right="82"/>
              <w:jc w:val="center"/>
              <w:rPr>
                <w:sz w:val="20"/>
              </w:rPr>
            </w:pPr>
            <w:r>
              <w:rPr>
                <w:spacing w:val="-2"/>
                <w:sz w:val="20"/>
              </w:rPr>
              <w:t>Accounting</w:t>
            </w:r>
          </w:p>
        </w:tc>
        <w:tc>
          <w:tcPr>
            <w:tcW w:w="2420" w:type="dxa"/>
            <w:shd w:val="clear" w:color="auto" w:fill="F2F2F2"/>
          </w:tcPr>
          <w:p>
            <w:pPr>
              <w:pStyle w:val="TableParagraph"/>
              <w:rPr>
                <w:sz w:val="20"/>
              </w:rPr>
            </w:pPr>
          </w:p>
        </w:tc>
      </w:tr>
      <w:tr>
        <w:trPr>
          <w:trHeight w:val="460" w:hRule="atLeast"/>
        </w:trPr>
        <w:tc>
          <w:tcPr>
            <w:tcW w:w="1380" w:type="dxa"/>
            <w:shd w:val="clear" w:color="auto" w:fill="F2F2F2"/>
          </w:tcPr>
          <w:p>
            <w:pPr>
              <w:pStyle w:val="TableParagraph"/>
              <w:spacing w:before="89"/>
              <w:jc w:val="center"/>
              <w:rPr>
                <w:sz w:val="20"/>
              </w:rPr>
            </w:pPr>
            <w:r>
              <w:rPr>
                <w:spacing w:val="-5"/>
                <w:sz w:val="20"/>
              </w:rPr>
              <w:t>P2</w:t>
            </w:r>
          </w:p>
        </w:tc>
        <w:tc>
          <w:tcPr>
            <w:tcW w:w="2440" w:type="dxa"/>
            <w:shd w:val="clear" w:color="auto" w:fill="F2F2F2"/>
          </w:tcPr>
          <w:p>
            <w:pPr>
              <w:pStyle w:val="TableParagraph"/>
              <w:spacing w:before="89"/>
              <w:ind w:left="88" w:right="83"/>
              <w:jc w:val="center"/>
              <w:rPr>
                <w:sz w:val="20"/>
              </w:rPr>
            </w:pPr>
            <w:r>
              <w:rPr>
                <w:spacing w:val="-2"/>
                <w:sz w:val="20"/>
              </w:rPr>
              <w:t>Biology</w:t>
            </w:r>
          </w:p>
        </w:tc>
        <w:tc>
          <w:tcPr>
            <w:tcW w:w="3120" w:type="dxa"/>
            <w:shd w:val="clear" w:color="auto" w:fill="F2F2F2"/>
          </w:tcPr>
          <w:p>
            <w:pPr>
              <w:pStyle w:val="TableParagraph"/>
              <w:spacing w:before="89"/>
              <w:ind w:left="2" w:right="82"/>
              <w:jc w:val="center"/>
              <w:rPr>
                <w:sz w:val="20"/>
              </w:rPr>
            </w:pPr>
            <w:r>
              <w:rPr>
                <w:spacing w:val="-2"/>
                <w:sz w:val="20"/>
              </w:rPr>
              <w:t>Accounting</w:t>
            </w:r>
          </w:p>
        </w:tc>
        <w:tc>
          <w:tcPr>
            <w:tcW w:w="2420" w:type="dxa"/>
            <w:shd w:val="clear" w:color="auto" w:fill="F2F2F2"/>
          </w:tcPr>
          <w:p>
            <w:pPr>
              <w:pStyle w:val="TableParagraph"/>
              <w:rPr>
                <w:sz w:val="20"/>
              </w:rPr>
            </w:pPr>
          </w:p>
        </w:tc>
      </w:tr>
      <w:tr>
        <w:trPr>
          <w:trHeight w:val="460" w:hRule="atLeast"/>
        </w:trPr>
        <w:tc>
          <w:tcPr>
            <w:tcW w:w="1380" w:type="dxa"/>
            <w:shd w:val="clear" w:color="auto" w:fill="F2F2F2"/>
          </w:tcPr>
          <w:p>
            <w:pPr>
              <w:pStyle w:val="TableParagraph"/>
              <w:spacing w:before="99"/>
              <w:jc w:val="center"/>
              <w:rPr>
                <w:sz w:val="20"/>
              </w:rPr>
            </w:pPr>
            <w:r>
              <w:rPr>
                <w:spacing w:val="-5"/>
                <w:sz w:val="20"/>
              </w:rPr>
              <w:t>P3</w:t>
            </w:r>
          </w:p>
        </w:tc>
        <w:tc>
          <w:tcPr>
            <w:tcW w:w="2440" w:type="dxa"/>
            <w:shd w:val="clear" w:color="auto" w:fill="F2F2F2"/>
          </w:tcPr>
          <w:p>
            <w:pPr>
              <w:pStyle w:val="TableParagraph"/>
              <w:spacing w:before="99"/>
              <w:ind w:left="88" w:right="83"/>
              <w:jc w:val="center"/>
              <w:rPr>
                <w:sz w:val="20"/>
              </w:rPr>
            </w:pPr>
            <w:r>
              <w:rPr>
                <w:sz w:val="20"/>
              </w:rPr>
              <w:t>Business</w:t>
            </w:r>
            <w:r>
              <w:rPr>
                <w:spacing w:val="-8"/>
                <w:sz w:val="20"/>
              </w:rPr>
              <w:t> </w:t>
            </w:r>
            <w:r>
              <w:rPr>
                <w:spacing w:val="-2"/>
                <w:sz w:val="20"/>
              </w:rPr>
              <w:t>Management</w:t>
            </w:r>
          </w:p>
        </w:tc>
        <w:tc>
          <w:tcPr>
            <w:tcW w:w="3120" w:type="dxa"/>
            <w:shd w:val="clear" w:color="auto" w:fill="F2F2F2"/>
          </w:tcPr>
          <w:p>
            <w:pPr>
              <w:pStyle w:val="TableParagraph"/>
              <w:spacing w:before="99"/>
              <w:ind w:left="2" w:right="82"/>
              <w:jc w:val="center"/>
              <w:rPr>
                <w:sz w:val="20"/>
              </w:rPr>
            </w:pPr>
            <w:r>
              <w:rPr>
                <w:spacing w:val="-2"/>
                <w:sz w:val="20"/>
              </w:rPr>
              <w:t>Accounting</w:t>
            </w:r>
          </w:p>
        </w:tc>
        <w:tc>
          <w:tcPr>
            <w:tcW w:w="2420" w:type="dxa"/>
            <w:shd w:val="clear" w:color="auto" w:fill="F2F2F2"/>
          </w:tcPr>
          <w:p>
            <w:pPr>
              <w:pStyle w:val="TableParagraph"/>
              <w:rPr>
                <w:sz w:val="20"/>
              </w:rPr>
            </w:pPr>
          </w:p>
        </w:tc>
      </w:tr>
      <w:tr>
        <w:trPr>
          <w:trHeight w:val="479" w:hRule="atLeast"/>
        </w:trPr>
        <w:tc>
          <w:tcPr>
            <w:tcW w:w="1380" w:type="dxa"/>
            <w:shd w:val="clear" w:color="auto" w:fill="D9D9D9"/>
          </w:tcPr>
          <w:p>
            <w:pPr>
              <w:pStyle w:val="TableParagraph"/>
              <w:spacing w:before="108"/>
              <w:jc w:val="center"/>
              <w:rPr>
                <w:sz w:val="20"/>
              </w:rPr>
            </w:pPr>
            <w:r>
              <w:rPr>
                <w:spacing w:val="-5"/>
                <w:sz w:val="20"/>
              </w:rPr>
              <w:t>P4</w:t>
            </w:r>
          </w:p>
        </w:tc>
        <w:tc>
          <w:tcPr>
            <w:tcW w:w="2440" w:type="dxa"/>
            <w:shd w:val="clear" w:color="auto" w:fill="D9D9D9"/>
          </w:tcPr>
          <w:p>
            <w:pPr>
              <w:pStyle w:val="TableParagraph"/>
              <w:spacing w:before="108"/>
              <w:ind w:left="5" w:right="88"/>
              <w:jc w:val="center"/>
              <w:rPr>
                <w:sz w:val="20"/>
              </w:rPr>
            </w:pPr>
            <w:r>
              <w:rPr>
                <w:sz w:val="20"/>
              </w:rPr>
              <w:t>Interior</w:t>
            </w:r>
            <w:r>
              <w:rPr>
                <w:spacing w:val="-8"/>
                <w:sz w:val="20"/>
              </w:rPr>
              <w:t> </w:t>
            </w:r>
            <w:r>
              <w:rPr>
                <w:spacing w:val="-2"/>
                <w:sz w:val="20"/>
              </w:rPr>
              <w:t>Design</w:t>
            </w:r>
          </w:p>
        </w:tc>
        <w:tc>
          <w:tcPr>
            <w:tcW w:w="3120" w:type="dxa"/>
            <w:shd w:val="clear" w:color="auto" w:fill="D9D9D9"/>
          </w:tcPr>
          <w:p>
            <w:pPr>
              <w:pStyle w:val="TableParagraph"/>
              <w:spacing w:before="108"/>
              <w:ind w:left="12" w:right="82"/>
              <w:jc w:val="center"/>
              <w:rPr>
                <w:sz w:val="20"/>
              </w:rPr>
            </w:pPr>
            <w:r>
              <w:rPr>
                <w:spacing w:val="-2"/>
                <w:sz w:val="20"/>
              </w:rPr>
              <w:t>Marketing</w:t>
            </w:r>
          </w:p>
        </w:tc>
        <w:tc>
          <w:tcPr>
            <w:tcW w:w="2420" w:type="dxa"/>
            <w:shd w:val="clear" w:color="auto" w:fill="D9D9D9"/>
          </w:tcPr>
          <w:p>
            <w:pPr>
              <w:pStyle w:val="TableParagraph"/>
              <w:rPr>
                <w:sz w:val="20"/>
              </w:rPr>
            </w:pPr>
          </w:p>
        </w:tc>
      </w:tr>
      <w:tr>
        <w:trPr>
          <w:trHeight w:val="659" w:hRule="atLeast"/>
        </w:trPr>
        <w:tc>
          <w:tcPr>
            <w:tcW w:w="1380" w:type="dxa"/>
            <w:shd w:val="clear" w:color="auto" w:fill="D9D9D9"/>
          </w:tcPr>
          <w:p>
            <w:pPr>
              <w:pStyle w:val="TableParagraph"/>
              <w:spacing w:before="97"/>
              <w:jc w:val="center"/>
              <w:rPr>
                <w:sz w:val="20"/>
              </w:rPr>
            </w:pPr>
            <w:r>
              <w:rPr>
                <w:spacing w:val="-5"/>
                <w:sz w:val="20"/>
              </w:rPr>
              <w:t>P5</w:t>
            </w:r>
          </w:p>
        </w:tc>
        <w:tc>
          <w:tcPr>
            <w:tcW w:w="2440" w:type="dxa"/>
            <w:shd w:val="clear" w:color="auto" w:fill="D9D9D9"/>
          </w:tcPr>
          <w:p>
            <w:pPr>
              <w:pStyle w:val="TableParagraph"/>
              <w:spacing w:before="97"/>
              <w:ind w:left="88" w:right="83"/>
              <w:jc w:val="center"/>
              <w:rPr>
                <w:sz w:val="20"/>
              </w:rPr>
            </w:pPr>
            <w:r>
              <w:rPr>
                <w:sz w:val="20"/>
              </w:rPr>
              <w:t>Healthcare</w:t>
            </w:r>
            <w:r>
              <w:rPr>
                <w:spacing w:val="-10"/>
                <w:sz w:val="20"/>
              </w:rPr>
              <w:t> </w:t>
            </w:r>
            <w:r>
              <w:rPr>
                <w:spacing w:val="-2"/>
                <w:sz w:val="20"/>
              </w:rPr>
              <w:t>Management</w:t>
            </w:r>
          </w:p>
        </w:tc>
        <w:tc>
          <w:tcPr>
            <w:tcW w:w="3120" w:type="dxa"/>
            <w:shd w:val="clear" w:color="auto" w:fill="D9D9D9"/>
          </w:tcPr>
          <w:p>
            <w:pPr>
              <w:pStyle w:val="TableParagraph"/>
              <w:spacing w:line="230" w:lineRule="auto" w:before="97"/>
              <w:ind w:left="500" w:right="287" w:firstLine="13"/>
              <w:rPr>
                <w:sz w:val="20"/>
              </w:rPr>
            </w:pPr>
            <w:r>
              <w:rPr>
                <w:sz w:val="20"/>
              </w:rPr>
              <w:t>Supply</w:t>
            </w:r>
            <w:r>
              <w:rPr>
                <w:spacing w:val="-13"/>
                <w:sz w:val="20"/>
              </w:rPr>
              <w:t> </w:t>
            </w:r>
            <w:r>
              <w:rPr>
                <w:sz w:val="20"/>
              </w:rPr>
              <w:t>Chain</w:t>
            </w:r>
            <w:r>
              <w:rPr>
                <w:spacing w:val="-12"/>
                <w:sz w:val="20"/>
              </w:rPr>
              <w:t> </w:t>
            </w:r>
            <w:r>
              <w:rPr>
                <w:sz w:val="20"/>
              </w:rPr>
              <w:t>Management &amp;</w:t>
            </w:r>
            <w:r>
              <w:rPr>
                <w:spacing w:val="42"/>
                <w:sz w:val="20"/>
              </w:rPr>
              <w:t> </w:t>
            </w:r>
            <w:r>
              <w:rPr>
                <w:sz w:val="20"/>
              </w:rPr>
              <w:t>Healthcare</w:t>
            </w:r>
            <w:r>
              <w:rPr>
                <w:spacing w:val="-3"/>
                <w:sz w:val="20"/>
              </w:rPr>
              <w:t> </w:t>
            </w:r>
            <w:r>
              <w:rPr>
                <w:spacing w:val="-2"/>
                <w:sz w:val="20"/>
              </w:rPr>
              <w:t>Management</w:t>
            </w:r>
          </w:p>
        </w:tc>
        <w:tc>
          <w:tcPr>
            <w:tcW w:w="2420" w:type="dxa"/>
            <w:shd w:val="clear" w:color="auto" w:fill="D9D9D9"/>
          </w:tcPr>
          <w:p>
            <w:pPr>
              <w:pStyle w:val="TableParagraph"/>
              <w:rPr>
                <w:sz w:val="20"/>
              </w:rPr>
            </w:pPr>
          </w:p>
        </w:tc>
      </w:tr>
      <w:tr>
        <w:trPr>
          <w:trHeight w:val="480" w:hRule="atLeast"/>
        </w:trPr>
        <w:tc>
          <w:tcPr>
            <w:tcW w:w="1380" w:type="dxa"/>
            <w:shd w:val="clear" w:color="auto" w:fill="F2F2F2"/>
          </w:tcPr>
          <w:p>
            <w:pPr>
              <w:pStyle w:val="TableParagraph"/>
              <w:spacing w:before="107"/>
              <w:jc w:val="center"/>
              <w:rPr>
                <w:sz w:val="20"/>
              </w:rPr>
            </w:pPr>
            <w:r>
              <w:rPr>
                <w:spacing w:val="-5"/>
                <w:sz w:val="20"/>
              </w:rPr>
              <w:t>P6</w:t>
            </w:r>
          </w:p>
        </w:tc>
        <w:tc>
          <w:tcPr>
            <w:tcW w:w="2440" w:type="dxa"/>
            <w:shd w:val="clear" w:color="auto" w:fill="F2F2F2"/>
          </w:tcPr>
          <w:p>
            <w:pPr>
              <w:pStyle w:val="TableParagraph"/>
              <w:spacing w:before="107"/>
              <w:ind w:left="88" w:right="83"/>
              <w:jc w:val="center"/>
              <w:rPr>
                <w:sz w:val="20"/>
              </w:rPr>
            </w:pPr>
            <w:r>
              <w:rPr>
                <w:spacing w:val="-2"/>
                <w:sz w:val="20"/>
              </w:rPr>
              <w:t>Accounting</w:t>
            </w:r>
          </w:p>
        </w:tc>
        <w:tc>
          <w:tcPr>
            <w:tcW w:w="3120" w:type="dxa"/>
            <w:shd w:val="clear" w:color="auto" w:fill="F2F2F2"/>
          </w:tcPr>
          <w:p>
            <w:pPr>
              <w:pStyle w:val="TableParagraph"/>
              <w:spacing w:before="107"/>
              <w:ind w:left="2" w:right="82"/>
              <w:jc w:val="center"/>
              <w:rPr>
                <w:sz w:val="20"/>
              </w:rPr>
            </w:pPr>
            <w:r>
              <w:rPr>
                <w:spacing w:val="-2"/>
                <w:sz w:val="20"/>
              </w:rPr>
              <w:t>Accounting</w:t>
            </w:r>
          </w:p>
        </w:tc>
        <w:tc>
          <w:tcPr>
            <w:tcW w:w="2420" w:type="dxa"/>
            <w:shd w:val="clear" w:color="auto" w:fill="F2F2F2"/>
          </w:tcPr>
          <w:p>
            <w:pPr>
              <w:pStyle w:val="TableParagraph"/>
              <w:rPr>
                <w:sz w:val="20"/>
              </w:rPr>
            </w:pPr>
          </w:p>
        </w:tc>
      </w:tr>
      <w:tr>
        <w:trPr>
          <w:trHeight w:val="460" w:hRule="atLeast"/>
        </w:trPr>
        <w:tc>
          <w:tcPr>
            <w:tcW w:w="1380" w:type="dxa"/>
            <w:shd w:val="clear" w:color="auto" w:fill="F2F2F2"/>
          </w:tcPr>
          <w:p>
            <w:pPr>
              <w:pStyle w:val="TableParagraph"/>
              <w:spacing w:before="97"/>
              <w:jc w:val="center"/>
              <w:rPr>
                <w:sz w:val="20"/>
              </w:rPr>
            </w:pPr>
            <w:r>
              <w:rPr>
                <w:spacing w:val="-5"/>
                <w:sz w:val="20"/>
              </w:rPr>
              <w:t>P7</w:t>
            </w:r>
          </w:p>
        </w:tc>
        <w:tc>
          <w:tcPr>
            <w:tcW w:w="2440" w:type="dxa"/>
            <w:shd w:val="clear" w:color="auto" w:fill="F2F2F2"/>
          </w:tcPr>
          <w:p>
            <w:pPr>
              <w:pStyle w:val="TableParagraph"/>
              <w:spacing w:before="97"/>
              <w:ind w:left="88" w:right="83"/>
              <w:jc w:val="center"/>
              <w:rPr>
                <w:sz w:val="20"/>
              </w:rPr>
            </w:pPr>
            <w:r>
              <w:rPr>
                <w:spacing w:val="-2"/>
                <w:sz w:val="20"/>
              </w:rPr>
              <w:t>Accounting</w:t>
            </w:r>
          </w:p>
        </w:tc>
        <w:tc>
          <w:tcPr>
            <w:tcW w:w="3120" w:type="dxa"/>
            <w:shd w:val="clear" w:color="auto" w:fill="F2F2F2"/>
          </w:tcPr>
          <w:p>
            <w:pPr>
              <w:pStyle w:val="TableParagraph"/>
              <w:spacing w:before="97"/>
              <w:ind w:left="2" w:right="82"/>
              <w:jc w:val="center"/>
              <w:rPr>
                <w:sz w:val="20"/>
              </w:rPr>
            </w:pPr>
            <w:r>
              <w:rPr>
                <w:spacing w:val="-2"/>
                <w:sz w:val="20"/>
              </w:rPr>
              <w:t>Accounting</w:t>
            </w:r>
          </w:p>
        </w:tc>
        <w:tc>
          <w:tcPr>
            <w:tcW w:w="2420" w:type="dxa"/>
            <w:shd w:val="clear" w:color="auto" w:fill="F2F2F2"/>
          </w:tcPr>
          <w:p>
            <w:pPr>
              <w:pStyle w:val="TableParagraph"/>
              <w:rPr>
                <w:sz w:val="20"/>
              </w:rPr>
            </w:pPr>
          </w:p>
        </w:tc>
      </w:tr>
      <w:tr>
        <w:trPr>
          <w:trHeight w:val="480" w:hRule="atLeast"/>
        </w:trPr>
        <w:tc>
          <w:tcPr>
            <w:tcW w:w="1380" w:type="dxa"/>
            <w:shd w:val="clear" w:color="auto" w:fill="F2F2F2"/>
          </w:tcPr>
          <w:p>
            <w:pPr>
              <w:pStyle w:val="TableParagraph"/>
              <w:spacing w:before="107"/>
              <w:jc w:val="center"/>
              <w:rPr>
                <w:sz w:val="20"/>
              </w:rPr>
            </w:pPr>
            <w:r>
              <w:rPr>
                <w:spacing w:val="-5"/>
                <w:sz w:val="20"/>
              </w:rPr>
              <w:t>P8</w:t>
            </w:r>
          </w:p>
        </w:tc>
        <w:tc>
          <w:tcPr>
            <w:tcW w:w="2440" w:type="dxa"/>
            <w:shd w:val="clear" w:color="auto" w:fill="F2F2F2"/>
          </w:tcPr>
          <w:p>
            <w:pPr>
              <w:pStyle w:val="TableParagraph"/>
              <w:spacing w:before="107"/>
              <w:ind w:left="88" w:right="83"/>
              <w:jc w:val="center"/>
              <w:rPr>
                <w:sz w:val="20"/>
              </w:rPr>
            </w:pPr>
            <w:r>
              <w:rPr>
                <w:spacing w:val="-2"/>
                <w:sz w:val="20"/>
              </w:rPr>
              <w:t>Marketing</w:t>
            </w:r>
          </w:p>
        </w:tc>
        <w:tc>
          <w:tcPr>
            <w:tcW w:w="3120" w:type="dxa"/>
            <w:shd w:val="clear" w:color="auto" w:fill="F2F2F2"/>
          </w:tcPr>
          <w:p>
            <w:pPr>
              <w:pStyle w:val="TableParagraph"/>
              <w:spacing w:before="107"/>
              <w:ind w:left="2" w:right="82"/>
              <w:jc w:val="center"/>
              <w:rPr>
                <w:sz w:val="20"/>
              </w:rPr>
            </w:pPr>
            <w:r>
              <w:rPr>
                <w:spacing w:val="-2"/>
                <w:sz w:val="20"/>
              </w:rPr>
              <w:t>Accounting</w:t>
            </w:r>
          </w:p>
        </w:tc>
        <w:tc>
          <w:tcPr>
            <w:tcW w:w="2420" w:type="dxa"/>
            <w:shd w:val="clear" w:color="auto" w:fill="F2F2F2"/>
          </w:tcPr>
          <w:p>
            <w:pPr>
              <w:pStyle w:val="TableParagraph"/>
              <w:rPr>
                <w:sz w:val="20"/>
              </w:rPr>
            </w:pPr>
          </w:p>
        </w:tc>
      </w:tr>
    </w:tbl>
    <w:p>
      <w:pPr>
        <w:pStyle w:val="TableParagraph"/>
        <w:spacing w:after="0"/>
        <w:rPr>
          <w:sz w:val="20"/>
        </w:rPr>
        <w:sectPr>
          <w:pgSz w:w="12240" w:h="15840"/>
          <w:pgMar w:header="0" w:footer="750" w:top="620" w:bottom="1161" w:left="720" w:right="0"/>
        </w:sectPr>
      </w:pPr>
    </w:p>
    <w:tbl>
      <w:tblPr>
        <w:tblW w:w="0" w:type="auto"/>
        <w:jc w:val="left"/>
        <w:tblInd w:w="1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80"/>
        <w:gridCol w:w="2440"/>
        <w:gridCol w:w="3120"/>
        <w:gridCol w:w="2420"/>
      </w:tblGrid>
      <w:tr>
        <w:trPr>
          <w:trHeight w:val="660" w:hRule="atLeast"/>
        </w:trPr>
        <w:tc>
          <w:tcPr>
            <w:tcW w:w="1380" w:type="dxa"/>
            <w:shd w:val="clear" w:color="auto" w:fill="F2F2F2"/>
          </w:tcPr>
          <w:p>
            <w:pPr>
              <w:pStyle w:val="TableParagraph"/>
              <w:spacing w:before="100"/>
              <w:jc w:val="center"/>
              <w:rPr>
                <w:sz w:val="20"/>
              </w:rPr>
            </w:pPr>
            <w:r>
              <w:rPr>
                <w:spacing w:val="-5"/>
                <w:sz w:val="20"/>
              </w:rPr>
              <w:t>P9</w:t>
            </w:r>
          </w:p>
        </w:tc>
        <w:tc>
          <w:tcPr>
            <w:tcW w:w="2440" w:type="dxa"/>
            <w:shd w:val="clear" w:color="auto" w:fill="F2F2F2"/>
          </w:tcPr>
          <w:p>
            <w:pPr>
              <w:pStyle w:val="TableParagraph"/>
              <w:spacing w:before="100"/>
              <w:ind w:left="88" w:right="83"/>
              <w:jc w:val="center"/>
              <w:rPr>
                <w:sz w:val="20"/>
              </w:rPr>
            </w:pPr>
            <w:r>
              <w:rPr>
                <w:sz w:val="20"/>
              </w:rPr>
              <w:t>Fashion</w:t>
            </w:r>
            <w:r>
              <w:rPr>
                <w:spacing w:val="-7"/>
                <w:sz w:val="20"/>
              </w:rPr>
              <w:t> </w:t>
            </w:r>
            <w:r>
              <w:rPr>
                <w:spacing w:val="-2"/>
                <w:sz w:val="20"/>
              </w:rPr>
              <w:t>Design</w:t>
            </w:r>
          </w:p>
        </w:tc>
        <w:tc>
          <w:tcPr>
            <w:tcW w:w="3120" w:type="dxa"/>
            <w:shd w:val="clear" w:color="auto" w:fill="F2F2F2"/>
          </w:tcPr>
          <w:p>
            <w:pPr>
              <w:pStyle w:val="TableParagraph"/>
              <w:spacing w:line="230" w:lineRule="auto" w:before="100"/>
              <w:ind w:left="796" w:right="287" w:hanging="67"/>
              <w:rPr>
                <w:sz w:val="20"/>
              </w:rPr>
            </w:pPr>
            <w:r>
              <w:rPr>
                <w:sz w:val="20"/>
              </w:rPr>
              <w:t>Accounting</w:t>
            </w:r>
            <w:r>
              <w:rPr>
                <w:spacing w:val="-13"/>
                <w:sz w:val="20"/>
              </w:rPr>
              <w:t> </w:t>
            </w:r>
            <w:r>
              <w:rPr>
                <w:sz w:val="20"/>
              </w:rPr>
              <w:t>&amp;</w:t>
            </w:r>
            <w:r>
              <w:rPr>
                <w:spacing w:val="-12"/>
                <w:sz w:val="20"/>
              </w:rPr>
              <w:t> </w:t>
            </w:r>
            <w:r>
              <w:rPr>
                <w:sz w:val="20"/>
              </w:rPr>
              <w:t>Supply Chain</w:t>
            </w:r>
            <w:r>
              <w:rPr>
                <w:spacing w:val="40"/>
                <w:sz w:val="20"/>
              </w:rPr>
              <w:t> </w:t>
            </w:r>
            <w:r>
              <w:rPr>
                <w:sz w:val="20"/>
              </w:rPr>
              <w:t>Management</w:t>
            </w:r>
          </w:p>
        </w:tc>
        <w:tc>
          <w:tcPr>
            <w:tcW w:w="2420" w:type="dxa"/>
            <w:shd w:val="clear" w:color="auto" w:fill="F2F2F2"/>
          </w:tcPr>
          <w:p>
            <w:pPr>
              <w:pStyle w:val="TableParagraph"/>
              <w:rPr>
                <w:sz w:val="20"/>
              </w:rPr>
            </w:pPr>
          </w:p>
        </w:tc>
      </w:tr>
      <w:tr>
        <w:trPr>
          <w:trHeight w:val="479" w:hRule="atLeast"/>
        </w:trPr>
        <w:tc>
          <w:tcPr>
            <w:tcW w:w="1380" w:type="dxa"/>
            <w:shd w:val="clear" w:color="auto" w:fill="F2F2F2"/>
          </w:tcPr>
          <w:p>
            <w:pPr>
              <w:pStyle w:val="TableParagraph"/>
              <w:spacing w:before="110"/>
              <w:jc w:val="center"/>
              <w:rPr>
                <w:sz w:val="20"/>
              </w:rPr>
            </w:pPr>
            <w:r>
              <w:rPr>
                <w:spacing w:val="-5"/>
                <w:sz w:val="20"/>
              </w:rPr>
              <w:t>P10</w:t>
            </w:r>
          </w:p>
        </w:tc>
        <w:tc>
          <w:tcPr>
            <w:tcW w:w="2440" w:type="dxa"/>
            <w:shd w:val="clear" w:color="auto" w:fill="F2F2F2"/>
          </w:tcPr>
          <w:p>
            <w:pPr>
              <w:pStyle w:val="TableParagraph"/>
              <w:spacing w:before="110"/>
              <w:ind w:left="88" w:right="83"/>
              <w:jc w:val="center"/>
              <w:rPr>
                <w:sz w:val="20"/>
              </w:rPr>
            </w:pPr>
            <w:r>
              <w:rPr>
                <w:sz w:val="20"/>
              </w:rPr>
              <w:t>Business</w:t>
            </w:r>
            <w:r>
              <w:rPr>
                <w:spacing w:val="-8"/>
                <w:sz w:val="20"/>
              </w:rPr>
              <w:t> </w:t>
            </w:r>
            <w:r>
              <w:rPr>
                <w:spacing w:val="-2"/>
                <w:sz w:val="20"/>
              </w:rPr>
              <w:t>Management</w:t>
            </w:r>
          </w:p>
        </w:tc>
        <w:tc>
          <w:tcPr>
            <w:tcW w:w="3120" w:type="dxa"/>
            <w:shd w:val="clear" w:color="auto" w:fill="F2F2F2"/>
          </w:tcPr>
          <w:p>
            <w:pPr>
              <w:pStyle w:val="TableParagraph"/>
              <w:spacing w:before="110"/>
              <w:ind w:left="2" w:right="82"/>
              <w:jc w:val="center"/>
              <w:rPr>
                <w:sz w:val="20"/>
              </w:rPr>
            </w:pPr>
            <w:r>
              <w:rPr>
                <w:spacing w:val="-2"/>
                <w:sz w:val="20"/>
              </w:rPr>
              <w:t>Accounting</w:t>
            </w:r>
          </w:p>
        </w:tc>
        <w:tc>
          <w:tcPr>
            <w:tcW w:w="2420" w:type="dxa"/>
            <w:shd w:val="clear" w:color="auto" w:fill="F2F2F2"/>
          </w:tcPr>
          <w:p>
            <w:pPr>
              <w:pStyle w:val="TableParagraph"/>
              <w:rPr>
                <w:sz w:val="20"/>
              </w:rPr>
            </w:pPr>
          </w:p>
        </w:tc>
      </w:tr>
      <w:tr>
        <w:trPr>
          <w:trHeight w:val="660" w:hRule="atLeast"/>
        </w:trPr>
        <w:tc>
          <w:tcPr>
            <w:tcW w:w="1380" w:type="dxa"/>
            <w:shd w:val="clear" w:color="auto" w:fill="D9D9D9"/>
          </w:tcPr>
          <w:p>
            <w:pPr>
              <w:pStyle w:val="TableParagraph"/>
              <w:spacing w:before="100"/>
              <w:jc w:val="center"/>
              <w:rPr>
                <w:sz w:val="20"/>
              </w:rPr>
            </w:pPr>
            <w:r>
              <w:rPr>
                <w:spacing w:val="-5"/>
                <w:sz w:val="20"/>
              </w:rPr>
              <w:t>P11</w:t>
            </w:r>
          </w:p>
        </w:tc>
        <w:tc>
          <w:tcPr>
            <w:tcW w:w="2440" w:type="dxa"/>
            <w:shd w:val="clear" w:color="auto" w:fill="D9D9D9"/>
          </w:tcPr>
          <w:p>
            <w:pPr>
              <w:pStyle w:val="TableParagraph"/>
              <w:spacing w:before="100"/>
              <w:ind w:left="88" w:right="83"/>
              <w:jc w:val="center"/>
              <w:rPr>
                <w:sz w:val="20"/>
              </w:rPr>
            </w:pPr>
            <w:r>
              <w:rPr>
                <w:spacing w:val="-2"/>
                <w:sz w:val="20"/>
              </w:rPr>
              <w:t>Psychology</w:t>
            </w:r>
          </w:p>
        </w:tc>
        <w:tc>
          <w:tcPr>
            <w:tcW w:w="3120" w:type="dxa"/>
            <w:shd w:val="clear" w:color="auto" w:fill="D9D9D9"/>
          </w:tcPr>
          <w:p>
            <w:pPr>
              <w:pStyle w:val="TableParagraph"/>
              <w:spacing w:before="100"/>
              <w:ind w:right="82"/>
              <w:jc w:val="center"/>
              <w:rPr>
                <w:sz w:val="20"/>
              </w:rPr>
            </w:pPr>
            <w:r>
              <w:rPr>
                <w:spacing w:val="-2"/>
                <w:sz w:val="20"/>
              </w:rPr>
              <w:t>Psychology</w:t>
            </w:r>
          </w:p>
        </w:tc>
        <w:tc>
          <w:tcPr>
            <w:tcW w:w="2420" w:type="dxa"/>
            <w:shd w:val="clear" w:color="auto" w:fill="D9D9D9"/>
          </w:tcPr>
          <w:p>
            <w:pPr>
              <w:pStyle w:val="TableParagraph"/>
              <w:spacing w:before="100"/>
              <w:ind w:left="587" w:right="523" w:hanging="112"/>
              <w:rPr>
                <w:sz w:val="20"/>
              </w:rPr>
            </w:pPr>
            <w:r>
              <w:rPr>
                <w:sz w:val="20"/>
              </w:rPr>
              <w:t>General</w:t>
            </w:r>
            <w:r>
              <w:rPr>
                <w:spacing w:val="-13"/>
                <w:sz w:val="20"/>
              </w:rPr>
              <w:t> </w:t>
            </w:r>
            <w:r>
              <w:rPr>
                <w:sz w:val="20"/>
              </w:rPr>
              <w:t>Business </w:t>
            </w:r>
            <w:r>
              <w:rPr>
                <w:spacing w:val="-2"/>
                <w:sz w:val="20"/>
              </w:rPr>
              <w:t>Concentration</w:t>
            </w:r>
          </w:p>
        </w:tc>
      </w:tr>
      <w:tr>
        <w:trPr>
          <w:trHeight w:val="699" w:hRule="atLeast"/>
        </w:trPr>
        <w:tc>
          <w:tcPr>
            <w:tcW w:w="1380" w:type="dxa"/>
            <w:shd w:val="clear" w:color="auto" w:fill="D9D9D9"/>
          </w:tcPr>
          <w:p>
            <w:pPr>
              <w:pStyle w:val="TableParagraph"/>
              <w:spacing w:before="110"/>
              <w:jc w:val="center"/>
              <w:rPr>
                <w:sz w:val="20"/>
              </w:rPr>
            </w:pPr>
            <w:r>
              <w:rPr>
                <w:spacing w:val="-5"/>
                <w:sz w:val="20"/>
              </w:rPr>
              <w:t>P12</w:t>
            </w:r>
          </w:p>
        </w:tc>
        <w:tc>
          <w:tcPr>
            <w:tcW w:w="2440" w:type="dxa"/>
            <w:shd w:val="clear" w:color="auto" w:fill="D9D9D9"/>
          </w:tcPr>
          <w:p>
            <w:pPr>
              <w:pStyle w:val="TableParagraph"/>
              <w:spacing w:before="110"/>
              <w:ind w:left="88" w:right="83"/>
              <w:jc w:val="center"/>
              <w:rPr>
                <w:sz w:val="20"/>
              </w:rPr>
            </w:pPr>
            <w:r>
              <w:rPr>
                <w:spacing w:val="-2"/>
                <w:sz w:val="20"/>
              </w:rPr>
              <w:t>Marketing</w:t>
            </w:r>
          </w:p>
        </w:tc>
        <w:tc>
          <w:tcPr>
            <w:tcW w:w="3120" w:type="dxa"/>
            <w:shd w:val="clear" w:color="auto" w:fill="D9D9D9"/>
          </w:tcPr>
          <w:p>
            <w:pPr>
              <w:pStyle w:val="TableParagraph"/>
              <w:spacing w:before="110"/>
              <w:ind w:left="4" w:right="82"/>
              <w:jc w:val="center"/>
              <w:rPr>
                <w:sz w:val="20"/>
              </w:rPr>
            </w:pPr>
            <w:r>
              <w:rPr>
                <w:sz w:val="20"/>
              </w:rPr>
              <w:t>Computer</w:t>
            </w:r>
            <w:r>
              <w:rPr>
                <w:spacing w:val="-10"/>
                <w:sz w:val="20"/>
              </w:rPr>
              <w:t> </w:t>
            </w:r>
            <w:r>
              <w:rPr>
                <w:sz w:val="20"/>
              </w:rPr>
              <w:t>Information</w:t>
            </w:r>
            <w:r>
              <w:rPr>
                <w:spacing w:val="-9"/>
                <w:sz w:val="20"/>
              </w:rPr>
              <w:t> </w:t>
            </w:r>
            <w:r>
              <w:rPr>
                <w:spacing w:val="-2"/>
                <w:sz w:val="20"/>
              </w:rPr>
              <w:t>Systems</w:t>
            </w:r>
          </w:p>
        </w:tc>
        <w:tc>
          <w:tcPr>
            <w:tcW w:w="2420" w:type="dxa"/>
            <w:shd w:val="clear" w:color="auto" w:fill="D9D9D9"/>
          </w:tcPr>
          <w:p>
            <w:pPr>
              <w:pStyle w:val="TableParagraph"/>
              <w:spacing w:before="110"/>
              <w:ind w:left="587" w:right="523" w:firstLine="26"/>
              <w:rPr>
                <w:sz w:val="20"/>
              </w:rPr>
            </w:pPr>
            <w:r>
              <w:rPr>
                <w:spacing w:val="-2"/>
                <w:sz w:val="20"/>
              </w:rPr>
              <w:t>Cybersecurity Concentration</w:t>
            </w:r>
          </w:p>
        </w:tc>
      </w:tr>
      <w:tr>
        <w:trPr>
          <w:trHeight w:val="460" w:hRule="atLeast"/>
        </w:trPr>
        <w:tc>
          <w:tcPr>
            <w:tcW w:w="1380" w:type="dxa"/>
            <w:shd w:val="clear" w:color="auto" w:fill="F2F2F2"/>
          </w:tcPr>
          <w:p>
            <w:pPr>
              <w:pStyle w:val="TableParagraph"/>
              <w:spacing w:before="110"/>
              <w:jc w:val="center"/>
              <w:rPr>
                <w:sz w:val="20"/>
              </w:rPr>
            </w:pPr>
            <w:r>
              <w:rPr>
                <w:spacing w:val="-5"/>
                <w:sz w:val="20"/>
              </w:rPr>
              <w:t>P13</w:t>
            </w:r>
          </w:p>
        </w:tc>
        <w:tc>
          <w:tcPr>
            <w:tcW w:w="2440" w:type="dxa"/>
            <w:shd w:val="clear" w:color="auto" w:fill="F2F2F2"/>
          </w:tcPr>
          <w:p>
            <w:pPr>
              <w:pStyle w:val="TableParagraph"/>
              <w:spacing w:before="110"/>
              <w:ind w:left="88" w:right="83"/>
              <w:jc w:val="center"/>
              <w:rPr>
                <w:sz w:val="20"/>
              </w:rPr>
            </w:pPr>
            <w:r>
              <w:rPr>
                <w:spacing w:val="-2"/>
                <w:sz w:val="20"/>
              </w:rPr>
              <w:t>Psychology</w:t>
            </w:r>
          </w:p>
        </w:tc>
        <w:tc>
          <w:tcPr>
            <w:tcW w:w="3120" w:type="dxa"/>
            <w:shd w:val="clear" w:color="auto" w:fill="F2F2F2"/>
          </w:tcPr>
          <w:p>
            <w:pPr>
              <w:pStyle w:val="TableParagraph"/>
              <w:spacing w:before="110"/>
              <w:ind w:left="2" w:right="82"/>
              <w:jc w:val="center"/>
              <w:rPr>
                <w:sz w:val="20"/>
              </w:rPr>
            </w:pPr>
            <w:r>
              <w:rPr>
                <w:spacing w:val="-2"/>
                <w:sz w:val="20"/>
              </w:rPr>
              <w:t>Accounting</w:t>
            </w:r>
          </w:p>
        </w:tc>
        <w:tc>
          <w:tcPr>
            <w:tcW w:w="2420" w:type="dxa"/>
            <w:shd w:val="clear" w:color="auto" w:fill="F2F2F2"/>
          </w:tcPr>
          <w:p>
            <w:pPr>
              <w:pStyle w:val="TableParagraph"/>
              <w:rPr>
                <w:sz w:val="20"/>
              </w:rPr>
            </w:pPr>
          </w:p>
        </w:tc>
      </w:tr>
      <w:tr>
        <w:trPr>
          <w:trHeight w:val="880" w:hRule="atLeast"/>
        </w:trPr>
        <w:tc>
          <w:tcPr>
            <w:tcW w:w="1380" w:type="dxa"/>
            <w:shd w:val="clear" w:color="auto" w:fill="D9D9D9"/>
          </w:tcPr>
          <w:p>
            <w:pPr>
              <w:pStyle w:val="TableParagraph"/>
              <w:spacing w:before="120"/>
              <w:jc w:val="center"/>
              <w:rPr>
                <w:sz w:val="20"/>
              </w:rPr>
            </w:pPr>
            <w:r>
              <w:rPr>
                <w:spacing w:val="-5"/>
                <w:sz w:val="20"/>
              </w:rPr>
              <w:t>P14</w:t>
            </w:r>
          </w:p>
        </w:tc>
        <w:tc>
          <w:tcPr>
            <w:tcW w:w="2440" w:type="dxa"/>
            <w:shd w:val="clear" w:color="auto" w:fill="D9D9D9"/>
          </w:tcPr>
          <w:p>
            <w:pPr>
              <w:pStyle w:val="TableParagraph"/>
              <w:spacing w:before="120"/>
              <w:ind w:left="5" w:right="83"/>
              <w:jc w:val="center"/>
              <w:rPr>
                <w:sz w:val="20"/>
              </w:rPr>
            </w:pPr>
            <w:r>
              <w:rPr>
                <w:spacing w:val="-2"/>
                <w:sz w:val="20"/>
              </w:rPr>
              <w:t>Theatre</w:t>
            </w:r>
          </w:p>
        </w:tc>
        <w:tc>
          <w:tcPr>
            <w:tcW w:w="3120" w:type="dxa"/>
            <w:shd w:val="clear" w:color="auto" w:fill="D9D9D9"/>
          </w:tcPr>
          <w:p>
            <w:pPr>
              <w:pStyle w:val="TableParagraph"/>
              <w:spacing w:before="120"/>
              <w:ind w:left="24" w:right="82"/>
              <w:jc w:val="center"/>
              <w:rPr>
                <w:sz w:val="20"/>
              </w:rPr>
            </w:pPr>
            <w:r>
              <w:rPr>
                <w:spacing w:val="-2"/>
                <w:sz w:val="20"/>
              </w:rPr>
              <w:t>Theatre</w:t>
            </w:r>
          </w:p>
        </w:tc>
        <w:tc>
          <w:tcPr>
            <w:tcW w:w="2420" w:type="dxa"/>
            <w:shd w:val="clear" w:color="auto" w:fill="D9D9D9"/>
          </w:tcPr>
          <w:p>
            <w:pPr>
              <w:pStyle w:val="TableParagraph"/>
              <w:spacing w:line="230" w:lineRule="auto" w:before="119"/>
              <w:ind w:left="223" w:right="141"/>
              <w:jc w:val="center"/>
              <w:rPr>
                <w:sz w:val="20"/>
              </w:rPr>
            </w:pPr>
            <w:r>
              <w:rPr>
                <w:sz w:val="20"/>
              </w:rPr>
              <w:t>General</w:t>
            </w:r>
            <w:r>
              <w:rPr>
                <w:spacing w:val="-13"/>
                <w:sz w:val="20"/>
              </w:rPr>
              <w:t> </w:t>
            </w:r>
            <w:r>
              <w:rPr>
                <w:sz w:val="20"/>
              </w:rPr>
              <w:t>Business</w:t>
            </w:r>
            <w:r>
              <w:rPr>
                <w:spacing w:val="-12"/>
                <w:sz w:val="20"/>
              </w:rPr>
              <w:t> </w:t>
            </w:r>
            <w:r>
              <w:rPr>
                <w:sz w:val="20"/>
              </w:rPr>
              <w:t>Minor &amp;</w:t>
            </w:r>
            <w:r>
              <w:rPr>
                <w:spacing w:val="40"/>
                <w:sz w:val="20"/>
              </w:rPr>
              <w:t> </w:t>
            </w:r>
            <w:r>
              <w:rPr>
                <w:sz w:val="20"/>
              </w:rPr>
              <w:t>Performance </w:t>
            </w:r>
            <w:r>
              <w:rPr>
                <w:spacing w:val="-2"/>
                <w:sz w:val="20"/>
              </w:rPr>
              <w:t>Concentration</w:t>
            </w:r>
          </w:p>
        </w:tc>
      </w:tr>
      <w:tr>
        <w:trPr>
          <w:trHeight w:val="659" w:hRule="atLeast"/>
        </w:trPr>
        <w:tc>
          <w:tcPr>
            <w:tcW w:w="1380" w:type="dxa"/>
            <w:shd w:val="clear" w:color="auto" w:fill="F2F2F2"/>
          </w:tcPr>
          <w:p>
            <w:pPr>
              <w:pStyle w:val="TableParagraph"/>
              <w:spacing w:before="105"/>
              <w:jc w:val="center"/>
              <w:rPr>
                <w:sz w:val="20"/>
              </w:rPr>
            </w:pPr>
            <w:r>
              <w:rPr>
                <w:spacing w:val="-5"/>
                <w:sz w:val="20"/>
              </w:rPr>
              <w:t>P15</w:t>
            </w:r>
          </w:p>
        </w:tc>
        <w:tc>
          <w:tcPr>
            <w:tcW w:w="2440" w:type="dxa"/>
            <w:shd w:val="clear" w:color="auto" w:fill="F2F2F2"/>
          </w:tcPr>
          <w:p>
            <w:pPr>
              <w:pStyle w:val="TableParagraph"/>
              <w:spacing w:before="105"/>
              <w:ind w:left="88" w:right="83"/>
              <w:jc w:val="center"/>
              <w:rPr>
                <w:sz w:val="20"/>
              </w:rPr>
            </w:pPr>
            <w:r>
              <w:rPr>
                <w:spacing w:val="-2"/>
                <w:sz w:val="20"/>
              </w:rPr>
              <w:t>Accounting</w:t>
            </w:r>
          </w:p>
        </w:tc>
        <w:tc>
          <w:tcPr>
            <w:tcW w:w="3120" w:type="dxa"/>
            <w:shd w:val="clear" w:color="auto" w:fill="F2F2F2"/>
          </w:tcPr>
          <w:p>
            <w:pPr>
              <w:pStyle w:val="TableParagraph"/>
              <w:spacing w:before="105"/>
              <w:ind w:left="1002" w:right="578" w:hanging="459"/>
              <w:rPr>
                <w:sz w:val="20"/>
              </w:rPr>
            </w:pPr>
            <w:r>
              <w:rPr>
                <w:sz w:val="20"/>
              </w:rPr>
              <w:t>Accounting,</w:t>
            </w:r>
            <w:r>
              <w:rPr>
                <w:spacing w:val="-13"/>
                <w:sz w:val="20"/>
              </w:rPr>
              <w:t> </w:t>
            </w:r>
            <w:r>
              <w:rPr>
                <w:sz w:val="20"/>
              </w:rPr>
              <w:t>Economics, </w:t>
            </w:r>
            <w:r>
              <w:rPr>
                <w:spacing w:val="-2"/>
                <w:sz w:val="20"/>
              </w:rPr>
              <w:t>Mathematics</w:t>
            </w:r>
          </w:p>
        </w:tc>
        <w:tc>
          <w:tcPr>
            <w:tcW w:w="2420" w:type="dxa"/>
            <w:shd w:val="clear" w:color="auto" w:fill="F2F2F2"/>
          </w:tcPr>
          <w:p>
            <w:pPr>
              <w:pStyle w:val="TableParagraph"/>
              <w:rPr>
                <w:sz w:val="20"/>
              </w:rPr>
            </w:pPr>
          </w:p>
        </w:tc>
      </w:tr>
      <w:tr>
        <w:trPr>
          <w:trHeight w:val="920" w:hRule="atLeast"/>
        </w:trPr>
        <w:tc>
          <w:tcPr>
            <w:tcW w:w="1380" w:type="dxa"/>
            <w:shd w:val="clear" w:color="auto" w:fill="D9D9D9"/>
          </w:tcPr>
          <w:p>
            <w:pPr>
              <w:pStyle w:val="TableParagraph"/>
              <w:spacing w:before="115"/>
              <w:jc w:val="center"/>
              <w:rPr>
                <w:sz w:val="20"/>
              </w:rPr>
            </w:pPr>
            <w:r>
              <w:rPr>
                <w:spacing w:val="-5"/>
                <w:sz w:val="20"/>
              </w:rPr>
              <w:t>P16</w:t>
            </w:r>
          </w:p>
        </w:tc>
        <w:tc>
          <w:tcPr>
            <w:tcW w:w="2440" w:type="dxa"/>
            <w:shd w:val="clear" w:color="auto" w:fill="D9D9D9"/>
          </w:tcPr>
          <w:p>
            <w:pPr>
              <w:pStyle w:val="TableParagraph"/>
              <w:spacing w:before="115"/>
              <w:ind w:left="15" w:right="83"/>
              <w:jc w:val="center"/>
              <w:rPr>
                <w:sz w:val="20"/>
              </w:rPr>
            </w:pPr>
            <w:r>
              <w:rPr>
                <w:spacing w:val="-2"/>
                <w:sz w:val="20"/>
              </w:rPr>
              <w:t>Sociology</w:t>
            </w:r>
          </w:p>
        </w:tc>
        <w:tc>
          <w:tcPr>
            <w:tcW w:w="3120" w:type="dxa"/>
            <w:shd w:val="clear" w:color="auto" w:fill="D9D9D9"/>
          </w:tcPr>
          <w:p>
            <w:pPr>
              <w:pStyle w:val="TableParagraph"/>
              <w:spacing w:before="115"/>
              <w:ind w:left="30" w:right="82"/>
              <w:jc w:val="center"/>
              <w:rPr>
                <w:sz w:val="20"/>
              </w:rPr>
            </w:pPr>
            <w:r>
              <w:rPr>
                <w:sz w:val="20"/>
              </w:rPr>
              <w:t>Business</w:t>
            </w:r>
            <w:r>
              <w:rPr>
                <w:spacing w:val="-8"/>
                <w:sz w:val="20"/>
              </w:rPr>
              <w:t> </w:t>
            </w:r>
            <w:r>
              <w:rPr>
                <w:spacing w:val="-2"/>
                <w:sz w:val="20"/>
              </w:rPr>
              <w:t>Management</w:t>
            </w:r>
          </w:p>
        </w:tc>
        <w:tc>
          <w:tcPr>
            <w:tcW w:w="2420" w:type="dxa"/>
            <w:shd w:val="clear" w:color="auto" w:fill="D9D9D9"/>
          </w:tcPr>
          <w:p>
            <w:pPr>
              <w:pStyle w:val="TableParagraph"/>
              <w:spacing w:before="115"/>
              <w:ind w:left="337" w:right="377" w:hanging="4"/>
              <w:jc w:val="center"/>
              <w:rPr>
                <w:sz w:val="20"/>
              </w:rPr>
            </w:pPr>
            <w:r>
              <w:rPr>
                <w:sz w:val="20"/>
              </w:rPr>
              <w:t>Sociology Minor &amp; Sustainable</w:t>
            </w:r>
            <w:r>
              <w:rPr>
                <w:spacing w:val="-13"/>
                <w:sz w:val="20"/>
              </w:rPr>
              <w:t> </w:t>
            </w:r>
            <w:r>
              <w:rPr>
                <w:sz w:val="20"/>
              </w:rPr>
              <w:t>Business </w:t>
            </w:r>
            <w:r>
              <w:rPr>
                <w:spacing w:val="-2"/>
                <w:sz w:val="20"/>
              </w:rPr>
              <w:t>Concentration</w:t>
            </w:r>
          </w:p>
        </w:tc>
      </w:tr>
      <w:tr>
        <w:trPr>
          <w:trHeight w:val="439" w:hRule="atLeast"/>
        </w:trPr>
        <w:tc>
          <w:tcPr>
            <w:tcW w:w="1380" w:type="dxa"/>
            <w:shd w:val="clear" w:color="auto" w:fill="D9D9D9"/>
          </w:tcPr>
          <w:p>
            <w:pPr>
              <w:pStyle w:val="TableParagraph"/>
              <w:spacing w:before="105"/>
              <w:jc w:val="center"/>
              <w:rPr>
                <w:sz w:val="20"/>
              </w:rPr>
            </w:pPr>
            <w:r>
              <w:rPr>
                <w:spacing w:val="-5"/>
                <w:sz w:val="20"/>
              </w:rPr>
              <w:t>P17</w:t>
            </w:r>
          </w:p>
        </w:tc>
        <w:tc>
          <w:tcPr>
            <w:tcW w:w="2440" w:type="dxa"/>
            <w:shd w:val="clear" w:color="auto" w:fill="D9D9D9"/>
          </w:tcPr>
          <w:p>
            <w:pPr>
              <w:pStyle w:val="TableParagraph"/>
              <w:spacing w:before="105"/>
              <w:ind w:left="88" w:right="83"/>
              <w:jc w:val="center"/>
              <w:rPr>
                <w:sz w:val="20"/>
              </w:rPr>
            </w:pPr>
            <w:r>
              <w:rPr>
                <w:sz w:val="20"/>
              </w:rPr>
              <w:t>Business</w:t>
            </w:r>
            <w:r>
              <w:rPr>
                <w:spacing w:val="-8"/>
                <w:sz w:val="20"/>
              </w:rPr>
              <w:t> </w:t>
            </w:r>
            <w:r>
              <w:rPr>
                <w:spacing w:val="-2"/>
                <w:sz w:val="20"/>
              </w:rPr>
              <w:t>Administration</w:t>
            </w:r>
          </w:p>
        </w:tc>
        <w:tc>
          <w:tcPr>
            <w:tcW w:w="3120" w:type="dxa"/>
            <w:shd w:val="clear" w:color="auto" w:fill="D9D9D9"/>
          </w:tcPr>
          <w:p>
            <w:pPr>
              <w:pStyle w:val="TableParagraph"/>
              <w:spacing w:before="105"/>
              <w:ind w:left="13" w:right="82"/>
              <w:jc w:val="center"/>
              <w:rPr>
                <w:sz w:val="20"/>
              </w:rPr>
            </w:pPr>
            <w:r>
              <w:rPr>
                <w:sz w:val="20"/>
              </w:rPr>
              <w:t>Business</w:t>
            </w:r>
            <w:r>
              <w:rPr>
                <w:spacing w:val="-8"/>
                <w:sz w:val="20"/>
              </w:rPr>
              <w:t> </w:t>
            </w:r>
            <w:r>
              <w:rPr>
                <w:spacing w:val="-2"/>
                <w:sz w:val="20"/>
              </w:rPr>
              <w:t>Administration</w:t>
            </w:r>
          </w:p>
        </w:tc>
        <w:tc>
          <w:tcPr>
            <w:tcW w:w="2420" w:type="dxa"/>
            <w:shd w:val="clear" w:color="auto" w:fill="D9D9D9"/>
          </w:tcPr>
          <w:p>
            <w:pPr>
              <w:pStyle w:val="TableParagraph"/>
              <w:spacing w:before="105"/>
              <w:ind w:left="202"/>
              <w:rPr>
                <w:sz w:val="20"/>
              </w:rPr>
            </w:pPr>
            <w:r>
              <w:rPr>
                <w:sz w:val="20"/>
              </w:rPr>
              <w:t>Building</w:t>
            </w:r>
            <w:r>
              <w:rPr>
                <w:spacing w:val="-8"/>
                <w:sz w:val="20"/>
              </w:rPr>
              <w:t> </w:t>
            </w:r>
            <w:r>
              <w:rPr>
                <w:sz w:val="20"/>
              </w:rPr>
              <w:t>Sciences</w:t>
            </w:r>
            <w:r>
              <w:rPr>
                <w:spacing w:val="-8"/>
                <w:sz w:val="20"/>
              </w:rPr>
              <w:t> </w:t>
            </w:r>
            <w:r>
              <w:rPr>
                <w:spacing w:val="-2"/>
                <w:sz w:val="20"/>
              </w:rPr>
              <w:t>Minor</w:t>
            </w:r>
          </w:p>
        </w:tc>
      </w:tr>
      <w:tr>
        <w:trPr>
          <w:trHeight w:val="660" w:hRule="atLeast"/>
        </w:trPr>
        <w:tc>
          <w:tcPr>
            <w:tcW w:w="1380" w:type="dxa"/>
            <w:shd w:val="clear" w:color="auto" w:fill="F2F2F2"/>
          </w:tcPr>
          <w:p>
            <w:pPr>
              <w:pStyle w:val="TableParagraph"/>
              <w:spacing w:before="100"/>
              <w:jc w:val="center"/>
              <w:rPr>
                <w:sz w:val="20"/>
              </w:rPr>
            </w:pPr>
            <w:r>
              <w:rPr>
                <w:spacing w:val="-5"/>
                <w:sz w:val="20"/>
              </w:rPr>
              <w:t>P18</w:t>
            </w:r>
          </w:p>
        </w:tc>
        <w:tc>
          <w:tcPr>
            <w:tcW w:w="2440" w:type="dxa"/>
            <w:shd w:val="clear" w:color="auto" w:fill="F2F2F2"/>
          </w:tcPr>
          <w:p>
            <w:pPr>
              <w:pStyle w:val="TableParagraph"/>
              <w:spacing w:before="100"/>
              <w:ind w:left="88" w:right="83"/>
              <w:jc w:val="center"/>
              <w:rPr>
                <w:sz w:val="20"/>
              </w:rPr>
            </w:pPr>
            <w:r>
              <w:rPr>
                <w:sz w:val="20"/>
              </w:rPr>
              <w:t>Finance</w:t>
            </w:r>
            <w:r>
              <w:rPr>
                <w:spacing w:val="-5"/>
                <w:sz w:val="20"/>
              </w:rPr>
              <w:t> </w:t>
            </w:r>
            <w:r>
              <w:rPr>
                <w:sz w:val="20"/>
              </w:rPr>
              <w:t>and</w:t>
            </w:r>
            <w:r>
              <w:rPr>
                <w:spacing w:val="-5"/>
                <w:sz w:val="20"/>
              </w:rPr>
              <w:t> </w:t>
            </w:r>
            <w:r>
              <w:rPr>
                <w:spacing w:val="-2"/>
                <w:sz w:val="20"/>
              </w:rPr>
              <w:t>Banking</w:t>
            </w:r>
          </w:p>
        </w:tc>
        <w:tc>
          <w:tcPr>
            <w:tcW w:w="3120" w:type="dxa"/>
            <w:shd w:val="clear" w:color="auto" w:fill="F2F2F2"/>
          </w:tcPr>
          <w:p>
            <w:pPr>
              <w:pStyle w:val="TableParagraph"/>
              <w:spacing w:before="100"/>
              <w:ind w:right="132"/>
              <w:jc w:val="right"/>
              <w:rPr>
                <w:sz w:val="20"/>
              </w:rPr>
            </w:pPr>
            <w:r>
              <w:rPr>
                <w:sz w:val="20"/>
              </w:rPr>
              <w:t>Accounting</w:t>
            </w:r>
            <w:r>
              <w:rPr>
                <w:spacing w:val="-6"/>
                <w:sz w:val="20"/>
              </w:rPr>
              <w:t> </w:t>
            </w:r>
            <w:r>
              <w:rPr>
                <w:sz w:val="20"/>
              </w:rPr>
              <w:t>&amp;</w:t>
            </w:r>
            <w:r>
              <w:rPr>
                <w:spacing w:val="-6"/>
                <w:sz w:val="20"/>
              </w:rPr>
              <w:t> </w:t>
            </w:r>
            <w:r>
              <w:rPr>
                <w:sz w:val="20"/>
              </w:rPr>
              <w:t>Finance</w:t>
            </w:r>
            <w:r>
              <w:rPr>
                <w:spacing w:val="-6"/>
                <w:sz w:val="20"/>
              </w:rPr>
              <w:t> </w:t>
            </w:r>
            <w:r>
              <w:rPr>
                <w:spacing w:val="-5"/>
                <w:sz w:val="20"/>
              </w:rPr>
              <w:t>and</w:t>
            </w:r>
          </w:p>
          <w:p>
            <w:pPr>
              <w:pStyle w:val="TableParagraph"/>
              <w:spacing w:before="1"/>
              <w:ind w:right="132"/>
              <w:jc w:val="right"/>
              <w:rPr>
                <w:sz w:val="20"/>
              </w:rPr>
            </w:pPr>
            <w:r>
              <w:rPr>
                <w:spacing w:val="-2"/>
                <w:sz w:val="20"/>
              </w:rPr>
              <w:t>Banking</w:t>
            </w:r>
          </w:p>
        </w:tc>
        <w:tc>
          <w:tcPr>
            <w:tcW w:w="2420" w:type="dxa"/>
            <w:shd w:val="clear" w:color="auto" w:fill="F2F2F2"/>
          </w:tcPr>
          <w:p>
            <w:pPr>
              <w:pStyle w:val="TableParagraph"/>
              <w:rPr>
                <w:sz w:val="20"/>
              </w:rPr>
            </w:pPr>
          </w:p>
        </w:tc>
      </w:tr>
      <w:tr>
        <w:trPr>
          <w:trHeight w:val="899" w:hRule="atLeast"/>
        </w:trPr>
        <w:tc>
          <w:tcPr>
            <w:tcW w:w="1380" w:type="dxa"/>
            <w:shd w:val="clear" w:color="auto" w:fill="D9D9D9"/>
          </w:tcPr>
          <w:p>
            <w:pPr>
              <w:pStyle w:val="TableParagraph"/>
              <w:spacing w:before="105"/>
              <w:jc w:val="center"/>
              <w:rPr>
                <w:sz w:val="20"/>
              </w:rPr>
            </w:pPr>
            <w:r>
              <w:rPr>
                <w:spacing w:val="-5"/>
                <w:sz w:val="20"/>
              </w:rPr>
              <w:t>P19</w:t>
            </w:r>
          </w:p>
        </w:tc>
        <w:tc>
          <w:tcPr>
            <w:tcW w:w="2440" w:type="dxa"/>
            <w:shd w:val="clear" w:color="auto" w:fill="D9D9D9"/>
          </w:tcPr>
          <w:p>
            <w:pPr>
              <w:pStyle w:val="TableParagraph"/>
              <w:spacing w:before="105"/>
              <w:ind w:left="88" w:right="83"/>
              <w:jc w:val="center"/>
              <w:rPr>
                <w:sz w:val="20"/>
              </w:rPr>
            </w:pPr>
            <w:r>
              <w:rPr>
                <w:sz w:val="20"/>
              </w:rPr>
              <w:t>Business</w:t>
            </w:r>
            <w:r>
              <w:rPr>
                <w:spacing w:val="-8"/>
                <w:sz w:val="20"/>
              </w:rPr>
              <w:t> </w:t>
            </w:r>
            <w:r>
              <w:rPr>
                <w:spacing w:val="-2"/>
                <w:sz w:val="20"/>
              </w:rPr>
              <w:t>Management</w:t>
            </w:r>
          </w:p>
        </w:tc>
        <w:tc>
          <w:tcPr>
            <w:tcW w:w="3120" w:type="dxa"/>
            <w:shd w:val="clear" w:color="auto" w:fill="D9D9D9"/>
          </w:tcPr>
          <w:p>
            <w:pPr>
              <w:pStyle w:val="TableParagraph"/>
              <w:spacing w:before="105"/>
              <w:ind w:left="30" w:right="82"/>
              <w:jc w:val="center"/>
              <w:rPr>
                <w:sz w:val="20"/>
              </w:rPr>
            </w:pPr>
            <w:r>
              <w:rPr>
                <w:sz w:val="20"/>
              </w:rPr>
              <w:t>Business</w:t>
            </w:r>
            <w:r>
              <w:rPr>
                <w:spacing w:val="-8"/>
                <w:sz w:val="20"/>
              </w:rPr>
              <w:t> </w:t>
            </w:r>
            <w:r>
              <w:rPr>
                <w:spacing w:val="-2"/>
                <w:sz w:val="20"/>
              </w:rPr>
              <w:t>Management</w:t>
            </w:r>
          </w:p>
        </w:tc>
        <w:tc>
          <w:tcPr>
            <w:tcW w:w="2420" w:type="dxa"/>
            <w:shd w:val="clear" w:color="auto" w:fill="D9D9D9"/>
          </w:tcPr>
          <w:p>
            <w:pPr>
              <w:pStyle w:val="TableParagraph"/>
              <w:spacing w:before="105"/>
              <w:ind w:left="136" w:right="212" w:firstLine="30"/>
              <w:jc w:val="center"/>
              <w:rPr>
                <w:sz w:val="20"/>
              </w:rPr>
            </w:pPr>
            <w:r>
              <w:rPr>
                <w:sz w:val="20"/>
              </w:rPr>
              <w:t>Accounting Minor &amp; Entrepreneurship and Innovation</w:t>
            </w:r>
            <w:r>
              <w:rPr>
                <w:spacing w:val="-13"/>
                <w:sz w:val="20"/>
              </w:rPr>
              <w:t> </w:t>
            </w:r>
            <w:r>
              <w:rPr>
                <w:sz w:val="20"/>
              </w:rPr>
              <w:t>Concentration</w:t>
            </w:r>
          </w:p>
        </w:tc>
      </w:tr>
      <w:tr>
        <w:trPr>
          <w:trHeight w:val="919" w:hRule="atLeast"/>
        </w:trPr>
        <w:tc>
          <w:tcPr>
            <w:tcW w:w="1380" w:type="dxa"/>
            <w:shd w:val="clear" w:color="auto" w:fill="F2F2F2"/>
          </w:tcPr>
          <w:p>
            <w:pPr>
              <w:pStyle w:val="TableParagraph"/>
              <w:spacing w:before="115"/>
              <w:jc w:val="center"/>
              <w:rPr>
                <w:sz w:val="20"/>
              </w:rPr>
            </w:pPr>
            <w:r>
              <w:rPr>
                <w:spacing w:val="-5"/>
                <w:sz w:val="20"/>
              </w:rPr>
              <w:t>P20</w:t>
            </w:r>
          </w:p>
        </w:tc>
        <w:tc>
          <w:tcPr>
            <w:tcW w:w="2440" w:type="dxa"/>
            <w:shd w:val="clear" w:color="auto" w:fill="F2F2F2"/>
          </w:tcPr>
          <w:p>
            <w:pPr>
              <w:pStyle w:val="TableParagraph"/>
              <w:spacing w:line="230" w:lineRule="auto" w:before="115"/>
              <w:ind w:left="487" w:right="245" w:hanging="125"/>
              <w:rPr>
                <w:sz w:val="20"/>
              </w:rPr>
            </w:pPr>
            <w:r>
              <w:rPr>
                <w:sz w:val="20"/>
              </w:rPr>
              <w:t>Business</w:t>
            </w:r>
            <w:r>
              <w:rPr>
                <w:spacing w:val="-13"/>
                <w:sz w:val="20"/>
              </w:rPr>
              <w:t> </w:t>
            </w:r>
            <w:r>
              <w:rPr>
                <w:sz w:val="20"/>
              </w:rPr>
              <w:t>Management with</w:t>
            </w:r>
            <w:r>
              <w:rPr>
                <w:spacing w:val="40"/>
                <w:sz w:val="20"/>
              </w:rPr>
              <w:t> </w:t>
            </w:r>
            <w:r>
              <w:rPr>
                <w:sz w:val="20"/>
              </w:rPr>
              <w:t>Sustainability</w:t>
            </w:r>
          </w:p>
          <w:p>
            <w:pPr>
              <w:pStyle w:val="TableParagraph"/>
              <w:spacing w:before="4"/>
              <w:ind w:left="612"/>
              <w:rPr>
                <w:sz w:val="20"/>
              </w:rPr>
            </w:pPr>
            <w:r>
              <w:rPr>
                <w:spacing w:val="-2"/>
                <w:sz w:val="20"/>
              </w:rPr>
              <w:t>Concentration</w:t>
            </w:r>
          </w:p>
        </w:tc>
        <w:tc>
          <w:tcPr>
            <w:tcW w:w="3120" w:type="dxa"/>
            <w:shd w:val="clear" w:color="auto" w:fill="F2F2F2"/>
          </w:tcPr>
          <w:p>
            <w:pPr>
              <w:pStyle w:val="TableParagraph"/>
              <w:spacing w:before="115"/>
              <w:ind w:left="2" w:right="82"/>
              <w:jc w:val="center"/>
              <w:rPr>
                <w:sz w:val="20"/>
              </w:rPr>
            </w:pPr>
            <w:r>
              <w:rPr>
                <w:spacing w:val="-2"/>
                <w:sz w:val="20"/>
              </w:rPr>
              <w:t>Accounting</w:t>
            </w:r>
          </w:p>
        </w:tc>
        <w:tc>
          <w:tcPr>
            <w:tcW w:w="2420" w:type="dxa"/>
            <w:shd w:val="clear" w:color="auto" w:fill="F2F2F2"/>
          </w:tcPr>
          <w:p>
            <w:pPr>
              <w:pStyle w:val="TableParagraph"/>
              <w:spacing w:before="115"/>
              <w:ind w:left="952" w:right="373" w:hanging="616"/>
              <w:rPr>
                <w:sz w:val="20"/>
              </w:rPr>
            </w:pPr>
            <w:r>
              <w:rPr>
                <w:sz w:val="20"/>
              </w:rPr>
              <w:t>Sustainable</w:t>
            </w:r>
            <w:r>
              <w:rPr>
                <w:spacing w:val="-13"/>
                <w:sz w:val="20"/>
              </w:rPr>
              <w:t> </w:t>
            </w:r>
            <w:r>
              <w:rPr>
                <w:sz w:val="20"/>
              </w:rPr>
              <w:t>Business </w:t>
            </w:r>
            <w:r>
              <w:rPr>
                <w:spacing w:val="-4"/>
                <w:sz w:val="20"/>
              </w:rPr>
              <w:t>Minor</w:t>
            </w:r>
          </w:p>
        </w:tc>
      </w:tr>
    </w:tbl>
    <w:p>
      <w:pPr>
        <w:pStyle w:val="BodyText"/>
        <w:spacing w:before="15" w:after="1"/>
        <w:rPr>
          <w:b/>
          <w:sz w:val="20"/>
        </w:rPr>
      </w:pPr>
    </w:p>
    <w:tbl>
      <w:tblPr>
        <w:tblW w:w="0" w:type="auto"/>
        <w:jc w:val="left"/>
        <w:tblInd w:w="1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80"/>
        <w:gridCol w:w="2440"/>
        <w:gridCol w:w="3120"/>
        <w:gridCol w:w="2420"/>
      </w:tblGrid>
      <w:tr>
        <w:trPr>
          <w:trHeight w:val="680" w:hRule="atLeast"/>
        </w:trPr>
        <w:tc>
          <w:tcPr>
            <w:tcW w:w="1380" w:type="dxa"/>
            <w:shd w:val="clear" w:color="auto" w:fill="424242"/>
          </w:tcPr>
          <w:p>
            <w:pPr>
              <w:pStyle w:val="TableParagraph"/>
              <w:spacing w:before="110"/>
              <w:jc w:val="center"/>
              <w:rPr>
                <w:b/>
                <w:sz w:val="20"/>
              </w:rPr>
            </w:pPr>
            <w:r>
              <w:rPr>
                <w:b/>
                <w:color w:val="FFFFFF"/>
                <w:spacing w:val="-2"/>
                <w:sz w:val="20"/>
              </w:rPr>
              <w:t>Participant</w:t>
            </w:r>
          </w:p>
        </w:tc>
        <w:tc>
          <w:tcPr>
            <w:tcW w:w="2440" w:type="dxa"/>
            <w:shd w:val="clear" w:color="auto" w:fill="424242"/>
          </w:tcPr>
          <w:p>
            <w:pPr>
              <w:pStyle w:val="TableParagraph"/>
              <w:spacing w:before="110"/>
              <w:ind w:left="20" w:right="83"/>
              <w:jc w:val="center"/>
              <w:rPr>
                <w:b/>
                <w:sz w:val="20"/>
              </w:rPr>
            </w:pPr>
            <w:r>
              <w:rPr>
                <w:b/>
                <w:color w:val="FFFFFF"/>
                <w:sz w:val="20"/>
              </w:rPr>
              <w:t>Original</w:t>
            </w:r>
            <w:r>
              <w:rPr>
                <w:b/>
                <w:color w:val="FFFFFF"/>
                <w:spacing w:val="-8"/>
                <w:sz w:val="20"/>
              </w:rPr>
              <w:t> </w:t>
            </w:r>
            <w:r>
              <w:rPr>
                <w:b/>
                <w:color w:val="FFFFFF"/>
                <w:spacing w:val="-2"/>
                <w:sz w:val="20"/>
              </w:rPr>
              <w:t>Major</w:t>
            </w:r>
          </w:p>
        </w:tc>
        <w:tc>
          <w:tcPr>
            <w:tcW w:w="3120" w:type="dxa"/>
            <w:shd w:val="clear" w:color="auto" w:fill="424242"/>
          </w:tcPr>
          <w:p>
            <w:pPr>
              <w:pStyle w:val="TableParagraph"/>
              <w:spacing w:before="110"/>
              <w:ind w:left="5" w:right="82"/>
              <w:jc w:val="center"/>
              <w:rPr>
                <w:b/>
                <w:sz w:val="20"/>
              </w:rPr>
            </w:pPr>
            <w:r>
              <w:rPr>
                <w:b/>
                <w:color w:val="FFFFFF"/>
                <w:sz w:val="20"/>
              </w:rPr>
              <w:t>Current</w:t>
            </w:r>
            <w:r>
              <w:rPr>
                <w:b/>
                <w:color w:val="FFFFFF"/>
                <w:spacing w:val="-10"/>
                <w:sz w:val="20"/>
              </w:rPr>
              <w:t> </w:t>
            </w:r>
            <w:r>
              <w:rPr>
                <w:b/>
                <w:color w:val="FFFFFF"/>
                <w:spacing w:val="-2"/>
                <w:sz w:val="20"/>
              </w:rPr>
              <w:t>Major</w:t>
            </w:r>
          </w:p>
        </w:tc>
        <w:tc>
          <w:tcPr>
            <w:tcW w:w="2420" w:type="dxa"/>
            <w:shd w:val="clear" w:color="auto" w:fill="424242"/>
          </w:tcPr>
          <w:p>
            <w:pPr>
              <w:pStyle w:val="TableParagraph"/>
              <w:spacing w:before="110"/>
              <w:ind w:left="547" w:right="523" w:firstLine="42"/>
              <w:rPr>
                <w:b/>
                <w:sz w:val="20"/>
              </w:rPr>
            </w:pPr>
            <w:r>
              <w:rPr>
                <w:b/>
                <w:color w:val="FFFFFF"/>
                <w:sz w:val="20"/>
              </w:rPr>
              <w:t>Minor</w:t>
            </w:r>
            <w:r>
              <w:rPr>
                <w:b/>
                <w:color w:val="FFFFFF"/>
                <w:spacing w:val="-8"/>
                <w:sz w:val="20"/>
              </w:rPr>
              <w:t> </w:t>
            </w:r>
            <w:r>
              <w:rPr>
                <w:b/>
                <w:color w:val="FFFFFF"/>
                <w:sz w:val="20"/>
              </w:rPr>
              <w:t>and/or </w:t>
            </w:r>
            <w:r>
              <w:rPr>
                <w:b/>
                <w:color w:val="FFFFFF"/>
                <w:spacing w:val="-2"/>
                <w:sz w:val="20"/>
              </w:rPr>
              <w:t>Concentration</w:t>
            </w:r>
          </w:p>
        </w:tc>
      </w:tr>
      <w:tr>
        <w:trPr>
          <w:trHeight w:val="460" w:hRule="atLeast"/>
        </w:trPr>
        <w:tc>
          <w:tcPr>
            <w:tcW w:w="1380" w:type="dxa"/>
            <w:shd w:val="clear" w:color="auto" w:fill="D9D9D9"/>
          </w:tcPr>
          <w:p>
            <w:pPr>
              <w:pStyle w:val="TableParagraph"/>
              <w:spacing w:before="100"/>
              <w:jc w:val="center"/>
              <w:rPr>
                <w:sz w:val="20"/>
              </w:rPr>
            </w:pPr>
            <w:r>
              <w:rPr>
                <w:spacing w:val="-5"/>
                <w:sz w:val="20"/>
              </w:rPr>
              <w:t>P21</w:t>
            </w:r>
          </w:p>
        </w:tc>
        <w:tc>
          <w:tcPr>
            <w:tcW w:w="2440" w:type="dxa"/>
            <w:shd w:val="clear" w:color="auto" w:fill="D9D9D9"/>
          </w:tcPr>
          <w:p>
            <w:pPr>
              <w:pStyle w:val="TableParagraph"/>
              <w:spacing w:before="100"/>
              <w:ind w:left="5" w:right="85"/>
              <w:jc w:val="center"/>
              <w:rPr>
                <w:sz w:val="20"/>
              </w:rPr>
            </w:pPr>
            <w:r>
              <w:rPr>
                <w:spacing w:val="-2"/>
                <w:sz w:val="20"/>
              </w:rPr>
              <w:t>International</w:t>
            </w:r>
            <w:r>
              <w:rPr>
                <w:spacing w:val="13"/>
                <w:sz w:val="20"/>
              </w:rPr>
              <w:t> </w:t>
            </w:r>
            <w:r>
              <w:rPr>
                <w:spacing w:val="-2"/>
                <w:sz w:val="20"/>
              </w:rPr>
              <w:t>Business</w:t>
            </w:r>
          </w:p>
        </w:tc>
        <w:tc>
          <w:tcPr>
            <w:tcW w:w="3120" w:type="dxa"/>
            <w:shd w:val="clear" w:color="auto" w:fill="D9D9D9"/>
          </w:tcPr>
          <w:p>
            <w:pPr>
              <w:pStyle w:val="TableParagraph"/>
              <w:spacing w:before="100"/>
              <w:ind w:left="16" w:right="82"/>
              <w:jc w:val="center"/>
              <w:rPr>
                <w:sz w:val="20"/>
              </w:rPr>
            </w:pPr>
            <w:r>
              <w:rPr>
                <w:sz w:val="20"/>
              </w:rPr>
              <w:t>Finance</w:t>
            </w:r>
            <w:r>
              <w:rPr>
                <w:spacing w:val="-5"/>
                <w:sz w:val="20"/>
              </w:rPr>
              <w:t> </w:t>
            </w:r>
            <w:r>
              <w:rPr>
                <w:sz w:val="20"/>
              </w:rPr>
              <w:t>and</w:t>
            </w:r>
            <w:r>
              <w:rPr>
                <w:spacing w:val="-5"/>
                <w:sz w:val="20"/>
              </w:rPr>
              <w:t> </w:t>
            </w:r>
            <w:r>
              <w:rPr>
                <w:spacing w:val="-2"/>
                <w:sz w:val="20"/>
              </w:rPr>
              <w:t>Banking</w:t>
            </w:r>
          </w:p>
        </w:tc>
        <w:tc>
          <w:tcPr>
            <w:tcW w:w="2420" w:type="dxa"/>
            <w:shd w:val="clear" w:color="auto" w:fill="D9D9D9"/>
          </w:tcPr>
          <w:p>
            <w:pPr>
              <w:pStyle w:val="TableParagraph"/>
              <w:rPr>
                <w:sz w:val="20"/>
              </w:rPr>
            </w:pPr>
          </w:p>
        </w:tc>
      </w:tr>
      <w:tr>
        <w:trPr>
          <w:trHeight w:val="460" w:hRule="atLeast"/>
        </w:trPr>
        <w:tc>
          <w:tcPr>
            <w:tcW w:w="1380" w:type="dxa"/>
            <w:shd w:val="clear" w:color="auto" w:fill="F2F2F2"/>
          </w:tcPr>
          <w:p>
            <w:pPr>
              <w:pStyle w:val="TableParagraph"/>
              <w:spacing w:before="109"/>
              <w:jc w:val="center"/>
              <w:rPr>
                <w:sz w:val="20"/>
              </w:rPr>
            </w:pPr>
            <w:r>
              <w:rPr>
                <w:spacing w:val="-5"/>
                <w:sz w:val="20"/>
              </w:rPr>
              <w:t>P22</w:t>
            </w:r>
          </w:p>
        </w:tc>
        <w:tc>
          <w:tcPr>
            <w:tcW w:w="2440" w:type="dxa"/>
            <w:shd w:val="clear" w:color="auto" w:fill="F2F2F2"/>
          </w:tcPr>
          <w:p>
            <w:pPr>
              <w:pStyle w:val="TableParagraph"/>
              <w:spacing w:before="109"/>
              <w:ind w:left="88" w:right="83"/>
              <w:jc w:val="center"/>
              <w:rPr>
                <w:sz w:val="20"/>
              </w:rPr>
            </w:pPr>
            <w:r>
              <w:rPr>
                <w:spacing w:val="-2"/>
                <w:sz w:val="20"/>
              </w:rPr>
              <w:t>Accounting</w:t>
            </w:r>
          </w:p>
        </w:tc>
        <w:tc>
          <w:tcPr>
            <w:tcW w:w="3120" w:type="dxa"/>
            <w:shd w:val="clear" w:color="auto" w:fill="F2F2F2"/>
          </w:tcPr>
          <w:p>
            <w:pPr>
              <w:pStyle w:val="TableParagraph"/>
              <w:spacing w:before="109"/>
              <w:ind w:left="2" w:right="82"/>
              <w:jc w:val="center"/>
              <w:rPr>
                <w:sz w:val="20"/>
              </w:rPr>
            </w:pPr>
            <w:r>
              <w:rPr>
                <w:spacing w:val="-2"/>
                <w:sz w:val="20"/>
              </w:rPr>
              <w:t>Accounting</w:t>
            </w:r>
          </w:p>
        </w:tc>
        <w:tc>
          <w:tcPr>
            <w:tcW w:w="2420" w:type="dxa"/>
            <w:shd w:val="clear" w:color="auto" w:fill="F2F2F2"/>
          </w:tcPr>
          <w:p>
            <w:pPr>
              <w:pStyle w:val="TableParagraph"/>
              <w:rPr>
                <w:sz w:val="20"/>
              </w:rPr>
            </w:pPr>
          </w:p>
        </w:tc>
      </w:tr>
      <w:tr>
        <w:trPr>
          <w:trHeight w:val="460" w:hRule="atLeast"/>
        </w:trPr>
        <w:tc>
          <w:tcPr>
            <w:tcW w:w="1380" w:type="dxa"/>
            <w:shd w:val="clear" w:color="auto" w:fill="F2F2F2"/>
          </w:tcPr>
          <w:p>
            <w:pPr>
              <w:pStyle w:val="TableParagraph"/>
              <w:spacing w:before="119"/>
              <w:jc w:val="center"/>
              <w:rPr>
                <w:sz w:val="20"/>
              </w:rPr>
            </w:pPr>
            <w:r>
              <w:rPr>
                <w:spacing w:val="-5"/>
                <w:sz w:val="20"/>
              </w:rPr>
              <w:t>P23</w:t>
            </w:r>
          </w:p>
        </w:tc>
        <w:tc>
          <w:tcPr>
            <w:tcW w:w="2440" w:type="dxa"/>
            <w:shd w:val="clear" w:color="auto" w:fill="F2F2F2"/>
          </w:tcPr>
          <w:p>
            <w:pPr>
              <w:pStyle w:val="TableParagraph"/>
              <w:spacing w:before="119"/>
              <w:ind w:left="12" w:right="83"/>
              <w:jc w:val="center"/>
              <w:rPr>
                <w:sz w:val="20"/>
              </w:rPr>
            </w:pPr>
            <w:r>
              <w:rPr>
                <w:spacing w:val="-2"/>
                <w:sz w:val="20"/>
              </w:rPr>
              <w:t>Spanish</w:t>
            </w:r>
          </w:p>
        </w:tc>
        <w:tc>
          <w:tcPr>
            <w:tcW w:w="3120" w:type="dxa"/>
            <w:shd w:val="clear" w:color="auto" w:fill="F2F2F2"/>
          </w:tcPr>
          <w:p>
            <w:pPr>
              <w:pStyle w:val="TableParagraph"/>
              <w:spacing w:before="119"/>
              <w:ind w:left="2" w:right="82"/>
              <w:jc w:val="center"/>
              <w:rPr>
                <w:sz w:val="20"/>
              </w:rPr>
            </w:pPr>
            <w:r>
              <w:rPr>
                <w:spacing w:val="-2"/>
                <w:sz w:val="20"/>
              </w:rPr>
              <w:t>Accounting</w:t>
            </w:r>
          </w:p>
        </w:tc>
        <w:tc>
          <w:tcPr>
            <w:tcW w:w="2420" w:type="dxa"/>
            <w:shd w:val="clear" w:color="auto" w:fill="F2F2F2"/>
          </w:tcPr>
          <w:p>
            <w:pPr>
              <w:pStyle w:val="TableParagraph"/>
              <w:spacing w:before="119"/>
              <w:ind w:left="567"/>
              <w:rPr>
                <w:sz w:val="20"/>
              </w:rPr>
            </w:pPr>
            <w:r>
              <w:rPr>
                <w:sz w:val="20"/>
              </w:rPr>
              <w:t>Spanish</w:t>
            </w:r>
            <w:r>
              <w:rPr>
                <w:spacing w:val="-7"/>
                <w:sz w:val="20"/>
              </w:rPr>
              <w:t> </w:t>
            </w:r>
            <w:r>
              <w:rPr>
                <w:spacing w:val="-2"/>
                <w:sz w:val="20"/>
              </w:rPr>
              <w:t>Minor</w:t>
            </w:r>
          </w:p>
        </w:tc>
      </w:tr>
      <w:tr>
        <w:trPr>
          <w:trHeight w:val="479" w:hRule="atLeast"/>
        </w:trPr>
        <w:tc>
          <w:tcPr>
            <w:tcW w:w="1380" w:type="dxa"/>
            <w:shd w:val="clear" w:color="auto" w:fill="F2F2F2"/>
          </w:tcPr>
          <w:p>
            <w:pPr>
              <w:pStyle w:val="TableParagraph"/>
              <w:spacing w:before="119"/>
              <w:jc w:val="center"/>
              <w:rPr>
                <w:sz w:val="20"/>
              </w:rPr>
            </w:pPr>
            <w:r>
              <w:rPr>
                <w:spacing w:val="-5"/>
                <w:sz w:val="20"/>
              </w:rPr>
              <w:t>P24</w:t>
            </w:r>
          </w:p>
        </w:tc>
        <w:tc>
          <w:tcPr>
            <w:tcW w:w="2440" w:type="dxa"/>
            <w:shd w:val="clear" w:color="auto" w:fill="F2F2F2"/>
          </w:tcPr>
          <w:p>
            <w:pPr>
              <w:pStyle w:val="TableParagraph"/>
              <w:spacing w:before="119"/>
              <w:ind w:left="14" w:right="83"/>
              <w:jc w:val="center"/>
              <w:rPr>
                <w:sz w:val="20"/>
              </w:rPr>
            </w:pPr>
            <w:r>
              <w:rPr>
                <w:sz w:val="20"/>
              </w:rPr>
              <w:t>Computer</w:t>
            </w:r>
            <w:r>
              <w:rPr>
                <w:spacing w:val="-8"/>
                <w:sz w:val="20"/>
              </w:rPr>
              <w:t> </w:t>
            </w:r>
            <w:r>
              <w:rPr>
                <w:spacing w:val="-2"/>
                <w:sz w:val="20"/>
              </w:rPr>
              <w:t>Science</w:t>
            </w:r>
          </w:p>
        </w:tc>
        <w:tc>
          <w:tcPr>
            <w:tcW w:w="3120" w:type="dxa"/>
            <w:shd w:val="clear" w:color="auto" w:fill="F2F2F2"/>
          </w:tcPr>
          <w:p>
            <w:pPr>
              <w:pStyle w:val="TableParagraph"/>
              <w:spacing w:before="119"/>
              <w:ind w:left="2" w:right="82"/>
              <w:jc w:val="center"/>
              <w:rPr>
                <w:sz w:val="20"/>
              </w:rPr>
            </w:pPr>
            <w:r>
              <w:rPr>
                <w:spacing w:val="-2"/>
                <w:sz w:val="20"/>
              </w:rPr>
              <w:t>Accounting</w:t>
            </w:r>
          </w:p>
        </w:tc>
        <w:tc>
          <w:tcPr>
            <w:tcW w:w="2420" w:type="dxa"/>
            <w:shd w:val="clear" w:color="auto" w:fill="F2F2F2"/>
          </w:tcPr>
          <w:p>
            <w:pPr>
              <w:pStyle w:val="TableParagraph"/>
              <w:rPr>
                <w:sz w:val="20"/>
              </w:rPr>
            </w:pPr>
          </w:p>
        </w:tc>
      </w:tr>
      <w:tr>
        <w:trPr>
          <w:trHeight w:val="460" w:hRule="atLeast"/>
        </w:trPr>
        <w:tc>
          <w:tcPr>
            <w:tcW w:w="1380" w:type="dxa"/>
            <w:shd w:val="clear" w:color="auto" w:fill="F2F2F2"/>
          </w:tcPr>
          <w:p>
            <w:pPr>
              <w:pStyle w:val="TableParagraph"/>
              <w:spacing w:before="109"/>
              <w:jc w:val="center"/>
              <w:rPr>
                <w:sz w:val="20"/>
              </w:rPr>
            </w:pPr>
            <w:r>
              <w:rPr>
                <w:spacing w:val="-5"/>
                <w:sz w:val="20"/>
              </w:rPr>
              <w:t>P25</w:t>
            </w:r>
          </w:p>
        </w:tc>
        <w:tc>
          <w:tcPr>
            <w:tcW w:w="2440" w:type="dxa"/>
            <w:shd w:val="clear" w:color="auto" w:fill="F2F2F2"/>
          </w:tcPr>
          <w:p>
            <w:pPr>
              <w:pStyle w:val="TableParagraph"/>
              <w:spacing w:before="109"/>
              <w:ind w:left="88" w:right="83"/>
              <w:jc w:val="center"/>
              <w:rPr>
                <w:sz w:val="20"/>
              </w:rPr>
            </w:pPr>
            <w:r>
              <w:rPr>
                <w:sz w:val="20"/>
              </w:rPr>
              <w:t>Finance</w:t>
            </w:r>
            <w:r>
              <w:rPr>
                <w:spacing w:val="-5"/>
                <w:sz w:val="20"/>
              </w:rPr>
              <w:t> </w:t>
            </w:r>
            <w:r>
              <w:rPr>
                <w:sz w:val="20"/>
              </w:rPr>
              <w:t>and</w:t>
            </w:r>
            <w:r>
              <w:rPr>
                <w:spacing w:val="-5"/>
                <w:sz w:val="20"/>
              </w:rPr>
              <w:t> </w:t>
            </w:r>
            <w:r>
              <w:rPr>
                <w:spacing w:val="-2"/>
                <w:sz w:val="20"/>
              </w:rPr>
              <w:t>Banking</w:t>
            </w:r>
          </w:p>
        </w:tc>
        <w:tc>
          <w:tcPr>
            <w:tcW w:w="3120" w:type="dxa"/>
            <w:shd w:val="clear" w:color="auto" w:fill="F2F2F2"/>
          </w:tcPr>
          <w:p>
            <w:pPr>
              <w:pStyle w:val="TableParagraph"/>
              <w:spacing w:before="109"/>
              <w:ind w:left="2" w:right="82"/>
              <w:jc w:val="center"/>
              <w:rPr>
                <w:sz w:val="20"/>
              </w:rPr>
            </w:pPr>
            <w:r>
              <w:rPr>
                <w:spacing w:val="-2"/>
                <w:sz w:val="20"/>
              </w:rPr>
              <w:t>Accounting</w:t>
            </w:r>
          </w:p>
        </w:tc>
        <w:tc>
          <w:tcPr>
            <w:tcW w:w="2420" w:type="dxa"/>
            <w:shd w:val="clear" w:color="auto" w:fill="F2F2F2"/>
          </w:tcPr>
          <w:p>
            <w:pPr>
              <w:pStyle w:val="TableParagraph"/>
              <w:rPr>
                <w:sz w:val="20"/>
              </w:rPr>
            </w:pPr>
          </w:p>
        </w:tc>
      </w:tr>
      <w:tr>
        <w:trPr>
          <w:trHeight w:val="480" w:hRule="atLeast"/>
        </w:trPr>
        <w:tc>
          <w:tcPr>
            <w:tcW w:w="1380" w:type="dxa"/>
            <w:shd w:val="clear" w:color="auto" w:fill="F2F2F2"/>
          </w:tcPr>
          <w:p>
            <w:pPr>
              <w:pStyle w:val="TableParagraph"/>
              <w:spacing w:before="118"/>
              <w:jc w:val="center"/>
              <w:rPr>
                <w:sz w:val="20"/>
              </w:rPr>
            </w:pPr>
            <w:r>
              <w:rPr>
                <w:spacing w:val="-5"/>
                <w:sz w:val="20"/>
              </w:rPr>
              <w:t>P26</w:t>
            </w:r>
          </w:p>
        </w:tc>
        <w:tc>
          <w:tcPr>
            <w:tcW w:w="2440" w:type="dxa"/>
            <w:shd w:val="clear" w:color="auto" w:fill="F2F2F2"/>
          </w:tcPr>
          <w:p>
            <w:pPr>
              <w:pStyle w:val="TableParagraph"/>
              <w:spacing w:before="118"/>
              <w:ind w:left="88" w:right="83"/>
              <w:jc w:val="center"/>
              <w:rPr>
                <w:sz w:val="20"/>
              </w:rPr>
            </w:pPr>
            <w:r>
              <w:rPr>
                <w:sz w:val="20"/>
              </w:rPr>
              <w:t>Business</w:t>
            </w:r>
            <w:r>
              <w:rPr>
                <w:spacing w:val="-8"/>
                <w:sz w:val="20"/>
              </w:rPr>
              <w:t> </w:t>
            </w:r>
            <w:r>
              <w:rPr>
                <w:spacing w:val="-2"/>
                <w:sz w:val="20"/>
              </w:rPr>
              <w:t>Management</w:t>
            </w:r>
          </w:p>
        </w:tc>
        <w:tc>
          <w:tcPr>
            <w:tcW w:w="3120" w:type="dxa"/>
            <w:shd w:val="clear" w:color="auto" w:fill="F2F2F2"/>
          </w:tcPr>
          <w:p>
            <w:pPr>
              <w:pStyle w:val="TableParagraph"/>
              <w:spacing w:before="118"/>
              <w:ind w:left="2" w:right="82"/>
              <w:jc w:val="center"/>
              <w:rPr>
                <w:sz w:val="20"/>
              </w:rPr>
            </w:pPr>
            <w:r>
              <w:rPr>
                <w:spacing w:val="-2"/>
                <w:sz w:val="20"/>
              </w:rPr>
              <w:t>Accounting</w:t>
            </w:r>
          </w:p>
        </w:tc>
        <w:tc>
          <w:tcPr>
            <w:tcW w:w="2420" w:type="dxa"/>
            <w:shd w:val="clear" w:color="auto" w:fill="F2F2F2"/>
          </w:tcPr>
          <w:p>
            <w:pPr>
              <w:pStyle w:val="TableParagraph"/>
              <w:rPr>
                <w:sz w:val="20"/>
              </w:rPr>
            </w:pPr>
          </w:p>
        </w:tc>
      </w:tr>
      <w:tr>
        <w:trPr>
          <w:trHeight w:val="460" w:hRule="atLeast"/>
        </w:trPr>
        <w:tc>
          <w:tcPr>
            <w:tcW w:w="1380" w:type="dxa"/>
            <w:shd w:val="clear" w:color="auto" w:fill="F2F2F2"/>
          </w:tcPr>
          <w:p>
            <w:pPr>
              <w:pStyle w:val="TableParagraph"/>
              <w:spacing w:before="108"/>
              <w:jc w:val="center"/>
              <w:rPr>
                <w:sz w:val="20"/>
              </w:rPr>
            </w:pPr>
            <w:r>
              <w:rPr>
                <w:spacing w:val="-5"/>
                <w:sz w:val="20"/>
              </w:rPr>
              <w:t>P27</w:t>
            </w:r>
          </w:p>
        </w:tc>
        <w:tc>
          <w:tcPr>
            <w:tcW w:w="2440" w:type="dxa"/>
            <w:shd w:val="clear" w:color="auto" w:fill="F2F2F2"/>
          </w:tcPr>
          <w:p>
            <w:pPr>
              <w:pStyle w:val="TableParagraph"/>
              <w:spacing w:before="108"/>
              <w:ind w:left="88" w:right="83"/>
              <w:jc w:val="center"/>
              <w:rPr>
                <w:sz w:val="20"/>
              </w:rPr>
            </w:pPr>
            <w:r>
              <w:rPr>
                <w:spacing w:val="-2"/>
                <w:sz w:val="20"/>
              </w:rPr>
              <w:t>Accounting</w:t>
            </w:r>
          </w:p>
        </w:tc>
        <w:tc>
          <w:tcPr>
            <w:tcW w:w="3120" w:type="dxa"/>
            <w:shd w:val="clear" w:color="auto" w:fill="F2F2F2"/>
          </w:tcPr>
          <w:p>
            <w:pPr>
              <w:pStyle w:val="TableParagraph"/>
              <w:spacing w:before="108"/>
              <w:ind w:left="2" w:right="82"/>
              <w:jc w:val="center"/>
              <w:rPr>
                <w:sz w:val="20"/>
              </w:rPr>
            </w:pPr>
            <w:r>
              <w:rPr>
                <w:spacing w:val="-2"/>
                <w:sz w:val="20"/>
              </w:rPr>
              <w:t>Accounting</w:t>
            </w:r>
          </w:p>
        </w:tc>
        <w:tc>
          <w:tcPr>
            <w:tcW w:w="2420" w:type="dxa"/>
            <w:shd w:val="clear" w:color="auto" w:fill="F2F2F2"/>
          </w:tcPr>
          <w:p>
            <w:pPr>
              <w:pStyle w:val="TableParagraph"/>
              <w:rPr>
                <w:sz w:val="20"/>
              </w:rPr>
            </w:pPr>
          </w:p>
        </w:tc>
      </w:tr>
      <w:tr>
        <w:trPr>
          <w:trHeight w:val="479" w:hRule="atLeast"/>
        </w:trPr>
        <w:tc>
          <w:tcPr>
            <w:tcW w:w="1380" w:type="dxa"/>
            <w:shd w:val="clear" w:color="auto" w:fill="D9D9D9"/>
          </w:tcPr>
          <w:p>
            <w:pPr>
              <w:pStyle w:val="TableParagraph"/>
              <w:spacing w:before="117"/>
              <w:jc w:val="center"/>
              <w:rPr>
                <w:sz w:val="20"/>
              </w:rPr>
            </w:pPr>
            <w:r>
              <w:rPr>
                <w:spacing w:val="-5"/>
                <w:sz w:val="20"/>
              </w:rPr>
              <w:t>P28</w:t>
            </w:r>
          </w:p>
        </w:tc>
        <w:tc>
          <w:tcPr>
            <w:tcW w:w="2440" w:type="dxa"/>
            <w:shd w:val="clear" w:color="auto" w:fill="D9D9D9"/>
          </w:tcPr>
          <w:p>
            <w:pPr>
              <w:pStyle w:val="TableParagraph"/>
              <w:spacing w:before="117"/>
              <w:ind w:left="88" w:right="83"/>
              <w:jc w:val="center"/>
              <w:rPr>
                <w:sz w:val="20"/>
              </w:rPr>
            </w:pPr>
            <w:r>
              <w:rPr>
                <w:sz w:val="20"/>
              </w:rPr>
              <w:t>Finance</w:t>
            </w:r>
            <w:r>
              <w:rPr>
                <w:spacing w:val="-5"/>
                <w:sz w:val="20"/>
              </w:rPr>
              <w:t> </w:t>
            </w:r>
            <w:r>
              <w:rPr>
                <w:sz w:val="20"/>
              </w:rPr>
              <w:t>and</w:t>
            </w:r>
            <w:r>
              <w:rPr>
                <w:spacing w:val="-5"/>
                <w:sz w:val="20"/>
              </w:rPr>
              <w:t> </w:t>
            </w:r>
            <w:r>
              <w:rPr>
                <w:spacing w:val="-2"/>
                <w:sz w:val="20"/>
              </w:rPr>
              <w:t>Banking</w:t>
            </w:r>
          </w:p>
        </w:tc>
        <w:tc>
          <w:tcPr>
            <w:tcW w:w="3120" w:type="dxa"/>
            <w:shd w:val="clear" w:color="auto" w:fill="D9D9D9"/>
          </w:tcPr>
          <w:p>
            <w:pPr>
              <w:pStyle w:val="TableParagraph"/>
              <w:spacing w:before="117"/>
              <w:ind w:left="16" w:right="82"/>
              <w:jc w:val="center"/>
              <w:rPr>
                <w:sz w:val="20"/>
              </w:rPr>
            </w:pPr>
            <w:r>
              <w:rPr>
                <w:sz w:val="20"/>
              </w:rPr>
              <w:t>Finance</w:t>
            </w:r>
            <w:r>
              <w:rPr>
                <w:spacing w:val="-5"/>
                <w:sz w:val="20"/>
              </w:rPr>
              <w:t> </w:t>
            </w:r>
            <w:r>
              <w:rPr>
                <w:sz w:val="20"/>
              </w:rPr>
              <w:t>and</w:t>
            </w:r>
            <w:r>
              <w:rPr>
                <w:spacing w:val="-5"/>
                <w:sz w:val="20"/>
              </w:rPr>
              <w:t> </w:t>
            </w:r>
            <w:r>
              <w:rPr>
                <w:spacing w:val="-2"/>
                <w:sz w:val="20"/>
              </w:rPr>
              <w:t>Banking</w:t>
            </w:r>
          </w:p>
        </w:tc>
        <w:tc>
          <w:tcPr>
            <w:tcW w:w="2420" w:type="dxa"/>
            <w:shd w:val="clear" w:color="auto" w:fill="D9D9D9"/>
          </w:tcPr>
          <w:p>
            <w:pPr>
              <w:pStyle w:val="TableParagraph"/>
              <w:rPr>
                <w:sz w:val="20"/>
              </w:rPr>
            </w:pPr>
          </w:p>
        </w:tc>
      </w:tr>
      <w:tr>
        <w:trPr>
          <w:trHeight w:val="660" w:hRule="atLeast"/>
        </w:trPr>
        <w:tc>
          <w:tcPr>
            <w:tcW w:w="1380" w:type="dxa"/>
            <w:shd w:val="clear" w:color="auto" w:fill="D9D9D9"/>
          </w:tcPr>
          <w:p>
            <w:pPr>
              <w:pStyle w:val="TableParagraph"/>
              <w:spacing w:before="107"/>
              <w:jc w:val="center"/>
              <w:rPr>
                <w:sz w:val="20"/>
              </w:rPr>
            </w:pPr>
            <w:r>
              <w:rPr>
                <w:spacing w:val="-5"/>
                <w:sz w:val="20"/>
              </w:rPr>
              <w:t>P29</w:t>
            </w:r>
          </w:p>
        </w:tc>
        <w:tc>
          <w:tcPr>
            <w:tcW w:w="2440" w:type="dxa"/>
            <w:shd w:val="clear" w:color="auto" w:fill="D9D9D9"/>
          </w:tcPr>
          <w:p>
            <w:pPr>
              <w:pStyle w:val="TableParagraph"/>
              <w:spacing w:before="107"/>
              <w:ind w:left="88" w:right="83"/>
              <w:jc w:val="center"/>
              <w:rPr>
                <w:sz w:val="20"/>
              </w:rPr>
            </w:pPr>
            <w:r>
              <w:rPr>
                <w:sz w:val="20"/>
              </w:rPr>
              <w:t>Business</w:t>
            </w:r>
            <w:r>
              <w:rPr>
                <w:spacing w:val="-8"/>
                <w:sz w:val="20"/>
              </w:rPr>
              <w:t> </w:t>
            </w:r>
            <w:r>
              <w:rPr>
                <w:spacing w:val="-2"/>
                <w:sz w:val="20"/>
              </w:rPr>
              <w:t>Management</w:t>
            </w:r>
          </w:p>
        </w:tc>
        <w:tc>
          <w:tcPr>
            <w:tcW w:w="3120" w:type="dxa"/>
            <w:shd w:val="clear" w:color="auto" w:fill="D9D9D9"/>
          </w:tcPr>
          <w:p>
            <w:pPr>
              <w:pStyle w:val="TableParagraph"/>
              <w:spacing w:before="107"/>
              <w:ind w:left="30" w:right="82"/>
              <w:jc w:val="center"/>
              <w:rPr>
                <w:sz w:val="20"/>
              </w:rPr>
            </w:pPr>
            <w:r>
              <w:rPr>
                <w:sz w:val="20"/>
              </w:rPr>
              <w:t>Business</w:t>
            </w:r>
            <w:r>
              <w:rPr>
                <w:spacing w:val="-8"/>
                <w:sz w:val="20"/>
              </w:rPr>
              <w:t> </w:t>
            </w:r>
            <w:r>
              <w:rPr>
                <w:spacing w:val="-2"/>
                <w:sz w:val="20"/>
              </w:rPr>
              <w:t>Management</w:t>
            </w:r>
          </w:p>
        </w:tc>
        <w:tc>
          <w:tcPr>
            <w:tcW w:w="2420" w:type="dxa"/>
            <w:shd w:val="clear" w:color="auto" w:fill="D9D9D9"/>
          </w:tcPr>
          <w:p>
            <w:pPr>
              <w:pStyle w:val="TableParagraph"/>
              <w:spacing w:before="107"/>
              <w:ind w:left="136" w:right="207" w:firstLine="183"/>
              <w:rPr>
                <w:sz w:val="20"/>
              </w:rPr>
            </w:pPr>
            <w:r>
              <w:rPr>
                <w:sz w:val="20"/>
              </w:rPr>
              <w:t>Entrepreneurship and Innovation</w:t>
            </w:r>
            <w:r>
              <w:rPr>
                <w:spacing w:val="-13"/>
                <w:sz w:val="20"/>
              </w:rPr>
              <w:t> </w:t>
            </w:r>
            <w:r>
              <w:rPr>
                <w:sz w:val="20"/>
              </w:rPr>
              <w:t>Concentration</w:t>
            </w:r>
          </w:p>
        </w:tc>
      </w:tr>
    </w:tbl>
    <w:p>
      <w:pPr>
        <w:pStyle w:val="TableParagraph"/>
        <w:spacing w:after="0"/>
        <w:rPr>
          <w:sz w:val="20"/>
        </w:rPr>
        <w:sectPr>
          <w:type w:val="continuous"/>
          <w:pgSz w:w="12240" w:h="15840"/>
          <w:pgMar w:header="0" w:footer="750" w:top="680" w:bottom="940" w:left="720" w:right="0"/>
        </w:sectPr>
      </w:pPr>
    </w:p>
    <w:tbl>
      <w:tblPr>
        <w:tblW w:w="0" w:type="auto"/>
        <w:jc w:val="left"/>
        <w:tblInd w:w="1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80"/>
        <w:gridCol w:w="2440"/>
        <w:gridCol w:w="3120"/>
        <w:gridCol w:w="2420"/>
      </w:tblGrid>
      <w:tr>
        <w:trPr>
          <w:trHeight w:val="459" w:hRule="atLeast"/>
        </w:trPr>
        <w:tc>
          <w:tcPr>
            <w:tcW w:w="1380" w:type="dxa"/>
            <w:shd w:val="clear" w:color="auto" w:fill="D9D9D9"/>
          </w:tcPr>
          <w:p>
            <w:pPr>
              <w:pStyle w:val="TableParagraph"/>
              <w:spacing w:before="100"/>
              <w:jc w:val="center"/>
              <w:rPr>
                <w:sz w:val="20"/>
              </w:rPr>
            </w:pPr>
            <w:r>
              <w:rPr>
                <w:spacing w:val="-5"/>
                <w:sz w:val="20"/>
              </w:rPr>
              <w:t>P30</w:t>
            </w:r>
          </w:p>
        </w:tc>
        <w:tc>
          <w:tcPr>
            <w:tcW w:w="2440" w:type="dxa"/>
            <w:shd w:val="clear" w:color="auto" w:fill="D9D9D9"/>
          </w:tcPr>
          <w:p>
            <w:pPr>
              <w:pStyle w:val="TableParagraph"/>
              <w:spacing w:before="100"/>
              <w:ind w:left="88" w:right="83"/>
              <w:jc w:val="center"/>
              <w:rPr>
                <w:sz w:val="20"/>
              </w:rPr>
            </w:pPr>
            <w:r>
              <w:rPr>
                <w:sz w:val="20"/>
              </w:rPr>
              <w:t>Digital</w:t>
            </w:r>
            <w:r>
              <w:rPr>
                <w:spacing w:val="-7"/>
                <w:sz w:val="20"/>
              </w:rPr>
              <w:t> </w:t>
            </w:r>
            <w:r>
              <w:rPr>
                <w:spacing w:val="-2"/>
                <w:sz w:val="20"/>
              </w:rPr>
              <w:t>Marketing</w:t>
            </w:r>
          </w:p>
        </w:tc>
        <w:tc>
          <w:tcPr>
            <w:tcW w:w="3120" w:type="dxa"/>
            <w:shd w:val="clear" w:color="auto" w:fill="D9D9D9"/>
          </w:tcPr>
          <w:p>
            <w:pPr>
              <w:pStyle w:val="TableParagraph"/>
              <w:spacing w:before="100"/>
              <w:ind w:left="7" w:right="82"/>
              <w:jc w:val="center"/>
              <w:rPr>
                <w:sz w:val="20"/>
              </w:rPr>
            </w:pPr>
            <w:r>
              <w:rPr>
                <w:sz w:val="20"/>
              </w:rPr>
              <w:t>Digital</w:t>
            </w:r>
            <w:r>
              <w:rPr>
                <w:spacing w:val="-7"/>
                <w:sz w:val="20"/>
              </w:rPr>
              <w:t> </w:t>
            </w:r>
            <w:r>
              <w:rPr>
                <w:spacing w:val="-2"/>
                <w:sz w:val="20"/>
              </w:rPr>
              <w:t>Marketing</w:t>
            </w:r>
          </w:p>
        </w:tc>
        <w:tc>
          <w:tcPr>
            <w:tcW w:w="2420" w:type="dxa"/>
            <w:shd w:val="clear" w:color="auto" w:fill="D9D9D9"/>
          </w:tcPr>
          <w:p>
            <w:pPr>
              <w:pStyle w:val="TableParagraph"/>
              <w:rPr>
                <w:sz w:val="18"/>
              </w:rPr>
            </w:pPr>
          </w:p>
        </w:tc>
      </w:tr>
      <w:tr>
        <w:trPr>
          <w:trHeight w:val="460" w:hRule="atLeast"/>
        </w:trPr>
        <w:tc>
          <w:tcPr>
            <w:tcW w:w="1380" w:type="dxa"/>
            <w:shd w:val="clear" w:color="auto" w:fill="F2F2F2"/>
          </w:tcPr>
          <w:p>
            <w:pPr>
              <w:pStyle w:val="TableParagraph"/>
              <w:spacing w:before="110"/>
              <w:jc w:val="center"/>
              <w:rPr>
                <w:sz w:val="20"/>
              </w:rPr>
            </w:pPr>
            <w:r>
              <w:rPr>
                <w:spacing w:val="-5"/>
                <w:sz w:val="20"/>
              </w:rPr>
              <w:t>P31</w:t>
            </w:r>
          </w:p>
        </w:tc>
        <w:tc>
          <w:tcPr>
            <w:tcW w:w="2440" w:type="dxa"/>
            <w:shd w:val="clear" w:color="auto" w:fill="F2F2F2"/>
          </w:tcPr>
          <w:p>
            <w:pPr>
              <w:pStyle w:val="TableParagraph"/>
              <w:spacing w:before="110"/>
              <w:ind w:left="88" w:right="83"/>
              <w:jc w:val="center"/>
              <w:rPr>
                <w:sz w:val="20"/>
              </w:rPr>
            </w:pPr>
            <w:r>
              <w:rPr>
                <w:sz w:val="20"/>
              </w:rPr>
              <w:t>Business</w:t>
            </w:r>
            <w:r>
              <w:rPr>
                <w:spacing w:val="-8"/>
                <w:sz w:val="20"/>
              </w:rPr>
              <w:t> </w:t>
            </w:r>
            <w:r>
              <w:rPr>
                <w:spacing w:val="-2"/>
                <w:sz w:val="20"/>
              </w:rPr>
              <w:t>Management</w:t>
            </w:r>
          </w:p>
        </w:tc>
        <w:tc>
          <w:tcPr>
            <w:tcW w:w="3120" w:type="dxa"/>
            <w:shd w:val="clear" w:color="auto" w:fill="F2F2F2"/>
          </w:tcPr>
          <w:p>
            <w:pPr>
              <w:pStyle w:val="TableParagraph"/>
              <w:spacing w:before="110"/>
              <w:ind w:left="2" w:right="82"/>
              <w:jc w:val="center"/>
              <w:rPr>
                <w:sz w:val="20"/>
              </w:rPr>
            </w:pPr>
            <w:r>
              <w:rPr>
                <w:spacing w:val="-2"/>
                <w:sz w:val="20"/>
              </w:rPr>
              <w:t>Accounting</w:t>
            </w:r>
          </w:p>
        </w:tc>
        <w:tc>
          <w:tcPr>
            <w:tcW w:w="2420" w:type="dxa"/>
            <w:shd w:val="clear" w:color="auto" w:fill="F2F2F2"/>
          </w:tcPr>
          <w:p>
            <w:pPr>
              <w:pStyle w:val="TableParagraph"/>
              <w:rPr>
                <w:sz w:val="18"/>
              </w:rPr>
            </w:pPr>
          </w:p>
        </w:tc>
      </w:tr>
      <w:tr>
        <w:trPr>
          <w:trHeight w:val="479" w:hRule="atLeast"/>
        </w:trPr>
        <w:tc>
          <w:tcPr>
            <w:tcW w:w="1380" w:type="dxa"/>
            <w:shd w:val="clear" w:color="auto" w:fill="F2F2F2"/>
          </w:tcPr>
          <w:p>
            <w:pPr>
              <w:pStyle w:val="TableParagraph"/>
              <w:spacing w:before="120"/>
              <w:jc w:val="center"/>
              <w:rPr>
                <w:sz w:val="20"/>
              </w:rPr>
            </w:pPr>
            <w:r>
              <w:rPr>
                <w:spacing w:val="-5"/>
                <w:sz w:val="20"/>
              </w:rPr>
              <w:t>P32</w:t>
            </w:r>
          </w:p>
        </w:tc>
        <w:tc>
          <w:tcPr>
            <w:tcW w:w="2440" w:type="dxa"/>
            <w:shd w:val="clear" w:color="auto" w:fill="F2F2F2"/>
          </w:tcPr>
          <w:p>
            <w:pPr>
              <w:pStyle w:val="TableParagraph"/>
              <w:spacing w:before="120"/>
              <w:ind w:left="14" w:right="83"/>
              <w:jc w:val="center"/>
              <w:rPr>
                <w:sz w:val="20"/>
              </w:rPr>
            </w:pPr>
            <w:r>
              <w:rPr>
                <w:sz w:val="20"/>
              </w:rPr>
              <w:t>Computer</w:t>
            </w:r>
            <w:r>
              <w:rPr>
                <w:spacing w:val="-8"/>
                <w:sz w:val="20"/>
              </w:rPr>
              <w:t> </w:t>
            </w:r>
            <w:r>
              <w:rPr>
                <w:spacing w:val="-2"/>
                <w:sz w:val="20"/>
              </w:rPr>
              <w:t>Science</w:t>
            </w:r>
          </w:p>
        </w:tc>
        <w:tc>
          <w:tcPr>
            <w:tcW w:w="3120" w:type="dxa"/>
            <w:shd w:val="clear" w:color="auto" w:fill="F2F2F2"/>
          </w:tcPr>
          <w:p>
            <w:pPr>
              <w:pStyle w:val="TableParagraph"/>
              <w:spacing w:before="120"/>
              <w:ind w:left="2" w:right="82"/>
              <w:jc w:val="center"/>
              <w:rPr>
                <w:sz w:val="20"/>
              </w:rPr>
            </w:pPr>
            <w:r>
              <w:rPr>
                <w:spacing w:val="-2"/>
                <w:sz w:val="20"/>
              </w:rPr>
              <w:t>Accounting</w:t>
            </w:r>
          </w:p>
        </w:tc>
        <w:tc>
          <w:tcPr>
            <w:tcW w:w="2420" w:type="dxa"/>
            <w:shd w:val="clear" w:color="auto" w:fill="F2F2F2"/>
          </w:tcPr>
          <w:p>
            <w:pPr>
              <w:pStyle w:val="TableParagraph"/>
              <w:rPr>
                <w:sz w:val="18"/>
              </w:rPr>
            </w:pPr>
          </w:p>
        </w:tc>
      </w:tr>
      <w:tr>
        <w:trPr>
          <w:trHeight w:val="439" w:hRule="atLeast"/>
        </w:trPr>
        <w:tc>
          <w:tcPr>
            <w:tcW w:w="1380" w:type="dxa"/>
            <w:shd w:val="clear" w:color="auto" w:fill="F2F2F2"/>
          </w:tcPr>
          <w:p>
            <w:pPr>
              <w:pStyle w:val="TableParagraph"/>
              <w:spacing w:before="109"/>
              <w:jc w:val="center"/>
              <w:rPr>
                <w:sz w:val="20"/>
              </w:rPr>
            </w:pPr>
            <w:r>
              <w:rPr>
                <w:spacing w:val="-5"/>
                <w:sz w:val="20"/>
              </w:rPr>
              <w:t>P33</w:t>
            </w:r>
          </w:p>
        </w:tc>
        <w:tc>
          <w:tcPr>
            <w:tcW w:w="2440" w:type="dxa"/>
            <w:shd w:val="clear" w:color="auto" w:fill="F2F2F2"/>
          </w:tcPr>
          <w:p>
            <w:pPr>
              <w:pStyle w:val="TableParagraph"/>
              <w:spacing w:before="109"/>
              <w:ind w:left="14" w:right="83"/>
              <w:jc w:val="center"/>
              <w:rPr>
                <w:sz w:val="20"/>
              </w:rPr>
            </w:pPr>
            <w:r>
              <w:rPr>
                <w:sz w:val="20"/>
              </w:rPr>
              <w:t>Computer</w:t>
            </w:r>
            <w:r>
              <w:rPr>
                <w:spacing w:val="-8"/>
                <w:sz w:val="20"/>
              </w:rPr>
              <w:t> </w:t>
            </w:r>
            <w:r>
              <w:rPr>
                <w:spacing w:val="-2"/>
                <w:sz w:val="20"/>
              </w:rPr>
              <w:t>Science</w:t>
            </w:r>
          </w:p>
        </w:tc>
        <w:tc>
          <w:tcPr>
            <w:tcW w:w="3120" w:type="dxa"/>
            <w:shd w:val="clear" w:color="auto" w:fill="F2F2F2"/>
          </w:tcPr>
          <w:p>
            <w:pPr>
              <w:pStyle w:val="TableParagraph"/>
              <w:spacing w:before="109"/>
              <w:ind w:left="2" w:right="82"/>
              <w:jc w:val="center"/>
              <w:rPr>
                <w:sz w:val="20"/>
              </w:rPr>
            </w:pPr>
            <w:r>
              <w:rPr>
                <w:spacing w:val="-2"/>
                <w:sz w:val="20"/>
              </w:rPr>
              <w:t>Accounting</w:t>
            </w:r>
          </w:p>
        </w:tc>
        <w:tc>
          <w:tcPr>
            <w:tcW w:w="2420" w:type="dxa"/>
            <w:shd w:val="clear" w:color="auto" w:fill="F2F2F2"/>
          </w:tcPr>
          <w:p>
            <w:pPr>
              <w:pStyle w:val="TableParagraph"/>
              <w:spacing w:before="109"/>
              <w:ind w:left="318"/>
              <w:rPr>
                <w:sz w:val="20"/>
              </w:rPr>
            </w:pPr>
            <w:r>
              <w:rPr>
                <w:spacing w:val="-2"/>
                <w:sz w:val="20"/>
              </w:rPr>
              <w:t>Cybersecurity</w:t>
            </w:r>
            <w:r>
              <w:rPr>
                <w:spacing w:val="13"/>
                <w:sz w:val="20"/>
              </w:rPr>
              <w:t> </w:t>
            </w:r>
            <w:r>
              <w:rPr>
                <w:spacing w:val="-2"/>
                <w:sz w:val="20"/>
              </w:rPr>
              <w:t>Minor</w:t>
            </w:r>
          </w:p>
        </w:tc>
      </w:tr>
      <w:tr>
        <w:trPr>
          <w:trHeight w:val="460" w:hRule="atLeast"/>
        </w:trPr>
        <w:tc>
          <w:tcPr>
            <w:tcW w:w="1380" w:type="dxa"/>
            <w:shd w:val="clear" w:color="auto" w:fill="D9D9D9"/>
          </w:tcPr>
          <w:p>
            <w:pPr>
              <w:pStyle w:val="TableParagraph"/>
              <w:spacing w:before="104"/>
              <w:jc w:val="center"/>
              <w:rPr>
                <w:sz w:val="20"/>
              </w:rPr>
            </w:pPr>
            <w:r>
              <w:rPr>
                <w:spacing w:val="-5"/>
                <w:sz w:val="20"/>
              </w:rPr>
              <w:t>P34</w:t>
            </w:r>
          </w:p>
        </w:tc>
        <w:tc>
          <w:tcPr>
            <w:tcW w:w="2440" w:type="dxa"/>
            <w:shd w:val="clear" w:color="auto" w:fill="D9D9D9"/>
          </w:tcPr>
          <w:p>
            <w:pPr>
              <w:pStyle w:val="TableParagraph"/>
              <w:spacing w:before="104"/>
              <w:ind w:left="88" w:right="83"/>
              <w:jc w:val="center"/>
              <w:rPr>
                <w:sz w:val="20"/>
              </w:rPr>
            </w:pPr>
            <w:r>
              <w:rPr>
                <w:sz w:val="20"/>
              </w:rPr>
              <w:t>Finance</w:t>
            </w:r>
            <w:r>
              <w:rPr>
                <w:spacing w:val="-5"/>
                <w:sz w:val="20"/>
              </w:rPr>
              <w:t> </w:t>
            </w:r>
            <w:r>
              <w:rPr>
                <w:sz w:val="20"/>
              </w:rPr>
              <w:t>and</w:t>
            </w:r>
            <w:r>
              <w:rPr>
                <w:spacing w:val="-5"/>
                <w:sz w:val="20"/>
              </w:rPr>
              <w:t> </w:t>
            </w:r>
            <w:r>
              <w:rPr>
                <w:spacing w:val="-2"/>
                <w:sz w:val="20"/>
              </w:rPr>
              <w:t>Banking</w:t>
            </w:r>
          </w:p>
        </w:tc>
        <w:tc>
          <w:tcPr>
            <w:tcW w:w="3120" w:type="dxa"/>
            <w:shd w:val="clear" w:color="auto" w:fill="D9D9D9"/>
          </w:tcPr>
          <w:p>
            <w:pPr>
              <w:pStyle w:val="TableParagraph"/>
              <w:spacing w:before="104"/>
              <w:ind w:left="16" w:right="82"/>
              <w:jc w:val="center"/>
              <w:rPr>
                <w:sz w:val="20"/>
              </w:rPr>
            </w:pPr>
            <w:r>
              <w:rPr>
                <w:sz w:val="20"/>
              </w:rPr>
              <w:t>Finance</w:t>
            </w:r>
            <w:r>
              <w:rPr>
                <w:spacing w:val="-5"/>
                <w:sz w:val="20"/>
              </w:rPr>
              <w:t> </w:t>
            </w:r>
            <w:r>
              <w:rPr>
                <w:sz w:val="20"/>
              </w:rPr>
              <w:t>and</w:t>
            </w:r>
            <w:r>
              <w:rPr>
                <w:spacing w:val="-5"/>
                <w:sz w:val="20"/>
              </w:rPr>
              <w:t> </w:t>
            </w:r>
            <w:r>
              <w:rPr>
                <w:spacing w:val="-2"/>
                <w:sz w:val="20"/>
              </w:rPr>
              <w:t>Banking</w:t>
            </w:r>
          </w:p>
        </w:tc>
        <w:tc>
          <w:tcPr>
            <w:tcW w:w="2420" w:type="dxa"/>
            <w:shd w:val="clear" w:color="auto" w:fill="D9D9D9"/>
          </w:tcPr>
          <w:p>
            <w:pPr>
              <w:pStyle w:val="TableParagraph"/>
              <w:rPr>
                <w:sz w:val="18"/>
              </w:rPr>
            </w:pPr>
          </w:p>
        </w:tc>
      </w:tr>
      <w:tr>
        <w:trPr>
          <w:trHeight w:val="480" w:hRule="atLeast"/>
        </w:trPr>
        <w:tc>
          <w:tcPr>
            <w:tcW w:w="1380" w:type="dxa"/>
            <w:shd w:val="clear" w:color="auto" w:fill="F2F2F2"/>
          </w:tcPr>
          <w:p>
            <w:pPr>
              <w:pStyle w:val="TableParagraph"/>
              <w:spacing w:before="114"/>
              <w:jc w:val="center"/>
              <w:rPr>
                <w:sz w:val="20"/>
              </w:rPr>
            </w:pPr>
            <w:r>
              <w:rPr>
                <w:spacing w:val="-5"/>
                <w:sz w:val="20"/>
              </w:rPr>
              <w:t>P35</w:t>
            </w:r>
          </w:p>
        </w:tc>
        <w:tc>
          <w:tcPr>
            <w:tcW w:w="2440" w:type="dxa"/>
            <w:shd w:val="clear" w:color="auto" w:fill="F2F2F2"/>
          </w:tcPr>
          <w:p>
            <w:pPr>
              <w:pStyle w:val="TableParagraph"/>
              <w:spacing w:before="114"/>
              <w:ind w:left="88" w:right="83"/>
              <w:jc w:val="center"/>
              <w:rPr>
                <w:sz w:val="20"/>
              </w:rPr>
            </w:pPr>
            <w:r>
              <w:rPr>
                <w:spacing w:val="-2"/>
                <w:sz w:val="20"/>
              </w:rPr>
              <w:t>Journalism</w:t>
            </w:r>
          </w:p>
        </w:tc>
        <w:tc>
          <w:tcPr>
            <w:tcW w:w="3120" w:type="dxa"/>
            <w:shd w:val="clear" w:color="auto" w:fill="F2F2F2"/>
          </w:tcPr>
          <w:p>
            <w:pPr>
              <w:pStyle w:val="TableParagraph"/>
              <w:spacing w:before="114"/>
              <w:ind w:left="2" w:right="82"/>
              <w:jc w:val="center"/>
              <w:rPr>
                <w:sz w:val="20"/>
              </w:rPr>
            </w:pPr>
            <w:r>
              <w:rPr>
                <w:spacing w:val="-2"/>
                <w:sz w:val="20"/>
              </w:rPr>
              <w:t>Accounting</w:t>
            </w:r>
          </w:p>
        </w:tc>
        <w:tc>
          <w:tcPr>
            <w:tcW w:w="2420" w:type="dxa"/>
            <w:shd w:val="clear" w:color="auto" w:fill="F2F2F2"/>
          </w:tcPr>
          <w:p>
            <w:pPr>
              <w:pStyle w:val="TableParagraph"/>
              <w:rPr>
                <w:sz w:val="18"/>
              </w:rPr>
            </w:pPr>
          </w:p>
        </w:tc>
      </w:tr>
    </w:tbl>
    <w:p>
      <w:pPr>
        <w:pStyle w:val="BodyText"/>
        <w:spacing w:before="21"/>
        <w:rPr>
          <w:b/>
          <w:sz w:val="20"/>
        </w:rPr>
      </w:pPr>
    </w:p>
    <w:p>
      <w:pPr>
        <w:spacing w:before="0"/>
        <w:ind w:left="2618" w:right="0" w:firstLine="0"/>
        <w:jc w:val="left"/>
        <w:rPr>
          <w:b/>
          <w:sz w:val="20"/>
        </w:rPr>
      </w:pPr>
      <w:r>
        <w:rPr>
          <w:b/>
          <w:sz w:val="20"/>
        </w:rPr>
        <w:t>Table</w:t>
      </w:r>
      <w:r>
        <w:rPr>
          <w:b/>
          <w:spacing w:val="-10"/>
          <w:sz w:val="20"/>
        </w:rPr>
        <w:t> </w:t>
      </w:r>
      <w:r>
        <w:rPr>
          <w:b/>
          <w:sz w:val="20"/>
        </w:rPr>
        <w:t>2:</w:t>
      </w:r>
      <w:r>
        <w:rPr>
          <w:b/>
          <w:spacing w:val="-7"/>
          <w:sz w:val="20"/>
        </w:rPr>
        <w:t> </w:t>
      </w:r>
      <w:r>
        <w:rPr>
          <w:b/>
          <w:sz w:val="20"/>
        </w:rPr>
        <w:t>Distribution</w:t>
      </w:r>
      <w:r>
        <w:rPr>
          <w:b/>
          <w:spacing w:val="-8"/>
          <w:sz w:val="20"/>
        </w:rPr>
        <w:t> </w:t>
      </w:r>
      <w:r>
        <w:rPr>
          <w:b/>
          <w:sz w:val="20"/>
        </w:rPr>
        <w:t>of</w:t>
      </w:r>
      <w:r>
        <w:rPr>
          <w:b/>
          <w:spacing w:val="-7"/>
          <w:sz w:val="20"/>
        </w:rPr>
        <w:t> </w:t>
      </w:r>
      <w:r>
        <w:rPr>
          <w:b/>
          <w:sz w:val="20"/>
        </w:rPr>
        <w:t>Quotes</w:t>
      </w:r>
      <w:r>
        <w:rPr>
          <w:b/>
          <w:spacing w:val="-7"/>
          <w:sz w:val="20"/>
        </w:rPr>
        <w:t> </w:t>
      </w:r>
      <w:r>
        <w:rPr>
          <w:b/>
          <w:sz w:val="20"/>
        </w:rPr>
        <w:t>Among</w:t>
      </w:r>
      <w:r>
        <w:rPr>
          <w:b/>
          <w:spacing w:val="-8"/>
          <w:sz w:val="20"/>
        </w:rPr>
        <w:t> </w:t>
      </w:r>
      <w:r>
        <w:rPr>
          <w:b/>
          <w:sz w:val="20"/>
        </w:rPr>
        <w:t>Themes</w:t>
      </w:r>
      <w:r>
        <w:rPr>
          <w:b/>
          <w:spacing w:val="-7"/>
          <w:sz w:val="20"/>
        </w:rPr>
        <w:t> </w:t>
      </w:r>
      <w:r>
        <w:rPr>
          <w:b/>
          <w:sz w:val="20"/>
        </w:rPr>
        <w:t>and</w:t>
      </w:r>
      <w:r>
        <w:rPr>
          <w:b/>
          <w:spacing w:val="-7"/>
          <w:sz w:val="20"/>
        </w:rPr>
        <w:t> </w:t>
      </w:r>
      <w:r>
        <w:rPr>
          <w:b/>
          <w:spacing w:val="-2"/>
          <w:sz w:val="20"/>
        </w:rPr>
        <w:t>Subthemes</w:t>
      </w:r>
      <w:r>
        <w:rPr>
          <w:b/>
          <w:spacing w:val="-2"/>
          <w:sz w:val="20"/>
          <w:vertAlign w:val="superscript"/>
        </w:rPr>
        <w:t>7</w:t>
      </w:r>
    </w:p>
    <w:tbl>
      <w:tblPr>
        <w:tblW w:w="0" w:type="auto"/>
        <w:jc w:val="left"/>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80"/>
        <w:gridCol w:w="1160"/>
        <w:gridCol w:w="1080"/>
        <w:gridCol w:w="1100"/>
        <w:gridCol w:w="1180"/>
        <w:gridCol w:w="1080"/>
        <w:gridCol w:w="1220"/>
        <w:gridCol w:w="1260"/>
        <w:gridCol w:w="1040"/>
        <w:gridCol w:w="1060"/>
      </w:tblGrid>
      <w:tr>
        <w:trPr>
          <w:trHeight w:val="720" w:hRule="atLeast"/>
        </w:trPr>
        <w:tc>
          <w:tcPr>
            <w:tcW w:w="580" w:type="dxa"/>
            <w:shd w:val="clear" w:color="auto" w:fill="424242"/>
          </w:tcPr>
          <w:p>
            <w:pPr>
              <w:pStyle w:val="TableParagraph"/>
              <w:spacing w:before="100"/>
              <w:ind w:left="5"/>
              <w:jc w:val="center"/>
              <w:rPr>
                <w:sz w:val="20"/>
              </w:rPr>
            </w:pPr>
            <w:r>
              <w:rPr>
                <w:color w:val="FFFFFF"/>
                <w:spacing w:val="-5"/>
                <w:sz w:val="20"/>
              </w:rPr>
              <w:t>ID</w:t>
            </w:r>
          </w:p>
        </w:tc>
        <w:tc>
          <w:tcPr>
            <w:tcW w:w="1160" w:type="dxa"/>
            <w:shd w:val="clear" w:color="auto" w:fill="424242"/>
          </w:tcPr>
          <w:p>
            <w:pPr>
              <w:pStyle w:val="TableParagraph"/>
              <w:spacing w:before="100"/>
              <w:ind w:left="54" w:right="49"/>
              <w:jc w:val="center"/>
              <w:rPr>
                <w:sz w:val="20"/>
              </w:rPr>
            </w:pPr>
            <w:r>
              <w:rPr>
                <w:color w:val="FFFFFF"/>
                <w:sz w:val="20"/>
              </w:rPr>
              <w:t>Theme</w:t>
            </w:r>
            <w:r>
              <w:rPr>
                <w:color w:val="FFFFFF"/>
                <w:spacing w:val="-5"/>
                <w:sz w:val="20"/>
              </w:rPr>
              <w:t> </w:t>
            </w:r>
            <w:r>
              <w:rPr>
                <w:color w:val="FFFFFF"/>
                <w:spacing w:val="-10"/>
                <w:sz w:val="20"/>
              </w:rPr>
              <w:t>1</w:t>
            </w:r>
          </w:p>
        </w:tc>
        <w:tc>
          <w:tcPr>
            <w:tcW w:w="1080" w:type="dxa"/>
            <w:shd w:val="clear" w:color="auto" w:fill="424242"/>
          </w:tcPr>
          <w:p>
            <w:pPr>
              <w:pStyle w:val="TableParagraph"/>
              <w:spacing w:line="264" w:lineRule="auto" w:before="100"/>
              <w:ind w:left="300" w:right="162" w:firstLine="19"/>
              <w:rPr>
                <w:sz w:val="20"/>
              </w:rPr>
            </w:pPr>
            <w:r>
              <w:rPr>
                <w:color w:val="FFFFFF"/>
                <w:spacing w:val="-2"/>
                <w:sz w:val="20"/>
              </w:rPr>
              <w:t>Subthe </w:t>
            </w:r>
            <w:r>
              <w:rPr>
                <w:color w:val="FFFFFF"/>
                <w:sz w:val="20"/>
              </w:rPr>
              <w:t>me</w:t>
            </w:r>
            <w:r>
              <w:rPr>
                <w:color w:val="FFFFFF"/>
                <w:spacing w:val="48"/>
                <w:sz w:val="20"/>
              </w:rPr>
              <w:t> </w:t>
            </w:r>
            <w:r>
              <w:rPr>
                <w:color w:val="FFFFFF"/>
                <w:spacing w:val="-5"/>
                <w:sz w:val="20"/>
              </w:rPr>
              <w:t>1.1</w:t>
            </w:r>
          </w:p>
        </w:tc>
        <w:tc>
          <w:tcPr>
            <w:tcW w:w="1100" w:type="dxa"/>
            <w:shd w:val="clear" w:color="auto" w:fill="424242"/>
          </w:tcPr>
          <w:p>
            <w:pPr>
              <w:pStyle w:val="TableParagraph"/>
              <w:spacing w:line="264" w:lineRule="auto" w:before="100"/>
              <w:ind w:left="315" w:right="167" w:firstLine="19"/>
              <w:rPr>
                <w:sz w:val="20"/>
              </w:rPr>
            </w:pPr>
            <w:r>
              <w:rPr>
                <w:color w:val="FFFFFF"/>
                <w:spacing w:val="-2"/>
                <w:sz w:val="20"/>
              </w:rPr>
              <w:t>Subthe </w:t>
            </w:r>
            <w:r>
              <w:rPr>
                <w:color w:val="FFFFFF"/>
                <w:sz w:val="20"/>
              </w:rPr>
              <w:t>me</w:t>
            </w:r>
            <w:r>
              <w:rPr>
                <w:color w:val="FFFFFF"/>
                <w:spacing w:val="48"/>
                <w:sz w:val="20"/>
              </w:rPr>
              <w:t> </w:t>
            </w:r>
            <w:r>
              <w:rPr>
                <w:color w:val="FFFFFF"/>
                <w:spacing w:val="-5"/>
                <w:sz w:val="20"/>
              </w:rPr>
              <w:t>1.2</w:t>
            </w:r>
          </w:p>
        </w:tc>
        <w:tc>
          <w:tcPr>
            <w:tcW w:w="1180" w:type="dxa"/>
            <w:shd w:val="clear" w:color="auto" w:fill="424242"/>
          </w:tcPr>
          <w:p>
            <w:pPr>
              <w:pStyle w:val="TableParagraph"/>
              <w:spacing w:before="100"/>
              <w:ind w:left="54" w:right="29"/>
              <w:jc w:val="center"/>
              <w:rPr>
                <w:sz w:val="20"/>
              </w:rPr>
            </w:pPr>
            <w:r>
              <w:rPr>
                <w:color w:val="FFFFFF"/>
                <w:sz w:val="20"/>
              </w:rPr>
              <w:t>Theme</w:t>
            </w:r>
            <w:r>
              <w:rPr>
                <w:color w:val="FFFFFF"/>
                <w:spacing w:val="-5"/>
                <w:sz w:val="20"/>
              </w:rPr>
              <w:t> </w:t>
            </w:r>
            <w:r>
              <w:rPr>
                <w:color w:val="FFFFFF"/>
                <w:spacing w:val="-10"/>
                <w:sz w:val="20"/>
              </w:rPr>
              <w:t>2</w:t>
            </w:r>
          </w:p>
        </w:tc>
        <w:tc>
          <w:tcPr>
            <w:tcW w:w="1080" w:type="dxa"/>
            <w:shd w:val="clear" w:color="auto" w:fill="424242"/>
          </w:tcPr>
          <w:p>
            <w:pPr>
              <w:pStyle w:val="TableParagraph"/>
              <w:spacing w:line="264" w:lineRule="auto" w:before="100"/>
              <w:ind w:left="300" w:right="162" w:firstLine="19"/>
              <w:rPr>
                <w:sz w:val="20"/>
              </w:rPr>
            </w:pPr>
            <w:r>
              <w:rPr>
                <w:color w:val="FFFFFF"/>
                <w:spacing w:val="-2"/>
                <w:sz w:val="20"/>
              </w:rPr>
              <w:t>Subthe </w:t>
            </w:r>
            <w:r>
              <w:rPr>
                <w:color w:val="FFFFFF"/>
                <w:sz w:val="20"/>
              </w:rPr>
              <w:t>me</w:t>
            </w:r>
            <w:r>
              <w:rPr>
                <w:color w:val="FFFFFF"/>
                <w:spacing w:val="48"/>
                <w:sz w:val="20"/>
              </w:rPr>
              <w:t> </w:t>
            </w:r>
            <w:r>
              <w:rPr>
                <w:color w:val="FFFFFF"/>
                <w:spacing w:val="-5"/>
                <w:sz w:val="20"/>
              </w:rPr>
              <w:t>2.1</w:t>
            </w:r>
          </w:p>
        </w:tc>
        <w:tc>
          <w:tcPr>
            <w:tcW w:w="1220" w:type="dxa"/>
            <w:shd w:val="clear" w:color="auto" w:fill="424242"/>
          </w:tcPr>
          <w:p>
            <w:pPr>
              <w:pStyle w:val="TableParagraph"/>
              <w:spacing w:line="273" w:lineRule="auto" w:before="100"/>
              <w:ind w:left="487" w:right="232" w:hanging="323"/>
              <w:rPr>
                <w:sz w:val="20"/>
              </w:rPr>
            </w:pPr>
            <w:r>
              <w:rPr>
                <w:color w:val="FFFFFF"/>
                <w:spacing w:val="-2"/>
                <w:sz w:val="20"/>
              </w:rPr>
              <w:t>Subtheme </w:t>
            </w:r>
            <w:r>
              <w:rPr>
                <w:color w:val="FFFFFF"/>
                <w:spacing w:val="-4"/>
                <w:sz w:val="20"/>
              </w:rPr>
              <w:t>2.2</w:t>
            </w:r>
          </w:p>
        </w:tc>
        <w:tc>
          <w:tcPr>
            <w:tcW w:w="1260" w:type="dxa"/>
            <w:shd w:val="clear" w:color="auto" w:fill="424242"/>
          </w:tcPr>
          <w:p>
            <w:pPr>
              <w:pStyle w:val="TableParagraph"/>
              <w:spacing w:before="100"/>
              <w:ind w:left="25" w:right="137"/>
              <w:jc w:val="center"/>
              <w:rPr>
                <w:sz w:val="20"/>
              </w:rPr>
            </w:pPr>
            <w:r>
              <w:rPr>
                <w:color w:val="FFFFFF"/>
                <w:sz w:val="20"/>
              </w:rPr>
              <w:t>Theme</w:t>
            </w:r>
            <w:r>
              <w:rPr>
                <w:color w:val="FFFFFF"/>
                <w:spacing w:val="-5"/>
                <w:sz w:val="20"/>
              </w:rPr>
              <w:t> </w:t>
            </w:r>
            <w:r>
              <w:rPr>
                <w:color w:val="FFFFFF"/>
                <w:spacing w:val="-10"/>
                <w:sz w:val="20"/>
              </w:rPr>
              <w:t>3</w:t>
            </w:r>
          </w:p>
        </w:tc>
        <w:tc>
          <w:tcPr>
            <w:tcW w:w="1040" w:type="dxa"/>
            <w:shd w:val="clear" w:color="auto" w:fill="424242"/>
          </w:tcPr>
          <w:p>
            <w:pPr>
              <w:pStyle w:val="TableParagraph"/>
              <w:spacing w:line="264" w:lineRule="auto" w:before="100"/>
              <w:ind w:left="280" w:right="142" w:firstLine="19"/>
              <w:rPr>
                <w:sz w:val="20"/>
              </w:rPr>
            </w:pPr>
            <w:r>
              <w:rPr>
                <w:color w:val="FFFFFF"/>
                <w:spacing w:val="-2"/>
                <w:sz w:val="20"/>
              </w:rPr>
              <w:t>Subthe </w:t>
            </w:r>
            <w:r>
              <w:rPr>
                <w:color w:val="FFFFFF"/>
                <w:sz w:val="20"/>
              </w:rPr>
              <w:t>me</w:t>
            </w:r>
            <w:r>
              <w:rPr>
                <w:color w:val="FFFFFF"/>
                <w:spacing w:val="48"/>
                <w:sz w:val="20"/>
              </w:rPr>
              <w:t> </w:t>
            </w:r>
            <w:r>
              <w:rPr>
                <w:color w:val="FFFFFF"/>
                <w:spacing w:val="-5"/>
                <w:sz w:val="20"/>
              </w:rPr>
              <w:t>3.1</w:t>
            </w:r>
          </w:p>
        </w:tc>
        <w:tc>
          <w:tcPr>
            <w:tcW w:w="1060" w:type="dxa"/>
            <w:shd w:val="clear" w:color="auto" w:fill="424242"/>
          </w:tcPr>
          <w:p>
            <w:pPr>
              <w:pStyle w:val="TableParagraph"/>
              <w:spacing w:line="264" w:lineRule="auto" w:before="100"/>
              <w:ind w:left="282" w:right="79" w:firstLine="19"/>
              <w:rPr>
                <w:sz w:val="20"/>
              </w:rPr>
            </w:pPr>
            <w:r>
              <w:rPr>
                <w:color w:val="FFFFFF"/>
                <w:spacing w:val="-2"/>
                <w:sz w:val="20"/>
              </w:rPr>
              <w:t>Subthe </w:t>
            </w:r>
            <w:r>
              <w:rPr>
                <w:color w:val="FFFFFF"/>
                <w:sz w:val="20"/>
              </w:rPr>
              <w:t>me</w:t>
            </w:r>
            <w:r>
              <w:rPr>
                <w:color w:val="FFFFFF"/>
                <w:spacing w:val="48"/>
                <w:sz w:val="20"/>
              </w:rPr>
              <w:t> </w:t>
            </w:r>
            <w:r>
              <w:rPr>
                <w:color w:val="FFFFFF"/>
                <w:spacing w:val="-5"/>
                <w:sz w:val="20"/>
              </w:rPr>
              <w:t>3.2</w:t>
            </w:r>
          </w:p>
        </w:tc>
      </w:tr>
      <w:tr>
        <w:trPr>
          <w:trHeight w:val="500" w:hRule="atLeast"/>
        </w:trPr>
        <w:tc>
          <w:tcPr>
            <w:tcW w:w="580" w:type="dxa"/>
            <w:shd w:val="clear" w:color="auto" w:fill="F2F2F2"/>
          </w:tcPr>
          <w:p>
            <w:pPr>
              <w:pStyle w:val="TableParagraph"/>
              <w:spacing w:before="92"/>
              <w:ind w:left="5"/>
              <w:jc w:val="center"/>
              <w:rPr>
                <w:sz w:val="20"/>
              </w:rPr>
            </w:pPr>
            <w:r>
              <w:rPr>
                <w:spacing w:val="-5"/>
                <w:sz w:val="20"/>
              </w:rPr>
              <w:t>P1</w:t>
            </w:r>
          </w:p>
        </w:tc>
        <w:tc>
          <w:tcPr>
            <w:tcW w:w="1160" w:type="dxa"/>
            <w:shd w:val="clear" w:color="auto" w:fill="F2F2F2"/>
          </w:tcPr>
          <w:p>
            <w:pPr>
              <w:pStyle w:val="TableParagraph"/>
              <w:spacing w:before="78"/>
              <w:ind w:left="1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rPr>
                <w:sz w:val="18"/>
              </w:rPr>
            </w:pPr>
          </w:p>
        </w:tc>
        <w:tc>
          <w:tcPr>
            <w:tcW w:w="1100" w:type="dxa"/>
            <w:shd w:val="clear" w:color="auto" w:fill="F2F2F2"/>
          </w:tcPr>
          <w:p>
            <w:pPr>
              <w:pStyle w:val="TableParagraph"/>
              <w:spacing w:before="78"/>
              <w:ind w:left="30" w:right="59"/>
              <w:jc w:val="center"/>
              <w:rPr>
                <w:rFonts w:ascii="Segoe UI Symbol" w:hAnsi="Segoe UI Symbol"/>
                <w:sz w:val="20"/>
              </w:rPr>
            </w:pPr>
            <w:r>
              <w:rPr>
                <w:rFonts w:ascii="Segoe UI Symbol" w:hAnsi="Segoe UI Symbol"/>
                <w:spacing w:val="-10"/>
                <w:w w:val="135"/>
                <w:sz w:val="20"/>
              </w:rPr>
              <w:t>✓</w:t>
            </w:r>
          </w:p>
        </w:tc>
        <w:tc>
          <w:tcPr>
            <w:tcW w:w="1180" w:type="dxa"/>
            <w:shd w:val="clear" w:color="auto" w:fill="F2F2F2"/>
          </w:tcPr>
          <w:p>
            <w:pPr>
              <w:pStyle w:val="TableParagraph"/>
              <w:spacing w:before="78"/>
              <w:ind w:left="3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rPr>
                <w:sz w:val="18"/>
              </w:rPr>
            </w:pPr>
          </w:p>
        </w:tc>
        <w:tc>
          <w:tcPr>
            <w:tcW w:w="1220" w:type="dxa"/>
            <w:shd w:val="clear" w:color="auto" w:fill="F2F2F2"/>
          </w:tcPr>
          <w:p>
            <w:pPr>
              <w:pStyle w:val="TableParagraph"/>
              <w:spacing w:before="78"/>
              <w:ind w:left="30"/>
              <w:jc w:val="center"/>
              <w:rPr>
                <w:rFonts w:ascii="Segoe UI Symbol" w:hAnsi="Segoe UI Symbol"/>
                <w:sz w:val="20"/>
              </w:rPr>
            </w:pPr>
            <w:r>
              <w:rPr>
                <w:rFonts w:ascii="Segoe UI Symbol" w:hAnsi="Segoe UI Symbol"/>
                <w:spacing w:val="-10"/>
                <w:w w:val="135"/>
                <w:sz w:val="20"/>
              </w:rPr>
              <w:t>✓</w:t>
            </w:r>
          </w:p>
        </w:tc>
        <w:tc>
          <w:tcPr>
            <w:tcW w:w="1260" w:type="dxa"/>
            <w:shd w:val="clear" w:color="auto" w:fill="F2F2F2"/>
          </w:tcPr>
          <w:p>
            <w:pPr>
              <w:pStyle w:val="TableParagraph"/>
              <w:rPr>
                <w:sz w:val="18"/>
              </w:rPr>
            </w:pPr>
          </w:p>
        </w:tc>
        <w:tc>
          <w:tcPr>
            <w:tcW w:w="1040" w:type="dxa"/>
            <w:shd w:val="clear" w:color="auto" w:fill="F2F2F2"/>
          </w:tcPr>
          <w:p>
            <w:pPr>
              <w:pStyle w:val="TableParagraph"/>
              <w:rPr>
                <w:sz w:val="18"/>
              </w:rPr>
            </w:pPr>
          </w:p>
        </w:tc>
        <w:tc>
          <w:tcPr>
            <w:tcW w:w="1060" w:type="dxa"/>
            <w:shd w:val="clear" w:color="auto" w:fill="F2F2F2"/>
          </w:tcPr>
          <w:p>
            <w:pPr>
              <w:pStyle w:val="TableParagraph"/>
              <w:rPr>
                <w:sz w:val="18"/>
              </w:rPr>
            </w:pPr>
          </w:p>
        </w:tc>
      </w:tr>
      <w:tr>
        <w:trPr>
          <w:trHeight w:val="499" w:hRule="atLeast"/>
        </w:trPr>
        <w:tc>
          <w:tcPr>
            <w:tcW w:w="580" w:type="dxa"/>
            <w:shd w:val="clear" w:color="auto" w:fill="F2F2F2"/>
          </w:tcPr>
          <w:p>
            <w:pPr>
              <w:pStyle w:val="TableParagraph"/>
              <w:spacing w:before="95"/>
              <w:ind w:left="5"/>
              <w:jc w:val="center"/>
              <w:rPr>
                <w:sz w:val="20"/>
              </w:rPr>
            </w:pPr>
            <w:r>
              <w:rPr>
                <w:spacing w:val="-5"/>
                <w:sz w:val="20"/>
              </w:rPr>
              <w:t>P2</w:t>
            </w:r>
          </w:p>
        </w:tc>
        <w:tc>
          <w:tcPr>
            <w:tcW w:w="1160" w:type="dxa"/>
            <w:shd w:val="clear" w:color="auto" w:fill="F2F2F2"/>
          </w:tcPr>
          <w:p>
            <w:pPr>
              <w:pStyle w:val="TableParagraph"/>
              <w:spacing w:before="82"/>
              <w:ind w:left="1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spacing w:before="82"/>
              <w:ind w:left="35" w:right="74"/>
              <w:jc w:val="center"/>
              <w:rPr>
                <w:rFonts w:ascii="Segoe UI Symbol" w:hAnsi="Segoe UI Symbol"/>
                <w:sz w:val="20"/>
              </w:rPr>
            </w:pPr>
            <w:r>
              <w:rPr>
                <w:rFonts w:ascii="Segoe UI Symbol" w:hAnsi="Segoe UI Symbol"/>
                <w:spacing w:val="-10"/>
                <w:w w:val="135"/>
                <w:sz w:val="20"/>
              </w:rPr>
              <w:t>✓</w:t>
            </w:r>
          </w:p>
        </w:tc>
        <w:tc>
          <w:tcPr>
            <w:tcW w:w="1100" w:type="dxa"/>
            <w:shd w:val="clear" w:color="auto" w:fill="F2F2F2"/>
          </w:tcPr>
          <w:p>
            <w:pPr>
              <w:pStyle w:val="TableParagraph"/>
              <w:rPr>
                <w:sz w:val="18"/>
              </w:rPr>
            </w:pPr>
          </w:p>
        </w:tc>
        <w:tc>
          <w:tcPr>
            <w:tcW w:w="1180" w:type="dxa"/>
            <w:shd w:val="clear" w:color="auto" w:fill="F2F2F2"/>
          </w:tcPr>
          <w:p>
            <w:pPr>
              <w:pStyle w:val="TableParagraph"/>
              <w:spacing w:before="82"/>
              <w:ind w:left="3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rPr>
                <w:sz w:val="18"/>
              </w:rPr>
            </w:pPr>
          </w:p>
        </w:tc>
        <w:tc>
          <w:tcPr>
            <w:tcW w:w="1220" w:type="dxa"/>
            <w:shd w:val="clear" w:color="auto" w:fill="F2F2F2"/>
          </w:tcPr>
          <w:p>
            <w:pPr>
              <w:pStyle w:val="TableParagraph"/>
              <w:spacing w:before="82"/>
              <w:ind w:left="30"/>
              <w:jc w:val="center"/>
              <w:rPr>
                <w:rFonts w:ascii="Segoe UI Symbol" w:hAnsi="Segoe UI Symbol"/>
                <w:sz w:val="20"/>
              </w:rPr>
            </w:pPr>
            <w:r>
              <w:rPr>
                <w:rFonts w:ascii="Segoe UI Symbol" w:hAnsi="Segoe UI Symbol"/>
                <w:spacing w:val="-10"/>
                <w:w w:val="135"/>
                <w:sz w:val="20"/>
              </w:rPr>
              <w:t>✓</w:t>
            </w:r>
          </w:p>
        </w:tc>
        <w:tc>
          <w:tcPr>
            <w:tcW w:w="1260" w:type="dxa"/>
            <w:shd w:val="clear" w:color="auto" w:fill="F2F2F2"/>
          </w:tcPr>
          <w:p>
            <w:pPr>
              <w:pStyle w:val="TableParagraph"/>
              <w:rPr>
                <w:sz w:val="18"/>
              </w:rPr>
            </w:pPr>
          </w:p>
        </w:tc>
        <w:tc>
          <w:tcPr>
            <w:tcW w:w="1040" w:type="dxa"/>
            <w:shd w:val="clear" w:color="auto" w:fill="F2F2F2"/>
          </w:tcPr>
          <w:p>
            <w:pPr>
              <w:pStyle w:val="TableParagraph"/>
              <w:rPr>
                <w:sz w:val="18"/>
              </w:rPr>
            </w:pPr>
          </w:p>
        </w:tc>
        <w:tc>
          <w:tcPr>
            <w:tcW w:w="1060" w:type="dxa"/>
            <w:shd w:val="clear" w:color="auto" w:fill="F2F2F2"/>
          </w:tcPr>
          <w:p>
            <w:pPr>
              <w:pStyle w:val="TableParagraph"/>
              <w:rPr>
                <w:sz w:val="18"/>
              </w:rPr>
            </w:pPr>
          </w:p>
        </w:tc>
      </w:tr>
      <w:tr>
        <w:trPr>
          <w:trHeight w:val="520" w:hRule="atLeast"/>
        </w:trPr>
        <w:tc>
          <w:tcPr>
            <w:tcW w:w="580" w:type="dxa"/>
            <w:shd w:val="clear" w:color="auto" w:fill="F2F2F2"/>
          </w:tcPr>
          <w:p>
            <w:pPr>
              <w:pStyle w:val="TableParagraph"/>
              <w:spacing w:before="100"/>
              <w:ind w:left="5"/>
              <w:jc w:val="center"/>
              <w:rPr>
                <w:sz w:val="20"/>
              </w:rPr>
            </w:pPr>
            <w:r>
              <w:rPr>
                <w:spacing w:val="-5"/>
                <w:sz w:val="20"/>
              </w:rPr>
              <w:t>P3</w:t>
            </w:r>
          </w:p>
        </w:tc>
        <w:tc>
          <w:tcPr>
            <w:tcW w:w="1160" w:type="dxa"/>
            <w:shd w:val="clear" w:color="auto" w:fill="F2F2F2"/>
          </w:tcPr>
          <w:p>
            <w:pPr>
              <w:pStyle w:val="TableParagraph"/>
              <w:spacing w:before="86"/>
              <w:ind w:left="1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spacing w:before="86"/>
              <w:ind w:left="59" w:right="39"/>
              <w:jc w:val="center"/>
              <w:rPr>
                <w:rFonts w:ascii="Segoe UI Symbol" w:hAnsi="Segoe UI Symbol"/>
                <w:sz w:val="20"/>
              </w:rPr>
            </w:pPr>
            <w:r>
              <w:rPr>
                <w:rFonts w:ascii="Segoe UI Symbol" w:hAnsi="Segoe UI Symbol"/>
                <w:spacing w:val="-10"/>
                <w:w w:val="135"/>
                <w:sz w:val="20"/>
              </w:rPr>
              <w:t>✓</w:t>
            </w:r>
          </w:p>
        </w:tc>
        <w:tc>
          <w:tcPr>
            <w:tcW w:w="1100" w:type="dxa"/>
            <w:shd w:val="clear" w:color="auto" w:fill="F2F2F2"/>
          </w:tcPr>
          <w:p>
            <w:pPr>
              <w:pStyle w:val="TableParagraph"/>
              <w:rPr>
                <w:sz w:val="18"/>
              </w:rPr>
            </w:pPr>
          </w:p>
        </w:tc>
        <w:tc>
          <w:tcPr>
            <w:tcW w:w="1180" w:type="dxa"/>
            <w:shd w:val="clear" w:color="auto" w:fill="F2F2F2"/>
          </w:tcPr>
          <w:p>
            <w:pPr>
              <w:pStyle w:val="TableParagraph"/>
              <w:rPr>
                <w:sz w:val="18"/>
              </w:rPr>
            </w:pPr>
          </w:p>
        </w:tc>
        <w:tc>
          <w:tcPr>
            <w:tcW w:w="1080" w:type="dxa"/>
            <w:shd w:val="clear" w:color="auto" w:fill="F2F2F2"/>
          </w:tcPr>
          <w:p>
            <w:pPr>
              <w:pStyle w:val="TableParagraph"/>
              <w:rPr>
                <w:sz w:val="18"/>
              </w:rPr>
            </w:pPr>
          </w:p>
        </w:tc>
        <w:tc>
          <w:tcPr>
            <w:tcW w:w="1220" w:type="dxa"/>
            <w:shd w:val="clear" w:color="auto" w:fill="F2F2F2"/>
          </w:tcPr>
          <w:p>
            <w:pPr>
              <w:pStyle w:val="TableParagraph"/>
              <w:rPr>
                <w:sz w:val="18"/>
              </w:rPr>
            </w:pPr>
          </w:p>
        </w:tc>
        <w:tc>
          <w:tcPr>
            <w:tcW w:w="1260" w:type="dxa"/>
            <w:shd w:val="clear" w:color="auto" w:fill="F2F2F2"/>
          </w:tcPr>
          <w:p>
            <w:pPr>
              <w:pStyle w:val="TableParagraph"/>
              <w:rPr>
                <w:sz w:val="18"/>
              </w:rPr>
            </w:pPr>
          </w:p>
        </w:tc>
        <w:tc>
          <w:tcPr>
            <w:tcW w:w="1040" w:type="dxa"/>
            <w:shd w:val="clear" w:color="auto" w:fill="F2F2F2"/>
          </w:tcPr>
          <w:p>
            <w:pPr>
              <w:pStyle w:val="TableParagraph"/>
              <w:rPr>
                <w:sz w:val="18"/>
              </w:rPr>
            </w:pPr>
          </w:p>
        </w:tc>
        <w:tc>
          <w:tcPr>
            <w:tcW w:w="1060" w:type="dxa"/>
            <w:shd w:val="clear" w:color="auto" w:fill="F2F2F2"/>
          </w:tcPr>
          <w:p>
            <w:pPr>
              <w:pStyle w:val="TableParagraph"/>
              <w:rPr>
                <w:sz w:val="18"/>
              </w:rPr>
            </w:pPr>
          </w:p>
        </w:tc>
      </w:tr>
      <w:tr>
        <w:trPr>
          <w:trHeight w:val="500" w:hRule="atLeast"/>
        </w:trPr>
        <w:tc>
          <w:tcPr>
            <w:tcW w:w="580" w:type="dxa"/>
            <w:shd w:val="clear" w:color="auto" w:fill="D9D9D9"/>
          </w:tcPr>
          <w:p>
            <w:pPr>
              <w:pStyle w:val="TableParagraph"/>
              <w:spacing w:before="84"/>
              <w:ind w:left="5"/>
              <w:jc w:val="center"/>
              <w:rPr>
                <w:sz w:val="20"/>
              </w:rPr>
            </w:pPr>
            <w:r>
              <w:rPr>
                <w:spacing w:val="-5"/>
                <w:sz w:val="20"/>
              </w:rPr>
              <w:t>P4</w:t>
            </w:r>
          </w:p>
        </w:tc>
        <w:tc>
          <w:tcPr>
            <w:tcW w:w="1160" w:type="dxa"/>
            <w:shd w:val="clear" w:color="auto" w:fill="D9D9D9"/>
          </w:tcPr>
          <w:p>
            <w:pPr>
              <w:pStyle w:val="TableParagraph"/>
              <w:rPr>
                <w:sz w:val="18"/>
              </w:rPr>
            </w:pPr>
          </w:p>
        </w:tc>
        <w:tc>
          <w:tcPr>
            <w:tcW w:w="1080" w:type="dxa"/>
            <w:shd w:val="clear" w:color="auto" w:fill="D9D9D9"/>
          </w:tcPr>
          <w:p>
            <w:pPr>
              <w:pStyle w:val="TableParagraph"/>
              <w:rPr>
                <w:sz w:val="18"/>
              </w:rPr>
            </w:pPr>
          </w:p>
        </w:tc>
        <w:tc>
          <w:tcPr>
            <w:tcW w:w="1100" w:type="dxa"/>
            <w:shd w:val="clear" w:color="auto" w:fill="D9D9D9"/>
          </w:tcPr>
          <w:p>
            <w:pPr>
              <w:pStyle w:val="TableParagraph"/>
              <w:rPr>
                <w:sz w:val="18"/>
              </w:rPr>
            </w:pPr>
          </w:p>
        </w:tc>
        <w:tc>
          <w:tcPr>
            <w:tcW w:w="1180" w:type="dxa"/>
            <w:shd w:val="clear" w:color="auto" w:fill="D9D9D9"/>
          </w:tcPr>
          <w:p>
            <w:pPr>
              <w:pStyle w:val="TableParagraph"/>
              <w:spacing w:before="70"/>
              <w:ind w:left="3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D9D9D9"/>
          </w:tcPr>
          <w:p>
            <w:pPr>
              <w:pStyle w:val="TableParagraph"/>
              <w:rPr>
                <w:sz w:val="18"/>
              </w:rPr>
            </w:pPr>
          </w:p>
        </w:tc>
        <w:tc>
          <w:tcPr>
            <w:tcW w:w="1220" w:type="dxa"/>
            <w:shd w:val="clear" w:color="auto" w:fill="D9D9D9"/>
          </w:tcPr>
          <w:p>
            <w:pPr>
              <w:pStyle w:val="TableParagraph"/>
              <w:spacing w:before="70"/>
              <w:ind w:left="30"/>
              <w:jc w:val="center"/>
              <w:rPr>
                <w:rFonts w:ascii="Segoe UI Symbol" w:hAnsi="Segoe UI Symbol"/>
                <w:sz w:val="20"/>
              </w:rPr>
            </w:pPr>
            <w:r>
              <w:rPr>
                <w:rFonts w:ascii="Segoe UI Symbol" w:hAnsi="Segoe UI Symbol"/>
                <w:spacing w:val="-10"/>
                <w:w w:val="135"/>
                <w:sz w:val="20"/>
              </w:rPr>
              <w:t>✓</w:t>
            </w:r>
          </w:p>
        </w:tc>
        <w:tc>
          <w:tcPr>
            <w:tcW w:w="1260" w:type="dxa"/>
            <w:shd w:val="clear" w:color="auto" w:fill="D9D9D9"/>
          </w:tcPr>
          <w:p>
            <w:pPr>
              <w:pStyle w:val="TableParagraph"/>
              <w:rPr>
                <w:sz w:val="18"/>
              </w:rPr>
            </w:pPr>
          </w:p>
        </w:tc>
        <w:tc>
          <w:tcPr>
            <w:tcW w:w="1040" w:type="dxa"/>
            <w:shd w:val="clear" w:color="auto" w:fill="D9D9D9"/>
          </w:tcPr>
          <w:p>
            <w:pPr>
              <w:pStyle w:val="TableParagraph"/>
              <w:rPr>
                <w:sz w:val="18"/>
              </w:rPr>
            </w:pPr>
          </w:p>
        </w:tc>
        <w:tc>
          <w:tcPr>
            <w:tcW w:w="1060" w:type="dxa"/>
            <w:shd w:val="clear" w:color="auto" w:fill="D9D9D9"/>
          </w:tcPr>
          <w:p>
            <w:pPr>
              <w:pStyle w:val="TableParagraph"/>
              <w:rPr>
                <w:sz w:val="18"/>
              </w:rPr>
            </w:pPr>
          </w:p>
        </w:tc>
      </w:tr>
      <w:tr>
        <w:trPr>
          <w:trHeight w:val="460" w:hRule="atLeast"/>
        </w:trPr>
        <w:tc>
          <w:tcPr>
            <w:tcW w:w="580" w:type="dxa"/>
            <w:shd w:val="clear" w:color="auto" w:fill="D9D9D9"/>
          </w:tcPr>
          <w:p>
            <w:pPr>
              <w:pStyle w:val="TableParagraph"/>
              <w:spacing w:before="88"/>
              <w:ind w:left="5"/>
              <w:jc w:val="center"/>
              <w:rPr>
                <w:sz w:val="20"/>
              </w:rPr>
            </w:pPr>
            <w:r>
              <w:rPr>
                <w:spacing w:val="-5"/>
                <w:sz w:val="20"/>
              </w:rPr>
              <w:t>P5</w:t>
            </w:r>
          </w:p>
        </w:tc>
        <w:tc>
          <w:tcPr>
            <w:tcW w:w="1160" w:type="dxa"/>
            <w:shd w:val="clear" w:color="auto" w:fill="D9D9D9"/>
          </w:tcPr>
          <w:p>
            <w:pPr>
              <w:pStyle w:val="TableParagraph"/>
              <w:rPr>
                <w:sz w:val="18"/>
              </w:rPr>
            </w:pPr>
          </w:p>
        </w:tc>
        <w:tc>
          <w:tcPr>
            <w:tcW w:w="1080" w:type="dxa"/>
            <w:shd w:val="clear" w:color="auto" w:fill="D9D9D9"/>
          </w:tcPr>
          <w:p>
            <w:pPr>
              <w:pStyle w:val="TableParagraph"/>
              <w:rPr>
                <w:sz w:val="18"/>
              </w:rPr>
            </w:pPr>
          </w:p>
        </w:tc>
        <w:tc>
          <w:tcPr>
            <w:tcW w:w="1100" w:type="dxa"/>
            <w:shd w:val="clear" w:color="auto" w:fill="D9D9D9"/>
          </w:tcPr>
          <w:p>
            <w:pPr>
              <w:pStyle w:val="TableParagraph"/>
              <w:rPr>
                <w:sz w:val="18"/>
              </w:rPr>
            </w:pPr>
          </w:p>
        </w:tc>
        <w:tc>
          <w:tcPr>
            <w:tcW w:w="1180" w:type="dxa"/>
            <w:shd w:val="clear" w:color="auto" w:fill="D9D9D9"/>
          </w:tcPr>
          <w:p>
            <w:pPr>
              <w:pStyle w:val="TableParagraph"/>
              <w:rPr>
                <w:sz w:val="18"/>
              </w:rPr>
            </w:pPr>
          </w:p>
        </w:tc>
        <w:tc>
          <w:tcPr>
            <w:tcW w:w="1080" w:type="dxa"/>
            <w:shd w:val="clear" w:color="auto" w:fill="D9D9D9"/>
          </w:tcPr>
          <w:p>
            <w:pPr>
              <w:pStyle w:val="TableParagraph"/>
              <w:rPr>
                <w:sz w:val="18"/>
              </w:rPr>
            </w:pPr>
          </w:p>
        </w:tc>
        <w:tc>
          <w:tcPr>
            <w:tcW w:w="1220" w:type="dxa"/>
            <w:shd w:val="clear" w:color="auto" w:fill="D9D9D9"/>
          </w:tcPr>
          <w:p>
            <w:pPr>
              <w:pStyle w:val="TableParagraph"/>
              <w:rPr>
                <w:sz w:val="18"/>
              </w:rPr>
            </w:pPr>
          </w:p>
        </w:tc>
        <w:tc>
          <w:tcPr>
            <w:tcW w:w="1260" w:type="dxa"/>
            <w:shd w:val="clear" w:color="auto" w:fill="D9D9D9"/>
          </w:tcPr>
          <w:p>
            <w:pPr>
              <w:pStyle w:val="TableParagraph"/>
              <w:rPr>
                <w:sz w:val="18"/>
              </w:rPr>
            </w:pPr>
          </w:p>
        </w:tc>
        <w:tc>
          <w:tcPr>
            <w:tcW w:w="1040" w:type="dxa"/>
            <w:shd w:val="clear" w:color="auto" w:fill="D9D9D9"/>
          </w:tcPr>
          <w:p>
            <w:pPr>
              <w:pStyle w:val="TableParagraph"/>
              <w:rPr>
                <w:sz w:val="18"/>
              </w:rPr>
            </w:pPr>
          </w:p>
        </w:tc>
        <w:tc>
          <w:tcPr>
            <w:tcW w:w="1060" w:type="dxa"/>
            <w:shd w:val="clear" w:color="auto" w:fill="D9D9D9"/>
          </w:tcPr>
          <w:p>
            <w:pPr>
              <w:pStyle w:val="TableParagraph"/>
              <w:rPr>
                <w:sz w:val="18"/>
              </w:rPr>
            </w:pPr>
          </w:p>
        </w:tc>
      </w:tr>
      <w:tr>
        <w:trPr>
          <w:trHeight w:val="499" w:hRule="atLeast"/>
        </w:trPr>
        <w:tc>
          <w:tcPr>
            <w:tcW w:w="580" w:type="dxa"/>
            <w:shd w:val="clear" w:color="auto" w:fill="F2F2F2"/>
          </w:tcPr>
          <w:p>
            <w:pPr>
              <w:pStyle w:val="TableParagraph"/>
              <w:spacing w:before="97"/>
              <w:ind w:left="5"/>
              <w:jc w:val="center"/>
              <w:rPr>
                <w:sz w:val="20"/>
              </w:rPr>
            </w:pPr>
            <w:r>
              <w:rPr>
                <w:spacing w:val="-5"/>
                <w:sz w:val="20"/>
              </w:rPr>
              <w:t>P6</w:t>
            </w:r>
          </w:p>
        </w:tc>
        <w:tc>
          <w:tcPr>
            <w:tcW w:w="1160" w:type="dxa"/>
            <w:shd w:val="clear" w:color="auto" w:fill="F2F2F2"/>
          </w:tcPr>
          <w:p>
            <w:pPr>
              <w:pStyle w:val="TableParagraph"/>
              <w:rPr>
                <w:sz w:val="18"/>
              </w:rPr>
            </w:pPr>
          </w:p>
        </w:tc>
        <w:tc>
          <w:tcPr>
            <w:tcW w:w="1080" w:type="dxa"/>
            <w:shd w:val="clear" w:color="auto" w:fill="F2F2F2"/>
          </w:tcPr>
          <w:p>
            <w:pPr>
              <w:pStyle w:val="TableParagraph"/>
              <w:rPr>
                <w:sz w:val="18"/>
              </w:rPr>
            </w:pPr>
          </w:p>
        </w:tc>
        <w:tc>
          <w:tcPr>
            <w:tcW w:w="1100" w:type="dxa"/>
            <w:shd w:val="clear" w:color="auto" w:fill="F2F2F2"/>
          </w:tcPr>
          <w:p>
            <w:pPr>
              <w:pStyle w:val="TableParagraph"/>
              <w:rPr>
                <w:sz w:val="18"/>
              </w:rPr>
            </w:pPr>
          </w:p>
        </w:tc>
        <w:tc>
          <w:tcPr>
            <w:tcW w:w="1180" w:type="dxa"/>
            <w:shd w:val="clear" w:color="auto" w:fill="F2F2F2"/>
          </w:tcPr>
          <w:p>
            <w:pPr>
              <w:pStyle w:val="TableParagraph"/>
              <w:spacing w:before="83"/>
              <w:ind w:left="3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rPr>
                <w:sz w:val="18"/>
              </w:rPr>
            </w:pPr>
          </w:p>
        </w:tc>
        <w:tc>
          <w:tcPr>
            <w:tcW w:w="1220" w:type="dxa"/>
            <w:shd w:val="clear" w:color="auto" w:fill="F2F2F2"/>
          </w:tcPr>
          <w:p>
            <w:pPr>
              <w:pStyle w:val="TableParagraph"/>
              <w:spacing w:before="83"/>
              <w:ind w:left="30"/>
              <w:jc w:val="center"/>
              <w:rPr>
                <w:rFonts w:ascii="Segoe UI Symbol" w:hAnsi="Segoe UI Symbol"/>
                <w:sz w:val="20"/>
              </w:rPr>
            </w:pPr>
            <w:r>
              <w:rPr>
                <w:rFonts w:ascii="Segoe UI Symbol" w:hAnsi="Segoe UI Symbol"/>
                <w:spacing w:val="-10"/>
                <w:w w:val="135"/>
                <w:sz w:val="20"/>
              </w:rPr>
              <w:t>✓</w:t>
            </w:r>
          </w:p>
        </w:tc>
        <w:tc>
          <w:tcPr>
            <w:tcW w:w="1260" w:type="dxa"/>
            <w:shd w:val="clear" w:color="auto" w:fill="F2F2F2"/>
          </w:tcPr>
          <w:p>
            <w:pPr>
              <w:pStyle w:val="TableParagraph"/>
              <w:rPr>
                <w:sz w:val="18"/>
              </w:rPr>
            </w:pPr>
          </w:p>
        </w:tc>
        <w:tc>
          <w:tcPr>
            <w:tcW w:w="1040" w:type="dxa"/>
            <w:shd w:val="clear" w:color="auto" w:fill="F2F2F2"/>
          </w:tcPr>
          <w:p>
            <w:pPr>
              <w:pStyle w:val="TableParagraph"/>
              <w:rPr>
                <w:sz w:val="18"/>
              </w:rPr>
            </w:pPr>
          </w:p>
        </w:tc>
        <w:tc>
          <w:tcPr>
            <w:tcW w:w="1060" w:type="dxa"/>
            <w:shd w:val="clear" w:color="auto" w:fill="F2F2F2"/>
          </w:tcPr>
          <w:p>
            <w:pPr>
              <w:pStyle w:val="TableParagraph"/>
              <w:rPr>
                <w:sz w:val="18"/>
              </w:rPr>
            </w:pPr>
          </w:p>
        </w:tc>
      </w:tr>
      <w:tr>
        <w:trPr>
          <w:trHeight w:val="520" w:hRule="atLeast"/>
        </w:trPr>
        <w:tc>
          <w:tcPr>
            <w:tcW w:w="580" w:type="dxa"/>
            <w:shd w:val="clear" w:color="auto" w:fill="F2F2F2"/>
          </w:tcPr>
          <w:p>
            <w:pPr>
              <w:pStyle w:val="TableParagraph"/>
              <w:spacing w:before="101"/>
              <w:ind w:left="5"/>
              <w:jc w:val="center"/>
              <w:rPr>
                <w:sz w:val="20"/>
              </w:rPr>
            </w:pPr>
            <w:r>
              <w:rPr>
                <w:spacing w:val="-5"/>
                <w:sz w:val="20"/>
              </w:rPr>
              <w:t>P7</w:t>
            </w:r>
          </w:p>
        </w:tc>
        <w:tc>
          <w:tcPr>
            <w:tcW w:w="1160" w:type="dxa"/>
            <w:shd w:val="clear" w:color="auto" w:fill="F2F2F2"/>
          </w:tcPr>
          <w:p>
            <w:pPr>
              <w:pStyle w:val="TableParagraph"/>
              <w:spacing w:before="87"/>
              <w:ind w:left="1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spacing w:before="87"/>
              <w:ind w:left="35" w:right="74"/>
              <w:jc w:val="center"/>
              <w:rPr>
                <w:rFonts w:ascii="Segoe UI Symbol" w:hAnsi="Segoe UI Symbol"/>
                <w:sz w:val="20"/>
              </w:rPr>
            </w:pPr>
            <w:r>
              <w:rPr>
                <w:rFonts w:ascii="Segoe UI Symbol" w:hAnsi="Segoe UI Symbol"/>
                <w:spacing w:val="-10"/>
                <w:w w:val="135"/>
                <w:sz w:val="20"/>
              </w:rPr>
              <w:t>✓</w:t>
            </w:r>
          </w:p>
        </w:tc>
        <w:tc>
          <w:tcPr>
            <w:tcW w:w="1100" w:type="dxa"/>
            <w:shd w:val="clear" w:color="auto" w:fill="F2F2F2"/>
          </w:tcPr>
          <w:p>
            <w:pPr>
              <w:pStyle w:val="TableParagraph"/>
              <w:spacing w:before="87"/>
              <w:ind w:left="30" w:right="59"/>
              <w:jc w:val="center"/>
              <w:rPr>
                <w:rFonts w:ascii="Segoe UI Symbol" w:hAnsi="Segoe UI Symbol"/>
                <w:sz w:val="20"/>
              </w:rPr>
            </w:pPr>
            <w:r>
              <w:rPr>
                <w:rFonts w:ascii="Segoe UI Symbol" w:hAnsi="Segoe UI Symbol"/>
                <w:spacing w:val="-10"/>
                <w:w w:val="135"/>
                <w:sz w:val="20"/>
              </w:rPr>
              <w:t>✓</w:t>
            </w:r>
          </w:p>
        </w:tc>
        <w:tc>
          <w:tcPr>
            <w:tcW w:w="1180" w:type="dxa"/>
            <w:shd w:val="clear" w:color="auto" w:fill="F2F2F2"/>
          </w:tcPr>
          <w:p>
            <w:pPr>
              <w:pStyle w:val="TableParagraph"/>
              <w:spacing w:before="87"/>
              <w:ind w:left="3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rPr>
                <w:sz w:val="18"/>
              </w:rPr>
            </w:pPr>
          </w:p>
        </w:tc>
        <w:tc>
          <w:tcPr>
            <w:tcW w:w="1220" w:type="dxa"/>
            <w:shd w:val="clear" w:color="auto" w:fill="F2F2F2"/>
          </w:tcPr>
          <w:p>
            <w:pPr>
              <w:pStyle w:val="TableParagraph"/>
              <w:spacing w:before="87"/>
              <w:ind w:left="30"/>
              <w:jc w:val="center"/>
              <w:rPr>
                <w:rFonts w:ascii="Segoe UI Symbol" w:hAnsi="Segoe UI Symbol"/>
                <w:sz w:val="20"/>
              </w:rPr>
            </w:pPr>
            <w:r>
              <w:rPr>
                <w:rFonts w:ascii="Segoe UI Symbol" w:hAnsi="Segoe UI Symbol"/>
                <w:spacing w:val="-10"/>
                <w:w w:val="135"/>
                <w:sz w:val="20"/>
              </w:rPr>
              <w:t>✓</w:t>
            </w:r>
          </w:p>
        </w:tc>
        <w:tc>
          <w:tcPr>
            <w:tcW w:w="1260" w:type="dxa"/>
            <w:shd w:val="clear" w:color="auto" w:fill="F2F2F2"/>
          </w:tcPr>
          <w:p>
            <w:pPr>
              <w:pStyle w:val="TableParagraph"/>
              <w:rPr>
                <w:sz w:val="18"/>
              </w:rPr>
            </w:pPr>
          </w:p>
        </w:tc>
        <w:tc>
          <w:tcPr>
            <w:tcW w:w="1040" w:type="dxa"/>
            <w:shd w:val="clear" w:color="auto" w:fill="F2F2F2"/>
          </w:tcPr>
          <w:p>
            <w:pPr>
              <w:pStyle w:val="TableParagraph"/>
              <w:rPr>
                <w:sz w:val="18"/>
              </w:rPr>
            </w:pPr>
          </w:p>
        </w:tc>
        <w:tc>
          <w:tcPr>
            <w:tcW w:w="1060" w:type="dxa"/>
            <w:shd w:val="clear" w:color="auto" w:fill="F2F2F2"/>
          </w:tcPr>
          <w:p>
            <w:pPr>
              <w:pStyle w:val="TableParagraph"/>
              <w:rPr>
                <w:sz w:val="18"/>
              </w:rPr>
            </w:pPr>
          </w:p>
        </w:tc>
      </w:tr>
      <w:tr>
        <w:trPr>
          <w:trHeight w:val="499" w:hRule="atLeast"/>
        </w:trPr>
        <w:tc>
          <w:tcPr>
            <w:tcW w:w="580" w:type="dxa"/>
            <w:shd w:val="clear" w:color="auto" w:fill="F2F2F2"/>
          </w:tcPr>
          <w:p>
            <w:pPr>
              <w:pStyle w:val="TableParagraph"/>
              <w:spacing w:before="85"/>
              <w:ind w:left="5"/>
              <w:jc w:val="center"/>
              <w:rPr>
                <w:sz w:val="20"/>
              </w:rPr>
            </w:pPr>
            <w:r>
              <w:rPr>
                <w:spacing w:val="-5"/>
                <w:sz w:val="20"/>
              </w:rPr>
              <w:t>P8</w:t>
            </w:r>
          </w:p>
        </w:tc>
        <w:tc>
          <w:tcPr>
            <w:tcW w:w="1160" w:type="dxa"/>
            <w:shd w:val="clear" w:color="auto" w:fill="F2F2F2"/>
          </w:tcPr>
          <w:p>
            <w:pPr>
              <w:pStyle w:val="TableParagraph"/>
              <w:spacing w:before="71"/>
              <w:ind w:left="1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rPr>
                <w:sz w:val="18"/>
              </w:rPr>
            </w:pPr>
          </w:p>
        </w:tc>
        <w:tc>
          <w:tcPr>
            <w:tcW w:w="1100" w:type="dxa"/>
            <w:shd w:val="clear" w:color="auto" w:fill="F2F2F2"/>
          </w:tcPr>
          <w:p>
            <w:pPr>
              <w:pStyle w:val="TableParagraph"/>
              <w:spacing w:before="71"/>
              <w:ind w:left="59" w:right="29"/>
              <w:jc w:val="center"/>
              <w:rPr>
                <w:rFonts w:ascii="Segoe UI Symbol" w:hAnsi="Segoe UI Symbol"/>
                <w:sz w:val="20"/>
              </w:rPr>
            </w:pPr>
            <w:r>
              <w:rPr>
                <w:rFonts w:ascii="Segoe UI Symbol" w:hAnsi="Segoe UI Symbol"/>
                <w:spacing w:val="-10"/>
                <w:w w:val="135"/>
                <w:sz w:val="20"/>
              </w:rPr>
              <w:t>✓</w:t>
            </w:r>
          </w:p>
        </w:tc>
        <w:tc>
          <w:tcPr>
            <w:tcW w:w="1180" w:type="dxa"/>
            <w:shd w:val="clear" w:color="auto" w:fill="F2F2F2"/>
          </w:tcPr>
          <w:p>
            <w:pPr>
              <w:pStyle w:val="TableParagraph"/>
              <w:rPr>
                <w:sz w:val="18"/>
              </w:rPr>
            </w:pPr>
          </w:p>
        </w:tc>
        <w:tc>
          <w:tcPr>
            <w:tcW w:w="1080" w:type="dxa"/>
            <w:shd w:val="clear" w:color="auto" w:fill="F2F2F2"/>
          </w:tcPr>
          <w:p>
            <w:pPr>
              <w:pStyle w:val="TableParagraph"/>
              <w:rPr>
                <w:sz w:val="18"/>
              </w:rPr>
            </w:pPr>
          </w:p>
        </w:tc>
        <w:tc>
          <w:tcPr>
            <w:tcW w:w="1220" w:type="dxa"/>
            <w:shd w:val="clear" w:color="auto" w:fill="F2F2F2"/>
          </w:tcPr>
          <w:p>
            <w:pPr>
              <w:pStyle w:val="TableParagraph"/>
              <w:rPr>
                <w:sz w:val="18"/>
              </w:rPr>
            </w:pPr>
          </w:p>
        </w:tc>
        <w:tc>
          <w:tcPr>
            <w:tcW w:w="1260" w:type="dxa"/>
            <w:shd w:val="clear" w:color="auto" w:fill="F2F2F2"/>
          </w:tcPr>
          <w:p>
            <w:pPr>
              <w:pStyle w:val="TableParagraph"/>
              <w:rPr>
                <w:sz w:val="18"/>
              </w:rPr>
            </w:pPr>
          </w:p>
        </w:tc>
        <w:tc>
          <w:tcPr>
            <w:tcW w:w="1040" w:type="dxa"/>
            <w:shd w:val="clear" w:color="auto" w:fill="F2F2F2"/>
          </w:tcPr>
          <w:p>
            <w:pPr>
              <w:pStyle w:val="TableParagraph"/>
              <w:rPr>
                <w:sz w:val="18"/>
              </w:rPr>
            </w:pPr>
          </w:p>
        </w:tc>
        <w:tc>
          <w:tcPr>
            <w:tcW w:w="1060" w:type="dxa"/>
            <w:shd w:val="clear" w:color="auto" w:fill="F2F2F2"/>
          </w:tcPr>
          <w:p>
            <w:pPr>
              <w:pStyle w:val="TableParagraph"/>
              <w:rPr>
                <w:sz w:val="18"/>
              </w:rPr>
            </w:pPr>
          </w:p>
        </w:tc>
      </w:tr>
      <w:tr>
        <w:trPr>
          <w:trHeight w:val="499" w:hRule="atLeast"/>
        </w:trPr>
        <w:tc>
          <w:tcPr>
            <w:tcW w:w="580" w:type="dxa"/>
            <w:shd w:val="clear" w:color="auto" w:fill="F2F2F2"/>
          </w:tcPr>
          <w:p>
            <w:pPr>
              <w:pStyle w:val="TableParagraph"/>
              <w:spacing w:before="89"/>
              <w:ind w:left="5"/>
              <w:jc w:val="center"/>
              <w:rPr>
                <w:sz w:val="20"/>
              </w:rPr>
            </w:pPr>
            <w:r>
              <w:rPr>
                <w:spacing w:val="-5"/>
                <w:sz w:val="20"/>
              </w:rPr>
              <w:t>P9</w:t>
            </w:r>
          </w:p>
        </w:tc>
        <w:tc>
          <w:tcPr>
            <w:tcW w:w="1160" w:type="dxa"/>
            <w:shd w:val="clear" w:color="auto" w:fill="F2F2F2"/>
          </w:tcPr>
          <w:p>
            <w:pPr>
              <w:pStyle w:val="TableParagraph"/>
              <w:rPr>
                <w:sz w:val="18"/>
              </w:rPr>
            </w:pPr>
          </w:p>
        </w:tc>
        <w:tc>
          <w:tcPr>
            <w:tcW w:w="1080" w:type="dxa"/>
            <w:shd w:val="clear" w:color="auto" w:fill="F2F2F2"/>
          </w:tcPr>
          <w:p>
            <w:pPr>
              <w:pStyle w:val="TableParagraph"/>
              <w:rPr>
                <w:sz w:val="18"/>
              </w:rPr>
            </w:pPr>
          </w:p>
        </w:tc>
        <w:tc>
          <w:tcPr>
            <w:tcW w:w="1100" w:type="dxa"/>
            <w:shd w:val="clear" w:color="auto" w:fill="F2F2F2"/>
          </w:tcPr>
          <w:p>
            <w:pPr>
              <w:pStyle w:val="TableParagraph"/>
              <w:rPr>
                <w:sz w:val="18"/>
              </w:rPr>
            </w:pPr>
          </w:p>
        </w:tc>
        <w:tc>
          <w:tcPr>
            <w:tcW w:w="1180" w:type="dxa"/>
            <w:shd w:val="clear" w:color="auto" w:fill="F2F2F2"/>
          </w:tcPr>
          <w:p>
            <w:pPr>
              <w:pStyle w:val="TableParagraph"/>
              <w:spacing w:before="75"/>
              <w:ind w:left="3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rPr>
                <w:sz w:val="18"/>
              </w:rPr>
            </w:pPr>
          </w:p>
        </w:tc>
        <w:tc>
          <w:tcPr>
            <w:tcW w:w="1220" w:type="dxa"/>
            <w:shd w:val="clear" w:color="auto" w:fill="F2F2F2"/>
          </w:tcPr>
          <w:p>
            <w:pPr>
              <w:pStyle w:val="TableParagraph"/>
              <w:spacing w:before="75"/>
              <w:ind w:left="30"/>
              <w:jc w:val="center"/>
              <w:rPr>
                <w:rFonts w:ascii="Segoe UI Symbol" w:hAnsi="Segoe UI Symbol"/>
                <w:sz w:val="20"/>
              </w:rPr>
            </w:pPr>
            <w:r>
              <w:rPr>
                <w:rFonts w:ascii="Segoe UI Symbol" w:hAnsi="Segoe UI Symbol"/>
                <w:spacing w:val="-10"/>
                <w:w w:val="135"/>
                <w:sz w:val="20"/>
              </w:rPr>
              <w:t>✓</w:t>
            </w:r>
          </w:p>
        </w:tc>
        <w:tc>
          <w:tcPr>
            <w:tcW w:w="1260" w:type="dxa"/>
            <w:shd w:val="clear" w:color="auto" w:fill="F2F2F2"/>
          </w:tcPr>
          <w:p>
            <w:pPr>
              <w:pStyle w:val="TableParagraph"/>
              <w:rPr>
                <w:sz w:val="18"/>
              </w:rPr>
            </w:pPr>
          </w:p>
        </w:tc>
        <w:tc>
          <w:tcPr>
            <w:tcW w:w="1040" w:type="dxa"/>
            <w:shd w:val="clear" w:color="auto" w:fill="F2F2F2"/>
          </w:tcPr>
          <w:p>
            <w:pPr>
              <w:pStyle w:val="TableParagraph"/>
              <w:rPr>
                <w:sz w:val="18"/>
              </w:rPr>
            </w:pPr>
          </w:p>
        </w:tc>
        <w:tc>
          <w:tcPr>
            <w:tcW w:w="1060" w:type="dxa"/>
            <w:shd w:val="clear" w:color="auto" w:fill="F2F2F2"/>
          </w:tcPr>
          <w:p>
            <w:pPr>
              <w:pStyle w:val="TableParagraph"/>
              <w:rPr>
                <w:sz w:val="18"/>
              </w:rPr>
            </w:pPr>
          </w:p>
        </w:tc>
      </w:tr>
      <w:tr>
        <w:trPr>
          <w:trHeight w:val="500" w:hRule="atLeast"/>
        </w:trPr>
        <w:tc>
          <w:tcPr>
            <w:tcW w:w="580" w:type="dxa"/>
            <w:shd w:val="clear" w:color="auto" w:fill="F2F2F2"/>
          </w:tcPr>
          <w:p>
            <w:pPr>
              <w:pStyle w:val="TableParagraph"/>
              <w:spacing w:before="93"/>
              <w:ind w:left="5"/>
              <w:jc w:val="center"/>
              <w:rPr>
                <w:sz w:val="20"/>
              </w:rPr>
            </w:pPr>
            <w:r>
              <w:rPr>
                <w:spacing w:val="-5"/>
                <w:sz w:val="20"/>
              </w:rPr>
              <w:t>P10</w:t>
            </w:r>
          </w:p>
        </w:tc>
        <w:tc>
          <w:tcPr>
            <w:tcW w:w="1160" w:type="dxa"/>
            <w:shd w:val="clear" w:color="auto" w:fill="F2F2F2"/>
          </w:tcPr>
          <w:p>
            <w:pPr>
              <w:pStyle w:val="TableParagraph"/>
              <w:spacing w:before="79"/>
              <w:ind w:left="1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rPr>
                <w:sz w:val="18"/>
              </w:rPr>
            </w:pPr>
          </w:p>
        </w:tc>
        <w:tc>
          <w:tcPr>
            <w:tcW w:w="1100" w:type="dxa"/>
            <w:shd w:val="clear" w:color="auto" w:fill="F2F2F2"/>
          </w:tcPr>
          <w:p>
            <w:pPr>
              <w:pStyle w:val="TableParagraph"/>
              <w:spacing w:before="79"/>
              <w:ind w:left="30" w:right="59"/>
              <w:jc w:val="center"/>
              <w:rPr>
                <w:rFonts w:ascii="Segoe UI Symbol" w:hAnsi="Segoe UI Symbol"/>
                <w:sz w:val="20"/>
              </w:rPr>
            </w:pPr>
            <w:r>
              <w:rPr>
                <w:rFonts w:ascii="Segoe UI Symbol" w:hAnsi="Segoe UI Symbol"/>
                <w:spacing w:val="-10"/>
                <w:w w:val="135"/>
                <w:sz w:val="20"/>
              </w:rPr>
              <w:t>✓</w:t>
            </w:r>
          </w:p>
        </w:tc>
        <w:tc>
          <w:tcPr>
            <w:tcW w:w="1180" w:type="dxa"/>
            <w:shd w:val="clear" w:color="auto" w:fill="F2F2F2"/>
          </w:tcPr>
          <w:p>
            <w:pPr>
              <w:pStyle w:val="TableParagraph"/>
              <w:rPr>
                <w:sz w:val="18"/>
              </w:rPr>
            </w:pPr>
          </w:p>
        </w:tc>
        <w:tc>
          <w:tcPr>
            <w:tcW w:w="1080" w:type="dxa"/>
            <w:shd w:val="clear" w:color="auto" w:fill="F2F2F2"/>
          </w:tcPr>
          <w:p>
            <w:pPr>
              <w:pStyle w:val="TableParagraph"/>
              <w:rPr>
                <w:sz w:val="18"/>
              </w:rPr>
            </w:pPr>
          </w:p>
        </w:tc>
        <w:tc>
          <w:tcPr>
            <w:tcW w:w="1220" w:type="dxa"/>
            <w:shd w:val="clear" w:color="auto" w:fill="F2F2F2"/>
          </w:tcPr>
          <w:p>
            <w:pPr>
              <w:pStyle w:val="TableParagraph"/>
              <w:rPr>
                <w:sz w:val="18"/>
              </w:rPr>
            </w:pPr>
          </w:p>
        </w:tc>
        <w:tc>
          <w:tcPr>
            <w:tcW w:w="1260" w:type="dxa"/>
            <w:shd w:val="clear" w:color="auto" w:fill="F2F2F2"/>
          </w:tcPr>
          <w:p>
            <w:pPr>
              <w:pStyle w:val="TableParagraph"/>
              <w:spacing w:before="79"/>
              <w:ind w:left="63" w:right="112"/>
              <w:jc w:val="center"/>
              <w:rPr>
                <w:rFonts w:ascii="Segoe UI Symbol" w:hAnsi="Segoe UI Symbol"/>
                <w:sz w:val="20"/>
              </w:rPr>
            </w:pPr>
            <w:r>
              <w:rPr>
                <w:rFonts w:ascii="Segoe UI Symbol" w:hAnsi="Segoe UI Symbol"/>
                <w:spacing w:val="-10"/>
                <w:w w:val="135"/>
                <w:sz w:val="20"/>
              </w:rPr>
              <w:t>✓</w:t>
            </w:r>
          </w:p>
        </w:tc>
        <w:tc>
          <w:tcPr>
            <w:tcW w:w="1040" w:type="dxa"/>
            <w:shd w:val="clear" w:color="auto" w:fill="F2F2F2"/>
          </w:tcPr>
          <w:p>
            <w:pPr>
              <w:pStyle w:val="TableParagraph"/>
              <w:spacing w:before="79"/>
              <w:ind w:left="20" w:right="59"/>
              <w:jc w:val="center"/>
              <w:rPr>
                <w:rFonts w:ascii="Segoe UI Symbol" w:hAnsi="Segoe UI Symbol"/>
                <w:sz w:val="20"/>
              </w:rPr>
            </w:pPr>
            <w:r>
              <w:rPr>
                <w:rFonts w:ascii="Segoe UI Symbol" w:hAnsi="Segoe UI Symbol"/>
                <w:spacing w:val="-10"/>
                <w:w w:val="135"/>
                <w:sz w:val="20"/>
              </w:rPr>
              <w:t>✓</w:t>
            </w:r>
          </w:p>
        </w:tc>
        <w:tc>
          <w:tcPr>
            <w:tcW w:w="1060" w:type="dxa"/>
            <w:shd w:val="clear" w:color="auto" w:fill="F2F2F2"/>
          </w:tcPr>
          <w:p>
            <w:pPr>
              <w:pStyle w:val="TableParagraph"/>
              <w:spacing w:before="79"/>
              <w:ind w:left="80" w:right="60"/>
              <w:jc w:val="center"/>
              <w:rPr>
                <w:rFonts w:ascii="Segoe UI Symbol" w:hAnsi="Segoe UI Symbol"/>
                <w:sz w:val="20"/>
              </w:rPr>
            </w:pPr>
            <w:r>
              <w:rPr>
                <w:rFonts w:ascii="Segoe UI Symbol" w:hAnsi="Segoe UI Symbol"/>
                <w:spacing w:val="-10"/>
                <w:w w:val="135"/>
                <w:sz w:val="20"/>
              </w:rPr>
              <w:t>✓</w:t>
            </w:r>
          </w:p>
        </w:tc>
      </w:tr>
      <w:tr>
        <w:trPr>
          <w:trHeight w:val="499" w:hRule="atLeast"/>
        </w:trPr>
        <w:tc>
          <w:tcPr>
            <w:tcW w:w="580" w:type="dxa"/>
            <w:shd w:val="clear" w:color="auto" w:fill="D9D9D9"/>
          </w:tcPr>
          <w:p>
            <w:pPr>
              <w:pStyle w:val="TableParagraph"/>
              <w:spacing w:before="97"/>
              <w:ind w:left="5"/>
              <w:jc w:val="center"/>
              <w:rPr>
                <w:sz w:val="20"/>
              </w:rPr>
            </w:pPr>
            <w:r>
              <w:rPr>
                <w:spacing w:val="-5"/>
                <w:sz w:val="20"/>
              </w:rPr>
              <w:t>P11</w:t>
            </w:r>
          </w:p>
        </w:tc>
        <w:tc>
          <w:tcPr>
            <w:tcW w:w="1160" w:type="dxa"/>
            <w:shd w:val="clear" w:color="auto" w:fill="D9D9D9"/>
          </w:tcPr>
          <w:p>
            <w:pPr>
              <w:pStyle w:val="TableParagraph"/>
              <w:spacing w:before="83"/>
              <w:ind w:left="1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D9D9D9"/>
          </w:tcPr>
          <w:p>
            <w:pPr>
              <w:pStyle w:val="TableParagraph"/>
              <w:spacing w:before="83"/>
              <w:ind w:left="35" w:right="74"/>
              <w:jc w:val="center"/>
              <w:rPr>
                <w:rFonts w:ascii="Segoe UI Symbol" w:hAnsi="Segoe UI Symbol"/>
                <w:sz w:val="20"/>
              </w:rPr>
            </w:pPr>
            <w:r>
              <w:rPr>
                <w:rFonts w:ascii="Segoe UI Symbol" w:hAnsi="Segoe UI Symbol"/>
                <w:spacing w:val="-10"/>
                <w:w w:val="135"/>
                <w:sz w:val="20"/>
              </w:rPr>
              <w:t>✓</w:t>
            </w:r>
          </w:p>
        </w:tc>
        <w:tc>
          <w:tcPr>
            <w:tcW w:w="1100" w:type="dxa"/>
            <w:shd w:val="clear" w:color="auto" w:fill="D9D9D9"/>
          </w:tcPr>
          <w:p>
            <w:pPr>
              <w:pStyle w:val="TableParagraph"/>
              <w:rPr>
                <w:sz w:val="18"/>
              </w:rPr>
            </w:pPr>
          </w:p>
        </w:tc>
        <w:tc>
          <w:tcPr>
            <w:tcW w:w="1180" w:type="dxa"/>
            <w:shd w:val="clear" w:color="auto" w:fill="D9D9D9"/>
          </w:tcPr>
          <w:p>
            <w:pPr>
              <w:pStyle w:val="TableParagraph"/>
              <w:rPr>
                <w:sz w:val="18"/>
              </w:rPr>
            </w:pPr>
          </w:p>
        </w:tc>
        <w:tc>
          <w:tcPr>
            <w:tcW w:w="1080" w:type="dxa"/>
            <w:shd w:val="clear" w:color="auto" w:fill="D9D9D9"/>
          </w:tcPr>
          <w:p>
            <w:pPr>
              <w:pStyle w:val="TableParagraph"/>
              <w:rPr>
                <w:sz w:val="18"/>
              </w:rPr>
            </w:pPr>
          </w:p>
        </w:tc>
        <w:tc>
          <w:tcPr>
            <w:tcW w:w="1220" w:type="dxa"/>
            <w:shd w:val="clear" w:color="auto" w:fill="D9D9D9"/>
          </w:tcPr>
          <w:p>
            <w:pPr>
              <w:pStyle w:val="TableParagraph"/>
              <w:rPr>
                <w:sz w:val="18"/>
              </w:rPr>
            </w:pPr>
          </w:p>
        </w:tc>
        <w:tc>
          <w:tcPr>
            <w:tcW w:w="1260" w:type="dxa"/>
            <w:shd w:val="clear" w:color="auto" w:fill="D9D9D9"/>
          </w:tcPr>
          <w:p>
            <w:pPr>
              <w:pStyle w:val="TableParagraph"/>
              <w:spacing w:before="83"/>
              <w:ind w:left="63" w:right="112"/>
              <w:jc w:val="center"/>
              <w:rPr>
                <w:rFonts w:ascii="Segoe UI Symbol" w:hAnsi="Segoe UI Symbol"/>
                <w:sz w:val="20"/>
              </w:rPr>
            </w:pPr>
            <w:r>
              <w:rPr>
                <w:rFonts w:ascii="Segoe UI Symbol" w:hAnsi="Segoe UI Symbol"/>
                <w:spacing w:val="-10"/>
                <w:w w:val="135"/>
                <w:sz w:val="20"/>
              </w:rPr>
              <w:t>✓</w:t>
            </w:r>
          </w:p>
        </w:tc>
        <w:tc>
          <w:tcPr>
            <w:tcW w:w="1040" w:type="dxa"/>
            <w:shd w:val="clear" w:color="auto" w:fill="D9D9D9"/>
          </w:tcPr>
          <w:p>
            <w:pPr>
              <w:pStyle w:val="TableParagraph"/>
              <w:rPr>
                <w:sz w:val="18"/>
              </w:rPr>
            </w:pPr>
          </w:p>
        </w:tc>
        <w:tc>
          <w:tcPr>
            <w:tcW w:w="1060" w:type="dxa"/>
            <w:shd w:val="clear" w:color="auto" w:fill="D9D9D9"/>
          </w:tcPr>
          <w:p>
            <w:pPr>
              <w:pStyle w:val="TableParagraph"/>
              <w:spacing w:before="83"/>
              <w:ind w:left="80" w:right="60"/>
              <w:jc w:val="center"/>
              <w:rPr>
                <w:rFonts w:ascii="Segoe UI Symbol" w:hAnsi="Segoe UI Symbol"/>
                <w:sz w:val="20"/>
              </w:rPr>
            </w:pPr>
            <w:r>
              <w:rPr>
                <w:rFonts w:ascii="Segoe UI Symbol" w:hAnsi="Segoe UI Symbol"/>
                <w:spacing w:val="-10"/>
                <w:w w:val="135"/>
                <w:sz w:val="20"/>
              </w:rPr>
              <w:t>✓</w:t>
            </w:r>
          </w:p>
        </w:tc>
      </w:tr>
      <w:tr>
        <w:trPr>
          <w:trHeight w:val="520" w:hRule="atLeast"/>
        </w:trPr>
        <w:tc>
          <w:tcPr>
            <w:tcW w:w="580" w:type="dxa"/>
            <w:shd w:val="clear" w:color="auto" w:fill="D9D9D9"/>
          </w:tcPr>
          <w:p>
            <w:pPr>
              <w:pStyle w:val="TableParagraph"/>
              <w:spacing w:before="101"/>
              <w:ind w:left="5"/>
              <w:jc w:val="center"/>
              <w:rPr>
                <w:sz w:val="20"/>
              </w:rPr>
            </w:pPr>
            <w:r>
              <w:rPr>
                <w:spacing w:val="-5"/>
                <w:sz w:val="20"/>
              </w:rPr>
              <w:t>P12</w:t>
            </w:r>
          </w:p>
        </w:tc>
        <w:tc>
          <w:tcPr>
            <w:tcW w:w="1160" w:type="dxa"/>
            <w:shd w:val="clear" w:color="auto" w:fill="D9D9D9"/>
          </w:tcPr>
          <w:p>
            <w:pPr>
              <w:pStyle w:val="TableParagraph"/>
              <w:spacing w:before="87"/>
              <w:ind w:left="1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D9D9D9"/>
          </w:tcPr>
          <w:p>
            <w:pPr>
              <w:pStyle w:val="TableParagraph"/>
              <w:rPr>
                <w:sz w:val="18"/>
              </w:rPr>
            </w:pPr>
          </w:p>
        </w:tc>
        <w:tc>
          <w:tcPr>
            <w:tcW w:w="1100" w:type="dxa"/>
            <w:shd w:val="clear" w:color="auto" w:fill="D9D9D9"/>
          </w:tcPr>
          <w:p>
            <w:pPr>
              <w:pStyle w:val="TableParagraph"/>
              <w:spacing w:before="87"/>
              <w:ind w:left="30" w:right="59"/>
              <w:jc w:val="center"/>
              <w:rPr>
                <w:rFonts w:ascii="Segoe UI Symbol" w:hAnsi="Segoe UI Symbol"/>
                <w:sz w:val="20"/>
              </w:rPr>
            </w:pPr>
            <w:r>
              <w:rPr>
                <w:rFonts w:ascii="Segoe UI Symbol" w:hAnsi="Segoe UI Symbol"/>
                <w:spacing w:val="-10"/>
                <w:w w:val="135"/>
                <w:sz w:val="20"/>
              </w:rPr>
              <w:t>✓</w:t>
            </w:r>
          </w:p>
        </w:tc>
        <w:tc>
          <w:tcPr>
            <w:tcW w:w="1180" w:type="dxa"/>
            <w:shd w:val="clear" w:color="auto" w:fill="D9D9D9"/>
          </w:tcPr>
          <w:p>
            <w:pPr>
              <w:pStyle w:val="TableParagraph"/>
              <w:spacing w:before="87"/>
              <w:ind w:left="3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D9D9D9"/>
          </w:tcPr>
          <w:p>
            <w:pPr>
              <w:pStyle w:val="TableParagraph"/>
              <w:rPr>
                <w:sz w:val="18"/>
              </w:rPr>
            </w:pPr>
          </w:p>
        </w:tc>
        <w:tc>
          <w:tcPr>
            <w:tcW w:w="1220" w:type="dxa"/>
            <w:shd w:val="clear" w:color="auto" w:fill="D9D9D9"/>
          </w:tcPr>
          <w:p>
            <w:pPr>
              <w:pStyle w:val="TableParagraph"/>
              <w:spacing w:before="87"/>
              <w:ind w:left="30"/>
              <w:jc w:val="center"/>
              <w:rPr>
                <w:rFonts w:ascii="Segoe UI Symbol" w:hAnsi="Segoe UI Symbol"/>
                <w:sz w:val="20"/>
              </w:rPr>
            </w:pPr>
            <w:r>
              <w:rPr>
                <w:rFonts w:ascii="Segoe UI Symbol" w:hAnsi="Segoe UI Symbol"/>
                <w:spacing w:val="-10"/>
                <w:w w:val="135"/>
                <w:sz w:val="20"/>
              </w:rPr>
              <w:t>✓</w:t>
            </w:r>
          </w:p>
        </w:tc>
        <w:tc>
          <w:tcPr>
            <w:tcW w:w="1260" w:type="dxa"/>
            <w:shd w:val="clear" w:color="auto" w:fill="D9D9D9"/>
          </w:tcPr>
          <w:p>
            <w:pPr>
              <w:pStyle w:val="TableParagraph"/>
              <w:rPr>
                <w:sz w:val="18"/>
              </w:rPr>
            </w:pPr>
          </w:p>
        </w:tc>
        <w:tc>
          <w:tcPr>
            <w:tcW w:w="1040" w:type="dxa"/>
            <w:shd w:val="clear" w:color="auto" w:fill="D9D9D9"/>
          </w:tcPr>
          <w:p>
            <w:pPr>
              <w:pStyle w:val="TableParagraph"/>
              <w:rPr>
                <w:sz w:val="18"/>
              </w:rPr>
            </w:pPr>
          </w:p>
        </w:tc>
        <w:tc>
          <w:tcPr>
            <w:tcW w:w="1060" w:type="dxa"/>
            <w:shd w:val="clear" w:color="auto" w:fill="D9D9D9"/>
          </w:tcPr>
          <w:p>
            <w:pPr>
              <w:pStyle w:val="TableParagraph"/>
              <w:rPr>
                <w:sz w:val="18"/>
              </w:rPr>
            </w:pPr>
          </w:p>
        </w:tc>
      </w:tr>
      <w:tr>
        <w:trPr>
          <w:trHeight w:val="499" w:hRule="atLeast"/>
        </w:trPr>
        <w:tc>
          <w:tcPr>
            <w:tcW w:w="580" w:type="dxa"/>
            <w:shd w:val="clear" w:color="auto" w:fill="F2F2F2"/>
          </w:tcPr>
          <w:p>
            <w:pPr>
              <w:pStyle w:val="TableParagraph"/>
              <w:spacing w:before="85"/>
              <w:ind w:left="5"/>
              <w:jc w:val="center"/>
              <w:rPr>
                <w:sz w:val="20"/>
              </w:rPr>
            </w:pPr>
            <w:r>
              <w:rPr>
                <w:spacing w:val="-5"/>
                <w:sz w:val="20"/>
              </w:rPr>
              <w:t>P13</w:t>
            </w:r>
          </w:p>
        </w:tc>
        <w:tc>
          <w:tcPr>
            <w:tcW w:w="1160" w:type="dxa"/>
            <w:shd w:val="clear" w:color="auto" w:fill="F2F2F2"/>
          </w:tcPr>
          <w:p>
            <w:pPr>
              <w:pStyle w:val="TableParagraph"/>
              <w:spacing w:before="71"/>
              <w:ind w:left="1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rPr>
                <w:sz w:val="18"/>
              </w:rPr>
            </w:pPr>
          </w:p>
        </w:tc>
        <w:tc>
          <w:tcPr>
            <w:tcW w:w="1100" w:type="dxa"/>
            <w:shd w:val="clear" w:color="auto" w:fill="F2F2F2"/>
          </w:tcPr>
          <w:p>
            <w:pPr>
              <w:pStyle w:val="TableParagraph"/>
              <w:spacing w:before="71"/>
              <w:ind w:left="30" w:right="59"/>
              <w:jc w:val="center"/>
              <w:rPr>
                <w:rFonts w:ascii="Segoe UI Symbol" w:hAnsi="Segoe UI Symbol"/>
                <w:sz w:val="20"/>
              </w:rPr>
            </w:pPr>
            <w:r>
              <w:rPr>
                <w:rFonts w:ascii="Segoe UI Symbol" w:hAnsi="Segoe UI Symbol"/>
                <w:spacing w:val="-10"/>
                <w:w w:val="135"/>
                <w:sz w:val="20"/>
              </w:rPr>
              <w:t>✓</w:t>
            </w:r>
          </w:p>
        </w:tc>
        <w:tc>
          <w:tcPr>
            <w:tcW w:w="1180" w:type="dxa"/>
            <w:shd w:val="clear" w:color="auto" w:fill="F2F2F2"/>
          </w:tcPr>
          <w:p>
            <w:pPr>
              <w:pStyle w:val="TableParagraph"/>
              <w:rPr>
                <w:sz w:val="18"/>
              </w:rPr>
            </w:pPr>
          </w:p>
        </w:tc>
        <w:tc>
          <w:tcPr>
            <w:tcW w:w="1080" w:type="dxa"/>
            <w:shd w:val="clear" w:color="auto" w:fill="F2F2F2"/>
          </w:tcPr>
          <w:p>
            <w:pPr>
              <w:pStyle w:val="TableParagraph"/>
              <w:rPr>
                <w:sz w:val="18"/>
              </w:rPr>
            </w:pPr>
          </w:p>
        </w:tc>
        <w:tc>
          <w:tcPr>
            <w:tcW w:w="1220" w:type="dxa"/>
            <w:shd w:val="clear" w:color="auto" w:fill="F2F2F2"/>
          </w:tcPr>
          <w:p>
            <w:pPr>
              <w:pStyle w:val="TableParagraph"/>
              <w:rPr>
                <w:sz w:val="18"/>
              </w:rPr>
            </w:pPr>
          </w:p>
        </w:tc>
        <w:tc>
          <w:tcPr>
            <w:tcW w:w="1260" w:type="dxa"/>
            <w:shd w:val="clear" w:color="auto" w:fill="F2F2F2"/>
          </w:tcPr>
          <w:p>
            <w:pPr>
              <w:pStyle w:val="TableParagraph"/>
              <w:spacing w:before="71"/>
              <w:ind w:left="63" w:right="112"/>
              <w:jc w:val="center"/>
              <w:rPr>
                <w:rFonts w:ascii="Segoe UI Symbol" w:hAnsi="Segoe UI Symbol"/>
                <w:sz w:val="20"/>
              </w:rPr>
            </w:pPr>
            <w:r>
              <w:rPr>
                <w:rFonts w:ascii="Segoe UI Symbol" w:hAnsi="Segoe UI Symbol"/>
                <w:spacing w:val="-10"/>
                <w:w w:val="135"/>
                <w:sz w:val="20"/>
              </w:rPr>
              <w:t>✓</w:t>
            </w:r>
          </w:p>
        </w:tc>
        <w:tc>
          <w:tcPr>
            <w:tcW w:w="1040" w:type="dxa"/>
            <w:shd w:val="clear" w:color="auto" w:fill="F2F2F2"/>
          </w:tcPr>
          <w:p>
            <w:pPr>
              <w:pStyle w:val="TableParagraph"/>
              <w:spacing w:before="71"/>
              <w:ind w:left="59" w:right="39"/>
              <w:jc w:val="center"/>
              <w:rPr>
                <w:rFonts w:ascii="Segoe UI Symbol" w:hAnsi="Segoe UI Symbol"/>
                <w:sz w:val="20"/>
              </w:rPr>
            </w:pPr>
            <w:r>
              <w:rPr>
                <w:rFonts w:ascii="Segoe UI Symbol" w:hAnsi="Segoe UI Symbol"/>
                <w:spacing w:val="-10"/>
                <w:w w:val="135"/>
                <w:sz w:val="20"/>
              </w:rPr>
              <w:t>✓</w:t>
            </w:r>
          </w:p>
        </w:tc>
        <w:tc>
          <w:tcPr>
            <w:tcW w:w="1060" w:type="dxa"/>
            <w:shd w:val="clear" w:color="auto" w:fill="F2F2F2"/>
          </w:tcPr>
          <w:p>
            <w:pPr>
              <w:pStyle w:val="TableParagraph"/>
              <w:rPr>
                <w:sz w:val="18"/>
              </w:rPr>
            </w:pPr>
          </w:p>
        </w:tc>
      </w:tr>
      <w:tr>
        <w:trPr>
          <w:trHeight w:val="499" w:hRule="atLeast"/>
        </w:trPr>
        <w:tc>
          <w:tcPr>
            <w:tcW w:w="580" w:type="dxa"/>
            <w:shd w:val="clear" w:color="auto" w:fill="D9D9D9"/>
          </w:tcPr>
          <w:p>
            <w:pPr>
              <w:pStyle w:val="TableParagraph"/>
              <w:spacing w:before="89"/>
              <w:ind w:left="5"/>
              <w:jc w:val="center"/>
              <w:rPr>
                <w:sz w:val="20"/>
              </w:rPr>
            </w:pPr>
            <w:r>
              <w:rPr>
                <w:spacing w:val="-5"/>
                <w:sz w:val="20"/>
              </w:rPr>
              <w:t>P14</w:t>
            </w:r>
          </w:p>
        </w:tc>
        <w:tc>
          <w:tcPr>
            <w:tcW w:w="1160" w:type="dxa"/>
            <w:shd w:val="clear" w:color="auto" w:fill="D9D9D9"/>
          </w:tcPr>
          <w:p>
            <w:pPr>
              <w:pStyle w:val="TableParagraph"/>
              <w:rPr>
                <w:sz w:val="18"/>
              </w:rPr>
            </w:pPr>
          </w:p>
        </w:tc>
        <w:tc>
          <w:tcPr>
            <w:tcW w:w="1080" w:type="dxa"/>
            <w:shd w:val="clear" w:color="auto" w:fill="D9D9D9"/>
          </w:tcPr>
          <w:p>
            <w:pPr>
              <w:pStyle w:val="TableParagraph"/>
              <w:rPr>
                <w:sz w:val="18"/>
              </w:rPr>
            </w:pPr>
          </w:p>
        </w:tc>
        <w:tc>
          <w:tcPr>
            <w:tcW w:w="1100" w:type="dxa"/>
            <w:shd w:val="clear" w:color="auto" w:fill="D9D9D9"/>
          </w:tcPr>
          <w:p>
            <w:pPr>
              <w:pStyle w:val="TableParagraph"/>
              <w:rPr>
                <w:sz w:val="18"/>
              </w:rPr>
            </w:pPr>
          </w:p>
        </w:tc>
        <w:tc>
          <w:tcPr>
            <w:tcW w:w="1180" w:type="dxa"/>
            <w:shd w:val="clear" w:color="auto" w:fill="D9D9D9"/>
          </w:tcPr>
          <w:p>
            <w:pPr>
              <w:pStyle w:val="TableParagraph"/>
              <w:spacing w:before="75"/>
              <w:ind w:left="3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D9D9D9"/>
          </w:tcPr>
          <w:p>
            <w:pPr>
              <w:pStyle w:val="TableParagraph"/>
              <w:spacing w:before="75"/>
              <w:ind w:left="74" w:right="39"/>
              <w:jc w:val="center"/>
              <w:rPr>
                <w:rFonts w:ascii="Segoe UI Symbol" w:hAnsi="Segoe UI Symbol"/>
                <w:sz w:val="20"/>
              </w:rPr>
            </w:pPr>
            <w:r>
              <w:rPr>
                <w:rFonts w:ascii="Segoe UI Symbol" w:hAnsi="Segoe UI Symbol"/>
                <w:spacing w:val="-10"/>
                <w:w w:val="135"/>
                <w:sz w:val="20"/>
              </w:rPr>
              <w:t>✓</w:t>
            </w:r>
          </w:p>
        </w:tc>
        <w:tc>
          <w:tcPr>
            <w:tcW w:w="1220" w:type="dxa"/>
            <w:shd w:val="clear" w:color="auto" w:fill="D9D9D9"/>
          </w:tcPr>
          <w:p>
            <w:pPr>
              <w:pStyle w:val="TableParagraph"/>
              <w:rPr>
                <w:sz w:val="18"/>
              </w:rPr>
            </w:pPr>
          </w:p>
        </w:tc>
        <w:tc>
          <w:tcPr>
            <w:tcW w:w="1260" w:type="dxa"/>
            <w:shd w:val="clear" w:color="auto" w:fill="D9D9D9"/>
          </w:tcPr>
          <w:p>
            <w:pPr>
              <w:pStyle w:val="TableParagraph"/>
              <w:rPr>
                <w:sz w:val="18"/>
              </w:rPr>
            </w:pPr>
          </w:p>
        </w:tc>
        <w:tc>
          <w:tcPr>
            <w:tcW w:w="1040" w:type="dxa"/>
            <w:shd w:val="clear" w:color="auto" w:fill="D9D9D9"/>
          </w:tcPr>
          <w:p>
            <w:pPr>
              <w:pStyle w:val="TableParagraph"/>
              <w:rPr>
                <w:sz w:val="18"/>
              </w:rPr>
            </w:pPr>
          </w:p>
        </w:tc>
        <w:tc>
          <w:tcPr>
            <w:tcW w:w="1060" w:type="dxa"/>
            <w:shd w:val="clear" w:color="auto" w:fill="D9D9D9"/>
          </w:tcPr>
          <w:p>
            <w:pPr>
              <w:pStyle w:val="TableParagraph"/>
              <w:rPr>
                <w:sz w:val="18"/>
              </w:rPr>
            </w:pPr>
          </w:p>
        </w:tc>
      </w:tr>
      <w:tr>
        <w:trPr>
          <w:trHeight w:val="500" w:hRule="atLeast"/>
        </w:trPr>
        <w:tc>
          <w:tcPr>
            <w:tcW w:w="580" w:type="dxa"/>
            <w:shd w:val="clear" w:color="auto" w:fill="F2F2F2"/>
          </w:tcPr>
          <w:p>
            <w:pPr>
              <w:pStyle w:val="TableParagraph"/>
              <w:spacing w:before="93"/>
              <w:ind w:left="5"/>
              <w:jc w:val="center"/>
              <w:rPr>
                <w:sz w:val="20"/>
              </w:rPr>
            </w:pPr>
            <w:r>
              <w:rPr>
                <w:spacing w:val="-5"/>
                <w:sz w:val="20"/>
              </w:rPr>
              <w:t>P15</w:t>
            </w:r>
          </w:p>
        </w:tc>
        <w:tc>
          <w:tcPr>
            <w:tcW w:w="1160" w:type="dxa"/>
            <w:shd w:val="clear" w:color="auto" w:fill="F2F2F2"/>
          </w:tcPr>
          <w:p>
            <w:pPr>
              <w:pStyle w:val="TableParagraph"/>
              <w:rPr>
                <w:sz w:val="18"/>
              </w:rPr>
            </w:pPr>
          </w:p>
        </w:tc>
        <w:tc>
          <w:tcPr>
            <w:tcW w:w="1080" w:type="dxa"/>
            <w:shd w:val="clear" w:color="auto" w:fill="F2F2F2"/>
          </w:tcPr>
          <w:p>
            <w:pPr>
              <w:pStyle w:val="TableParagraph"/>
              <w:rPr>
                <w:sz w:val="18"/>
              </w:rPr>
            </w:pPr>
          </w:p>
        </w:tc>
        <w:tc>
          <w:tcPr>
            <w:tcW w:w="1100" w:type="dxa"/>
            <w:shd w:val="clear" w:color="auto" w:fill="F2F2F2"/>
          </w:tcPr>
          <w:p>
            <w:pPr>
              <w:pStyle w:val="TableParagraph"/>
              <w:rPr>
                <w:sz w:val="18"/>
              </w:rPr>
            </w:pPr>
          </w:p>
        </w:tc>
        <w:tc>
          <w:tcPr>
            <w:tcW w:w="1180" w:type="dxa"/>
            <w:shd w:val="clear" w:color="auto" w:fill="F2F2F2"/>
          </w:tcPr>
          <w:p>
            <w:pPr>
              <w:pStyle w:val="TableParagraph"/>
              <w:spacing w:before="79"/>
              <w:ind w:left="3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spacing w:before="79"/>
              <w:ind w:left="74" w:right="39"/>
              <w:jc w:val="center"/>
              <w:rPr>
                <w:rFonts w:ascii="Segoe UI Symbol" w:hAnsi="Segoe UI Symbol"/>
                <w:sz w:val="20"/>
              </w:rPr>
            </w:pPr>
            <w:r>
              <w:rPr>
                <w:rFonts w:ascii="Segoe UI Symbol" w:hAnsi="Segoe UI Symbol"/>
                <w:spacing w:val="-10"/>
                <w:w w:val="135"/>
                <w:sz w:val="20"/>
              </w:rPr>
              <w:t>✓</w:t>
            </w:r>
          </w:p>
        </w:tc>
        <w:tc>
          <w:tcPr>
            <w:tcW w:w="1220" w:type="dxa"/>
            <w:shd w:val="clear" w:color="auto" w:fill="F2F2F2"/>
          </w:tcPr>
          <w:p>
            <w:pPr>
              <w:pStyle w:val="TableParagraph"/>
              <w:rPr>
                <w:sz w:val="18"/>
              </w:rPr>
            </w:pPr>
          </w:p>
        </w:tc>
        <w:tc>
          <w:tcPr>
            <w:tcW w:w="1260" w:type="dxa"/>
            <w:shd w:val="clear" w:color="auto" w:fill="F2F2F2"/>
          </w:tcPr>
          <w:p>
            <w:pPr>
              <w:pStyle w:val="TableParagraph"/>
              <w:rPr>
                <w:sz w:val="18"/>
              </w:rPr>
            </w:pPr>
          </w:p>
        </w:tc>
        <w:tc>
          <w:tcPr>
            <w:tcW w:w="1040" w:type="dxa"/>
            <w:shd w:val="clear" w:color="auto" w:fill="F2F2F2"/>
          </w:tcPr>
          <w:p>
            <w:pPr>
              <w:pStyle w:val="TableParagraph"/>
              <w:rPr>
                <w:sz w:val="18"/>
              </w:rPr>
            </w:pPr>
          </w:p>
        </w:tc>
        <w:tc>
          <w:tcPr>
            <w:tcW w:w="1060" w:type="dxa"/>
            <w:shd w:val="clear" w:color="auto" w:fill="F2F2F2"/>
          </w:tcPr>
          <w:p>
            <w:pPr>
              <w:pStyle w:val="TableParagraph"/>
              <w:rPr>
                <w:sz w:val="18"/>
              </w:rPr>
            </w:pPr>
          </w:p>
        </w:tc>
      </w:tr>
      <w:tr>
        <w:trPr>
          <w:trHeight w:val="500" w:hRule="atLeast"/>
        </w:trPr>
        <w:tc>
          <w:tcPr>
            <w:tcW w:w="580" w:type="dxa"/>
            <w:shd w:val="clear" w:color="auto" w:fill="D9D9D9"/>
          </w:tcPr>
          <w:p>
            <w:pPr>
              <w:pStyle w:val="TableParagraph"/>
              <w:spacing w:before="97"/>
              <w:ind w:left="5"/>
              <w:jc w:val="center"/>
              <w:rPr>
                <w:sz w:val="20"/>
              </w:rPr>
            </w:pPr>
            <w:r>
              <w:rPr>
                <w:spacing w:val="-5"/>
                <w:sz w:val="20"/>
              </w:rPr>
              <w:t>P16</w:t>
            </w:r>
          </w:p>
        </w:tc>
        <w:tc>
          <w:tcPr>
            <w:tcW w:w="1160" w:type="dxa"/>
            <w:shd w:val="clear" w:color="auto" w:fill="D9D9D9"/>
          </w:tcPr>
          <w:p>
            <w:pPr>
              <w:pStyle w:val="TableParagraph"/>
              <w:rPr>
                <w:sz w:val="18"/>
              </w:rPr>
            </w:pPr>
          </w:p>
        </w:tc>
        <w:tc>
          <w:tcPr>
            <w:tcW w:w="1080" w:type="dxa"/>
            <w:shd w:val="clear" w:color="auto" w:fill="D9D9D9"/>
          </w:tcPr>
          <w:p>
            <w:pPr>
              <w:pStyle w:val="TableParagraph"/>
              <w:rPr>
                <w:sz w:val="18"/>
              </w:rPr>
            </w:pPr>
          </w:p>
        </w:tc>
        <w:tc>
          <w:tcPr>
            <w:tcW w:w="1100" w:type="dxa"/>
            <w:shd w:val="clear" w:color="auto" w:fill="D9D9D9"/>
          </w:tcPr>
          <w:p>
            <w:pPr>
              <w:pStyle w:val="TableParagraph"/>
              <w:rPr>
                <w:sz w:val="18"/>
              </w:rPr>
            </w:pPr>
          </w:p>
        </w:tc>
        <w:tc>
          <w:tcPr>
            <w:tcW w:w="1180" w:type="dxa"/>
            <w:shd w:val="clear" w:color="auto" w:fill="D9D9D9"/>
          </w:tcPr>
          <w:p>
            <w:pPr>
              <w:pStyle w:val="TableParagraph"/>
              <w:rPr>
                <w:sz w:val="18"/>
              </w:rPr>
            </w:pPr>
          </w:p>
        </w:tc>
        <w:tc>
          <w:tcPr>
            <w:tcW w:w="1080" w:type="dxa"/>
            <w:shd w:val="clear" w:color="auto" w:fill="D9D9D9"/>
          </w:tcPr>
          <w:p>
            <w:pPr>
              <w:pStyle w:val="TableParagraph"/>
              <w:rPr>
                <w:sz w:val="18"/>
              </w:rPr>
            </w:pPr>
          </w:p>
        </w:tc>
        <w:tc>
          <w:tcPr>
            <w:tcW w:w="1220" w:type="dxa"/>
            <w:shd w:val="clear" w:color="auto" w:fill="D9D9D9"/>
          </w:tcPr>
          <w:p>
            <w:pPr>
              <w:pStyle w:val="TableParagraph"/>
              <w:rPr>
                <w:sz w:val="18"/>
              </w:rPr>
            </w:pPr>
          </w:p>
        </w:tc>
        <w:tc>
          <w:tcPr>
            <w:tcW w:w="1260" w:type="dxa"/>
            <w:shd w:val="clear" w:color="auto" w:fill="D9D9D9"/>
          </w:tcPr>
          <w:p>
            <w:pPr>
              <w:pStyle w:val="TableParagraph"/>
              <w:spacing w:before="83"/>
              <w:ind w:left="63" w:right="112"/>
              <w:jc w:val="center"/>
              <w:rPr>
                <w:rFonts w:ascii="Segoe UI Symbol" w:hAnsi="Segoe UI Symbol"/>
                <w:sz w:val="20"/>
              </w:rPr>
            </w:pPr>
            <w:r>
              <w:rPr>
                <w:rFonts w:ascii="Segoe UI Symbol" w:hAnsi="Segoe UI Symbol"/>
                <w:spacing w:val="-10"/>
                <w:w w:val="135"/>
                <w:sz w:val="20"/>
              </w:rPr>
              <w:t>✓</w:t>
            </w:r>
          </w:p>
        </w:tc>
        <w:tc>
          <w:tcPr>
            <w:tcW w:w="1040" w:type="dxa"/>
            <w:shd w:val="clear" w:color="auto" w:fill="D9D9D9"/>
          </w:tcPr>
          <w:p>
            <w:pPr>
              <w:pStyle w:val="TableParagraph"/>
              <w:spacing w:before="83"/>
              <w:ind w:left="59" w:right="39"/>
              <w:jc w:val="center"/>
              <w:rPr>
                <w:rFonts w:ascii="Segoe UI Symbol" w:hAnsi="Segoe UI Symbol"/>
                <w:sz w:val="20"/>
              </w:rPr>
            </w:pPr>
            <w:r>
              <w:rPr>
                <w:rFonts w:ascii="Segoe UI Symbol" w:hAnsi="Segoe UI Symbol"/>
                <w:spacing w:val="-10"/>
                <w:w w:val="135"/>
                <w:sz w:val="20"/>
              </w:rPr>
              <w:t>✓</w:t>
            </w:r>
          </w:p>
        </w:tc>
        <w:tc>
          <w:tcPr>
            <w:tcW w:w="1060" w:type="dxa"/>
            <w:shd w:val="clear" w:color="auto" w:fill="D9D9D9"/>
          </w:tcPr>
          <w:p>
            <w:pPr>
              <w:pStyle w:val="TableParagraph"/>
              <w:rPr>
                <w:sz w:val="18"/>
              </w:rPr>
            </w:pPr>
          </w:p>
        </w:tc>
      </w:tr>
      <w:tr>
        <w:trPr>
          <w:trHeight w:val="520" w:hRule="atLeast"/>
        </w:trPr>
        <w:tc>
          <w:tcPr>
            <w:tcW w:w="580" w:type="dxa"/>
            <w:shd w:val="clear" w:color="auto" w:fill="D9D9D9"/>
          </w:tcPr>
          <w:p>
            <w:pPr>
              <w:pStyle w:val="TableParagraph"/>
              <w:spacing w:before="101"/>
              <w:ind w:left="5"/>
              <w:jc w:val="center"/>
              <w:rPr>
                <w:sz w:val="20"/>
              </w:rPr>
            </w:pPr>
            <w:r>
              <w:rPr>
                <w:spacing w:val="-5"/>
                <w:sz w:val="20"/>
              </w:rPr>
              <w:t>P17</w:t>
            </w:r>
          </w:p>
        </w:tc>
        <w:tc>
          <w:tcPr>
            <w:tcW w:w="1160" w:type="dxa"/>
            <w:shd w:val="clear" w:color="auto" w:fill="D9D9D9"/>
          </w:tcPr>
          <w:p>
            <w:pPr>
              <w:pStyle w:val="TableParagraph"/>
              <w:rPr>
                <w:sz w:val="18"/>
              </w:rPr>
            </w:pPr>
          </w:p>
        </w:tc>
        <w:tc>
          <w:tcPr>
            <w:tcW w:w="1080" w:type="dxa"/>
            <w:shd w:val="clear" w:color="auto" w:fill="D9D9D9"/>
          </w:tcPr>
          <w:p>
            <w:pPr>
              <w:pStyle w:val="TableParagraph"/>
              <w:rPr>
                <w:sz w:val="18"/>
              </w:rPr>
            </w:pPr>
          </w:p>
        </w:tc>
        <w:tc>
          <w:tcPr>
            <w:tcW w:w="1100" w:type="dxa"/>
            <w:shd w:val="clear" w:color="auto" w:fill="D9D9D9"/>
          </w:tcPr>
          <w:p>
            <w:pPr>
              <w:pStyle w:val="TableParagraph"/>
              <w:rPr>
                <w:sz w:val="18"/>
              </w:rPr>
            </w:pPr>
          </w:p>
        </w:tc>
        <w:tc>
          <w:tcPr>
            <w:tcW w:w="1180" w:type="dxa"/>
            <w:shd w:val="clear" w:color="auto" w:fill="D9D9D9"/>
          </w:tcPr>
          <w:p>
            <w:pPr>
              <w:pStyle w:val="TableParagraph"/>
              <w:spacing w:before="87"/>
              <w:ind w:left="3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D9D9D9"/>
          </w:tcPr>
          <w:p>
            <w:pPr>
              <w:pStyle w:val="TableParagraph"/>
              <w:rPr>
                <w:sz w:val="18"/>
              </w:rPr>
            </w:pPr>
          </w:p>
        </w:tc>
        <w:tc>
          <w:tcPr>
            <w:tcW w:w="1220" w:type="dxa"/>
            <w:shd w:val="clear" w:color="auto" w:fill="D9D9D9"/>
          </w:tcPr>
          <w:p>
            <w:pPr>
              <w:pStyle w:val="TableParagraph"/>
              <w:spacing w:before="87"/>
              <w:ind w:left="30"/>
              <w:jc w:val="center"/>
              <w:rPr>
                <w:rFonts w:ascii="Segoe UI Symbol" w:hAnsi="Segoe UI Symbol"/>
                <w:sz w:val="20"/>
              </w:rPr>
            </w:pPr>
            <w:r>
              <w:rPr>
                <w:rFonts w:ascii="Segoe UI Symbol" w:hAnsi="Segoe UI Symbol"/>
                <w:spacing w:val="-10"/>
                <w:w w:val="135"/>
                <w:sz w:val="20"/>
              </w:rPr>
              <w:t>✓</w:t>
            </w:r>
          </w:p>
        </w:tc>
        <w:tc>
          <w:tcPr>
            <w:tcW w:w="1260" w:type="dxa"/>
            <w:shd w:val="clear" w:color="auto" w:fill="D9D9D9"/>
          </w:tcPr>
          <w:p>
            <w:pPr>
              <w:pStyle w:val="TableParagraph"/>
              <w:rPr>
                <w:sz w:val="18"/>
              </w:rPr>
            </w:pPr>
          </w:p>
        </w:tc>
        <w:tc>
          <w:tcPr>
            <w:tcW w:w="1040" w:type="dxa"/>
            <w:shd w:val="clear" w:color="auto" w:fill="D9D9D9"/>
          </w:tcPr>
          <w:p>
            <w:pPr>
              <w:pStyle w:val="TableParagraph"/>
              <w:rPr>
                <w:sz w:val="18"/>
              </w:rPr>
            </w:pPr>
          </w:p>
        </w:tc>
        <w:tc>
          <w:tcPr>
            <w:tcW w:w="1060" w:type="dxa"/>
            <w:shd w:val="clear" w:color="auto" w:fill="D9D9D9"/>
          </w:tcPr>
          <w:p>
            <w:pPr>
              <w:pStyle w:val="TableParagraph"/>
              <w:rPr>
                <w:sz w:val="18"/>
              </w:rPr>
            </w:pPr>
          </w:p>
        </w:tc>
      </w:tr>
      <w:tr>
        <w:trPr>
          <w:trHeight w:val="499" w:hRule="atLeast"/>
        </w:trPr>
        <w:tc>
          <w:tcPr>
            <w:tcW w:w="580" w:type="dxa"/>
            <w:shd w:val="clear" w:color="auto" w:fill="F2F2F2"/>
          </w:tcPr>
          <w:p>
            <w:pPr>
              <w:pStyle w:val="TableParagraph"/>
              <w:spacing w:before="85"/>
              <w:ind w:left="5"/>
              <w:jc w:val="center"/>
              <w:rPr>
                <w:sz w:val="20"/>
              </w:rPr>
            </w:pPr>
            <w:r>
              <w:rPr>
                <w:spacing w:val="-5"/>
                <w:sz w:val="20"/>
              </w:rPr>
              <w:t>P18</w:t>
            </w:r>
          </w:p>
        </w:tc>
        <w:tc>
          <w:tcPr>
            <w:tcW w:w="1160" w:type="dxa"/>
            <w:shd w:val="clear" w:color="auto" w:fill="F2F2F2"/>
          </w:tcPr>
          <w:p>
            <w:pPr>
              <w:pStyle w:val="TableParagraph"/>
              <w:spacing w:before="71"/>
              <w:ind w:left="1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rPr>
                <w:sz w:val="18"/>
              </w:rPr>
            </w:pPr>
          </w:p>
        </w:tc>
        <w:tc>
          <w:tcPr>
            <w:tcW w:w="1100" w:type="dxa"/>
            <w:shd w:val="clear" w:color="auto" w:fill="F2F2F2"/>
          </w:tcPr>
          <w:p>
            <w:pPr>
              <w:pStyle w:val="TableParagraph"/>
              <w:spacing w:before="71"/>
              <w:ind w:left="59" w:right="29"/>
              <w:jc w:val="center"/>
              <w:rPr>
                <w:rFonts w:ascii="Segoe UI Symbol" w:hAnsi="Segoe UI Symbol"/>
                <w:sz w:val="20"/>
              </w:rPr>
            </w:pPr>
            <w:r>
              <w:rPr>
                <w:rFonts w:ascii="Segoe UI Symbol" w:hAnsi="Segoe UI Symbol"/>
                <w:spacing w:val="-10"/>
                <w:w w:val="135"/>
                <w:sz w:val="20"/>
              </w:rPr>
              <w:t>✓</w:t>
            </w:r>
          </w:p>
        </w:tc>
        <w:tc>
          <w:tcPr>
            <w:tcW w:w="1180" w:type="dxa"/>
            <w:shd w:val="clear" w:color="auto" w:fill="F2F2F2"/>
          </w:tcPr>
          <w:p>
            <w:pPr>
              <w:pStyle w:val="TableParagraph"/>
              <w:rPr>
                <w:sz w:val="18"/>
              </w:rPr>
            </w:pPr>
          </w:p>
        </w:tc>
        <w:tc>
          <w:tcPr>
            <w:tcW w:w="1080" w:type="dxa"/>
            <w:shd w:val="clear" w:color="auto" w:fill="F2F2F2"/>
          </w:tcPr>
          <w:p>
            <w:pPr>
              <w:pStyle w:val="TableParagraph"/>
              <w:rPr>
                <w:sz w:val="18"/>
              </w:rPr>
            </w:pPr>
          </w:p>
        </w:tc>
        <w:tc>
          <w:tcPr>
            <w:tcW w:w="1220" w:type="dxa"/>
            <w:shd w:val="clear" w:color="auto" w:fill="F2F2F2"/>
          </w:tcPr>
          <w:p>
            <w:pPr>
              <w:pStyle w:val="TableParagraph"/>
              <w:rPr>
                <w:sz w:val="18"/>
              </w:rPr>
            </w:pPr>
          </w:p>
        </w:tc>
        <w:tc>
          <w:tcPr>
            <w:tcW w:w="1260" w:type="dxa"/>
            <w:shd w:val="clear" w:color="auto" w:fill="F2F2F2"/>
          </w:tcPr>
          <w:p>
            <w:pPr>
              <w:pStyle w:val="TableParagraph"/>
              <w:rPr>
                <w:sz w:val="18"/>
              </w:rPr>
            </w:pPr>
          </w:p>
        </w:tc>
        <w:tc>
          <w:tcPr>
            <w:tcW w:w="1040" w:type="dxa"/>
            <w:shd w:val="clear" w:color="auto" w:fill="F2F2F2"/>
          </w:tcPr>
          <w:p>
            <w:pPr>
              <w:pStyle w:val="TableParagraph"/>
              <w:rPr>
                <w:sz w:val="18"/>
              </w:rPr>
            </w:pPr>
          </w:p>
        </w:tc>
        <w:tc>
          <w:tcPr>
            <w:tcW w:w="1060" w:type="dxa"/>
            <w:shd w:val="clear" w:color="auto" w:fill="F2F2F2"/>
          </w:tcPr>
          <w:p>
            <w:pPr>
              <w:pStyle w:val="TableParagraph"/>
              <w:rPr>
                <w:sz w:val="18"/>
              </w:rPr>
            </w:pPr>
          </w:p>
        </w:tc>
      </w:tr>
      <w:tr>
        <w:trPr>
          <w:trHeight w:val="500" w:hRule="atLeast"/>
        </w:trPr>
        <w:tc>
          <w:tcPr>
            <w:tcW w:w="580" w:type="dxa"/>
            <w:shd w:val="clear" w:color="auto" w:fill="D9D9D9"/>
          </w:tcPr>
          <w:p>
            <w:pPr>
              <w:pStyle w:val="TableParagraph"/>
              <w:spacing w:before="89"/>
              <w:ind w:left="5"/>
              <w:jc w:val="center"/>
              <w:rPr>
                <w:sz w:val="20"/>
              </w:rPr>
            </w:pPr>
            <w:r>
              <w:rPr>
                <w:spacing w:val="-5"/>
                <w:sz w:val="20"/>
              </w:rPr>
              <w:t>P19</w:t>
            </w:r>
          </w:p>
        </w:tc>
        <w:tc>
          <w:tcPr>
            <w:tcW w:w="1160" w:type="dxa"/>
            <w:shd w:val="clear" w:color="auto" w:fill="D9D9D9"/>
          </w:tcPr>
          <w:p>
            <w:pPr>
              <w:pStyle w:val="TableParagraph"/>
              <w:rPr>
                <w:sz w:val="18"/>
              </w:rPr>
            </w:pPr>
          </w:p>
        </w:tc>
        <w:tc>
          <w:tcPr>
            <w:tcW w:w="1080" w:type="dxa"/>
            <w:shd w:val="clear" w:color="auto" w:fill="D9D9D9"/>
          </w:tcPr>
          <w:p>
            <w:pPr>
              <w:pStyle w:val="TableParagraph"/>
              <w:rPr>
                <w:sz w:val="18"/>
              </w:rPr>
            </w:pPr>
          </w:p>
        </w:tc>
        <w:tc>
          <w:tcPr>
            <w:tcW w:w="1100" w:type="dxa"/>
            <w:shd w:val="clear" w:color="auto" w:fill="D9D9D9"/>
          </w:tcPr>
          <w:p>
            <w:pPr>
              <w:pStyle w:val="TableParagraph"/>
              <w:rPr>
                <w:sz w:val="18"/>
              </w:rPr>
            </w:pPr>
          </w:p>
        </w:tc>
        <w:tc>
          <w:tcPr>
            <w:tcW w:w="1180" w:type="dxa"/>
            <w:shd w:val="clear" w:color="auto" w:fill="D9D9D9"/>
          </w:tcPr>
          <w:p>
            <w:pPr>
              <w:pStyle w:val="TableParagraph"/>
              <w:spacing w:before="75"/>
              <w:ind w:left="3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D9D9D9"/>
          </w:tcPr>
          <w:p>
            <w:pPr>
              <w:pStyle w:val="TableParagraph"/>
              <w:spacing w:before="75"/>
              <w:ind w:left="74" w:right="39"/>
              <w:jc w:val="center"/>
              <w:rPr>
                <w:rFonts w:ascii="Segoe UI Symbol" w:hAnsi="Segoe UI Symbol"/>
                <w:sz w:val="20"/>
              </w:rPr>
            </w:pPr>
            <w:r>
              <w:rPr>
                <w:rFonts w:ascii="Segoe UI Symbol" w:hAnsi="Segoe UI Symbol"/>
                <w:spacing w:val="-10"/>
                <w:w w:val="135"/>
                <w:sz w:val="20"/>
              </w:rPr>
              <w:t>✓</w:t>
            </w:r>
          </w:p>
        </w:tc>
        <w:tc>
          <w:tcPr>
            <w:tcW w:w="1220" w:type="dxa"/>
            <w:shd w:val="clear" w:color="auto" w:fill="D9D9D9"/>
          </w:tcPr>
          <w:p>
            <w:pPr>
              <w:pStyle w:val="TableParagraph"/>
              <w:rPr>
                <w:sz w:val="18"/>
              </w:rPr>
            </w:pPr>
          </w:p>
        </w:tc>
        <w:tc>
          <w:tcPr>
            <w:tcW w:w="1260" w:type="dxa"/>
            <w:shd w:val="clear" w:color="auto" w:fill="D9D9D9"/>
          </w:tcPr>
          <w:p>
            <w:pPr>
              <w:pStyle w:val="TableParagraph"/>
              <w:rPr>
                <w:sz w:val="18"/>
              </w:rPr>
            </w:pPr>
          </w:p>
        </w:tc>
        <w:tc>
          <w:tcPr>
            <w:tcW w:w="1040" w:type="dxa"/>
            <w:shd w:val="clear" w:color="auto" w:fill="D9D9D9"/>
          </w:tcPr>
          <w:p>
            <w:pPr>
              <w:pStyle w:val="TableParagraph"/>
              <w:rPr>
                <w:sz w:val="18"/>
              </w:rPr>
            </w:pPr>
          </w:p>
        </w:tc>
        <w:tc>
          <w:tcPr>
            <w:tcW w:w="1060" w:type="dxa"/>
            <w:shd w:val="clear" w:color="auto" w:fill="D9D9D9"/>
          </w:tcPr>
          <w:p>
            <w:pPr>
              <w:pStyle w:val="TableParagraph"/>
              <w:rPr>
                <w:sz w:val="18"/>
              </w:rPr>
            </w:pPr>
          </w:p>
        </w:tc>
      </w:tr>
    </w:tbl>
    <w:p>
      <w:pPr>
        <w:pStyle w:val="TableParagraph"/>
        <w:spacing w:after="0"/>
        <w:rPr>
          <w:sz w:val="18"/>
        </w:rPr>
        <w:sectPr>
          <w:type w:val="continuous"/>
          <w:pgSz w:w="12240" w:h="15840"/>
          <w:pgMar w:header="0" w:footer="750" w:top="680" w:bottom="960" w:left="720" w:right="0"/>
        </w:sectPr>
      </w:pPr>
    </w:p>
    <w:tbl>
      <w:tblPr>
        <w:tblW w:w="0" w:type="auto"/>
        <w:jc w:val="left"/>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80"/>
        <w:gridCol w:w="1160"/>
        <w:gridCol w:w="1080"/>
        <w:gridCol w:w="1100"/>
        <w:gridCol w:w="1180"/>
        <w:gridCol w:w="1080"/>
        <w:gridCol w:w="1220"/>
        <w:gridCol w:w="1260"/>
        <w:gridCol w:w="1040"/>
        <w:gridCol w:w="1060"/>
      </w:tblGrid>
      <w:tr>
        <w:trPr>
          <w:trHeight w:val="499" w:hRule="atLeast"/>
        </w:trPr>
        <w:tc>
          <w:tcPr>
            <w:tcW w:w="580" w:type="dxa"/>
          </w:tcPr>
          <w:p>
            <w:pPr>
              <w:pStyle w:val="TableParagraph"/>
              <w:spacing w:before="100"/>
              <w:ind w:left="5"/>
              <w:jc w:val="center"/>
              <w:rPr>
                <w:sz w:val="20"/>
              </w:rPr>
            </w:pPr>
            <w:r>
              <w:rPr>
                <w:spacing w:val="-5"/>
                <w:sz w:val="20"/>
              </w:rPr>
              <w:t>P20</w:t>
            </w:r>
          </w:p>
        </w:tc>
        <w:tc>
          <w:tcPr>
            <w:tcW w:w="1160" w:type="dxa"/>
          </w:tcPr>
          <w:p>
            <w:pPr>
              <w:pStyle w:val="TableParagraph"/>
              <w:spacing w:before="87"/>
              <w:ind w:left="10" w:right="59"/>
              <w:jc w:val="center"/>
              <w:rPr>
                <w:rFonts w:ascii="Segoe UI Symbol" w:hAnsi="Segoe UI Symbol"/>
                <w:sz w:val="20"/>
              </w:rPr>
            </w:pPr>
            <w:r>
              <w:rPr>
                <w:rFonts w:ascii="Segoe UI Symbol" w:hAnsi="Segoe UI Symbol"/>
                <w:spacing w:val="-10"/>
                <w:w w:val="135"/>
                <w:sz w:val="20"/>
              </w:rPr>
              <w:t>✓</w:t>
            </w:r>
          </w:p>
        </w:tc>
        <w:tc>
          <w:tcPr>
            <w:tcW w:w="1080" w:type="dxa"/>
          </w:tcPr>
          <w:p>
            <w:pPr>
              <w:pStyle w:val="TableParagraph"/>
              <w:spacing w:before="87"/>
              <w:ind w:left="35" w:right="74"/>
              <w:jc w:val="center"/>
              <w:rPr>
                <w:rFonts w:ascii="Segoe UI Symbol" w:hAnsi="Segoe UI Symbol"/>
                <w:sz w:val="20"/>
              </w:rPr>
            </w:pPr>
            <w:r>
              <w:rPr>
                <w:rFonts w:ascii="Segoe UI Symbol" w:hAnsi="Segoe UI Symbol"/>
                <w:spacing w:val="-10"/>
                <w:w w:val="135"/>
                <w:sz w:val="20"/>
              </w:rPr>
              <w:t>✓</w:t>
            </w:r>
          </w:p>
        </w:tc>
        <w:tc>
          <w:tcPr>
            <w:tcW w:w="1100" w:type="dxa"/>
          </w:tcPr>
          <w:p>
            <w:pPr>
              <w:pStyle w:val="TableParagraph"/>
              <w:rPr>
                <w:sz w:val="20"/>
              </w:rPr>
            </w:pPr>
          </w:p>
        </w:tc>
        <w:tc>
          <w:tcPr>
            <w:tcW w:w="1180" w:type="dxa"/>
          </w:tcPr>
          <w:p>
            <w:pPr>
              <w:pStyle w:val="TableParagraph"/>
              <w:rPr>
                <w:sz w:val="20"/>
              </w:rPr>
            </w:pPr>
          </w:p>
        </w:tc>
        <w:tc>
          <w:tcPr>
            <w:tcW w:w="1080" w:type="dxa"/>
          </w:tcPr>
          <w:p>
            <w:pPr>
              <w:pStyle w:val="TableParagraph"/>
              <w:rPr>
                <w:sz w:val="20"/>
              </w:rPr>
            </w:pPr>
          </w:p>
        </w:tc>
        <w:tc>
          <w:tcPr>
            <w:tcW w:w="1220" w:type="dxa"/>
          </w:tcPr>
          <w:p>
            <w:pPr>
              <w:pStyle w:val="TableParagraph"/>
              <w:rPr>
                <w:sz w:val="20"/>
              </w:rPr>
            </w:pPr>
          </w:p>
        </w:tc>
        <w:tc>
          <w:tcPr>
            <w:tcW w:w="1260" w:type="dxa"/>
          </w:tcPr>
          <w:p>
            <w:pPr>
              <w:pStyle w:val="TableParagraph"/>
              <w:spacing w:before="87"/>
              <w:ind w:left="63" w:right="112"/>
              <w:jc w:val="center"/>
              <w:rPr>
                <w:rFonts w:ascii="Segoe UI Symbol" w:hAnsi="Segoe UI Symbol"/>
                <w:sz w:val="20"/>
              </w:rPr>
            </w:pPr>
            <w:r>
              <w:rPr>
                <w:rFonts w:ascii="Segoe UI Symbol" w:hAnsi="Segoe UI Symbol"/>
                <w:spacing w:val="-10"/>
                <w:w w:val="135"/>
                <w:sz w:val="20"/>
              </w:rPr>
              <w:t>✓</w:t>
            </w:r>
          </w:p>
        </w:tc>
        <w:tc>
          <w:tcPr>
            <w:tcW w:w="1040" w:type="dxa"/>
          </w:tcPr>
          <w:p>
            <w:pPr>
              <w:pStyle w:val="TableParagraph"/>
              <w:spacing w:before="87"/>
              <w:ind w:left="59" w:right="39"/>
              <w:jc w:val="center"/>
              <w:rPr>
                <w:rFonts w:ascii="Segoe UI Symbol" w:hAnsi="Segoe UI Symbol"/>
                <w:sz w:val="20"/>
              </w:rPr>
            </w:pPr>
            <w:r>
              <w:rPr>
                <w:rFonts w:ascii="Segoe UI Symbol" w:hAnsi="Segoe UI Symbol"/>
                <w:spacing w:val="-10"/>
                <w:w w:val="135"/>
                <w:sz w:val="20"/>
              </w:rPr>
              <w:t>✓</w:t>
            </w:r>
          </w:p>
        </w:tc>
        <w:tc>
          <w:tcPr>
            <w:tcW w:w="1060" w:type="dxa"/>
          </w:tcPr>
          <w:p>
            <w:pPr>
              <w:pStyle w:val="TableParagraph"/>
              <w:rPr>
                <w:sz w:val="20"/>
              </w:rPr>
            </w:pPr>
          </w:p>
        </w:tc>
      </w:tr>
      <w:tr>
        <w:trPr>
          <w:trHeight w:val="499" w:hRule="atLeast"/>
        </w:trPr>
        <w:tc>
          <w:tcPr>
            <w:tcW w:w="580" w:type="dxa"/>
            <w:shd w:val="clear" w:color="auto" w:fill="D9D9D9"/>
          </w:tcPr>
          <w:p>
            <w:pPr>
              <w:pStyle w:val="TableParagraph"/>
              <w:spacing w:before="105"/>
              <w:ind w:left="5"/>
              <w:jc w:val="center"/>
              <w:rPr>
                <w:sz w:val="20"/>
              </w:rPr>
            </w:pPr>
            <w:r>
              <w:rPr>
                <w:spacing w:val="-5"/>
                <w:sz w:val="20"/>
              </w:rPr>
              <w:t>P21</w:t>
            </w:r>
          </w:p>
        </w:tc>
        <w:tc>
          <w:tcPr>
            <w:tcW w:w="1160" w:type="dxa"/>
            <w:shd w:val="clear" w:color="auto" w:fill="D9D9D9"/>
          </w:tcPr>
          <w:p>
            <w:pPr>
              <w:pStyle w:val="TableParagraph"/>
              <w:rPr>
                <w:sz w:val="20"/>
              </w:rPr>
            </w:pPr>
          </w:p>
        </w:tc>
        <w:tc>
          <w:tcPr>
            <w:tcW w:w="1080" w:type="dxa"/>
            <w:shd w:val="clear" w:color="auto" w:fill="D9D9D9"/>
          </w:tcPr>
          <w:p>
            <w:pPr>
              <w:pStyle w:val="TableParagraph"/>
              <w:rPr>
                <w:sz w:val="20"/>
              </w:rPr>
            </w:pPr>
          </w:p>
        </w:tc>
        <w:tc>
          <w:tcPr>
            <w:tcW w:w="1100" w:type="dxa"/>
            <w:shd w:val="clear" w:color="auto" w:fill="D9D9D9"/>
          </w:tcPr>
          <w:p>
            <w:pPr>
              <w:pStyle w:val="TableParagraph"/>
              <w:rPr>
                <w:sz w:val="20"/>
              </w:rPr>
            </w:pPr>
          </w:p>
        </w:tc>
        <w:tc>
          <w:tcPr>
            <w:tcW w:w="1180" w:type="dxa"/>
            <w:shd w:val="clear" w:color="auto" w:fill="D9D9D9"/>
          </w:tcPr>
          <w:p>
            <w:pPr>
              <w:pStyle w:val="TableParagraph"/>
              <w:rPr>
                <w:sz w:val="20"/>
              </w:rPr>
            </w:pPr>
          </w:p>
        </w:tc>
        <w:tc>
          <w:tcPr>
            <w:tcW w:w="1080" w:type="dxa"/>
            <w:shd w:val="clear" w:color="auto" w:fill="D9D9D9"/>
          </w:tcPr>
          <w:p>
            <w:pPr>
              <w:pStyle w:val="TableParagraph"/>
              <w:rPr>
                <w:sz w:val="20"/>
              </w:rPr>
            </w:pPr>
          </w:p>
        </w:tc>
        <w:tc>
          <w:tcPr>
            <w:tcW w:w="1220" w:type="dxa"/>
            <w:shd w:val="clear" w:color="auto" w:fill="D9D9D9"/>
          </w:tcPr>
          <w:p>
            <w:pPr>
              <w:pStyle w:val="TableParagraph"/>
              <w:rPr>
                <w:sz w:val="20"/>
              </w:rPr>
            </w:pPr>
          </w:p>
        </w:tc>
        <w:tc>
          <w:tcPr>
            <w:tcW w:w="1260" w:type="dxa"/>
            <w:shd w:val="clear" w:color="auto" w:fill="D9D9D9"/>
          </w:tcPr>
          <w:p>
            <w:pPr>
              <w:pStyle w:val="TableParagraph"/>
              <w:spacing w:before="91"/>
              <w:ind w:left="63" w:right="112"/>
              <w:jc w:val="center"/>
              <w:rPr>
                <w:rFonts w:ascii="Segoe UI Symbol" w:hAnsi="Segoe UI Symbol"/>
                <w:sz w:val="20"/>
              </w:rPr>
            </w:pPr>
            <w:r>
              <w:rPr>
                <w:rFonts w:ascii="Segoe UI Symbol" w:hAnsi="Segoe UI Symbol"/>
                <w:spacing w:val="-10"/>
                <w:w w:val="135"/>
                <w:sz w:val="20"/>
              </w:rPr>
              <w:t>✓</w:t>
            </w:r>
          </w:p>
        </w:tc>
        <w:tc>
          <w:tcPr>
            <w:tcW w:w="1040" w:type="dxa"/>
            <w:shd w:val="clear" w:color="auto" w:fill="D9D9D9"/>
          </w:tcPr>
          <w:p>
            <w:pPr>
              <w:pStyle w:val="TableParagraph"/>
              <w:rPr>
                <w:sz w:val="20"/>
              </w:rPr>
            </w:pPr>
          </w:p>
        </w:tc>
        <w:tc>
          <w:tcPr>
            <w:tcW w:w="1060" w:type="dxa"/>
            <w:shd w:val="clear" w:color="auto" w:fill="D9D9D9"/>
          </w:tcPr>
          <w:p>
            <w:pPr>
              <w:pStyle w:val="TableParagraph"/>
              <w:spacing w:before="91"/>
              <w:ind w:left="80" w:right="60"/>
              <w:jc w:val="center"/>
              <w:rPr>
                <w:rFonts w:ascii="Segoe UI Symbol" w:hAnsi="Segoe UI Symbol"/>
                <w:sz w:val="20"/>
              </w:rPr>
            </w:pPr>
            <w:r>
              <w:rPr>
                <w:rFonts w:ascii="Segoe UI Symbol" w:hAnsi="Segoe UI Symbol"/>
                <w:spacing w:val="-10"/>
                <w:w w:val="135"/>
                <w:sz w:val="20"/>
              </w:rPr>
              <w:t>✓</w:t>
            </w:r>
          </w:p>
        </w:tc>
      </w:tr>
      <w:tr>
        <w:trPr>
          <w:trHeight w:val="500" w:hRule="atLeast"/>
        </w:trPr>
        <w:tc>
          <w:tcPr>
            <w:tcW w:w="580" w:type="dxa"/>
            <w:shd w:val="clear" w:color="auto" w:fill="F2F2F2"/>
          </w:tcPr>
          <w:p>
            <w:pPr>
              <w:pStyle w:val="TableParagraph"/>
              <w:spacing w:before="109"/>
              <w:ind w:left="5"/>
              <w:jc w:val="center"/>
              <w:rPr>
                <w:sz w:val="20"/>
              </w:rPr>
            </w:pPr>
            <w:r>
              <w:rPr>
                <w:spacing w:val="-5"/>
                <w:sz w:val="20"/>
              </w:rPr>
              <w:t>P22</w:t>
            </w:r>
          </w:p>
        </w:tc>
        <w:tc>
          <w:tcPr>
            <w:tcW w:w="1160" w:type="dxa"/>
            <w:shd w:val="clear" w:color="auto" w:fill="F2F2F2"/>
          </w:tcPr>
          <w:p>
            <w:pPr>
              <w:pStyle w:val="TableParagraph"/>
              <w:spacing w:before="95"/>
              <w:ind w:left="10" w:right="5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spacing w:before="95"/>
              <w:ind w:left="59" w:right="39"/>
              <w:jc w:val="center"/>
              <w:rPr>
                <w:rFonts w:ascii="Segoe UI Symbol" w:hAnsi="Segoe UI Symbol"/>
                <w:sz w:val="20"/>
              </w:rPr>
            </w:pPr>
            <w:r>
              <w:rPr>
                <w:rFonts w:ascii="Segoe UI Symbol" w:hAnsi="Segoe UI Symbol"/>
                <w:spacing w:val="-10"/>
                <w:w w:val="135"/>
                <w:sz w:val="20"/>
              </w:rPr>
              <w:t>✓</w:t>
            </w:r>
          </w:p>
        </w:tc>
        <w:tc>
          <w:tcPr>
            <w:tcW w:w="1100" w:type="dxa"/>
            <w:shd w:val="clear" w:color="auto" w:fill="F2F2F2"/>
          </w:tcPr>
          <w:p>
            <w:pPr>
              <w:pStyle w:val="TableParagraph"/>
              <w:rPr>
                <w:sz w:val="20"/>
              </w:rPr>
            </w:pPr>
          </w:p>
        </w:tc>
        <w:tc>
          <w:tcPr>
            <w:tcW w:w="1180" w:type="dxa"/>
            <w:shd w:val="clear" w:color="auto" w:fill="F2F2F2"/>
          </w:tcPr>
          <w:p>
            <w:pPr>
              <w:pStyle w:val="TableParagraph"/>
              <w:rPr>
                <w:sz w:val="20"/>
              </w:rPr>
            </w:pPr>
          </w:p>
        </w:tc>
        <w:tc>
          <w:tcPr>
            <w:tcW w:w="1080" w:type="dxa"/>
            <w:shd w:val="clear" w:color="auto" w:fill="F2F2F2"/>
          </w:tcPr>
          <w:p>
            <w:pPr>
              <w:pStyle w:val="TableParagraph"/>
              <w:rPr>
                <w:sz w:val="20"/>
              </w:rPr>
            </w:pPr>
          </w:p>
        </w:tc>
        <w:tc>
          <w:tcPr>
            <w:tcW w:w="1220" w:type="dxa"/>
            <w:shd w:val="clear" w:color="auto" w:fill="F2F2F2"/>
          </w:tcPr>
          <w:p>
            <w:pPr>
              <w:pStyle w:val="TableParagraph"/>
              <w:rPr>
                <w:sz w:val="20"/>
              </w:rPr>
            </w:pPr>
          </w:p>
        </w:tc>
        <w:tc>
          <w:tcPr>
            <w:tcW w:w="1260" w:type="dxa"/>
            <w:shd w:val="clear" w:color="auto" w:fill="F2F2F2"/>
          </w:tcPr>
          <w:p>
            <w:pPr>
              <w:pStyle w:val="TableParagraph"/>
              <w:rPr>
                <w:sz w:val="20"/>
              </w:rPr>
            </w:pPr>
          </w:p>
        </w:tc>
        <w:tc>
          <w:tcPr>
            <w:tcW w:w="1040" w:type="dxa"/>
            <w:shd w:val="clear" w:color="auto" w:fill="F2F2F2"/>
          </w:tcPr>
          <w:p>
            <w:pPr>
              <w:pStyle w:val="TableParagraph"/>
              <w:rPr>
                <w:sz w:val="20"/>
              </w:rPr>
            </w:pPr>
          </w:p>
        </w:tc>
        <w:tc>
          <w:tcPr>
            <w:tcW w:w="1060" w:type="dxa"/>
            <w:shd w:val="clear" w:color="auto" w:fill="F2F2F2"/>
          </w:tcPr>
          <w:p>
            <w:pPr>
              <w:pStyle w:val="TableParagraph"/>
              <w:rPr>
                <w:sz w:val="20"/>
              </w:rPr>
            </w:pPr>
          </w:p>
        </w:tc>
      </w:tr>
    </w:tbl>
    <w:p>
      <w:pPr>
        <w:spacing w:before="30"/>
        <w:ind w:left="1935" w:right="0" w:firstLine="0"/>
        <w:jc w:val="left"/>
        <w:rPr>
          <w:sz w:val="20"/>
        </w:rPr>
      </w:pPr>
      <w:r>
        <w:rPr>
          <w:rFonts w:ascii="Arial"/>
          <w:sz w:val="20"/>
          <w:vertAlign w:val="superscript"/>
        </w:rPr>
        <w:t>7</w:t>
      </w:r>
      <w:r>
        <w:rPr>
          <w:rFonts w:ascii="Arial"/>
          <w:spacing w:val="-6"/>
          <w:sz w:val="20"/>
          <w:vertAlign w:val="baseline"/>
        </w:rPr>
        <w:t> </w:t>
      </w:r>
      <w:r>
        <w:rPr>
          <w:sz w:val="20"/>
          <w:vertAlign w:val="baseline"/>
        </w:rPr>
        <w:t>The</w:t>
      </w:r>
      <w:r>
        <w:rPr>
          <w:spacing w:val="-5"/>
          <w:sz w:val="20"/>
          <w:vertAlign w:val="baseline"/>
        </w:rPr>
        <w:t> </w:t>
      </w:r>
      <w:r>
        <w:rPr>
          <w:sz w:val="20"/>
          <w:vertAlign w:val="baseline"/>
        </w:rPr>
        <w:t>titles</w:t>
      </w:r>
      <w:r>
        <w:rPr>
          <w:spacing w:val="-5"/>
          <w:sz w:val="20"/>
          <w:vertAlign w:val="baseline"/>
        </w:rPr>
        <w:t> </w:t>
      </w:r>
      <w:r>
        <w:rPr>
          <w:sz w:val="20"/>
          <w:vertAlign w:val="baseline"/>
        </w:rPr>
        <w:t>of</w:t>
      </w:r>
      <w:r>
        <w:rPr>
          <w:spacing w:val="-5"/>
          <w:sz w:val="20"/>
          <w:vertAlign w:val="baseline"/>
        </w:rPr>
        <w:t> </w:t>
      </w:r>
      <w:r>
        <w:rPr>
          <w:sz w:val="20"/>
          <w:vertAlign w:val="baseline"/>
        </w:rPr>
        <w:t>themes</w:t>
      </w:r>
      <w:r>
        <w:rPr>
          <w:spacing w:val="-5"/>
          <w:sz w:val="20"/>
          <w:vertAlign w:val="baseline"/>
        </w:rPr>
        <w:t> </w:t>
      </w:r>
      <w:r>
        <w:rPr>
          <w:sz w:val="20"/>
          <w:vertAlign w:val="baseline"/>
        </w:rPr>
        <w:t>and</w:t>
      </w:r>
      <w:r>
        <w:rPr>
          <w:spacing w:val="-4"/>
          <w:sz w:val="20"/>
          <w:vertAlign w:val="baseline"/>
        </w:rPr>
        <w:t> </w:t>
      </w:r>
      <w:r>
        <w:rPr>
          <w:sz w:val="20"/>
          <w:vertAlign w:val="baseline"/>
        </w:rPr>
        <w:t>subthemes</w:t>
      </w:r>
      <w:r>
        <w:rPr>
          <w:spacing w:val="-5"/>
          <w:sz w:val="20"/>
          <w:vertAlign w:val="baseline"/>
        </w:rPr>
        <w:t> </w:t>
      </w:r>
      <w:r>
        <w:rPr>
          <w:sz w:val="20"/>
          <w:vertAlign w:val="baseline"/>
        </w:rPr>
        <w:t>are</w:t>
      </w:r>
      <w:r>
        <w:rPr>
          <w:spacing w:val="-5"/>
          <w:sz w:val="20"/>
          <w:vertAlign w:val="baseline"/>
        </w:rPr>
        <w:t> </w:t>
      </w:r>
      <w:r>
        <w:rPr>
          <w:sz w:val="20"/>
          <w:vertAlign w:val="baseline"/>
        </w:rPr>
        <w:t>listed</w:t>
      </w:r>
      <w:r>
        <w:rPr>
          <w:spacing w:val="-5"/>
          <w:sz w:val="20"/>
          <w:vertAlign w:val="baseline"/>
        </w:rPr>
        <w:t> </w:t>
      </w:r>
      <w:r>
        <w:rPr>
          <w:spacing w:val="-2"/>
          <w:sz w:val="20"/>
          <w:vertAlign w:val="baseline"/>
        </w:rPr>
        <w:t>below.</w:t>
      </w:r>
    </w:p>
    <w:p>
      <w:pPr>
        <w:spacing w:before="0"/>
        <w:ind w:left="1935" w:right="0" w:firstLine="0"/>
        <w:jc w:val="left"/>
        <w:rPr>
          <w:sz w:val="20"/>
        </w:rPr>
      </w:pPr>
      <w:r>
        <w:rPr>
          <w:b/>
          <w:sz w:val="20"/>
        </w:rPr>
        <w:t>Theme</w:t>
      </w:r>
      <w:r>
        <w:rPr>
          <w:b/>
          <w:spacing w:val="-8"/>
          <w:sz w:val="20"/>
        </w:rPr>
        <w:t> </w:t>
      </w:r>
      <w:r>
        <w:rPr>
          <w:b/>
          <w:sz w:val="20"/>
        </w:rPr>
        <w:t>1:</w:t>
      </w:r>
      <w:r>
        <w:rPr>
          <w:b/>
          <w:spacing w:val="-7"/>
          <w:sz w:val="20"/>
        </w:rPr>
        <w:t> </w:t>
      </w:r>
      <w:r>
        <w:rPr>
          <w:sz w:val="20"/>
        </w:rPr>
        <w:t>Humanizing</w:t>
      </w:r>
      <w:r>
        <w:rPr>
          <w:spacing w:val="-7"/>
          <w:sz w:val="20"/>
        </w:rPr>
        <w:t> </w:t>
      </w:r>
      <w:r>
        <w:rPr>
          <w:sz w:val="20"/>
        </w:rPr>
        <w:t>the</w:t>
      </w:r>
      <w:r>
        <w:rPr>
          <w:spacing w:val="-7"/>
          <w:sz w:val="20"/>
        </w:rPr>
        <w:t> </w:t>
      </w:r>
      <w:r>
        <w:rPr>
          <w:sz w:val="20"/>
        </w:rPr>
        <w:t>Accounting</w:t>
      </w:r>
      <w:r>
        <w:rPr>
          <w:spacing w:val="-7"/>
          <w:sz w:val="20"/>
        </w:rPr>
        <w:t> </w:t>
      </w:r>
      <w:r>
        <w:rPr>
          <w:sz w:val="20"/>
        </w:rPr>
        <w:t>Profession</w:t>
      </w:r>
      <w:r>
        <w:rPr>
          <w:spacing w:val="-7"/>
          <w:sz w:val="20"/>
        </w:rPr>
        <w:t> </w:t>
      </w:r>
      <w:r>
        <w:rPr>
          <w:sz w:val="20"/>
        </w:rPr>
        <w:t>by</w:t>
      </w:r>
      <w:r>
        <w:rPr>
          <w:spacing w:val="-7"/>
          <w:sz w:val="20"/>
        </w:rPr>
        <w:t> </w:t>
      </w:r>
      <w:r>
        <w:rPr>
          <w:sz w:val="20"/>
        </w:rPr>
        <w:t>Focusing</w:t>
      </w:r>
      <w:r>
        <w:rPr>
          <w:spacing w:val="-7"/>
          <w:sz w:val="20"/>
        </w:rPr>
        <w:t> </w:t>
      </w:r>
      <w:r>
        <w:rPr>
          <w:sz w:val="20"/>
        </w:rPr>
        <w:t>on</w:t>
      </w:r>
      <w:r>
        <w:rPr>
          <w:spacing w:val="-7"/>
          <w:sz w:val="20"/>
        </w:rPr>
        <w:t> </w:t>
      </w:r>
      <w:r>
        <w:rPr>
          <w:sz w:val="20"/>
        </w:rPr>
        <w:t>Relationship-Driven</w:t>
      </w:r>
      <w:r>
        <w:rPr>
          <w:spacing w:val="-7"/>
          <w:sz w:val="20"/>
        </w:rPr>
        <w:t> </w:t>
      </w:r>
      <w:r>
        <w:rPr>
          <w:spacing w:val="-2"/>
          <w:sz w:val="20"/>
        </w:rPr>
        <w:t>Recruitment</w:t>
      </w:r>
    </w:p>
    <w:p>
      <w:pPr>
        <w:spacing w:before="0"/>
        <w:ind w:left="1935" w:right="0" w:firstLine="0"/>
        <w:jc w:val="left"/>
        <w:rPr>
          <w:sz w:val="20"/>
        </w:rPr>
      </w:pPr>
      <w:r>
        <w:rPr>
          <w:b/>
          <w:sz w:val="20"/>
        </w:rPr>
        <w:t>Subtheme</w:t>
      </w:r>
      <w:r>
        <w:rPr>
          <w:b/>
          <w:spacing w:val="-6"/>
          <w:sz w:val="20"/>
        </w:rPr>
        <w:t> </w:t>
      </w:r>
      <w:r>
        <w:rPr>
          <w:b/>
          <w:sz w:val="20"/>
        </w:rPr>
        <w:t>1.1:</w:t>
      </w:r>
      <w:r>
        <w:rPr>
          <w:b/>
          <w:spacing w:val="-6"/>
          <w:sz w:val="20"/>
        </w:rPr>
        <w:t> </w:t>
      </w:r>
      <w:r>
        <w:rPr>
          <w:sz w:val="20"/>
        </w:rPr>
        <w:t>The</w:t>
      </w:r>
      <w:r>
        <w:rPr>
          <w:spacing w:val="-6"/>
          <w:sz w:val="20"/>
        </w:rPr>
        <w:t> </w:t>
      </w:r>
      <w:r>
        <w:rPr>
          <w:sz w:val="20"/>
        </w:rPr>
        <w:t>Influence</w:t>
      </w:r>
      <w:r>
        <w:rPr>
          <w:spacing w:val="-6"/>
          <w:sz w:val="20"/>
        </w:rPr>
        <w:t> </w:t>
      </w:r>
      <w:r>
        <w:rPr>
          <w:sz w:val="20"/>
        </w:rPr>
        <w:t>of</w:t>
      </w:r>
      <w:r>
        <w:rPr>
          <w:spacing w:val="-6"/>
          <w:sz w:val="20"/>
        </w:rPr>
        <w:t> </w:t>
      </w:r>
      <w:r>
        <w:rPr>
          <w:sz w:val="20"/>
        </w:rPr>
        <w:t>Personable</w:t>
      </w:r>
      <w:r>
        <w:rPr>
          <w:spacing w:val="-6"/>
          <w:sz w:val="20"/>
        </w:rPr>
        <w:t> </w:t>
      </w:r>
      <w:r>
        <w:rPr>
          <w:spacing w:val="-2"/>
          <w:sz w:val="20"/>
        </w:rPr>
        <w:t>Educators</w:t>
      </w:r>
    </w:p>
    <w:p>
      <w:pPr>
        <w:spacing w:before="0"/>
        <w:ind w:left="1935" w:right="0" w:firstLine="0"/>
        <w:jc w:val="left"/>
        <w:rPr>
          <w:sz w:val="20"/>
        </w:rPr>
      </w:pPr>
      <w:r>
        <w:rPr>
          <w:b/>
          <w:sz w:val="20"/>
        </w:rPr>
        <w:t>Subtheme</w:t>
      </w:r>
      <w:r>
        <w:rPr>
          <w:b/>
          <w:spacing w:val="-7"/>
          <w:sz w:val="20"/>
        </w:rPr>
        <w:t> </w:t>
      </w:r>
      <w:r>
        <w:rPr>
          <w:b/>
          <w:sz w:val="20"/>
        </w:rPr>
        <w:t>1.2:</w:t>
      </w:r>
      <w:r>
        <w:rPr>
          <w:b/>
          <w:spacing w:val="-5"/>
          <w:sz w:val="20"/>
        </w:rPr>
        <w:t> </w:t>
      </w:r>
      <w:r>
        <w:rPr>
          <w:sz w:val="20"/>
        </w:rPr>
        <w:t>The</w:t>
      </w:r>
      <w:r>
        <w:rPr>
          <w:spacing w:val="-5"/>
          <w:sz w:val="20"/>
        </w:rPr>
        <w:t> </w:t>
      </w:r>
      <w:r>
        <w:rPr>
          <w:sz w:val="20"/>
        </w:rPr>
        <w:t>Impact</w:t>
      </w:r>
      <w:r>
        <w:rPr>
          <w:spacing w:val="-5"/>
          <w:sz w:val="20"/>
        </w:rPr>
        <w:t> </w:t>
      </w:r>
      <w:r>
        <w:rPr>
          <w:sz w:val="20"/>
        </w:rPr>
        <w:t>of</w:t>
      </w:r>
      <w:r>
        <w:rPr>
          <w:spacing w:val="-5"/>
          <w:sz w:val="20"/>
        </w:rPr>
        <w:t> </w:t>
      </w:r>
      <w:r>
        <w:rPr>
          <w:sz w:val="20"/>
        </w:rPr>
        <w:t>Peer</w:t>
      </w:r>
      <w:r>
        <w:rPr>
          <w:spacing w:val="-5"/>
          <w:sz w:val="20"/>
        </w:rPr>
        <w:t> </w:t>
      </w:r>
      <w:r>
        <w:rPr>
          <w:sz w:val="20"/>
        </w:rPr>
        <w:t>Networks</w:t>
      </w:r>
      <w:r>
        <w:rPr>
          <w:spacing w:val="-5"/>
          <w:sz w:val="20"/>
        </w:rPr>
        <w:t> </w:t>
      </w:r>
      <w:r>
        <w:rPr>
          <w:sz w:val="20"/>
        </w:rPr>
        <w:t>and</w:t>
      </w:r>
      <w:r>
        <w:rPr>
          <w:spacing w:val="-5"/>
          <w:sz w:val="20"/>
        </w:rPr>
        <w:t> </w:t>
      </w:r>
      <w:r>
        <w:rPr>
          <w:sz w:val="20"/>
        </w:rPr>
        <w:t>Support</w:t>
      </w:r>
      <w:r>
        <w:rPr>
          <w:spacing w:val="-5"/>
          <w:sz w:val="20"/>
        </w:rPr>
        <w:t> </w:t>
      </w:r>
      <w:r>
        <w:rPr>
          <w:spacing w:val="-2"/>
          <w:sz w:val="20"/>
        </w:rPr>
        <w:t>Systems</w:t>
      </w:r>
    </w:p>
    <w:p>
      <w:pPr>
        <w:spacing w:before="0"/>
        <w:ind w:left="1935" w:right="2550" w:firstLine="0"/>
        <w:jc w:val="left"/>
        <w:rPr>
          <w:sz w:val="20"/>
        </w:rPr>
      </w:pPr>
      <w:r>
        <w:rPr>
          <w:b/>
          <w:sz w:val="20"/>
        </w:rPr>
        <w:t>Theme 2: </w:t>
      </w:r>
      <w:r>
        <w:rPr>
          <w:sz w:val="20"/>
        </w:rPr>
        <w:t>Pursuing Diverse Professional Passions with an Accounting Degree </w:t>
      </w:r>
      <w:r>
        <w:rPr>
          <w:b/>
          <w:sz w:val="20"/>
        </w:rPr>
        <w:t>Subtheme</w:t>
      </w:r>
      <w:r>
        <w:rPr>
          <w:b/>
          <w:spacing w:val="-5"/>
          <w:sz w:val="20"/>
        </w:rPr>
        <w:t> </w:t>
      </w:r>
      <w:r>
        <w:rPr>
          <w:b/>
          <w:sz w:val="20"/>
        </w:rPr>
        <w:t>2.1:</w:t>
      </w:r>
      <w:r>
        <w:rPr>
          <w:b/>
          <w:spacing w:val="-5"/>
          <w:sz w:val="20"/>
        </w:rPr>
        <w:t> </w:t>
      </w:r>
      <w:r>
        <w:rPr>
          <w:sz w:val="20"/>
        </w:rPr>
        <w:t>Relevancy</w:t>
      </w:r>
      <w:r>
        <w:rPr>
          <w:spacing w:val="-5"/>
          <w:sz w:val="20"/>
        </w:rPr>
        <w:t> </w:t>
      </w:r>
      <w:r>
        <w:rPr>
          <w:sz w:val="20"/>
        </w:rPr>
        <w:t>of</w:t>
      </w:r>
      <w:r>
        <w:rPr>
          <w:spacing w:val="-5"/>
          <w:sz w:val="20"/>
        </w:rPr>
        <w:t> </w:t>
      </w:r>
      <w:r>
        <w:rPr>
          <w:sz w:val="20"/>
        </w:rPr>
        <w:t>Accounting</w:t>
      </w:r>
      <w:r>
        <w:rPr>
          <w:spacing w:val="-5"/>
          <w:sz w:val="20"/>
        </w:rPr>
        <w:t> </w:t>
      </w:r>
      <w:r>
        <w:rPr>
          <w:sz w:val="20"/>
        </w:rPr>
        <w:t>for</w:t>
      </w:r>
      <w:r>
        <w:rPr>
          <w:spacing w:val="-5"/>
          <w:sz w:val="20"/>
        </w:rPr>
        <w:t> </w:t>
      </w:r>
      <w:r>
        <w:rPr>
          <w:sz w:val="20"/>
        </w:rPr>
        <w:t>Undeclared</w:t>
      </w:r>
      <w:r>
        <w:rPr>
          <w:spacing w:val="-5"/>
          <w:sz w:val="20"/>
        </w:rPr>
        <w:t> </w:t>
      </w:r>
      <w:r>
        <w:rPr>
          <w:sz w:val="20"/>
        </w:rPr>
        <w:t>or</w:t>
      </w:r>
      <w:r>
        <w:rPr>
          <w:spacing w:val="-5"/>
          <w:sz w:val="20"/>
        </w:rPr>
        <w:t> </w:t>
      </w:r>
      <w:r>
        <w:rPr>
          <w:sz w:val="20"/>
        </w:rPr>
        <w:t>Non-Business</w:t>
      </w:r>
      <w:r>
        <w:rPr>
          <w:spacing w:val="-5"/>
          <w:sz w:val="20"/>
        </w:rPr>
        <w:t> </w:t>
      </w:r>
      <w:r>
        <w:rPr>
          <w:sz w:val="20"/>
        </w:rPr>
        <w:t>Students </w:t>
      </w:r>
      <w:r>
        <w:rPr>
          <w:b/>
          <w:sz w:val="20"/>
        </w:rPr>
        <w:t>Subtheme 2.2: </w:t>
      </w:r>
      <w:r>
        <w:rPr>
          <w:sz w:val="20"/>
        </w:rPr>
        <w:t>Opportunities and Stability with an Accounting Degree</w:t>
      </w:r>
    </w:p>
    <w:p>
      <w:pPr>
        <w:spacing w:before="0"/>
        <w:ind w:left="1935" w:right="1381" w:firstLine="0"/>
        <w:jc w:val="left"/>
        <w:rPr>
          <w:sz w:val="20"/>
        </w:rPr>
      </w:pPr>
      <w:r>
        <w:rPr>
          <w:b/>
          <w:sz w:val="20"/>
        </w:rPr>
        <w:t>Theme</w:t>
      </w:r>
      <w:r>
        <w:rPr>
          <w:b/>
          <w:spacing w:val="-5"/>
          <w:sz w:val="20"/>
        </w:rPr>
        <w:t> </w:t>
      </w:r>
      <w:r>
        <w:rPr>
          <w:b/>
          <w:sz w:val="20"/>
        </w:rPr>
        <w:t>3:</w:t>
      </w:r>
      <w:r>
        <w:rPr>
          <w:b/>
          <w:spacing w:val="-5"/>
          <w:sz w:val="20"/>
        </w:rPr>
        <w:t> </w:t>
      </w:r>
      <w:r>
        <w:rPr>
          <w:sz w:val="20"/>
        </w:rPr>
        <w:t>Bridging</w:t>
      </w:r>
      <w:r>
        <w:rPr>
          <w:spacing w:val="-5"/>
          <w:sz w:val="20"/>
        </w:rPr>
        <w:t> </w:t>
      </w:r>
      <w:r>
        <w:rPr>
          <w:sz w:val="20"/>
        </w:rPr>
        <w:t>the</w:t>
      </w:r>
      <w:r>
        <w:rPr>
          <w:spacing w:val="-5"/>
          <w:sz w:val="20"/>
        </w:rPr>
        <w:t> </w:t>
      </w:r>
      <w:r>
        <w:rPr>
          <w:sz w:val="20"/>
        </w:rPr>
        <w:t>Gap</w:t>
      </w:r>
      <w:r>
        <w:rPr>
          <w:spacing w:val="-5"/>
          <w:sz w:val="20"/>
        </w:rPr>
        <w:t> </w:t>
      </w:r>
      <w:r>
        <w:rPr>
          <w:sz w:val="20"/>
        </w:rPr>
        <w:t>Between</w:t>
      </w:r>
      <w:r>
        <w:rPr>
          <w:spacing w:val="-5"/>
          <w:sz w:val="20"/>
        </w:rPr>
        <w:t> </w:t>
      </w:r>
      <w:r>
        <w:rPr>
          <w:sz w:val="20"/>
        </w:rPr>
        <w:t>Technical</w:t>
      </w:r>
      <w:r>
        <w:rPr>
          <w:spacing w:val="-5"/>
          <w:sz w:val="20"/>
        </w:rPr>
        <w:t> </w:t>
      </w:r>
      <w:r>
        <w:rPr>
          <w:sz w:val="20"/>
        </w:rPr>
        <w:t>Proficiency</w:t>
      </w:r>
      <w:r>
        <w:rPr>
          <w:spacing w:val="-5"/>
          <w:sz w:val="20"/>
        </w:rPr>
        <w:t> </w:t>
      </w:r>
      <w:r>
        <w:rPr>
          <w:sz w:val="20"/>
        </w:rPr>
        <w:t>and</w:t>
      </w:r>
      <w:r>
        <w:rPr>
          <w:spacing w:val="-5"/>
          <w:sz w:val="20"/>
        </w:rPr>
        <w:t> </w:t>
      </w:r>
      <w:r>
        <w:rPr>
          <w:sz w:val="20"/>
        </w:rPr>
        <w:t>Societal</w:t>
      </w:r>
      <w:r>
        <w:rPr>
          <w:spacing w:val="-5"/>
          <w:sz w:val="20"/>
        </w:rPr>
        <w:t> </w:t>
      </w:r>
      <w:r>
        <w:rPr>
          <w:sz w:val="20"/>
        </w:rPr>
        <w:t>Impact</w:t>
      </w:r>
      <w:r>
        <w:rPr>
          <w:spacing w:val="-5"/>
          <w:sz w:val="20"/>
        </w:rPr>
        <w:t> </w:t>
      </w:r>
      <w:r>
        <w:rPr>
          <w:sz w:val="20"/>
        </w:rPr>
        <w:t>in</w:t>
      </w:r>
      <w:r>
        <w:rPr>
          <w:spacing w:val="-5"/>
          <w:sz w:val="20"/>
        </w:rPr>
        <w:t> </w:t>
      </w:r>
      <w:r>
        <w:rPr>
          <w:sz w:val="20"/>
        </w:rPr>
        <w:t>Accounting </w:t>
      </w:r>
      <w:r>
        <w:rPr>
          <w:b/>
          <w:sz w:val="20"/>
        </w:rPr>
        <w:t>Subtheme 3.1: </w:t>
      </w:r>
      <w:r>
        <w:rPr>
          <w:sz w:val="20"/>
        </w:rPr>
        <w:t>Learning to Align the Accounting Profession with Students’ Personal Values </w:t>
      </w:r>
      <w:r>
        <w:rPr>
          <w:b/>
          <w:sz w:val="20"/>
        </w:rPr>
        <w:t>Subtheme 3.2: </w:t>
      </w:r>
      <w:r>
        <w:rPr>
          <w:sz w:val="20"/>
        </w:rPr>
        <w:t>Empowerment Through Financial Literacy</w:t>
      </w:r>
    </w:p>
    <w:tbl>
      <w:tblPr>
        <w:tblW w:w="0" w:type="auto"/>
        <w:jc w:val="left"/>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80"/>
        <w:gridCol w:w="1160"/>
        <w:gridCol w:w="1080"/>
        <w:gridCol w:w="1100"/>
        <w:gridCol w:w="1180"/>
        <w:gridCol w:w="1080"/>
        <w:gridCol w:w="1220"/>
        <w:gridCol w:w="1260"/>
        <w:gridCol w:w="1040"/>
        <w:gridCol w:w="1060"/>
      </w:tblGrid>
      <w:tr>
        <w:trPr>
          <w:trHeight w:val="499" w:hRule="atLeast"/>
        </w:trPr>
        <w:tc>
          <w:tcPr>
            <w:tcW w:w="580" w:type="dxa"/>
            <w:shd w:val="clear" w:color="auto" w:fill="F2F2F2"/>
          </w:tcPr>
          <w:p>
            <w:pPr>
              <w:pStyle w:val="TableParagraph"/>
              <w:spacing w:before="100"/>
              <w:ind w:left="5"/>
              <w:jc w:val="center"/>
              <w:rPr>
                <w:sz w:val="20"/>
              </w:rPr>
            </w:pPr>
            <w:r>
              <w:rPr>
                <w:spacing w:val="-5"/>
                <w:sz w:val="20"/>
              </w:rPr>
              <w:t>P23</w:t>
            </w:r>
          </w:p>
        </w:tc>
        <w:tc>
          <w:tcPr>
            <w:tcW w:w="1160" w:type="dxa"/>
            <w:shd w:val="clear" w:color="auto" w:fill="F2F2F2"/>
          </w:tcPr>
          <w:p>
            <w:pPr>
              <w:pStyle w:val="TableParagraph"/>
              <w:rPr>
                <w:sz w:val="20"/>
              </w:rPr>
            </w:pPr>
          </w:p>
        </w:tc>
        <w:tc>
          <w:tcPr>
            <w:tcW w:w="1080" w:type="dxa"/>
            <w:shd w:val="clear" w:color="auto" w:fill="F2F2F2"/>
          </w:tcPr>
          <w:p>
            <w:pPr>
              <w:pStyle w:val="TableParagraph"/>
              <w:rPr>
                <w:sz w:val="20"/>
              </w:rPr>
            </w:pPr>
          </w:p>
        </w:tc>
        <w:tc>
          <w:tcPr>
            <w:tcW w:w="1100" w:type="dxa"/>
            <w:shd w:val="clear" w:color="auto" w:fill="F2F2F2"/>
          </w:tcPr>
          <w:p>
            <w:pPr>
              <w:pStyle w:val="TableParagraph"/>
              <w:rPr>
                <w:sz w:val="20"/>
              </w:rPr>
            </w:pPr>
          </w:p>
        </w:tc>
        <w:tc>
          <w:tcPr>
            <w:tcW w:w="1180" w:type="dxa"/>
            <w:shd w:val="clear" w:color="auto" w:fill="F2F2F2"/>
          </w:tcPr>
          <w:p>
            <w:pPr>
              <w:pStyle w:val="TableParagraph"/>
              <w:spacing w:before="86"/>
              <w:ind w:left="59" w:right="2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rPr>
                <w:sz w:val="20"/>
              </w:rPr>
            </w:pPr>
          </w:p>
        </w:tc>
        <w:tc>
          <w:tcPr>
            <w:tcW w:w="1220" w:type="dxa"/>
            <w:shd w:val="clear" w:color="auto" w:fill="F2F2F2"/>
          </w:tcPr>
          <w:p>
            <w:pPr>
              <w:pStyle w:val="TableParagraph"/>
              <w:spacing w:before="86"/>
              <w:ind w:left="30"/>
              <w:jc w:val="center"/>
              <w:rPr>
                <w:rFonts w:ascii="Segoe UI Symbol" w:hAnsi="Segoe UI Symbol"/>
                <w:sz w:val="20"/>
              </w:rPr>
            </w:pPr>
            <w:r>
              <w:rPr>
                <w:rFonts w:ascii="Segoe UI Symbol" w:hAnsi="Segoe UI Symbol"/>
                <w:spacing w:val="-10"/>
                <w:w w:val="135"/>
                <w:sz w:val="20"/>
              </w:rPr>
              <w:t>✓</w:t>
            </w:r>
          </w:p>
        </w:tc>
        <w:tc>
          <w:tcPr>
            <w:tcW w:w="1260" w:type="dxa"/>
            <w:shd w:val="clear" w:color="auto" w:fill="F2F2F2"/>
          </w:tcPr>
          <w:p>
            <w:pPr>
              <w:pStyle w:val="TableParagraph"/>
              <w:spacing w:before="86"/>
              <w:ind w:left="137" w:right="112"/>
              <w:jc w:val="center"/>
              <w:rPr>
                <w:rFonts w:ascii="Segoe UI Symbol" w:hAnsi="Segoe UI Symbol"/>
                <w:sz w:val="20"/>
              </w:rPr>
            </w:pPr>
            <w:r>
              <w:rPr>
                <w:rFonts w:ascii="Segoe UI Symbol" w:hAnsi="Segoe UI Symbol"/>
                <w:spacing w:val="-10"/>
                <w:w w:val="135"/>
                <w:sz w:val="20"/>
              </w:rPr>
              <w:t>✓</w:t>
            </w:r>
          </w:p>
        </w:tc>
        <w:tc>
          <w:tcPr>
            <w:tcW w:w="1040" w:type="dxa"/>
            <w:shd w:val="clear" w:color="auto" w:fill="F2F2F2"/>
          </w:tcPr>
          <w:p>
            <w:pPr>
              <w:pStyle w:val="TableParagraph"/>
              <w:spacing w:before="86"/>
              <w:ind w:left="59" w:right="39"/>
              <w:jc w:val="center"/>
              <w:rPr>
                <w:rFonts w:ascii="Segoe UI Symbol" w:hAnsi="Segoe UI Symbol"/>
                <w:sz w:val="20"/>
              </w:rPr>
            </w:pPr>
            <w:r>
              <w:rPr>
                <w:rFonts w:ascii="Segoe UI Symbol" w:hAnsi="Segoe UI Symbol"/>
                <w:spacing w:val="-10"/>
                <w:w w:val="135"/>
                <w:sz w:val="20"/>
              </w:rPr>
              <w:t>✓</w:t>
            </w:r>
          </w:p>
        </w:tc>
        <w:tc>
          <w:tcPr>
            <w:tcW w:w="1060" w:type="dxa"/>
            <w:shd w:val="clear" w:color="auto" w:fill="F2F2F2"/>
          </w:tcPr>
          <w:p>
            <w:pPr>
              <w:pStyle w:val="TableParagraph"/>
              <w:spacing w:before="86"/>
              <w:ind w:left="80" w:right="60"/>
              <w:jc w:val="center"/>
              <w:rPr>
                <w:rFonts w:ascii="Segoe UI Symbol" w:hAnsi="Segoe UI Symbol"/>
                <w:sz w:val="20"/>
              </w:rPr>
            </w:pPr>
            <w:r>
              <w:rPr>
                <w:rFonts w:ascii="Segoe UI Symbol" w:hAnsi="Segoe UI Symbol"/>
                <w:spacing w:val="-10"/>
                <w:w w:val="135"/>
                <w:sz w:val="20"/>
              </w:rPr>
              <w:t>✓</w:t>
            </w:r>
          </w:p>
        </w:tc>
      </w:tr>
      <w:tr>
        <w:trPr>
          <w:trHeight w:val="500" w:hRule="atLeast"/>
        </w:trPr>
        <w:tc>
          <w:tcPr>
            <w:tcW w:w="580" w:type="dxa"/>
            <w:shd w:val="clear" w:color="auto" w:fill="F2F2F2"/>
          </w:tcPr>
          <w:p>
            <w:pPr>
              <w:pStyle w:val="TableParagraph"/>
              <w:spacing w:before="104"/>
              <w:ind w:left="5"/>
              <w:jc w:val="center"/>
              <w:rPr>
                <w:sz w:val="20"/>
              </w:rPr>
            </w:pPr>
            <w:r>
              <w:rPr>
                <w:spacing w:val="-5"/>
                <w:sz w:val="20"/>
              </w:rPr>
              <w:t>P24</w:t>
            </w:r>
          </w:p>
        </w:tc>
        <w:tc>
          <w:tcPr>
            <w:tcW w:w="1160" w:type="dxa"/>
            <w:shd w:val="clear" w:color="auto" w:fill="F2F2F2"/>
          </w:tcPr>
          <w:p>
            <w:pPr>
              <w:pStyle w:val="TableParagraph"/>
              <w:spacing w:before="90"/>
              <w:ind w:left="59" w:right="4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rPr>
                <w:sz w:val="20"/>
              </w:rPr>
            </w:pPr>
          </w:p>
        </w:tc>
        <w:tc>
          <w:tcPr>
            <w:tcW w:w="1100" w:type="dxa"/>
            <w:shd w:val="clear" w:color="auto" w:fill="F2F2F2"/>
          </w:tcPr>
          <w:p>
            <w:pPr>
              <w:pStyle w:val="TableParagraph"/>
              <w:rPr>
                <w:sz w:val="20"/>
              </w:rPr>
            </w:pPr>
          </w:p>
        </w:tc>
        <w:tc>
          <w:tcPr>
            <w:tcW w:w="1180" w:type="dxa"/>
            <w:shd w:val="clear" w:color="auto" w:fill="F2F2F2"/>
          </w:tcPr>
          <w:p>
            <w:pPr>
              <w:pStyle w:val="TableParagraph"/>
              <w:spacing w:before="90"/>
              <w:ind w:left="59" w:right="2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spacing w:before="90"/>
              <w:ind w:left="74" w:right="39"/>
              <w:jc w:val="center"/>
              <w:rPr>
                <w:rFonts w:ascii="Segoe UI Symbol" w:hAnsi="Segoe UI Symbol"/>
                <w:sz w:val="20"/>
              </w:rPr>
            </w:pPr>
            <w:r>
              <w:rPr>
                <w:rFonts w:ascii="Segoe UI Symbol" w:hAnsi="Segoe UI Symbol"/>
                <w:spacing w:val="-10"/>
                <w:w w:val="135"/>
                <w:sz w:val="20"/>
              </w:rPr>
              <w:t>✓</w:t>
            </w:r>
          </w:p>
        </w:tc>
        <w:tc>
          <w:tcPr>
            <w:tcW w:w="1220" w:type="dxa"/>
            <w:shd w:val="clear" w:color="auto" w:fill="F2F2F2"/>
          </w:tcPr>
          <w:p>
            <w:pPr>
              <w:pStyle w:val="TableParagraph"/>
              <w:rPr>
                <w:sz w:val="20"/>
              </w:rPr>
            </w:pPr>
          </w:p>
        </w:tc>
        <w:tc>
          <w:tcPr>
            <w:tcW w:w="1260" w:type="dxa"/>
            <w:shd w:val="clear" w:color="auto" w:fill="F2F2F2"/>
          </w:tcPr>
          <w:p>
            <w:pPr>
              <w:pStyle w:val="TableParagraph"/>
              <w:rPr>
                <w:sz w:val="20"/>
              </w:rPr>
            </w:pPr>
          </w:p>
        </w:tc>
        <w:tc>
          <w:tcPr>
            <w:tcW w:w="1040" w:type="dxa"/>
            <w:shd w:val="clear" w:color="auto" w:fill="F2F2F2"/>
          </w:tcPr>
          <w:p>
            <w:pPr>
              <w:pStyle w:val="TableParagraph"/>
              <w:rPr>
                <w:sz w:val="20"/>
              </w:rPr>
            </w:pPr>
          </w:p>
        </w:tc>
        <w:tc>
          <w:tcPr>
            <w:tcW w:w="1060" w:type="dxa"/>
            <w:shd w:val="clear" w:color="auto" w:fill="F2F2F2"/>
          </w:tcPr>
          <w:p>
            <w:pPr>
              <w:pStyle w:val="TableParagraph"/>
              <w:rPr>
                <w:sz w:val="20"/>
              </w:rPr>
            </w:pPr>
          </w:p>
        </w:tc>
      </w:tr>
      <w:tr>
        <w:trPr>
          <w:trHeight w:val="480" w:hRule="atLeast"/>
        </w:trPr>
        <w:tc>
          <w:tcPr>
            <w:tcW w:w="580" w:type="dxa"/>
            <w:shd w:val="clear" w:color="auto" w:fill="F2F2F2"/>
          </w:tcPr>
          <w:p>
            <w:pPr>
              <w:pStyle w:val="TableParagraph"/>
              <w:spacing w:before="108"/>
              <w:ind w:left="5"/>
              <w:jc w:val="center"/>
              <w:rPr>
                <w:sz w:val="20"/>
              </w:rPr>
            </w:pPr>
            <w:r>
              <w:rPr>
                <w:spacing w:val="-5"/>
                <w:sz w:val="20"/>
              </w:rPr>
              <w:t>P25</w:t>
            </w:r>
          </w:p>
        </w:tc>
        <w:tc>
          <w:tcPr>
            <w:tcW w:w="1160" w:type="dxa"/>
            <w:shd w:val="clear" w:color="auto" w:fill="F2F2F2"/>
          </w:tcPr>
          <w:p>
            <w:pPr>
              <w:pStyle w:val="TableParagraph"/>
              <w:rPr>
                <w:sz w:val="20"/>
              </w:rPr>
            </w:pPr>
          </w:p>
        </w:tc>
        <w:tc>
          <w:tcPr>
            <w:tcW w:w="1080" w:type="dxa"/>
            <w:shd w:val="clear" w:color="auto" w:fill="F2F2F2"/>
          </w:tcPr>
          <w:p>
            <w:pPr>
              <w:pStyle w:val="TableParagraph"/>
              <w:rPr>
                <w:sz w:val="20"/>
              </w:rPr>
            </w:pPr>
          </w:p>
        </w:tc>
        <w:tc>
          <w:tcPr>
            <w:tcW w:w="1100" w:type="dxa"/>
            <w:shd w:val="clear" w:color="auto" w:fill="F2F2F2"/>
          </w:tcPr>
          <w:p>
            <w:pPr>
              <w:pStyle w:val="TableParagraph"/>
              <w:rPr>
                <w:sz w:val="20"/>
              </w:rPr>
            </w:pPr>
          </w:p>
        </w:tc>
        <w:tc>
          <w:tcPr>
            <w:tcW w:w="1180" w:type="dxa"/>
            <w:shd w:val="clear" w:color="auto" w:fill="F2F2F2"/>
          </w:tcPr>
          <w:p>
            <w:pPr>
              <w:pStyle w:val="TableParagraph"/>
              <w:rPr>
                <w:sz w:val="20"/>
              </w:rPr>
            </w:pPr>
          </w:p>
        </w:tc>
        <w:tc>
          <w:tcPr>
            <w:tcW w:w="1080" w:type="dxa"/>
            <w:shd w:val="clear" w:color="auto" w:fill="F2F2F2"/>
          </w:tcPr>
          <w:p>
            <w:pPr>
              <w:pStyle w:val="TableParagraph"/>
              <w:rPr>
                <w:sz w:val="20"/>
              </w:rPr>
            </w:pPr>
          </w:p>
        </w:tc>
        <w:tc>
          <w:tcPr>
            <w:tcW w:w="1220" w:type="dxa"/>
            <w:shd w:val="clear" w:color="auto" w:fill="F2F2F2"/>
          </w:tcPr>
          <w:p>
            <w:pPr>
              <w:pStyle w:val="TableParagraph"/>
              <w:rPr>
                <w:sz w:val="20"/>
              </w:rPr>
            </w:pPr>
          </w:p>
        </w:tc>
        <w:tc>
          <w:tcPr>
            <w:tcW w:w="1260" w:type="dxa"/>
            <w:shd w:val="clear" w:color="auto" w:fill="F2F2F2"/>
          </w:tcPr>
          <w:p>
            <w:pPr>
              <w:pStyle w:val="TableParagraph"/>
              <w:rPr>
                <w:sz w:val="20"/>
              </w:rPr>
            </w:pPr>
          </w:p>
        </w:tc>
        <w:tc>
          <w:tcPr>
            <w:tcW w:w="1040" w:type="dxa"/>
            <w:shd w:val="clear" w:color="auto" w:fill="F2F2F2"/>
          </w:tcPr>
          <w:p>
            <w:pPr>
              <w:pStyle w:val="TableParagraph"/>
              <w:rPr>
                <w:sz w:val="20"/>
              </w:rPr>
            </w:pPr>
          </w:p>
        </w:tc>
        <w:tc>
          <w:tcPr>
            <w:tcW w:w="1060" w:type="dxa"/>
            <w:shd w:val="clear" w:color="auto" w:fill="F2F2F2"/>
          </w:tcPr>
          <w:p>
            <w:pPr>
              <w:pStyle w:val="TableParagraph"/>
              <w:rPr>
                <w:sz w:val="20"/>
              </w:rPr>
            </w:pPr>
          </w:p>
        </w:tc>
      </w:tr>
      <w:tr>
        <w:trPr>
          <w:trHeight w:val="500" w:hRule="atLeast"/>
        </w:trPr>
        <w:tc>
          <w:tcPr>
            <w:tcW w:w="580" w:type="dxa"/>
            <w:shd w:val="clear" w:color="auto" w:fill="F2F2F2"/>
          </w:tcPr>
          <w:p>
            <w:pPr>
              <w:pStyle w:val="TableParagraph"/>
              <w:spacing w:before="97"/>
              <w:ind w:left="5"/>
              <w:jc w:val="center"/>
              <w:rPr>
                <w:sz w:val="20"/>
              </w:rPr>
            </w:pPr>
            <w:r>
              <w:rPr>
                <w:spacing w:val="-5"/>
                <w:sz w:val="20"/>
              </w:rPr>
              <w:t>P26</w:t>
            </w:r>
          </w:p>
        </w:tc>
        <w:tc>
          <w:tcPr>
            <w:tcW w:w="1160" w:type="dxa"/>
            <w:shd w:val="clear" w:color="auto" w:fill="F2F2F2"/>
          </w:tcPr>
          <w:p>
            <w:pPr>
              <w:pStyle w:val="TableParagraph"/>
              <w:spacing w:before="83"/>
              <w:ind w:left="59" w:right="4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rPr>
                <w:sz w:val="20"/>
              </w:rPr>
            </w:pPr>
          </w:p>
        </w:tc>
        <w:tc>
          <w:tcPr>
            <w:tcW w:w="1100" w:type="dxa"/>
            <w:shd w:val="clear" w:color="auto" w:fill="F2F2F2"/>
          </w:tcPr>
          <w:p>
            <w:pPr>
              <w:pStyle w:val="TableParagraph"/>
              <w:spacing w:before="83"/>
              <w:ind w:left="59" w:right="29"/>
              <w:jc w:val="center"/>
              <w:rPr>
                <w:rFonts w:ascii="Segoe UI Symbol" w:hAnsi="Segoe UI Symbol"/>
                <w:sz w:val="20"/>
              </w:rPr>
            </w:pPr>
            <w:r>
              <w:rPr>
                <w:rFonts w:ascii="Segoe UI Symbol" w:hAnsi="Segoe UI Symbol"/>
                <w:spacing w:val="-10"/>
                <w:w w:val="135"/>
                <w:sz w:val="20"/>
              </w:rPr>
              <w:t>✓</w:t>
            </w:r>
          </w:p>
        </w:tc>
        <w:tc>
          <w:tcPr>
            <w:tcW w:w="1180" w:type="dxa"/>
            <w:shd w:val="clear" w:color="auto" w:fill="F2F2F2"/>
          </w:tcPr>
          <w:p>
            <w:pPr>
              <w:pStyle w:val="TableParagraph"/>
              <w:rPr>
                <w:sz w:val="20"/>
              </w:rPr>
            </w:pPr>
          </w:p>
        </w:tc>
        <w:tc>
          <w:tcPr>
            <w:tcW w:w="1080" w:type="dxa"/>
            <w:shd w:val="clear" w:color="auto" w:fill="F2F2F2"/>
          </w:tcPr>
          <w:p>
            <w:pPr>
              <w:pStyle w:val="TableParagraph"/>
              <w:rPr>
                <w:sz w:val="20"/>
              </w:rPr>
            </w:pPr>
          </w:p>
        </w:tc>
        <w:tc>
          <w:tcPr>
            <w:tcW w:w="1220" w:type="dxa"/>
            <w:shd w:val="clear" w:color="auto" w:fill="F2F2F2"/>
          </w:tcPr>
          <w:p>
            <w:pPr>
              <w:pStyle w:val="TableParagraph"/>
              <w:rPr>
                <w:sz w:val="20"/>
              </w:rPr>
            </w:pPr>
          </w:p>
        </w:tc>
        <w:tc>
          <w:tcPr>
            <w:tcW w:w="1260" w:type="dxa"/>
            <w:shd w:val="clear" w:color="auto" w:fill="F2F2F2"/>
          </w:tcPr>
          <w:p>
            <w:pPr>
              <w:pStyle w:val="TableParagraph"/>
              <w:rPr>
                <w:sz w:val="20"/>
              </w:rPr>
            </w:pPr>
          </w:p>
        </w:tc>
        <w:tc>
          <w:tcPr>
            <w:tcW w:w="1040" w:type="dxa"/>
            <w:shd w:val="clear" w:color="auto" w:fill="F2F2F2"/>
          </w:tcPr>
          <w:p>
            <w:pPr>
              <w:pStyle w:val="TableParagraph"/>
              <w:rPr>
                <w:sz w:val="20"/>
              </w:rPr>
            </w:pPr>
          </w:p>
        </w:tc>
        <w:tc>
          <w:tcPr>
            <w:tcW w:w="1060" w:type="dxa"/>
            <w:shd w:val="clear" w:color="auto" w:fill="F2F2F2"/>
          </w:tcPr>
          <w:p>
            <w:pPr>
              <w:pStyle w:val="TableParagraph"/>
              <w:rPr>
                <w:sz w:val="20"/>
              </w:rPr>
            </w:pPr>
          </w:p>
        </w:tc>
      </w:tr>
      <w:tr>
        <w:trPr>
          <w:trHeight w:val="499" w:hRule="atLeast"/>
        </w:trPr>
        <w:tc>
          <w:tcPr>
            <w:tcW w:w="580" w:type="dxa"/>
            <w:shd w:val="clear" w:color="auto" w:fill="F2F2F2"/>
          </w:tcPr>
          <w:p>
            <w:pPr>
              <w:pStyle w:val="TableParagraph"/>
              <w:spacing w:before="101"/>
              <w:ind w:left="5"/>
              <w:jc w:val="center"/>
              <w:rPr>
                <w:sz w:val="20"/>
              </w:rPr>
            </w:pPr>
            <w:r>
              <w:rPr>
                <w:spacing w:val="-5"/>
                <w:sz w:val="20"/>
              </w:rPr>
              <w:t>P27</w:t>
            </w:r>
          </w:p>
        </w:tc>
        <w:tc>
          <w:tcPr>
            <w:tcW w:w="1160" w:type="dxa"/>
            <w:shd w:val="clear" w:color="auto" w:fill="F2F2F2"/>
          </w:tcPr>
          <w:p>
            <w:pPr>
              <w:pStyle w:val="TableParagraph"/>
              <w:spacing w:before="87"/>
              <w:ind w:left="59" w:right="4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rPr>
                <w:sz w:val="20"/>
              </w:rPr>
            </w:pPr>
          </w:p>
        </w:tc>
        <w:tc>
          <w:tcPr>
            <w:tcW w:w="1100" w:type="dxa"/>
            <w:shd w:val="clear" w:color="auto" w:fill="F2F2F2"/>
          </w:tcPr>
          <w:p>
            <w:pPr>
              <w:pStyle w:val="TableParagraph"/>
              <w:spacing w:before="87"/>
              <w:ind w:left="59" w:right="29"/>
              <w:jc w:val="center"/>
              <w:rPr>
                <w:rFonts w:ascii="Segoe UI Symbol" w:hAnsi="Segoe UI Symbol"/>
                <w:sz w:val="20"/>
              </w:rPr>
            </w:pPr>
            <w:r>
              <w:rPr>
                <w:rFonts w:ascii="Segoe UI Symbol" w:hAnsi="Segoe UI Symbol"/>
                <w:spacing w:val="-10"/>
                <w:w w:val="135"/>
                <w:sz w:val="20"/>
              </w:rPr>
              <w:t>✓</w:t>
            </w:r>
          </w:p>
        </w:tc>
        <w:tc>
          <w:tcPr>
            <w:tcW w:w="1180" w:type="dxa"/>
            <w:shd w:val="clear" w:color="auto" w:fill="F2F2F2"/>
          </w:tcPr>
          <w:p>
            <w:pPr>
              <w:pStyle w:val="TableParagraph"/>
              <w:rPr>
                <w:sz w:val="20"/>
              </w:rPr>
            </w:pPr>
          </w:p>
        </w:tc>
        <w:tc>
          <w:tcPr>
            <w:tcW w:w="1080" w:type="dxa"/>
            <w:shd w:val="clear" w:color="auto" w:fill="F2F2F2"/>
          </w:tcPr>
          <w:p>
            <w:pPr>
              <w:pStyle w:val="TableParagraph"/>
              <w:rPr>
                <w:sz w:val="20"/>
              </w:rPr>
            </w:pPr>
          </w:p>
        </w:tc>
        <w:tc>
          <w:tcPr>
            <w:tcW w:w="1220" w:type="dxa"/>
            <w:shd w:val="clear" w:color="auto" w:fill="F2F2F2"/>
          </w:tcPr>
          <w:p>
            <w:pPr>
              <w:pStyle w:val="TableParagraph"/>
              <w:rPr>
                <w:sz w:val="20"/>
              </w:rPr>
            </w:pPr>
          </w:p>
        </w:tc>
        <w:tc>
          <w:tcPr>
            <w:tcW w:w="1260" w:type="dxa"/>
            <w:shd w:val="clear" w:color="auto" w:fill="F2F2F2"/>
          </w:tcPr>
          <w:p>
            <w:pPr>
              <w:pStyle w:val="TableParagraph"/>
              <w:rPr>
                <w:sz w:val="20"/>
              </w:rPr>
            </w:pPr>
          </w:p>
        </w:tc>
        <w:tc>
          <w:tcPr>
            <w:tcW w:w="1040" w:type="dxa"/>
            <w:shd w:val="clear" w:color="auto" w:fill="F2F2F2"/>
          </w:tcPr>
          <w:p>
            <w:pPr>
              <w:pStyle w:val="TableParagraph"/>
              <w:rPr>
                <w:sz w:val="20"/>
              </w:rPr>
            </w:pPr>
          </w:p>
        </w:tc>
        <w:tc>
          <w:tcPr>
            <w:tcW w:w="1060" w:type="dxa"/>
            <w:shd w:val="clear" w:color="auto" w:fill="F2F2F2"/>
          </w:tcPr>
          <w:p>
            <w:pPr>
              <w:pStyle w:val="TableParagraph"/>
              <w:rPr>
                <w:sz w:val="20"/>
              </w:rPr>
            </w:pPr>
          </w:p>
        </w:tc>
      </w:tr>
      <w:tr>
        <w:trPr>
          <w:trHeight w:val="500" w:hRule="atLeast"/>
        </w:trPr>
        <w:tc>
          <w:tcPr>
            <w:tcW w:w="580" w:type="dxa"/>
            <w:shd w:val="clear" w:color="auto" w:fill="D9D9D9"/>
          </w:tcPr>
          <w:p>
            <w:pPr>
              <w:pStyle w:val="TableParagraph"/>
              <w:spacing w:before="105"/>
              <w:ind w:left="5"/>
              <w:jc w:val="center"/>
              <w:rPr>
                <w:sz w:val="20"/>
              </w:rPr>
            </w:pPr>
            <w:r>
              <w:rPr>
                <w:spacing w:val="-5"/>
                <w:sz w:val="20"/>
              </w:rPr>
              <w:t>P28</w:t>
            </w:r>
          </w:p>
        </w:tc>
        <w:tc>
          <w:tcPr>
            <w:tcW w:w="1160" w:type="dxa"/>
            <w:shd w:val="clear" w:color="auto" w:fill="D9D9D9"/>
          </w:tcPr>
          <w:p>
            <w:pPr>
              <w:pStyle w:val="TableParagraph"/>
              <w:rPr>
                <w:sz w:val="20"/>
              </w:rPr>
            </w:pPr>
          </w:p>
        </w:tc>
        <w:tc>
          <w:tcPr>
            <w:tcW w:w="1080" w:type="dxa"/>
            <w:shd w:val="clear" w:color="auto" w:fill="D9D9D9"/>
          </w:tcPr>
          <w:p>
            <w:pPr>
              <w:pStyle w:val="TableParagraph"/>
              <w:rPr>
                <w:sz w:val="20"/>
              </w:rPr>
            </w:pPr>
          </w:p>
        </w:tc>
        <w:tc>
          <w:tcPr>
            <w:tcW w:w="1100" w:type="dxa"/>
            <w:shd w:val="clear" w:color="auto" w:fill="D9D9D9"/>
          </w:tcPr>
          <w:p>
            <w:pPr>
              <w:pStyle w:val="TableParagraph"/>
              <w:rPr>
                <w:sz w:val="20"/>
              </w:rPr>
            </w:pPr>
          </w:p>
        </w:tc>
        <w:tc>
          <w:tcPr>
            <w:tcW w:w="1180" w:type="dxa"/>
            <w:shd w:val="clear" w:color="auto" w:fill="D9D9D9"/>
          </w:tcPr>
          <w:p>
            <w:pPr>
              <w:pStyle w:val="TableParagraph"/>
              <w:spacing w:before="91"/>
              <w:ind w:left="59" w:right="29"/>
              <w:jc w:val="center"/>
              <w:rPr>
                <w:rFonts w:ascii="Segoe UI Symbol" w:hAnsi="Segoe UI Symbol"/>
                <w:sz w:val="20"/>
              </w:rPr>
            </w:pPr>
            <w:r>
              <w:rPr>
                <w:rFonts w:ascii="Segoe UI Symbol" w:hAnsi="Segoe UI Symbol"/>
                <w:spacing w:val="-10"/>
                <w:w w:val="135"/>
                <w:sz w:val="20"/>
              </w:rPr>
              <w:t>✓</w:t>
            </w:r>
          </w:p>
        </w:tc>
        <w:tc>
          <w:tcPr>
            <w:tcW w:w="1080" w:type="dxa"/>
            <w:shd w:val="clear" w:color="auto" w:fill="D9D9D9"/>
          </w:tcPr>
          <w:p>
            <w:pPr>
              <w:pStyle w:val="TableParagraph"/>
              <w:spacing w:before="91"/>
              <w:ind w:left="74" w:right="39"/>
              <w:jc w:val="center"/>
              <w:rPr>
                <w:rFonts w:ascii="Segoe UI Symbol" w:hAnsi="Segoe UI Symbol"/>
                <w:sz w:val="20"/>
              </w:rPr>
            </w:pPr>
            <w:r>
              <w:rPr>
                <w:rFonts w:ascii="Segoe UI Symbol" w:hAnsi="Segoe UI Symbol"/>
                <w:spacing w:val="-10"/>
                <w:w w:val="135"/>
                <w:sz w:val="20"/>
              </w:rPr>
              <w:t>✓</w:t>
            </w:r>
          </w:p>
        </w:tc>
        <w:tc>
          <w:tcPr>
            <w:tcW w:w="1220" w:type="dxa"/>
            <w:shd w:val="clear" w:color="auto" w:fill="D9D9D9"/>
          </w:tcPr>
          <w:p>
            <w:pPr>
              <w:pStyle w:val="TableParagraph"/>
              <w:rPr>
                <w:sz w:val="20"/>
              </w:rPr>
            </w:pPr>
          </w:p>
        </w:tc>
        <w:tc>
          <w:tcPr>
            <w:tcW w:w="1260" w:type="dxa"/>
            <w:shd w:val="clear" w:color="auto" w:fill="D9D9D9"/>
          </w:tcPr>
          <w:p>
            <w:pPr>
              <w:pStyle w:val="TableParagraph"/>
              <w:rPr>
                <w:sz w:val="20"/>
              </w:rPr>
            </w:pPr>
          </w:p>
        </w:tc>
        <w:tc>
          <w:tcPr>
            <w:tcW w:w="1040" w:type="dxa"/>
            <w:shd w:val="clear" w:color="auto" w:fill="D9D9D9"/>
          </w:tcPr>
          <w:p>
            <w:pPr>
              <w:pStyle w:val="TableParagraph"/>
              <w:rPr>
                <w:sz w:val="20"/>
              </w:rPr>
            </w:pPr>
          </w:p>
        </w:tc>
        <w:tc>
          <w:tcPr>
            <w:tcW w:w="1060" w:type="dxa"/>
            <w:shd w:val="clear" w:color="auto" w:fill="D9D9D9"/>
          </w:tcPr>
          <w:p>
            <w:pPr>
              <w:pStyle w:val="TableParagraph"/>
              <w:rPr>
                <w:sz w:val="20"/>
              </w:rPr>
            </w:pPr>
          </w:p>
        </w:tc>
      </w:tr>
      <w:tr>
        <w:trPr>
          <w:trHeight w:val="520" w:hRule="atLeast"/>
        </w:trPr>
        <w:tc>
          <w:tcPr>
            <w:tcW w:w="580" w:type="dxa"/>
            <w:shd w:val="clear" w:color="auto" w:fill="D9D9D9"/>
          </w:tcPr>
          <w:p>
            <w:pPr>
              <w:pStyle w:val="TableParagraph"/>
              <w:spacing w:before="109"/>
              <w:ind w:left="5"/>
              <w:jc w:val="center"/>
              <w:rPr>
                <w:sz w:val="20"/>
              </w:rPr>
            </w:pPr>
            <w:r>
              <w:rPr>
                <w:spacing w:val="-5"/>
                <w:sz w:val="20"/>
              </w:rPr>
              <w:t>P29</w:t>
            </w:r>
          </w:p>
        </w:tc>
        <w:tc>
          <w:tcPr>
            <w:tcW w:w="1160" w:type="dxa"/>
            <w:shd w:val="clear" w:color="auto" w:fill="D9D9D9"/>
          </w:tcPr>
          <w:p>
            <w:pPr>
              <w:pStyle w:val="TableParagraph"/>
              <w:rPr>
                <w:sz w:val="20"/>
              </w:rPr>
            </w:pPr>
          </w:p>
        </w:tc>
        <w:tc>
          <w:tcPr>
            <w:tcW w:w="1080" w:type="dxa"/>
            <w:shd w:val="clear" w:color="auto" w:fill="D9D9D9"/>
          </w:tcPr>
          <w:p>
            <w:pPr>
              <w:pStyle w:val="TableParagraph"/>
              <w:rPr>
                <w:sz w:val="20"/>
              </w:rPr>
            </w:pPr>
          </w:p>
        </w:tc>
        <w:tc>
          <w:tcPr>
            <w:tcW w:w="1100" w:type="dxa"/>
            <w:shd w:val="clear" w:color="auto" w:fill="D9D9D9"/>
          </w:tcPr>
          <w:p>
            <w:pPr>
              <w:pStyle w:val="TableParagraph"/>
              <w:rPr>
                <w:sz w:val="20"/>
              </w:rPr>
            </w:pPr>
          </w:p>
        </w:tc>
        <w:tc>
          <w:tcPr>
            <w:tcW w:w="1180" w:type="dxa"/>
            <w:shd w:val="clear" w:color="auto" w:fill="D9D9D9"/>
          </w:tcPr>
          <w:p>
            <w:pPr>
              <w:pStyle w:val="TableParagraph"/>
              <w:spacing w:before="95"/>
              <w:ind w:left="59" w:right="29"/>
              <w:jc w:val="center"/>
              <w:rPr>
                <w:rFonts w:ascii="Segoe UI Symbol" w:hAnsi="Segoe UI Symbol"/>
                <w:sz w:val="20"/>
              </w:rPr>
            </w:pPr>
            <w:r>
              <w:rPr>
                <w:rFonts w:ascii="Segoe UI Symbol" w:hAnsi="Segoe UI Symbol"/>
                <w:spacing w:val="-10"/>
                <w:w w:val="135"/>
                <w:sz w:val="20"/>
              </w:rPr>
              <w:t>✓</w:t>
            </w:r>
          </w:p>
        </w:tc>
        <w:tc>
          <w:tcPr>
            <w:tcW w:w="1080" w:type="dxa"/>
            <w:shd w:val="clear" w:color="auto" w:fill="D9D9D9"/>
          </w:tcPr>
          <w:p>
            <w:pPr>
              <w:pStyle w:val="TableParagraph"/>
              <w:spacing w:before="95"/>
              <w:ind w:left="74" w:right="39"/>
              <w:jc w:val="center"/>
              <w:rPr>
                <w:rFonts w:ascii="Segoe UI Symbol" w:hAnsi="Segoe UI Symbol"/>
                <w:sz w:val="20"/>
              </w:rPr>
            </w:pPr>
            <w:r>
              <w:rPr>
                <w:rFonts w:ascii="Segoe UI Symbol" w:hAnsi="Segoe UI Symbol"/>
                <w:spacing w:val="-10"/>
                <w:w w:val="135"/>
                <w:sz w:val="20"/>
              </w:rPr>
              <w:t>✓</w:t>
            </w:r>
          </w:p>
        </w:tc>
        <w:tc>
          <w:tcPr>
            <w:tcW w:w="1220" w:type="dxa"/>
            <w:shd w:val="clear" w:color="auto" w:fill="D9D9D9"/>
          </w:tcPr>
          <w:p>
            <w:pPr>
              <w:pStyle w:val="TableParagraph"/>
              <w:rPr>
                <w:sz w:val="20"/>
              </w:rPr>
            </w:pPr>
          </w:p>
        </w:tc>
        <w:tc>
          <w:tcPr>
            <w:tcW w:w="1260" w:type="dxa"/>
            <w:shd w:val="clear" w:color="auto" w:fill="D9D9D9"/>
          </w:tcPr>
          <w:p>
            <w:pPr>
              <w:pStyle w:val="TableParagraph"/>
              <w:rPr>
                <w:sz w:val="20"/>
              </w:rPr>
            </w:pPr>
          </w:p>
        </w:tc>
        <w:tc>
          <w:tcPr>
            <w:tcW w:w="1040" w:type="dxa"/>
            <w:shd w:val="clear" w:color="auto" w:fill="D9D9D9"/>
          </w:tcPr>
          <w:p>
            <w:pPr>
              <w:pStyle w:val="TableParagraph"/>
              <w:rPr>
                <w:sz w:val="20"/>
              </w:rPr>
            </w:pPr>
          </w:p>
        </w:tc>
        <w:tc>
          <w:tcPr>
            <w:tcW w:w="1060" w:type="dxa"/>
            <w:shd w:val="clear" w:color="auto" w:fill="D9D9D9"/>
          </w:tcPr>
          <w:p>
            <w:pPr>
              <w:pStyle w:val="TableParagraph"/>
              <w:rPr>
                <w:sz w:val="20"/>
              </w:rPr>
            </w:pPr>
          </w:p>
        </w:tc>
      </w:tr>
      <w:tr>
        <w:trPr>
          <w:trHeight w:val="460" w:hRule="atLeast"/>
        </w:trPr>
        <w:tc>
          <w:tcPr>
            <w:tcW w:w="580" w:type="dxa"/>
            <w:shd w:val="clear" w:color="auto" w:fill="D9D9D9"/>
          </w:tcPr>
          <w:p>
            <w:pPr>
              <w:pStyle w:val="TableParagraph"/>
              <w:spacing w:before="93"/>
              <w:ind w:left="5"/>
              <w:jc w:val="center"/>
              <w:rPr>
                <w:sz w:val="20"/>
              </w:rPr>
            </w:pPr>
            <w:r>
              <w:rPr>
                <w:spacing w:val="-5"/>
                <w:sz w:val="20"/>
              </w:rPr>
              <w:t>P30</w:t>
            </w:r>
          </w:p>
        </w:tc>
        <w:tc>
          <w:tcPr>
            <w:tcW w:w="1160" w:type="dxa"/>
            <w:shd w:val="clear" w:color="auto" w:fill="D9D9D9"/>
          </w:tcPr>
          <w:p>
            <w:pPr>
              <w:pStyle w:val="TableParagraph"/>
              <w:rPr>
                <w:sz w:val="20"/>
              </w:rPr>
            </w:pPr>
          </w:p>
        </w:tc>
        <w:tc>
          <w:tcPr>
            <w:tcW w:w="1080" w:type="dxa"/>
            <w:shd w:val="clear" w:color="auto" w:fill="D9D9D9"/>
          </w:tcPr>
          <w:p>
            <w:pPr>
              <w:pStyle w:val="TableParagraph"/>
              <w:rPr>
                <w:sz w:val="20"/>
              </w:rPr>
            </w:pPr>
          </w:p>
        </w:tc>
        <w:tc>
          <w:tcPr>
            <w:tcW w:w="1100" w:type="dxa"/>
            <w:shd w:val="clear" w:color="auto" w:fill="D9D9D9"/>
          </w:tcPr>
          <w:p>
            <w:pPr>
              <w:pStyle w:val="TableParagraph"/>
              <w:rPr>
                <w:sz w:val="20"/>
              </w:rPr>
            </w:pPr>
          </w:p>
        </w:tc>
        <w:tc>
          <w:tcPr>
            <w:tcW w:w="1180" w:type="dxa"/>
            <w:shd w:val="clear" w:color="auto" w:fill="D9D9D9"/>
          </w:tcPr>
          <w:p>
            <w:pPr>
              <w:pStyle w:val="TableParagraph"/>
              <w:rPr>
                <w:sz w:val="20"/>
              </w:rPr>
            </w:pPr>
          </w:p>
        </w:tc>
        <w:tc>
          <w:tcPr>
            <w:tcW w:w="1080" w:type="dxa"/>
            <w:shd w:val="clear" w:color="auto" w:fill="D9D9D9"/>
          </w:tcPr>
          <w:p>
            <w:pPr>
              <w:pStyle w:val="TableParagraph"/>
              <w:rPr>
                <w:sz w:val="20"/>
              </w:rPr>
            </w:pPr>
          </w:p>
        </w:tc>
        <w:tc>
          <w:tcPr>
            <w:tcW w:w="1220" w:type="dxa"/>
            <w:shd w:val="clear" w:color="auto" w:fill="D9D9D9"/>
          </w:tcPr>
          <w:p>
            <w:pPr>
              <w:pStyle w:val="TableParagraph"/>
              <w:rPr>
                <w:sz w:val="20"/>
              </w:rPr>
            </w:pPr>
          </w:p>
        </w:tc>
        <w:tc>
          <w:tcPr>
            <w:tcW w:w="1260" w:type="dxa"/>
            <w:shd w:val="clear" w:color="auto" w:fill="D9D9D9"/>
          </w:tcPr>
          <w:p>
            <w:pPr>
              <w:pStyle w:val="TableParagraph"/>
              <w:rPr>
                <w:sz w:val="20"/>
              </w:rPr>
            </w:pPr>
          </w:p>
        </w:tc>
        <w:tc>
          <w:tcPr>
            <w:tcW w:w="1040" w:type="dxa"/>
            <w:shd w:val="clear" w:color="auto" w:fill="D9D9D9"/>
          </w:tcPr>
          <w:p>
            <w:pPr>
              <w:pStyle w:val="TableParagraph"/>
              <w:rPr>
                <w:sz w:val="20"/>
              </w:rPr>
            </w:pPr>
          </w:p>
        </w:tc>
        <w:tc>
          <w:tcPr>
            <w:tcW w:w="1060" w:type="dxa"/>
            <w:shd w:val="clear" w:color="auto" w:fill="D9D9D9"/>
          </w:tcPr>
          <w:p>
            <w:pPr>
              <w:pStyle w:val="TableParagraph"/>
              <w:rPr>
                <w:sz w:val="20"/>
              </w:rPr>
            </w:pPr>
          </w:p>
        </w:tc>
      </w:tr>
      <w:tr>
        <w:trPr>
          <w:trHeight w:val="499" w:hRule="atLeast"/>
        </w:trPr>
        <w:tc>
          <w:tcPr>
            <w:tcW w:w="580" w:type="dxa"/>
            <w:shd w:val="clear" w:color="auto" w:fill="F2F2F2"/>
          </w:tcPr>
          <w:p>
            <w:pPr>
              <w:pStyle w:val="TableParagraph"/>
              <w:spacing w:before="103"/>
              <w:ind w:left="5"/>
              <w:jc w:val="center"/>
              <w:rPr>
                <w:sz w:val="20"/>
              </w:rPr>
            </w:pPr>
            <w:r>
              <w:rPr>
                <w:spacing w:val="-5"/>
                <w:sz w:val="20"/>
              </w:rPr>
              <w:t>P31</w:t>
            </w:r>
          </w:p>
        </w:tc>
        <w:tc>
          <w:tcPr>
            <w:tcW w:w="1160" w:type="dxa"/>
            <w:shd w:val="clear" w:color="auto" w:fill="F2F2F2"/>
          </w:tcPr>
          <w:p>
            <w:pPr>
              <w:pStyle w:val="TableParagraph"/>
              <w:rPr>
                <w:sz w:val="20"/>
              </w:rPr>
            </w:pPr>
          </w:p>
        </w:tc>
        <w:tc>
          <w:tcPr>
            <w:tcW w:w="1080" w:type="dxa"/>
            <w:shd w:val="clear" w:color="auto" w:fill="F2F2F2"/>
          </w:tcPr>
          <w:p>
            <w:pPr>
              <w:pStyle w:val="TableParagraph"/>
              <w:rPr>
                <w:sz w:val="20"/>
              </w:rPr>
            </w:pPr>
          </w:p>
        </w:tc>
        <w:tc>
          <w:tcPr>
            <w:tcW w:w="1100" w:type="dxa"/>
            <w:shd w:val="clear" w:color="auto" w:fill="F2F2F2"/>
          </w:tcPr>
          <w:p>
            <w:pPr>
              <w:pStyle w:val="TableParagraph"/>
              <w:rPr>
                <w:sz w:val="20"/>
              </w:rPr>
            </w:pPr>
          </w:p>
        </w:tc>
        <w:tc>
          <w:tcPr>
            <w:tcW w:w="1180" w:type="dxa"/>
            <w:shd w:val="clear" w:color="auto" w:fill="F2F2F2"/>
          </w:tcPr>
          <w:p>
            <w:pPr>
              <w:pStyle w:val="TableParagraph"/>
              <w:rPr>
                <w:sz w:val="20"/>
              </w:rPr>
            </w:pPr>
          </w:p>
        </w:tc>
        <w:tc>
          <w:tcPr>
            <w:tcW w:w="1080" w:type="dxa"/>
            <w:shd w:val="clear" w:color="auto" w:fill="F2F2F2"/>
          </w:tcPr>
          <w:p>
            <w:pPr>
              <w:pStyle w:val="TableParagraph"/>
              <w:rPr>
                <w:sz w:val="20"/>
              </w:rPr>
            </w:pPr>
          </w:p>
        </w:tc>
        <w:tc>
          <w:tcPr>
            <w:tcW w:w="1220" w:type="dxa"/>
            <w:shd w:val="clear" w:color="auto" w:fill="F2F2F2"/>
          </w:tcPr>
          <w:p>
            <w:pPr>
              <w:pStyle w:val="TableParagraph"/>
              <w:rPr>
                <w:sz w:val="20"/>
              </w:rPr>
            </w:pPr>
          </w:p>
        </w:tc>
        <w:tc>
          <w:tcPr>
            <w:tcW w:w="1260" w:type="dxa"/>
            <w:shd w:val="clear" w:color="auto" w:fill="F2F2F2"/>
          </w:tcPr>
          <w:p>
            <w:pPr>
              <w:pStyle w:val="TableParagraph"/>
              <w:spacing w:before="89"/>
              <w:ind w:left="137" w:right="112"/>
              <w:jc w:val="center"/>
              <w:rPr>
                <w:rFonts w:ascii="Segoe UI Symbol" w:hAnsi="Segoe UI Symbol"/>
                <w:sz w:val="20"/>
              </w:rPr>
            </w:pPr>
            <w:r>
              <w:rPr>
                <w:rFonts w:ascii="Segoe UI Symbol" w:hAnsi="Segoe UI Symbol"/>
                <w:spacing w:val="-10"/>
                <w:w w:val="135"/>
                <w:sz w:val="20"/>
              </w:rPr>
              <w:t>✓</w:t>
            </w:r>
          </w:p>
        </w:tc>
        <w:tc>
          <w:tcPr>
            <w:tcW w:w="1040" w:type="dxa"/>
            <w:shd w:val="clear" w:color="auto" w:fill="F2F2F2"/>
          </w:tcPr>
          <w:p>
            <w:pPr>
              <w:pStyle w:val="TableParagraph"/>
              <w:rPr>
                <w:sz w:val="20"/>
              </w:rPr>
            </w:pPr>
          </w:p>
        </w:tc>
        <w:tc>
          <w:tcPr>
            <w:tcW w:w="1060" w:type="dxa"/>
            <w:shd w:val="clear" w:color="auto" w:fill="F2F2F2"/>
          </w:tcPr>
          <w:p>
            <w:pPr>
              <w:pStyle w:val="TableParagraph"/>
              <w:spacing w:before="89"/>
              <w:ind w:left="80" w:right="60"/>
              <w:jc w:val="center"/>
              <w:rPr>
                <w:rFonts w:ascii="Segoe UI Symbol" w:hAnsi="Segoe UI Symbol"/>
                <w:sz w:val="20"/>
              </w:rPr>
            </w:pPr>
            <w:r>
              <w:rPr>
                <w:rFonts w:ascii="Segoe UI Symbol" w:hAnsi="Segoe UI Symbol"/>
                <w:spacing w:val="-10"/>
                <w:w w:val="135"/>
                <w:sz w:val="20"/>
              </w:rPr>
              <w:t>✓</w:t>
            </w:r>
          </w:p>
        </w:tc>
      </w:tr>
      <w:tr>
        <w:trPr>
          <w:trHeight w:val="500" w:hRule="atLeast"/>
        </w:trPr>
        <w:tc>
          <w:tcPr>
            <w:tcW w:w="580" w:type="dxa"/>
            <w:shd w:val="clear" w:color="auto" w:fill="F2F2F2"/>
          </w:tcPr>
          <w:p>
            <w:pPr>
              <w:pStyle w:val="TableParagraph"/>
              <w:spacing w:before="107"/>
              <w:ind w:left="5"/>
              <w:jc w:val="center"/>
              <w:rPr>
                <w:sz w:val="20"/>
              </w:rPr>
            </w:pPr>
            <w:r>
              <w:rPr>
                <w:spacing w:val="-5"/>
                <w:sz w:val="20"/>
              </w:rPr>
              <w:t>P32</w:t>
            </w:r>
          </w:p>
        </w:tc>
        <w:tc>
          <w:tcPr>
            <w:tcW w:w="1160" w:type="dxa"/>
            <w:shd w:val="clear" w:color="auto" w:fill="F2F2F2"/>
          </w:tcPr>
          <w:p>
            <w:pPr>
              <w:pStyle w:val="TableParagraph"/>
              <w:spacing w:before="93"/>
              <w:ind w:left="59" w:right="4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spacing w:before="93"/>
              <w:ind w:left="59" w:right="39"/>
              <w:jc w:val="center"/>
              <w:rPr>
                <w:rFonts w:ascii="Segoe UI Symbol" w:hAnsi="Segoe UI Symbol"/>
                <w:sz w:val="20"/>
              </w:rPr>
            </w:pPr>
            <w:r>
              <w:rPr>
                <w:rFonts w:ascii="Segoe UI Symbol" w:hAnsi="Segoe UI Symbol"/>
                <w:spacing w:val="-10"/>
                <w:w w:val="135"/>
                <w:sz w:val="20"/>
              </w:rPr>
              <w:t>✓</w:t>
            </w:r>
          </w:p>
        </w:tc>
        <w:tc>
          <w:tcPr>
            <w:tcW w:w="1100" w:type="dxa"/>
            <w:shd w:val="clear" w:color="auto" w:fill="F2F2F2"/>
          </w:tcPr>
          <w:p>
            <w:pPr>
              <w:pStyle w:val="TableParagraph"/>
              <w:spacing w:before="93"/>
              <w:ind w:left="59" w:right="29"/>
              <w:jc w:val="center"/>
              <w:rPr>
                <w:rFonts w:ascii="Segoe UI Symbol" w:hAnsi="Segoe UI Symbol"/>
                <w:sz w:val="20"/>
              </w:rPr>
            </w:pPr>
            <w:r>
              <w:rPr>
                <w:rFonts w:ascii="Segoe UI Symbol" w:hAnsi="Segoe UI Symbol"/>
                <w:spacing w:val="-10"/>
                <w:w w:val="135"/>
                <w:sz w:val="20"/>
              </w:rPr>
              <w:t>✓</w:t>
            </w:r>
          </w:p>
        </w:tc>
        <w:tc>
          <w:tcPr>
            <w:tcW w:w="1180" w:type="dxa"/>
            <w:shd w:val="clear" w:color="auto" w:fill="F2F2F2"/>
          </w:tcPr>
          <w:p>
            <w:pPr>
              <w:pStyle w:val="TableParagraph"/>
              <w:rPr>
                <w:sz w:val="20"/>
              </w:rPr>
            </w:pPr>
          </w:p>
        </w:tc>
        <w:tc>
          <w:tcPr>
            <w:tcW w:w="1080" w:type="dxa"/>
            <w:shd w:val="clear" w:color="auto" w:fill="F2F2F2"/>
          </w:tcPr>
          <w:p>
            <w:pPr>
              <w:pStyle w:val="TableParagraph"/>
              <w:rPr>
                <w:sz w:val="20"/>
              </w:rPr>
            </w:pPr>
          </w:p>
        </w:tc>
        <w:tc>
          <w:tcPr>
            <w:tcW w:w="1220" w:type="dxa"/>
            <w:shd w:val="clear" w:color="auto" w:fill="F2F2F2"/>
          </w:tcPr>
          <w:p>
            <w:pPr>
              <w:pStyle w:val="TableParagraph"/>
              <w:rPr>
                <w:sz w:val="20"/>
              </w:rPr>
            </w:pPr>
          </w:p>
        </w:tc>
        <w:tc>
          <w:tcPr>
            <w:tcW w:w="1260" w:type="dxa"/>
            <w:shd w:val="clear" w:color="auto" w:fill="F2F2F2"/>
          </w:tcPr>
          <w:p>
            <w:pPr>
              <w:pStyle w:val="TableParagraph"/>
              <w:rPr>
                <w:sz w:val="20"/>
              </w:rPr>
            </w:pPr>
          </w:p>
        </w:tc>
        <w:tc>
          <w:tcPr>
            <w:tcW w:w="1040" w:type="dxa"/>
            <w:shd w:val="clear" w:color="auto" w:fill="F2F2F2"/>
          </w:tcPr>
          <w:p>
            <w:pPr>
              <w:pStyle w:val="TableParagraph"/>
              <w:rPr>
                <w:sz w:val="20"/>
              </w:rPr>
            </w:pPr>
          </w:p>
        </w:tc>
        <w:tc>
          <w:tcPr>
            <w:tcW w:w="1060" w:type="dxa"/>
            <w:shd w:val="clear" w:color="auto" w:fill="F2F2F2"/>
          </w:tcPr>
          <w:p>
            <w:pPr>
              <w:pStyle w:val="TableParagraph"/>
              <w:rPr>
                <w:sz w:val="20"/>
              </w:rPr>
            </w:pPr>
          </w:p>
        </w:tc>
      </w:tr>
      <w:tr>
        <w:trPr>
          <w:trHeight w:val="520" w:hRule="atLeast"/>
        </w:trPr>
        <w:tc>
          <w:tcPr>
            <w:tcW w:w="580" w:type="dxa"/>
            <w:shd w:val="clear" w:color="auto" w:fill="F2F2F2"/>
          </w:tcPr>
          <w:p>
            <w:pPr>
              <w:pStyle w:val="TableParagraph"/>
              <w:spacing w:before="110"/>
              <w:ind w:left="5"/>
              <w:jc w:val="center"/>
              <w:rPr>
                <w:sz w:val="20"/>
              </w:rPr>
            </w:pPr>
            <w:r>
              <w:rPr>
                <w:spacing w:val="-5"/>
                <w:sz w:val="20"/>
              </w:rPr>
              <w:t>P33</w:t>
            </w:r>
          </w:p>
        </w:tc>
        <w:tc>
          <w:tcPr>
            <w:tcW w:w="1160" w:type="dxa"/>
            <w:shd w:val="clear" w:color="auto" w:fill="F2F2F2"/>
          </w:tcPr>
          <w:p>
            <w:pPr>
              <w:pStyle w:val="TableParagraph"/>
              <w:rPr>
                <w:sz w:val="20"/>
              </w:rPr>
            </w:pPr>
          </w:p>
        </w:tc>
        <w:tc>
          <w:tcPr>
            <w:tcW w:w="1080" w:type="dxa"/>
            <w:shd w:val="clear" w:color="auto" w:fill="F2F2F2"/>
          </w:tcPr>
          <w:p>
            <w:pPr>
              <w:pStyle w:val="TableParagraph"/>
              <w:rPr>
                <w:sz w:val="20"/>
              </w:rPr>
            </w:pPr>
          </w:p>
        </w:tc>
        <w:tc>
          <w:tcPr>
            <w:tcW w:w="1100" w:type="dxa"/>
            <w:shd w:val="clear" w:color="auto" w:fill="F2F2F2"/>
          </w:tcPr>
          <w:p>
            <w:pPr>
              <w:pStyle w:val="TableParagraph"/>
              <w:rPr>
                <w:sz w:val="20"/>
              </w:rPr>
            </w:pPr>
          </w:p>
        </w:tc>
        <w:tc>
          <w:tcPr>
            <w:tcW w:w="1180" w:type="dxa"/>
            <w:shd w:val="clear" w:color="auto" w:fill="F2F2F2"/>
          </w:tcPr>
          <w:p>
            <w:pPr>
              <w:pStyle w:val="TableParagraph"/>
              <w:spacing w:before="96"/>
              <w:ind w:left="59" w:right="29"/>
              <w:jc w:val="center"/>
              <w:rPr>
                <w:rFonts w:ascii="Segoe UI Symbol" w:hAnsi="Segoe UI Symbol"/>
                <w:sz w:val="20"/>
              </w:rPr>
            </w:pPr>
            <w:r>
              <w:rPr>
                <w:rFonts w:ascii="Segoe UI Symbol" w:hAnsi="Segoe UI Symbol"/>
                <w:spacing w:val="-10"/>
                <w:w w:val="135"/>
                <w:sz w:val="20"/>
              </w:rPr>
              <w:t>✓</w:t>
            </w:r>
          </w:p>
        </w:tc>
        <w:tc>
          <w:tcPr>
            <w:tcW w:w="1080" w:type="dxa"/>
            <w:shd w:val="clear" w:color="auto" w:fill="F2F2F2"/>
          </w:tcPr>
          <w:p>
            <w:pPr>
              <w:pStyle w:val="TableParagraph"/>
              <w:spacing w:before="96"/>
              <w:ind w:left="74" w:right="39"/>
              <w:jc w:val="center"/>
              <w:rPr>
                <w:rFonts w:ascii="Segoe UI Symbol" w:hAnsi="Segoe UI Symbol"/>
                <w:sz w:val="20"/>
              </w:rPr>
            </w:pPr>
            <w:r>
              <w:rPr>
                <w:rFonts w:ascii="Segoe UI Symbol" w:hAnsi="Segoe UI Symbol"/>
                <w:spacing w:val="-10"/>
                <w:w w:val="135"/>
                <w:sz w:val="20"/>
              </w:rPr>
              <w:t>✓</w:t>
            </w:r>
          </w:p>
        </w:tc>
        <w:tc>
          <w:tcPr>
            <w:tcW w:w="1220" w:type="dxa"/>
            <w:shd w:val="clear" w:color="auto" w:fill="F2F2F2"/>
          </w:tcPr>
          <w:p>
            <w:pPr>
              <w:pStyle w:val="TableParagraph"/>
              <w:rPr>
                <w:sz w:val="20"/>
              </w:rPr>
            </w:pPr>
          </w:p>
        </w:tc>
        <w:tc>
          <w:tcPr>
            <w:tcW w:w="1260" w:type="dxa"/>
            <w:shd w:val="clear" w:color="auto" w:fill="F2F2F2"/>
          </w:tcPr>
          <w:p>
            <w:pPr>
              <w:pStyle w:val="TableParagraph"/>
              <w:spacing w:before="96"/>
              <w:ind w:left="137" w:right="112"/>
              <w:jc w:val="center"/>
              <w:rPr>
                <w:rFonts w:ascii="Segoe UI Symbol" w:hAnsi="Segoe UI Symbol"/>
                <w:sz w:val="20"/>
              </w:rPr>
            </w:pPr>
            <w:r>
              <w:rPr>
                <w:rFonts w:ascii="Segoe UI Symbol" w:hAnsi="Segoe UI Symbol"/>
                <w:spacing w:val="-10"/>
                <w:w w:val="135"/>
                <w:sz w:val="20"/>
              </w:rPr>
              <w:t>✓</w:t>
            </w:r>
          </w:p>
        </w:tc>
        <w:tc>
          <w:tcPr>
            <w:tcW w:w="1040" w:type="dxa"/>
            <w:shd w:val="clear" w:color="auto" w:fill="F2F2F2"/>
          </w:tcPr>
          <w:p>
            <w:pPr>
              <w:pStyle w:val="TableParagraph"/>
              <w:spacing w:before="96"/>
              <w:ind w:left="59" w:right="39"/>
              <w:jc w:val="center"/>
              <w:rPr>
                <w:rFonts w:ascii="Segoe UI Symbol" w:hAnsi="Segoe UI Symbol"/>
                <w:sz w:val="20"/>
              </w:rPr>
            </w:pPr>
            <w:r>
              <w:rPr>
                <w:rFonts w:ascii="Segoe UI Symbol" w:hAnsi="Segoe UI Symbol"/>
                <w:spacing w:val="-10"/>
                <w:w w:val="135"/>
                <w:sz w:val="20"/>
              </w:rPr>
              <w:t>✓</w:t>
            </w:r>
          </w:p>
        </w:tc>
        <w:tc>
          <w:tcPr>
            <w:tcW w:w="1060" w:type="dxa"/>
            <w:shd w:val="clear" w:color="auto" w:fill="F2F2F2"/>
          </w:tcPr>
          <w:p>
            <w:pPr>
              <w:pStyle w:val="TableParagraph"/>
              <w:rPr>
                <w:sz w:val="20"/>
              </w:rPr>
            </w:pPr>
          </w:p>
        </w:tc>
      </w:tr>
      <w:tr>
        <w:trPr>
          <w:trHeight w:val="499" w:hRule="atLeast"/>
        </w:trPr>
        <w:tc>
          <w:tcPr>
            <w:tcW w:w="580" w:type="dxa"/>
            <w:shd w:val="clear" w:color="auto" w:fill="D9D9D9"/>
          </w:tcPr>
          <w:p>
            <w:pPr>
              <w:pStyle w:val="TableParagraph"/>
              <w:spacing w:before="94"/>
              <w:ind w:left="5"/>
              <w:jc w:val="center"/>
              <w:rPr>
                <w:sz w:val="20"/>
              </w:rPr>
            </w:pPr>
            <w:r>
              <w:rPr>
                <w:spacing w:val="-5"/>
                <w:sz w:val="20"/>
              </w:rPr>
              <w:t>P34</w:t>
            </w:r>
          </w:p>
        </w:tc>
        <w:tc>
          <w:tcPr>
            <w:tcW w:w="1160" w:type="dxa"/>
            <w:shd w:val="clear" w:color="auto" w:fill="D9D9D9"/>
          </w:tcPr>
          <w:p>
            <w:pPr>
              <w:pStyle w:val="TableParagraph"/>
              <w:rPr>
                <w:sz w:val="20"/>
              </w:rPr>
            </w:pPr>
          </w:p>
        </w:tc>
        <w:tc>
          <w:tcPr>
            <w:tcW w:w="1080" w:type="dxa"/>
            <w:shd w:val="clear" w:color="auto" w:fill="D9D9D9"/>
          </w:tcPr>
          <w:p>
            <w:pPr>
              <w:pStyle w:val="TableParagraph"/>
              <w:rPr>
                <w:sz w:val="20"/>
              </w:rPr>
            </w:pPr>
          </w:p>
        </w:tc>
        <w:tc>
          <w:tcPr>
            <w:tcW w:w="1100" w:type="dxa"/>
            <w:shd w:val="clear" w:color="auto" w:fill="D9D9D9"/>
          </w:tcPr>
          <w:p>
            <w:pPr>
              <w:pStyle w:val="TableParagraph"/>
              <w:rPr>
                <w:sz w:val="20"/>
              </w:rPr>
            </w:pPr>
          </w:p>
        </w:tc>
        <w:tc>
          <w:tcPr>
            <w:tcW w:w="1180" w:type="dxa"/>
            <w:shd w:val="clear" w:color="auto" w:fill="D9D9D9"/>
          </w:tcPr>
          <w:p>
            <w:pPr>
              <w:pStyle w:val="TableParagraph"/>
              <w:spacing w:before="81"/>
              <w:ind w:left="59" w:right="29"/>
              <w:jc w:val="center"/>
              <w:rPr>
                <w:rFonts w:ascii="Segoe UI Symbol" w:hAnsi="Segoe UI Symbol"/>
                <w:sz w:val="20"/>
              </w:rPr>
            </w:pPr>
            <w:r>
              <w:rPr>
                <w:rFonts w:ascii="Segoe UI Symbol" w:hAnsi="Segoe UI Symbol"/>
                <w:spacing w:val="-10"/>
                <w:w w:val="135"/>
                <w:sz w:val="20"/>
              </w:rPr>
              <w:t>✓</w:t>
            </w:r>
          </w:p>
        </w:tc>
        <w:tc>
          <w:tcPr>
            <w:tcW w:w="1080" w:type="dxa"/>
            <w:shd w:val="clear" w:color="auto" w:fill="D9D9D9"/>
          </w:tcPr>
          <w:p>
            <w:pPr>
              <w:pStyle w:val="TableParagraph"/>
              <w:rPr>
                <w:sz w:val="20"/>
              </w:rPr>
            </w:pPr>
          </w:p>
        </w:tc>
        <w:tc>
          <w:tcPr>
            <w:tcW w:w="1220" w:type="dxa"/>
            <w:shd w:val="clear" w:color="auto" w:fill="D9D9D9"/>
          </w:tcPr>
          <w:p>
            <w:pPr>
              <w:pStyle w:val="TableParagraph"/>
              <w:spacing w:before="81"/>
              <w:ind w:left="30"/>
              <w:jc w:val="center"/>
              <w:rPr>
                <w:rFonts w:ascii="Segoe UI Symbol" w:hAnsi="Segoe UI Symbol"/>
                <w:sz w:val="20"/>
              </w:rPr>
            </w:pPr>
            <w:r>
              <w:rPr>
                <w:rFonts w:ascii="Segoe UI Symbol" w:hAnsi="Segoe UI Symbol"/>
                <w:spacing w:val="-10"/>
                <w:w w:val="135"/>
                <w:sz w:val="20"/>
              </w:rPr>
              <w:t>✓</w:t>
            </w:r>
          </w:p>
        </w:tc>
        <w:tc>
          <w:tcPr>
            <w:tcW w:w="1260" w:type="dxa"/>
            <w:shd w:val="clear" w:color="auto" w:fill="D9D9D9"/>
          </w:tcPr>
          <w:p>
            <w:pPr>
              <w:pStyle w:val="TableParagraph"/>
              <w:rPr>
                <w:sz w:val="20"/>
              </w:rPr>
            </w:pPr>
          </w:p>
        </w:tc>
        <w:tc>
          <w:tcPr>
            <w:tcW w:w="1040" w:type="dxa"/>
            <w:shd w:val="clear" w:color="auto" w:fill="D9D9D9"/>
          </w:tcPr>
          <w:p>
            <w:pPr>
              <w:pStyle w:val="TableParagraph"/>
              <w:rPr>
                <w:sz w:val="20"/>
              </w:rPr>
            </w:pPr>
          </w:p>
        </w:tc>
        <w:tc>
          <w:tcPr>
            <w:tcW w:w="1060" w:type="dxa"/>
            <w:shd w:val="clear" w:color="auto" w:fill="D9D9D9"/>
          </w:tcPr>
          <w:p>
            <w:pPr>
              <w:pStyle w:val="TableParagraph"/>
              <w:rPr>
                <w:sz w:val="20"/>
              </w:rPr>
            </w:pPr>
          </w:p>
        </w:tc>
      </w:tr>
      <w:tr>
        <w:trPr>
          <w:trHeight w:val="460" w:hRule="atLeast"/>
        </w:trPr>
        <w:tc>
          <w:tcPr>
            <w:tcW w:w="580" w:type="dxa"/>
            <w:shd w:val="clear" w:color="auto" w:fill="F2F2F2"/>
          </w:tcPr>
          <w:p>
            <w:pPr>
              <w:pStyle w:val="TableParagraph"/>
              <w:spacing w:before="99"/>
              <w:ind w:left="5"/>
              <w:jc w:val="center"/>
              <w:rPr>
                <w:sz w:val="20"/>
              </w:rPr>
            </w:pPr>
            <w:r>
              <w:rPr>
                <w:spacing w:val="-5"/>
                <w:sz w:val="20"/>
              </w:rPr>
              <w:t>P35</w:t>
            </w:r>
          </w:p>
        </w:tc>
        <w:tc>
          <w:tcPr>
            <w:tcW w:w="1160" w:type="dxa"/>
            <w:shd w:val="clear" w:color="auto" w:fill="F2F2F2"/>
          </w:tcPr>
          <w:p>
            <w:pPr>
              <w:pStyle w:val="TableParagraph"/>
              <w:rPr>
                <w:sz w:val="20"/>
              </w:rPr>
            </w:pPr>
          </w:p>
        </w:tc>
        <w:tc>
          <w:tcPr>
            <w:tcW w:w="1080" w:type="dxa"/>
            <w:shd w:val="clear" w:color="auto" w:fill="F2F2F2"/>
          </w:tcPr>
          <w:p>
            <w:pPr>
              <w:pStyle w:val="TableParagraph"/>
              <w:rPr>
                <w:sz w:val="20"/>
              </w:rPr>
            </w:pPr>
          </w:p>
        </w:tc>
        <w:tc>
          <w:tcPr>
            <w:tcW w:w="1100" w:type="dxa"/>
            <w:shd w:val="clear" w:color="auto" w:fill="F2F2F2"/>
          </w:tcPr>
          <w:p>
            <w:pPr>
              <w:pStyle w:val="TableParagraph"/>
              <w:rPr>
                <w:sz w:val="20"/>
              </w:rPr>
            </w:pPr>
          </w:p>
        </w:tc>
        <w:tc>
          <w:tcPr>
            <w:tcW w:w="1180" w:type="dxa"/>
            <w:shd w:val="clear" w:color="auto" w:fill="F2F2F2"/>
          </w:tcPr>
          <w:p>
            <w:pPr>
              <w:pStyle w:val="TableParagraph"/>
              <w:rPr>
                <w:sz w:val="20"/>
              </w:rPr>
            </w:pPr>
          </w:p>
        </w:tc>
        <w:tc>
          <w:tcPr>
            <w:tcW w:w="1080" w:type="dxa"/>
            <w:shd w:val="clear" w:color="auto" w:fill="F2F2F2"/>
          </w:tcPr>
          <w:p>
            <w:pPr>
              <w:pStyle w:val="TableParagraph"/>
              <w:rPr>
                <w:sz w:val="20"/>
              </w:rPr>
            </w:pPr>
          </w:p>
        </w:tc>
        <w:tc>
          <w:tcPr>
            <w:tcW w:w="1220" w:type="dxa"/>
            <w:shd w:val="clear" w:color="auto" w:fill="F2F2F2"/>
          </w:tcPr>
          <w:p>
            <w:pPr>
              <w:pStyle w:val="TableParagraph"/>
              <w:rPr>
                <w:sz w:val="20"/>
              </w:rPr>
            </w:pPr>
          </w:p>
        </w:tc>
        <w:tc>
          <w:tcPr>
            <w:tcW w:w="1260" w:type="dxa"/>
            <w:shd w:val="clear" w:color="auto" w:fill="F2F2F2"/>
          </w:tcPr>
          <w:p>
            <w:pPr>
              <w:pStyle w:val="TableParagraph"/>
              <w:rPr>
                <w:sz w:val="20"/>
              </w:rPr>
            </w:pPr>
          </w:p>
        </w:tc>
        <w:tc>
          <w:tcPr>
            <w:tcW w:w="1040" w:type="dxa"/>
            <w:shd w:val="clear" w:color="auto" w:fill="F2F2F2"/>
          </w:tcPr>
          <w:p>
            <w:pPr>
              <w:pStyle w:val="TableParagraph"/>
              <w:rPr>
                <w:sz w:val="20"/>
              </w:rPr>
            </w:pPr>
          </w:p>
        </w:tc>
        <w:tc>
          <w:tcPr>
            <w:tcW w:w="1060" w:type="dxa"/>
            <w:shd w:val="clear" w:color="auto" w:fill="F2F2F2"/>
          </w:tcPr>
          <w:p>
            <w:pPr>
              <w:pStyle w:val="TableParagraph"/>
              <w:rPr>
                <w:sz w:val="20"/>
              </w:rPr>
            </w:pPr>
          </w:p>
        </w:tc>
      </w:tr>
    </w:tbl>
    <w:p>
      <w:pPr>
        <w:pStyle w:val="BodyText"/>
        <w:spacing w:before="7"/>
        <w:rPr>
          <w:sz w:val="20"/>
        </w:rPr>
      </w:pPr>
    </w:p>
    <w:p>
      <w:pPr>
        <w:spacing w:before="0"/>
        <w:ind w:left="3453" w:right="0" w:firstLine="0"/>
        <w:jc w:val="left"/>
        <w:rPr>
          <w:b/>
          <w:sz w:val="20"/>
        </w:rPr>
      </w:pPr>
      <w:r>
        <w:rPr>
          <w:b/>
          <w:sz w:val="20"/>
        </w:rPr>
        <w:t>Table</w:t>
      </w:r>
      <w:r>
        <w:rPr>
          <w:b/>
          <w:spacing w:val="-11"/>
          <w:sz w:val="20"/>
        </w:rPr>
        <w:t> </w:t>
      </w:r>
      <w:r>
        <w:rPr>
          <w:b/>
          <w:sz w:val="20"/>
        </w:rPr>
        <w:t>3:</w:t>
      </w:r>
      <w:r>
        <w:rPr>
          <w:b/>
          <w:spacing w:val="-11"/>
          <w:sz w:val="20"/>
        </w:rPr>
        <w:t> </w:t>
      </w:r>
      <w:r>
        <w:rPr>
          <w:b/>
          <w:sz w:val="20"/>
        </w:rPr>
        <w:t>Additional</w:t>
      </w:r>
      <w:r>
        <w:rPr>
          <w:b/>
          <w:spacing w:val="-11"/>
          <w:sz w:val="20"/>
        </w:rPr>
        <w:t> </w:t>
      </w:r>
      <w:r>
        <w:rPr>
          <w:b/>
          <w:sz w:val="20"/>
        </w:rPr>
        <w:t>Follow-Up</w:t>
      </w:r>
      <w:r>
        <w:rPr>
          <w:b/>
          <w:spacing w:val="-11"/>
          <w:sz w:val="20"/>
        </w:rPr>
        <w:t> </w:t>
      </w:r>
      <w:r>
        <w:rPr>
          <w:b/>
          <w:spacing w:val="-2"/>
          <w:sz w:val="20"/>
        </w:rPr>
        <w:t>Questions</w:t>
      </w:r>
    </w:p>
    <w:tbl>
      <w:tblPr>
        <w:tblW w:w="0" w:type="auto"/>
        <w:jc w:val="left"/>
        <w:tblInd w:w="1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20"/>
        <w:gridCol w:w="1720"/>
        <w:gridCol w:w="2100"/>
        <w:gridCol w:w="2540"/>
        <w:gridCol w:w="1660"/>
      </w:tblGrid>
      <w:tr>
        <w:trPr>
          <w:trHeight w:val="1960" w:hRule="atLeast"/>
        </w:trPr>
        <w:tc>
          <w:tcPr>
            <w:tcW w:w="1320" w:type="dxa"/>
            <w:shd w:val="clear" w:color="auto" w:fill="424242"/>
          </w:tcPr>
          <w:p>
            <w:pPr>
              <w:pStyle w:val="TableParagraph"/>
              <w:spacing w:before="100"/>
              <w:jc w:val="center"/>
              <w:rPr>
                <w:sz w:val="20"/>
              </w:rPr>
            </w:pPr>
            <w:r>
              <w:rPr>
                <w:color w:val="FFFFFF"/>
                <w:spacing w:val="-2"/>
                <w:sz w:val="20"/>
              </w:rPr>
              <w:t>Participant</w:t>
            </w:r>
          </w:p>
        </w:tc>
        <w:tc>
          <w:tcPr>
            <w:tcW w:w="1720" w:type="dxa"/>
            <w:shd w:val="clear" w:color="auto" w:fill="424242"/>
          </w:tcPr>
          <w:p>
            <w:pPr>
              <w:pStyle w:val="TableParagraph"/>
              <w:spacing w:line="273" w:lineRule="auto" w:before="100"/>
              <w:ind w:left="338" w:right="226" w:firstLine="92"/>
              <w:jc w:val="both"/>
              <w:rPr>
                <w:sz w:val="20"/>
              </w:rPr>
            </w:pPr>
            <w:r>
              <w:rPr>
                <w:color w:val="FFFFFF"/>
                <w:sz w:val="20"/>
              </w:rPr>
              <w:t>Are you a </w:t>
            </w:r>
            <w:r>
              <w:rPr>
                <w:color w:val="FFFFFF"/>
                <w:spacing w:val="-2"/>
                <w:sz w:val="20"/>
              </w:rPr>
              <w:t>first-generatio</w:t>
            </w:r>
          </w:p>
          <w:p>
            <w:pPr>
              <w:pStyle w:val="TableParagraph"/>
              <w:spacing w:line="264" w:lineRule="auto"/>
              <w:ind w:left="484" w:right="372" w:firstLine="31"/>
              <w:jc w:val="both"/>
              <w:rPr>
                <w:sz w:val="20"/>
              </w:rPr>
            </w:pPr>
            <w:r>
              <w:rPr>
                <w:color w:val="FFFFFF"/>
                <w:sz w:val="20"/>
              </w:rPr>
              <w:t>n college </w:t>
            </w:r>
            <w:r>
              <w:rPr>
                <w:color w:val="FFFFFF"/>
                <w:spacing w:val="-2"/>
                <w:sz w:val="20"/>
              </w:rPr>
              <w:t>student? </w:t>
            </w:r>
            <w:r>
              <w:rPr>
                <w:color w:val="FFFFFF"/>
                <w:spacing w:val="-4"/>
                <w:sz w:val="20"/>
              </w:rPr>
              <w:t>(14%</w:t>
            </w:r>
            <w:r>
              <w:rPr>
                <w:color w:val="FFFFFF"/>
                <w:spacing w:val="-9"/>
                <w:sz w:val="20"/>
              </w:rPr>
              <w:t> </w:t>
            </w:r>
            <w:r>
              <w:rPr>
                <w:color w:val="FFFFFF"/>
                <w:spacing w:val="-4"/>
                <w:sz w:val="20"/>
              </w:rPr>
              <w:t>Yes)</w:t>
            </w:r>
          </w:p>
        </w:tc>
        <w:tc>
          <w:tcPr>
            <w:tcW w:w="2100" w:type="dxa"/>
            <w:shd w:val="clear" w:color="auto" w:fill="424242"/>
          </w:tcPr>
          <w:p>
            <w:pPr>
              <w:pStyle w:val="TableParagraph"/>
              <w:spacing w:line="264" w:lineRule="auto" w:before="100"/>
              <w:ind w:left="264" w:right="147"/>
              <w:jc w:val="center"/>
              <w:rPr>
                <w:sz w:val="20"/>
              </w:rPr>
            </w:pPr>
            <w:r>
              <w:rPr>
                <w:color w:val="FFFFFF"/>
                <w:sz w:val="20"/>
              </w:rPr>
              <w:t>Growing</w:t>
            </w:r>
            <w:r>
              <w:rPr>
                <w:color w:val="FFFFFF"/>
                <w:spacing w:val="-13"/>
                <w:sz w:val="20"/>
              </w:rPr>
              <w:t> </w:t>
            </w:r>
            <w:r>
              <w:rPr>
                <w:color w:val="FFFFFF"/>
                <w:sz w:val="20"/>
              </w:rPr>
              <w:t>up,</w:t>
            </w:r>
            <w:r>
              <w:rPr>
                <w:color w:val="FFFFFF"/>
                <w:spacing w:val="-12"/>
                <w:sz w:val="20"/>
              </w:rPr>
              <w:t> </w:t>
            </w:r>
            <w:r>
              <w:rPr>
                <w:color w:val="FFFFFF"/>
                <w:sz w:val="20"/>
              </w:rPr>
              <w:t>did</w:t>
            </w:r>
            <w:r>
              <w:rPr>
                <w:color w:val="FFFFFF"/>
                <w:spacing w:val="-13"/>
                <w:sz w:val="20"/>
              </w:rPr>
              <w:t> </w:t>
            </w:r>
            <w:r>
              <w:rPr>
                <w:color w:val="FFFFFF"/>
                <w:sz w:val="20"/>
              </w:rPr>
              <w:t>you have any close family</w:t>
            </w:r>
            <w:r>
              <w:rPr>
                <w:color w:val="FFFFFF"/>
                <w:spacing w:val="40"/>
                <w:sz w:val="20"/>
              </w:rPr>
              <w:t> </w:t>
            </w:r>
            <w:r>
              <w:rPr>
                <w:color w:val="FFFFFF"/>
                <w:sz w:val="20"/>
              </w:rPr>
              <w:t>members or friends</w:t>
            </w:r>
            <w:r>
              <w:rPr>
                <w:color w:val="FFFFFF"/>
                <w:spacing w:val="40"/>
                <w:sz w:val="20"/>
              </w:rPr>
              <w:t> </w:t>
            </w:r>
            <w:r>
              <w:rPr>
                <w:color w:val="FFFFFF"/>
                <w:sz w:val="20"/>
              </w:rPr>
              <w:t>who studied or worked</w:t>
            </w:r>
            <w:r>
              <w:rPr>
                <w:color w:val="FFFFFF"/>
                <w:spacing w:val="40"/>
                <w:sz w:val="20"/>
              </w:rPr>
              <w:t> </w:t>
            </w:r>
            <w:r>
              <w:rPr>
                <w:color w:val="FFFFFF"/>
                <w:sz w:val="20"/>
              </w:rPr>
              <w:t>in </w:t>
            </w:r>
            <w:r>
              <w:rPr>
                <w:color w:val="FFFFFF"/>
                <w:spacing w:val="-2"/>
                <w:sz w:val="20"/>
              </w:rPr>
              <w:t>accounting?</w:t>
            </w:r>
          </w:p>
          <w:p>
            <w:pPr>
              <w:pStyle w:val="TableParagraph"/>
              <w:spacing w:before="13"/>
              <w:ind w:right="78"/>
              <w:jc w:val="center"/>
              <w:rPr>
                <w:sz w:val="20"/>
              </w:rPr>
            </w:pPr>
            <w:r>
              <w:rPr>
                <w:color w:val="FFFFFF"/>
                <w:sz w:val="20"/>
              </w:rPr>
              <w:t>(43%</w:t>
            </w:r>
            <w:r>
              <w:rPr>
                <w:color w:val="FFFFFF"/>
                <w:spacing w:val="-4"/>
                <w:sz w:val="20"/>
              </w:rPr>
              <w:t> Yes)</w:t>
            </w:r>
          </w:p>
        </w:tc>
        <w:tc>
          <w:tcPr>
            <w:tcW w:w="2540" w:type="dxa"/>
            <w:shd w:val="clear" w:color="auto" w:fill="424242"/>
          </w:tcPr>
          <w:p>
            <w:pPr>
              <w:pStyle w:val="TableParagraph"/>
              <w:spacing w:line="266" w:lineRule="auto" w:before="100"/>
              <w:ind w:left="515" w:right="31" w:firstLine="28"/>
              <w:rPr>
                <w:sz w:val="20"/>
              </w:rPr>
            </w:pPr>
            <w:r>
              <w:rPr>
                <w:color w:val="FFFFFF"/>
                <w:sz w:val="20"/>
              </w:rPr>
              <w:t>Did you take any accounting classes before</w:t>
            </w:r>
            <w:r>
              <w:rPr>
                <w:color w:val="FFFFFF"/>
                <w:spacing w:val="40"/>
                <w:sz w:val="20"/>
              </w:rPr>
              <w:t> </w:t>
            </w:r>
            <w:r>
              <w:rPr>
                <w:color w:val="FFFFFF"/>
                <w:sz w:val="20"/>
              </w:rPr>
              <w:t>coming to Appalachian</w:t>
            </w:r>
            <w:r>
              <w:rPr>
                <w:color w:val="FFFFFF"/>
                <w:spacing w:val="14"/>
                <w:sz w:val="20"/>
              </w:rPr>
              <w:t> </w:t>
            </w:r>
            <w:r>
              <w:rPr>
                <w:color w:val="FFFFFF"/>
                <w:sz w:val="20"/>
              </w:rPr>
              <w:t>State?</w:t>
            </w:r>
          </w:p>
          <w:p>
            <w:pPr>
              <w:pStyle w:val="TableParagraph"/>
              <w:spacing w:before="10"/>
              <w:ind w:left="804"/>
              <w:rPr>
                <w:sz w:val="20"/>
              </w:rPr>
            </w:pPr>
            <w:r>
              <w:rPr>
                <w:color w:val="FFFFFF"/>
                <w:sz w:val="20"/>
              </w:rPr>
              <w:t>(14%</w:t>
            </w:r>
            <w:r>
              <w:rPr>
                <w:color w:val="FFFFFF"/>
                <w:spacing w:val="-4"/>
                <w:sz w:val="20"/>
              </w:rPr>
              <w:t> Yes)</w:t>
            </w:r>
          </w:p>
        </w:tc>
        <w:tc>
          <w:tcPr>
            <w:tcW w:w="1660" w:type="dxa"/>
            <w:shd w:val="clear" w:color="auto" w:fill="424242"/>
          </w:tcPr>
          <w:p>
            <w:pPr>
              <w:pStyle w:val="TableParagraph"/>
              <w:spacing w:line="264" w:lineRule="auto" w:before="100"/>
              <w:ind w:left="397" w:right="223" w:firstLine="152"/>
              <w:rPr>
                <w:sz w:val="20"/>
              </w:rPr>
            </w:pPr>
            <w:r>
              <w:rPr>
                <w:color w:val="FFFFFF"/>
                <w:sz w:val="20"/>
              </w:rPr>
              <w:t>Are you planning</w:t>
            </w:r>
            <w:r>
              <w:rPr>
                <w:color w:val="FFFFFF"/>
                <w:spacing w:val="14"/>
                <w:sz w:val="20"/>
              </w:rPr>
              <w:t> </w:t>
            </w:r>
            <w:r>
              <w:rPr>
                <w:color w:val="FFFFFF"/>
                <w:sz w:val="20"/>
              </w:rPr>
              <w:t>to obtain</w:t>
            </w:r>
            <w:r>
              <w:rPr>
                <w:color w:val="FFFFFF"/>
                <w:spacing w:val="-8"/>
                <w:sz w:val="20"/>
              </w:rPr>
              <w:t> </w:t>
            </w:r>
            <w:r>
              <w:rPr>
                <w:color w:val="FFFFFF"/>
                <w:spacing w:val="-4"/>
                <w:sz w:val="20"/>
              </w:rPr>
              <w:t>your</w:t>
            </w:r>
          </w:p>
          <w:p>
            <w:pPr>
              <w:pStyle w:val="TableParagraph"/>
              <w:spacing w:line="271" w:lineRule="auto" w:before="12"/>
              <w:ind w:left="364" w:right="309" w:hanging="104"/>
              <w:rPr>
                <w:sz w:val="20"/>
              </w:rPr>
            </w:pPr>
            <w:r>
              <w:rPr>
                <w:color w:val="FFFFFF"/>
                <w:spacing w:val="-2"/>
                <w:sz w:val="20"/>
              </w:rPr>
              <w:t>CPA</w:t>
            </w:r>
            <w:r>
              <w:rPr>
                <w:color w:val="FFFFFF"/>
                <w:spacing w:val="-11"/>
                <w:sz w:val="20"/>
              </w:rPr>
              <w:t> </w:t>
            </w:r>
            <w:r>
              <w:rPr>
                <w:color w:val="FFFFFF"/>
                <w:spacing w:val="-2"/>
                <w:sz w:val="20"/>
              </w:rPr>
              <w:t>license? </w:t>
            </w:r>
            <w:r>
              <w:rPr>
                <w:color w:val="FFFFFF"/>
                <w:sz w:val="20"/>
              </w:rPr>
              <w:t>(57% Yes)</w:t>
            </w:r>
          </w:p>
        </w:tc>
      </w:tr>
      <w:tr>
        <w:trPr>
          <w:trHeight w:val="439" w:hRule="atLeast"/>
        </w:trPr>
        <w:tc>
          <w:tcPr>
            <w:tcW w:w="1320" w:type="dxa"/>
            <w:shd w:val="clear" w:color="auto" w:fill="F2F2F2"/>
          </w:tcPr>
          <w:p>
            <w:pPr>
              <w:pStyle w:val="TableParagraph"/>
              <w:spacing w:before="106"/>
              <w:jc w:val="center"/>
              <w:rPr>
                <w:sz w:val="20"/>
              </w:rPr>
            </w:pPr>
            <w:r>
              <w:rPr>
                <w:spacing w:val="-5"/>
                <w:sz w:val="20"/>
              </w:rPr>
              <w:t>P1</w:t>
            </w:r>
          </w:p>
        </w:tc>
        <w:tc>
          <w:tcPr>
            <w:tcW w:w="1720" w:type="dxa"/>
            <w:shd w:val="clear" w:color="auto" w:fill="F2F2F2"/>
          </w:tcPr>
          <w:p>
            <w:pPr>
              <w:pStyle w:val="TableParagraph"/>
              <w:spacing w:before="106"/>
              <w:ind w:left="5"/>
              <w:jc w:val="center"/>
              <w:rPr>
                <w:sz w:val="20"/>
              </w:rPr>
            </w:pPr>
            <w:r>
              <w:rPr>
                <w:spacing w:val="-5"/>
                <w:sz w:val="20"/>
              </w:rPr>
              <w:t>No</w:t>
            </w:r>
          </w:p>
        </w:tc>
        <w:tc>
          <w:tcPr>
            <w:tcW w:w="2100" w:type="dxa"/>
            <w:shd w:val="clear" w:color="auto" w:fill="F2F2F2"/>
          </w:tcPr>
          <w:p>
            <w:pPr>
              <w:pStyle w:val="TableParagraph"/>
              <w:spacing w:before="106"/>
              <w:ind w:left="10"/>
              <w:jc w:val="center"/>
              <w:rPr>
                <w:sz w:val="20"/>
              </w:rPr>
            </w:pPr>
            <w:r>
              <w:rPr>
                <w:spacing w:val="-5"/>
                <w:sz w:val="20"/>
              </w:rPr>
              <w:t>No</w:t>
            </w:r>
          </w:p>
        </w:tc>
        <w:tc>
          <w:tcPr>
            <w:tcW w:w="2540" w:type="dxa"/>
            <w:shd w:val="clear" w:color="auto" w:fill="F2F2F2"/>
          </w:tcPr>
          <w:p>
            <w:pPr>
              <w:pStyle w:val="TableParagraph"/>
              <w:spacing w:before="106"/>
              <w:ind w:left="5"/>
              <w:jc w:val="center"/>
              <w:rPr>
                <w:sz w:val="20"/>
              </w:rPr>
            </w:pPr>
            <w:r>
              <w:rPr>
                <w:spacing w:val="-5"/>
                <w:sz w:val="20"/>
              </w:rPr>
              <w:t>Yes</w:t>
            </w:r>
          </w:p>
        </w:tc>
        <w:tc>
          <w:tcPr>
            <w:tcW w:w="1660" w:type="dxa"/>
            <w:shd w:val="clear" w:color="auto" w:fill="F2F2F2"/>
          </w:tcPr>
          <w:p>
            <w:pPr>
              <w:pStyle w:val="TableParagraph"/>
              <w:spacing w:before="106"/>
              <w:ind w:left="5"/>
              <w:jc w:val="center"/>
              <w:rPr>
                <w:sz w:val="20"/>
              </w:rPr>
            </w:pPr>
            <w:r>
              <w:rPr>
                <w:spacing w:val="-5"/>
                <w:sz w:val="20"/>
              </w:rPr>
              <w:t>Yes</w:t>
            </w:r>
          </w:p>
        </w:tc>
      </w:tr>
      <w:tr>
        <w:trPr>
          <w:trHeight w:val="440" w:hRule="atLeast"/>
        </w:trPr>
        <w:tc>
          <w:tcPr>
            <w:tcW w:w="1320" w:type="dxa"/>
            <w:shd w:val="clear" w:color="auto" w:fill="F2F2F2"/>
          </w:tcPr>
          <w:p>
            <w:pPr>
              <w:pStyle w:val="TableParagraph"/>
              <w:spacing w:before="101"/>
              <w:jc w:val="center"/>
              <w:rPr>
                <w:sz w:val="20"/>
              </w:rPr>
            </w:pPr>
            <w:r>
              <w:rPr>
                <w:spacing w:val="-5"/>
                <w:sz w:val="20"/>
              </w:rPr>
              <w:t>P2</w:t>
            </w:r>
          </w:p>
        </w:tc>
        <w:tc>
          <w:tcPr>
            <w:tcW w:w="1720" w:type="dxa"/>
            <w:shd w:val="clear" w:color="auto" w:fill="F2F2F2"/>
          </w:tcPr>
          <w:p>
            <w:pPr>
              <w:pStyle w:val="TableParagraph"/>
              <w:spacing w:before="101"/>
              <w:ind w:left="5"/>
              <w:jc w:val="center"/>
              <w:rPr>
                <w:sz w:val="20"/>
              </w:rPr>
            </w:pPr>
            <w:r>
              <w:rPr>
                <w:spacing w:val="-5"/>
                <w:sz w:val="20"/>
              </w:rPr>
              <w:t>No</w:t>
            </w:r>
          </w:p>
        </w:tc>
        <w:tc>
          <w:tcPr>
            <w:tcW w:w="2100" w:type="dxa"/>
            <w:shd w:val="clear" w:color="auto" w:fill="F2F2F2"/>
          </w:tcPr>
          <w:p>
            <w:pPr>
              <w:pStyle w:val="TableParagraph"/>
              <w:spacing w:before="101"/>
              <w:ind w:left="10"/>
              <w:jc w:val="center"/>
              <w:rPr>
                <w:sz w:val="20"/>
              </w:rPr>
            </w:pPr>
            <w:r>
              <w:rPr>
                <w:spacing w:val="-5"/>
                <w:sz w:val="20"/>
              </w:rPr>
              <w:t>No</w:t>
            </w:r>
          </w:p>
        </w:tc>
        <w:tc>
          <w:tcPr>
            <w:tcW w:w="2540" w:type="dxa"/>
            <w:shd w:val="clear" w:color="auto" w:fill="F2F2F2"/>
          </w:tcPr>
          <w:p>
            <w:pPr>
              <w:pStyle w:val="TableParagraph"/>
              <w:spacing w:before="101"/>
              <w:ind w:left="5"/>
              <w:jc w:val="center"/>
              <w:rPr>
                <w:sz w:val="20"/>
              </w:rPr>
            </w:pPr>
            <w:r>
              <w:rPr>
                <w:spacing w:val="-5"/>
                <w:sz w:val="20"/>
              </w:rPr>
              <w:t>No</w:t>
            </w:r>
          </w:p>
        </w:tc>
        <w:tc>
          <w:tcPr>
            <w:tcW w:w="1660" w:type="dxa"/>
            <w:shd w:val="clear" w:color="auto" w:fill="F2F2F2"/>
          </w:tcPr>
          <w:p>
            <w:pPr>
              <w:pStyle w:val="TableParagraph"/>
              <w:spacing w:before="101"/>
              <w:ind w:left="5"/>
              <w:jc w:val="center"/>
              <w:rPr>
                <w:sz w:val="20"/>
              </w:rPr>
            </w:pPr>
            <w:r>
              <w:rPr>
                <w:spacing w:val="-5"/>
                <w:sz w:val="20"/>
              </w:rPr>
              <w:t>Yes</w:t>
            </w:r>
          </w:p>
        </w:tc>
      </w:tr>
    </w:tbl>
    <w:p>
      <w:pPr>
        <w:pStyle w:val="TableParagraph"/>
        <w:spacing w:after="0"/>
        <w:jc w:val="center"/>
        <w:rPr>
          <w:sz w:val="20"/>
        </w:rPr>
        <w:sectPr>
          <w:type w:val="continuous"/>
          <w:pgSz w:w="12240" w:h="15840"/>
          <w:pgMar w:header="0" w:footer="750" w:top="680" w:bottom="960" w:left="720" w:right="0"/>
        </w:sectPr>
      </w:pPr>
    </w:p>
    <w:tbl>
      <w:tblPr>
        <w:tblW w:w="0" w:type="auto"/>
        <w:jc w:val="left"/>
        <w:tblInd w:w="1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20"/>
        <w:gridCol w:w="1720"/>
        <w:gridCol w:w="2100"/>
        <w:gridCol w:w="2540"/>
        <w:gridCol w:w="1660"/>
      </w:tblGrid>
      <w:tr>
        <w:trPr>
          <w:trHeight w:val="419" w:hRule="atLeast"/>
        </w:trPr>
        <w:tc>
          <w:tcPr>
            <w:tcW w:w="1320" w:type="dxa"/>
            <w:shd w:val="clear" w:color="auto" w:fill="F2F2F2"/>
          </w:tcPr>
          <w:p>
            <w:pPr>
              <w:pStyle w:val="TableParagraph"/>
              <w:spacing w:before="100"/>
              <w:jc w:val="center"/>
              <w:rPr>
                <w:sz w:val="20"/>
              </w:rPr>
            </w:pPr>
            <w:r>
              <w:rPr>
                <w:spacing w:val="-5"/>
                <w:sz w:val="20"/>
              </w:rPr>
              <w:t>P3</w:t>
            </w:r>
          </w:p>
        </w:tc>
        <w:tc>
          <w:tcPr>
            <w:tcW w:w="1720" w:type="dxa"/>
            <w:shd w:val="clear" w:color="auto" w:fill="F2F2F2"/>
          </w:tcPr>
          <w:p>
            <w:pPr>
              <w:pStyle w:val="TableParagraph"/>
              <w:spacing w:before="100"/>
              <w:ind w:left="5"/>
              <w:jc w:val="center"/>
              <w:rPr>
                <w:sz w:val="20"/>
              </w:rPr>
            </w:pPr>
            <w:r>
              <w:rPr>
                <w:spacing w:val="-5"/>
                <w:sz w:val="20"/>
              </w:rPr>
              <w:t>No</w:t>
            </w:r>
          </w:p>
        </w:tc>
        <w:tc>
          <w:tcPr>
            <w:tcW w:w="2100" w:type="dxa"/>
            <w:shd w:val="clear" w:color="auto" w:fill="F2F2F2"/>
          </w:tcPr>
          <w:p>
            <w:pPr>
              <w:pStyle w:val="TableParagraph"/>
              <w:spacing w:before="100"/>
              <w:ind w:left="10"/>
              <w:jc w:val="center"/>
              <w:rPr>
                <w:sz w:val="20"/>
              </w:rPr>
            </w:pPr>
            <w:r>
              <w:rPr>
                <w:spacing w:val="-5"/>
                <w:sz w:val="20"/>
              </w:rPr>
              <w:t>No</w:t>
            </w:r>
          </w:p>
        </w:tc>
        <w:tc>
          <w:tcPr>
            <w:tcW w:w="2540" w:type="dxa"/>
            <w:shd w:val="clear" w:color="auto" w:fill="F2F2F2"/>
          </w:tcPr>
          <w:p>
            <w:pPr>
              <w:pStyle w:val="TableParagraph"/>
              <w:spacing w:before="100"/>
              <w:ind w:left="5"/>
              <w:jc w:val="center"/>
              <w:rPr>
                <w:sz w:val="20"/>
              </w:rPr>
            </w:pPr>
            <w:r>
              <w:rPr>
                <w:spacing w:val="-5"/>
                <w:sz w:val="20"/>
              </w:rPr>
              <w:t>No</w:t>
            </w:r>
          </w:p>
        </w:tc>
        <w:tc>
          <w:tcPr>
            <w:tcW w:w="1660" w:type="dxa"/>
            <w:shd w:val="clear" w:color="auto" w:fill="F2F2F2"/>
          </w:tcPr>
          <w:p>
            <w:pPr>
              <w:pStyle w:val="TableParagraph"/>
              <w:spacing w:before="100"/>
              <w:ind w:left="5"/>
              <w:jc w:val="center"/>
              <w:rPr>
                <w:sz w:val="20"/>
              </w:rPr>
            </w:pPr>
            <w:r>
              <w:rPr>
                <w:spacing w:val="-5"/>
                <w:sz w:val="20"/>
              </w:rPr>
              <w:t>Yes</w:t>
            </w:r>
          </w:p>
        </w:tc>
      </w:tr>
      <w:tr>
        <w:trPr>
          <w:trHeight w:val="439" w:hRule="atLeast"/>
        </w:trPr>
        <w:tc>
          <w:tcPr>
            <w:tcW w:w="1320" w:type="dxa"/>
            <w:shd w:val="clear" w:color="auto" w:fill="D9D9D9"/>
          </w:tcPr>
          <w:p>
            <w:pPr>
              <w:pStyle w:val="TableParagraph"/>
              <w:spacing w:before="115"/>
              <w:jc w:val="center"/>
              <w:rPr>
                <w:sz w:val="20"/>
              </w:rPr>
            </w:pPr>
            <w:r>
              <w:rPr>
                <w:spacing w:val="-5"/>
                <w:sz w:val="20"/>
              </w:rPr>
              <w:t>P4</w:t>
            </w:r>
          </w:p>
        </w:tc>
        <w:tc>
          <w:tcPr>
            <w:tcW w:w="1720" w:type="dxa"/>
            <w:shd w:val="clear" w:color="auto" w:fill="D9D9D9"/>
          </w:tcPr>
          <w:p>
            <w:pPr>
              <w:pStyle w:val="TableParagraph"/>
              <w:spacing w:before="115"/>
              <w:ind w:left="5"/>
              <w:jc w:val="center"/>
              <w:rPr>
                <w:sz w:val="20"/>
              </w:rPr>
            </w:pPr>
            <w:r>
              <w:rPr>
                <w:spacing w:val="-5"/>
                <w:sz w:val="20"/>
              </w:rPr>
              <w:t>No</w:t>
            </w:r>
          </w:p>
        </w:tc>
        <w:tc>
          <w:tcPr>
            <w:tcW w:w="2100" w:type="dxa"/>
            <w:shd w:val="clear" w:color="auto" w:fill="D9D9D9"/>
          </w:tcPr>
          <w:p>
            <w:pPr>
              <w:pStyle w:val="TableParagraph"/>
              <w:spacing w:before="115"/>
              <w:ind w:left="10"/>
              <w:jc w:val="center"/>
              <w:rPr>
                <w:sz w:val="20"/>
              </w:rPr>
            </w:pPr>
            <w:r>
              <w:rPr>
                <w:spacing w:val="-5"/>
                <w:sz w:val="20"/>
              </w:rPr>
              <w:t>No</w:t>
            </w:r>
          </w:p>
        </w:tc>
        <w:tc>
          <w:tcPr>
            <w:tcW w:w="2540" w:type="dxa"/>
            <w:shd w:val="clear" w:color="auto" w:fill="D9D9D9"/>
          </w:tcPr>
          <w:p>
            <w:pPr>
              <w:pStyle w:val="TableParagraph"/>
              <w:spacing w:before="115"/>
              <w:ind w:left="5"/>
              <w:jc w:val="center"/>
              <w:rPr>
                <w:sz w:val="20"/>
              </w:rPr>
            </w:pPr>
            <w:r>
              <w:rPr>
                <w:spacing w:val="-5"/>
                <w:sz w:val="20"/>
              </w:rPr>
              <w:t>No</w:t>
            </w:r>
          </w:p>
        </w:tc>
        <w:tc>
          <w:tcPr>
            <w:tcW w:w="1660" w:type="dxa"/>
            <w:shd w:val="clear" w:color="auto" w:fill="D9D9D9"/>
          </w:tcPr>
          <w:p>
            <w:pPr>
              <w:pStyle w:val="TableParagraph"/>
              <w:spacing w:before="115"/>
              <w:ind w:left="5"/>
              <w:jc w:val="center"/>
              <w:rPr>
                <w:sz w:val="20"/>
              </w:rPr>
            </w:pPr>
            <w:r>
              <w:rPr>
                <w:spacing w:val="-5"/>
                <w:sz w:val="20"/>
              </w:rPr>
              <w:t>No</w:t>
            </w:r>
          </w:p>
        </w:tc>
      </w:tr>
      <w:tr>
        <w:trPr>
          <w:trHeight w:val="440" w:hRule="atLeast"/>
        </w:trPr>
        <w:tc>
          <w:tcPr>
            <w:tcW w:w="1320" w:type="dxa"/>
            <w:shd w:val="clear" w:color="auto" w:fill="D9D9D9"/>
          </w:tcPr>
          <w:p>
            <w:pPr>
              <w:pStyle w:val="TableParagraph"/>
              <w:spacing w:before="111"/>
              <w:jc w:val="center"/>
              <w:rPr>
                <w:sz w:val="20"/>
              </w:rPr>
            </w:pPr>
            <w:r>
              <w:rPr>
                <w:spacing w:val="-5"/>
                <w:sz w:val="20"/>
              </w:rPr>
              <w:t>P5</w:t>
            </w:r>
          </w:p>
        </w:tc>
        <w:tc>
          <w:tcPr>
            <w:tcW w:w="1720" w:type="dxa"/>
            <w:shd w:val="clear" w:color="auto" w:fill="D9D9D9"/>
          </w:tcPr>
          <w:p>
            <w:pPr>
              <w:pStyle w:val="TableParagraph"/>
              <w:spacing w:before="111"/>
              <w:ind w:left="5"/>
              <w:jc w:val="center"/>
              <w:rPr>
                <w:sz w:val="20"/>
              </w:rPr>
            </w:pPr>
            <w:r>
              <w:rPr>
                <w:spacing w:val="-5"/>
                <w:sz w:val="20"/>
              </w:rPr>
              <w:t>No</w:t>
            </w:r>
          </w:p>
        </w:tc>
        <w:tc>
          <w:tcPr>
            <w:tcW w:w="2100" w:type="dxa"/>
            <w:shd w:val="clear" w:color="auto" w:fill="D9D9D9"/>
          </w:tcPr>
          <w:p>
            <w:pPr>
              <w:pStyle w:val="TableParagraph"/>
              <w:spacing w:before="111"/>
              <w:ind w:right="68"/>
              <w:jc w:val="center"/>
              <w:rPr>
                <w:sz w:val="20"/>
              </w:rPr>
            </w:pPr>
            <w:r>
              <w:rPr>
                <w:spacing w:val="-5"/>
                <w:sz w:val="20"/>
              </w:rPr>
              <w:t>Yes</w:t>
            </w:r>
          </w:p>
        </w:tc>
        <w:tc>
          <w:tcPr>
            <w:tcW w:w="2540" w:type="dxa"/>
            <w:shd w:val="clear" w:color="auto" w:fill="D9D9D9"/>
          </w:tcPr>
          <w:p>
            <w:pPr>
              <w:pStyle w:val="TableParagraph"/>
              <w:spacing w:before="111"/>
              <w:ind w:left="5"/>
              <w:jc w:val="center"/>
              <w:rPr>
                <w:sz w:val="20"/>
              </w:rPr>
            </w:pPr>
            <w:r>
              <w:rPr>
                <w:spacing w:val="-5"/>
                <w:sz w:val="20"/>
              </w:rPr>
              <w:t>No</w:t>
            </w:r>
          </w:p>
        </w:tc>
        <w:tc>
          <w:tcPr>
            <w:tcW w:w="1660" w:type="dxa"/>
            <w:shd w:val="clear" w:color="auto" w:fill="D9D9D9"/>
          </w:tcPr>
          <w:p>
            <w:pPr>
              <w:pStyle w:val="TableParagraph"/>
              <w:spacing w:before="111"/>
              <w:ind w:left="5"/>
              <w:jc w:val="center"/>
              <w:rPr>
                <w:sz w:val="20"/>
              </w:rPr>
            </w:pPr>
            <w:r>
              <w:rPr>
                <w:spacing w:val="-5"/>
                <w:sz w:val="20"/>
              </w:rPr>
              <w:t>No</w:t>
            </w:r>
          </w:p>
        </w:tc>
      </w:tr>
      <w:tr>
        <w:trPr>
          <w:trHeight w:val="439" w:hRule="atLeast"/>
        </w:trPr>
        <w:tc>
          <w:tcPr>
            <w:tcW w:w="1320" w:type="dxa"/>
            <w:shd w:val="clear" w:color="auto" w:fill="F2F2F2"/>
          </w:tcPr>
          <w:p>
            <w:pPr>
              <w:pStyle w:val="TableParagraph"/>
              <w:spacing w:before="105"/>
              <w:jc w:val="center"/>
              <w:rPr>
                <w:sz w:val="20"/>
              </w:rPr>
            </w:pPr>
            <w:r>
              <w:rPr>
                <w:spacing w:val="-5"/>
                <w:sz w:val="20"/>
              </w:rPr>
              <w:t>P6</w:t>
            </w:r>
          </w:p>
        </w:tc>
        <w:tc>
          <w:tcPr>
            <w:tcW w:w="1720" w:type="dxa"/>
            <w:shd w:val="clear" w:color="auto" w:fill="F2F2F2"/>
          </w:tcPr>
          <w:p>
            <w:pPr>
              <w:pStyle w:val="TableParagraph"/>
              <w:spacing w:before="105"/>
              <w:ind w:left="5"/>
              <w:jc w:val="center"/>
              <w:rPr>
                <w:sz w:val="20"/>
              </w:rPr>
            </w:pPr>
            <w:r>
              <w:rPr>
                <w:spacing w:val="-5"/>
                <w:sz w:val="20"/>
              </w:rPr>
              <w:t>No</w:t>
            </w:r>
          </w:p>
        </w:tc>
        <w:tc>
          <w:tcPr>
            <w:tcW w:w="2100" w:type="dxa"/>
            <w:shd w:val="clear" w:color="auto" w:fill="F2F2F2"/>
          </w:tcPr>
          <w:p>
            <w:pPr>
              <w:pStyle w:val="TableParagraph"/>
              <w:spacing w:before="105"/>
              <w:ind w:right="68"/>
              <w:jc w:val="center"/>
              <w:rPr>
                <w:sz w:val="20"/>
              </w:rPr>
            </w:pPr>
            <w:r>
              <w:rPr>
                <w:spacing w:val="-5"/>
                <w:sz w:val="20"/>
              </w:rPr>
              <w:t>Yes</w:t>
            </w:r>
          </w:p>
        </w:tc>
        <w:tc>
          <w:tcPr>
            <w:tcW w:w="2540" w:type="dxa"/>
            <w:shd w:val="clear" w:color="auto" w:fill="F2F2F2"/>
          </w:tcPr>
          <w:p>
            <w:pPr>
              <w:pStyle w:val="TableParagraph"/>
              <w:spacing w:before="105"/>
              <w:ind w:left="5"/>
              <w:jc w:val="center"/>
              <w:rPr>
                <w:sz w:val="20"/>
              </w:rPr>
            </w:pPr>
            <w:r>
              <w:rPr>
                <w:spacing w:val="-5"/>
                <w:sz w:val="20"/>
              </w:rPr>
              <w:t>No</w:t>
            </w:r>
          </w:p>
        </w:tc>
        <w:tc>
          <w:tcPr>
            <w:tcW w:w="1660" w:type="dxa"/>
            <w:shd w:val="clear" w:color="auto" w:fill="F2F2F2"/>
          </w:tcPr>
          <w:p>
            <w:pPr>
              <w:pStyle w:val="TableParagraph"/>
              <w:spacing w:before="105"/>
              <w:ind w:left="5"/>
              <w:jc w:val="center"/>
              <w:rPr>
                <w:sz w:val="20"/>
              </w:rPr>
            </w:pPr>
            <w:r>
              <w:rPr>
                <w:spacing w:val="-5"/>
                <w:sz w:val="20"/>
              </w:rPr>
              <w:t>Yes</w:t>
            </w:r>
          </w:p>
        </w:tc>
      </w:tr>
      <w:tr>
        <w:trPr>
          <w:trHeight w:val="420" w:hRule="atLeast"/>
        </w:trPr>
        <w:tc>
          <w:tcPr>
            <w:tcW w:w="1320" w:type="dxa"/>
            <w:shd w:val="clear" w:color="auto" w:fill="F2F2F2"/>
          </w:tcPr>
          <w:p>
            <w:pPr>
              <w:pStyle w:val="TableParagraph"/>
              <w:spacing w:before="100"/>
              <w:jc w:val="center"/>
              <w:rPr>
                <w:sz w:val="20"/>
              </w:rPr>
            </w:pPr>
            <w:r>
              <w:rPr>
                <w:spacing w:val="-5"/>
                <w:sz w:val="20"/>
              </w:rPr>
              <w:t>P7</w:t>
            </w:r>
          </w:p>
        </w:tc>
        <w:tc>
          <w:tcPr>
            <w:tcW w:w="1720" w:type="dxa"/>
            <w:shd w:val="clear" w:color="auto" w:fill="F2F2F2"/>
          </w:tcPr>
          <w:p>
            <w:pPr>
              <w:pStyle w:val="TableParagraph"/>
              <w:spacing w:before="100"/>
              <w:ind w:left="5"/>
              <w:jc w:val="center"/>
              <w:rPr>
                <w:sz w:val="20"/>
              </w:rPr>
            </w:pPr>
            <w:r>
              <w:rPr>
                <w:spacing w:val="-5"/>
                <w:sz w:val="20"/>
              </w:rPr>
              <w:t>Yes</w:t>
            </w:r>
          </w:p>
        </w:tc>
        <w:tc>
          <w:tcPr>
            <w:tcW w:w="2100" w:type="dxa"/>
            <w:shd w:val="clear" w:color="auto" w:fill="F2F2F2"/>
          </w:tcPr>
          <w:p>
            <w:pPr>
              <w:pStyle w:val="TableParagraph"/>
              <w:spacing w:before="100"/>
              <w:ind w:right="68"/>
              <w:jc w:val="center"/>
              <w:rPr>
                <w:sz w:val="20"/>
              </w:rPr>
            </w:pPr>
            <w:r>
              <w:rPr>
                <w:spacing w:val="-5"/>
                <w:sz w:val="20"/>
              </w:rPr>
              <w:t>Yes</w:t>
            </w:r>
          </w:p>
        </w:tc>
        <w:tc>
          <w:tcPr>
            <w:tcW w:w="2540" w:type="dxa"/>
            <w:shd w:val="clear" w:color="auto" w:fill="F2F2F2"/>
          </w:tcPr>
          <w:p>
            <w:pPr>
              <w:pStyle w:val="TableParagraph"/>
              <w:spacing w:before="100"/>
              <w:ind w:left="5"/>
              <w:jc w:val="center"/>
              <w:rPr>
                <w:sz w:val="20"/>
              </w:rPr>
            </w:pPr>
            <w:r>
              <w:rPr>
                <w:spacing w:val="-5"/>
                <w:sz w:val="20"/>
              </w:rPr>
              <w:t>Yes</w:t>
            </w:r>
          </w:p>
        </w:tc>
        <w:tc>
          <w:tcPr>
            <w:tcW w:w="1660" w:type="dxa"/>
            <w:shd w:val="clear" w:color="auto" w:fill="F2F2F2"/>
          </w:tcPr>
          <w:p>
            <w:pPr>
              <w:pStyle w:val="TableParagraph"/>
              <w:spacing w:before="100"/>
              <w:ind w:left="5"/>
              <w:jc w:val="center"/>
              <w:rPr>
                <w:sz w:val="20"/>
              </w:rPr>
            </w:pPr>
            <w:r>
              <w:rPr>
                <w:spacing w:val="-5"/>
                <w:sz w:val="20"/>
              </w:rPr>
              <w:t>Yes</w:t>
            </w:r>
          </w:p>
        </w:tc>
      </w:tr>
      <w:tr>
        <w:trPr>
          <w:trHeight w:val="440" w:hRule="atLeast"/>
        </w:trPr>
        <w:tc>
          <w:tcPr>
            <w:tcW w:w="1320" w:type="dxa"/>
            <w:shd w:val="clear" w:color="auto" w:fill="F2F2F2"/>
          </w:tcPr>
          <w:p>
            <w:pPr>
              <w:pStyle w:val="TableParagraph"/>
              <w:spacing w:before="115"/>
              <w:jc w:val="center"/>
              <w:rPr>
                <w:sz w:val="20"/>
              </w:rPr>
            </w:pPr>
            <w:r>
              <w:rPr>
                <w:spacing w:val="-5"/>
                <w:sz w:val="20"/>
              </w:rPr>
              <w:t>P8</w:t>
            </w:r>
          </w:p>
        </w:tc>
        <w:tc>
          <w:tcPr>
            <w:tcW w:w="1720" w:type="dxa"/>
            <w:shd w:val="clear" w:color="auto" w:fill="F2F2F2"/>
          </w:tcPr>
          <w:p>
            <w:pPr>
              <w:pStyle w:val="TableParagraph"/>
              <w:spacing w:before="115"/>
              <w:ind w:left="5"/>
              <w:jc w:val="center"/>
              <w:rPr>
                <w:sz w:val="20"/>
              </w:rPr>
            </w:pPr>
            <w:r>
              <w:rPr>
                <w:spacing w:val="-5"/>
                <w:sz w:val="20"/>
              </w:rPr>
              <w:t>No</w:t>
            </w:r>
          </w:p>
        </w:tc>
        <w:tc>
          <w:tcPr>
            <w:tcW w:w="2100" w:type="dxa"/>
            <w:shd w:val="clear" w:color="auto" w:fill="F2F2F2"/>
          </w:tcPr>
          <w:p>
            <w:pPr>
              <w:pStyle w:val="TableParagraph"/>
              <w:spacing w:before="115"/>
              <w:ind w:left="10"/>
              <w:jc w:val="center"/>
              <w:rPr>
                <w:sz w:val="20"/>
              </w:rPr>
            </w:pPr>
            <w:r>
              <w:rPr>
                <w:spacing w:val="-5"/>
                <w:sz w:val="20"/>
              </w:rPr>
              <w:t>No</w:t>
            </w:r>
          </w:p>
        </w:tc>
        <w:tc>
          <w:tcPr>
            <w:tcW w:w="2540" w:type="dxa"/>
            <w:shd w:val="clear" w:color="auto" w:fill="F2F2F2"/>
          </w:tcPr>
          <w:p>
            <w:pPr>
              <w:pStyle w:val="TableParagraph"/>
              <w:spacing w:before="115"/>
              <w:ind w:left="5"/>
              <w:jc w:val="center"/>
              <w:rPr>
                <w:sz w:val="20"/>
              </w:rPr>
            </w:pPr>
            <w:r>
              <w:rPr>
                <w:spacing w:val="-5"/>
                <w:sz w:val="20"/>
              </w:rPr>
              <w:t>No</w:t>
            </w:r>
          </w:p>
        </w:tc>
        <w:tc>
          <w:tcPr>
            <w:tcW w:w="1660" w:type="dxa"/>
            <w:shd w:val="clear" w:color="auto" w:fill="F2F2F2"/>
          </w:tcPr>
          <w:p>
            <w:pPr>
              <w:pStyle w:val="TableParagraph"/>
              <w:spacing w:before="115"/>
              <w:ind w:left="5"/>
              <w:jc w:val="center"/>
              <w:rPr>
                <w:sz w:val="20"/>
              </w:rPr>
            </w:pPr>
            <w:r>
              <w:rPr>
                <w:spacing w:val="-5"/>
                <w:sz w:val="20"/>
              </w:rPr>
              <w:t>Yes</w:t>
            </w:r>
          </w:p>
        </w:tc>
      </w:tr>
      <w:tr>
        <w:trPr>
          <w:trHeight w:val="439" w:hRule="atLeast"/>
        </w:trPr>
        <w:tc>
          <w:tcPr>
            <w:tcW w:w="1320" w:type="dxa"/>
            <w:shd w:val="clear" w:color="auto" w:fill="F2F2F2"/>
          </w:tcPr>
          <w:p>
            <w:pPr>
              <w:pStyle w:val="TableParagraph"/>
              <w:spacing w:before="110"/>
              <w:jc w:val="center"/>
              <w:rPr>
                <w:sz w:val="20"/>
              </w:rPr>
            </w:pPr>
            <w:r>
              <w:rPr>
                <w:spacing w:val="-5"/>
                <w:sz w:val="20"/>
              </w:rPr>
              <w:t>P9</w:t>
            </w:r>
          </w:p>
        </w:tc>
        <w:tc>
          <w:tcPr>
            <w:tcW w:w="1720" w:type="dxa"/>
            <w:shd w:val="clear" w:color="auto" w:fill="F2F2F2"/>
          </w:tcPr>
          <w:p>
            <w:pPr>
              <w:pStyle w:val="TableParagraph"/>
              <w:spacing w:before="110"/>
              <w:ind w:left="5"/>
              <w:jc w:val="center"/>
              <w:rPr>
                <w:sz w:val="20"/>
              </w:rPr>
            </w:pPr>
            <w:r>
              <w:rPr>
                <w:spacing w:val="-5"/>
                <w:sz w:val="20"/>
              </w:rPr>
              <w:t>No</w:t>
            </w:r>
          </w:p>
        </w:tc>
        <w:tc>
          <w:tcPr>
            <w:tcW w:w="2100" w:type="dxa"/>
            <w:shd w:val="clear" w:color="auto" w:fill="F2F2F2"/>
          </w:tcPr>
          <w:p>
            <w:pPr>
              <w:pStyle w:val="TableParagraph"/>
              <w:spacing w:before="110"/>
              <w:ind w:right="68"/>
              <w:jc w:val="center"/>
              <w:rPr>
                <w:sz w:val="20"/>
              </w:rPr>
            </w:pPr>
            <w:r>
              <w:rPr>
                <w:spacing w:val="-5"/>
                <w:sz w:val="20"/>
              </w:rPr>
              <w:t>Yes</w:t>
            </w:r>
          </w:p>
        </w:tc>
        <w:tc>
          <w:tcPr>
            <w:tcW w:w="2540" w:type="dxa"/>
            <w:shd w:val="clear" w:color="auto" w:fill="F2F2F2"/>
          </w:tcPr>
          <w:p>
            <w:pPr>
              <w:pStyle w:val="TableParagraph"/>
              <w:spacing w:before="110"/>
              <w:ind w:left="5"/>
              <w:jc w:val="center"/>
              <w:rPr>
                <w:sz w:val="20"/>
              </w:rPr>
            </w:pPr>
            <w:r>
              <w:rPr>
                <w:spacing w:val="-5"/>
                <w:sz w:val="20"/>
              </w:rPr>
              <w:t>No</w:t>
            </w:r>
          </w:p>
        </w:tc>
        <w:tc>
          <w:tcPr>
            <w:tcW w:w="1660" w:type="dxa"/>
            <w:shd w:val="clear" w:color="auto" w:fill="F2F2F2"/>
          </w:tcPr>
          <w:p>
            <w:pPr>
              <w:pStyle w:val="TableParagraph"/>
              <w:spacing w:before="110"/>
              <w:ind w:left="5"/>
              <w:jc w:val="center"/>
              <w:rPr>
                <w:sz w:val="20"/>
              </w:rPr>
            </w:pPr>
            <w:r>
              <w:rPr>
                <w:spacing w:val="-5"/>
                <w:sz w:val="20"/>
              </w:rPr>
              <w:t>Yes</w:t>
            </w:r>
          </w:p>
        </w:tc>
      </w:tr>
      <w:tr>
        <w:trPr>
          <w:trHeight w:val="440" w:hRule="atLeast"/>
        </w:trPr>
        <w:tc>
          <w:tcPr>
            <w:tcW w:w="1320" w:type="dxa"/>
            <w:shd w:val="clear" w:color="auto" w:fill="F2F2F2"/>
          </w:tcPr>
          <w:p>
            <w:pPr>
              <w:pStyle w:val="TableParagraph"/>
              <w:spacing w:before="105"/>
              <w:jc w:val="center"/>
              <w:rPr>
                <w:sz w:val="20"/>
              </w:rPr>
            </w:pPr>
            <w:r>
              <w:rPr>
                <w:spacing w:val="-5"/>
                <w:sz w:val="20"/>
              </w:rPr>
              <w:t>P10</w:t>
            </w:r>
          </w:p>
        </w:tc>
        <w:tc>
          <w:tcPr>
            <w:tcW w:w="1720" w:type="dxa"/>
            <w:shd w:val="clear" w:color="auto" w:fill="F2F2F2"/>
          </w:tcPr>
          <w:p>
            <w:pPr>
              <w:pStyle w:val="TableParagraph"/>
              <w:spacing w:before="105"/>
              <w:ind w:left="5"/>
              <w:jc w:val="center"/>
              <w:rPr>
                <w:sz w:val="20"/>
              </w:rPr>
            </w:pPr>
            <w:r>
              <w:rPr>
                <w:spacing w:val="-5"/>
                <w:sz w:val="20"/>
              </w:rPr>
              <w:t>No</w:t>
            </w:r>
          </w:p>
        </w:tc>
        <w:tc>
          <w:tcPr>
            <w:tcW w:w="2100" w:type="dxa"/>
            <w:shd w:val="clear" w:color="auto" w:fill="F2F2F2"/>
          </w:tcPr>
          <w:p>
            <w:pPr>
              <w:pStyle w:val="TableParagraph"/>
              <w:spacing w:before="105"/>
              <w:ind w:right="68"/>
              <w:jc w:val="center"/>
              <w:rPr>
                <w:sz w:val="20"/>
              </w:rPr>
            </w:pPr>
            <w:r>
              <w:rPr>
                <w:spacing w:val="-5"/>
                <w:sz w:val="20"/>
              </w:rPr>
              <w:t>Yes</w:t>
            </w:r>
          </w:p>
        </w:tc>
        <w:tc>
          <w:tcPr>
            <w:tcW w:w="2540" w:type="dxa"/>
            <w:shd w:val="clear" w:color="auto" w:fill="F2F2F2"/>
          </w:tcPr>
          <w:p>
            <w:pPr>
              <w:pStyle w:val="TableParagraph"/>
              <w:spacing w:before="105"/>
              <w:ind w:left="5"/>
              <w:jc w:val="center"/>
              <w:rPr>
                <w:sz w:val="20"/>
              </w:rPr>
            </w:pPr>
            <w:r>
              <w:rPr>
                <w:spacing w:val="-5"/>
                <w:sz w:val="20"/>
              </w:rPr>
              <w:t>No</w:t>
            </w:r>
          </w:p>
        </w:tc>
        <w:tc>
          <w:tcPr>
            <w:tcW w:w="1660" w:type="dxa"/>
            <w:shd w:val="clear" w:color="auto" w:fill="F2F2F2"/>
          </w:tcPr>
          <w:p>
            <w:pPr>
              <w:pStyle w:val="TableParagraph"/>
              <w:spacing w:before="105"/>
              <w:ind w:left="5"/>
              <w:jc w:val="center"/>
              <w:rPr>
                <w:sz w:val="20"/>
              </w:rPr>
            </w:pPr>
            <w:r>
              <w:rPr>
                <w:spacing w:val="-5"/>
                <w:sz w:val="20"/>
              </w:rPr>
              <w:t>Yes</w:t>
            </w:r>
          </w:p>
        </w:tc>
      </w:tr>
      <w:tr>
        <w:trPr>
          <w:trHeight w:val="420" w:hRule="atLeast"/>
        </w:trPr>
        <w:tc>
          <w:tcPr>
            <w:tcW w:w="1320" w:type="dxa"/>
            <w:shd w:val="clear" w:color="auto" w:fill="D9D9D9"/>
          </w:tcPr>
          <w:p>
            <w:pPr>
              <w:pStyle w:val="TableParagraph"/>
              <w:spacing w:before="100"/>
              <w:jc w:val="center"/>
              <w:rPr>
                <w:sz w:val="20"/>
              </w:rPr>
            </w:pPr>
            <w:r>
              <w:rPr>
                <w:spacing w:val="-5"/>
                <w:sz w:val="20"/>
              </w:rPr>
              <w:t>P11</w:t>
            </w:r>
          </w:p>
        </w:tc>
        <w:tc>
          <w:tcPr>
            <w:tcW w:w="1720" w:type="dxa"/>
            <w:shd w:val="clear" w:color="auto" w:fill="D9D9D9"/>
          </w:tcPr>
          <w:p>
            <w:pPr>
              <w:pStyle w:val="TableParagraph"/>
              <w:spacing w:before="100"/>
              <w:ind w:left="5"/>
              <w:jc w:val="center"/>
              <w:rPr>
                <w:sz w:val="20"/>
              </w:rPr>
            </w:pPr>
            <w:r>
              <w:rPr>
                <w:spacing w:val="-5"/>
                <w:sz w:val="20"/>
              </w:rPr>
              <w:t>No</w:t>
            </w:r>
          </w:p>
        </w:tc>
        <w:tc>
          <w:tcPr>
            <w:tcW w:w="2100" w:type="dxa"/>
            <w:shd w:val="clear" w:color="auto" w:fill="D9D9D9"/>
          </w:tcPr>
          <w:p>
            <w:pPr>
              <w:pStyle w:val="TableParagraph"/>
              <w:spacing w:before="100"/>
              <w:ind w:left="10"/>
              <w:jc w:val="center"/>
              <w:rPr>
                <w:sz w:val="20"/>
              </w:rPr>
            </w:pPr>
            <w:r>
              <w:rPr>
                <w:spacing w:val="-5"/>
                <w:sz w:val="20"/>
              </w:rPr>
              <w:t>No</w:t>
            </w:r>
          </w:p>
        </w:tc>
        <w:tc>
          <w:tcPr>
            <w:tcW w:w="2540" w:type="dxa"/>
            <w:shd w:val="clear" w:color="auto" w:fill="D9D9D9"/>
          </w:tcPr>
          <w:p>
            <w:pPr>
              <w:pStyle w:val="TableParagraph"/>
              <w:spacing w:before="100"/>
              <w:ind w:left="5"/>
              <w:jc w:val="center"/>
              <w:rPr>
                <w:sz w:val="20"/>
              </w:rPr>
            </w:pPr>
            <w:r>
              <w:rPr>
                <w:spacing w:val="-5"/>
                <w:sz w:val="20"/>
              </w:rPr>
              <w:t>No</w:t>
            </w:r>
          </w:p>
        </w:tc>
        <w:tc>
          <w:tcPr>
            <w:tcW w:w="1660" w:type="dxa"/>
            <w:shd w:val="clear" w:color="auto" w:fill="D9D9D9"/>
          </w:tcPr>
          <w:p>
            <w:pPr>
              <w:pStyle w:val="TableParagraph"/>
              <w:spacing w:before="100"/>
              <w:ind w:left="5"/>
              <w:jc w:val="center"/>
              <w:rPr>
                <w:sz w:val="20"/>
              </w:rPr>
            </w:pPr>
            <w:r>
              <w:rPr>
                <w:spacing w:val="-5"/>
                <w:sz w:val="20"/>
              </w:rPr>
              <w:t>No</w:t>
            </w:r>
          </w:p>
        </w:tc>
      </w:tr>
      <w:tr>
        <w:trPr>
          <w:trHeight w:val="439" w:hRule="atLeast"/>
        </w:trPr>
        <w:tc>
          <w:tcPr>
            <w:tcW w:w="1320" w:type="dxa"/>
            <w:shd w:val="clear" w:color="auto" w:fill="D9D9D9"/>
          </w:tcPr>
          <w:p>
            <w:pPr>
              <w:pStyle w:val="TableParagraph"/>
              <w:spacing w:before="115"/>
              <w:jc w:val="center"/>
              <w:rPr>
                <w:sz w:val="20"/>
              </w:rPr>
            </w:pPr>
            <w:r>
              <w:rPr>
                <w:spacing w:val="-5"/>
                <w:sz w:val="20"/>
              </w:rPr>
              <w:t>P12</w:t>
            </w:r>
          </w:p>
        </w:tc>
        <w:tc>
          <w:tcPr>
            <w:tcW w:w="1720" w:type="dxa"/>
            <w:shd w:val="clear" w:color="auto" w:fill="D9D9D9"/>
          </w:tcPr>
          <w:p>
            <w:pPr>
              <w:pStyle w:val="TableParagraph"/>
              <w:spacing w:before="115"/>
              <w:ind w:left="5"/>
              <w:jc w:val="center"/>
              <w:rPr>
                <w:sz w:val="20"/>
              </w:rPr>
            </w:pPr>
            <w:r>
              <w:rPr>
                <w:spacing w:val="-5"/>
                <w:sz w:val="20"/>
              </w:rPr>
              <w:t>No</w:t>
            </w:r>
          </w:p>
        </w:tc>
        <w:tc>
          <w:tcPr>
            <w:tcW w:w="2100" w:type="dxa"/>
            <w:shd w:val="clear" w:color="auto" w:fill="D9D9D9"/>
          </w:tcPr>
          <w:p>
            <w:pPr>
              <w:pStyle w:val="TableParagraph"/>
              <w:spacing w:before="115"/>
              <w:ind w:right="68"/>
              <w:jc w:val="center"/>
              <w:rPr>
                <w:sz w:val="20"/>
              </w:rPr>
            </w:pPr>
            <w:r>
              <w:rPr>
                <w:spacing w:val="-5"/>
                <w:sz w:val="20"/>
              </w:rPr>
              <w:t>Yes</w:t>
            </w:r>
          </w:p>
        </w:tc>
        <w:tc>
          <w:tcPr>
            <w:tcW w:w="2540" w:type="dxa"/>
            <w:shd w:val="clear" w:color="auto" w:fill="D9D9D9"/>
          </w:tcPr>
          <w:p>
            <w:pPr>
              <w:pStyle w:val="TableParagraph"/>
              <w:spacing w:before="115"/>
              <w:ind w:left="5"/>
              <w:jc w:val="center"/>
              <w:rPr>
                <w:sz w:val="20"/>
              </w:rPr>
            </w:pPr>
            <w:r>
              <w:rPr>
                <w:spacing w:val="-5"/>
                <w:sz w:val="20"/>
              </w:rPr>
              <w:t>No</w:t>
            </w:r>
          </w:p>
        </w:tc>
        <w:tc>
          <w:tcPr>
            <w:tcW w:w="1660" w:type="dxa"/>
            <w:shd w:val="clear" w:color="auto" w:fill="D9D9D9"/>
          </w:tcPr>
          <w:p>
            <w:pPr>
              <w:pStyle w:val="TableParagraph"/>
              <w:spacing w:before="115"/>
              <w:ind w:left="5"/>
              <w:jc w:val="center"/>
              <w:rPr>
                <w:sz w:val="20"/>
              </w:rPr>
            </w:pPr>
            <w:r>
              <w:rPr>
                <w:spacing w:val="-5"/>
                <w:sz w:val="20"/>
              </w:rPr>
              <w:t>No</w:t>
            </w:r>
          </w:p>
        </w:tc>
      </w:tr>
      <w:tr>
        <w:trPr>
          <w:trHeight w:val="439" w:hRule="atLeast"/>
        </w:trPr>
        <w:tc>
          <w:tcPr>
            <w:tcW w:w="1320" w:type="dxa"/>
            <w:shd w:val="clear" w:color="auto" w:fill="F2F2F2"/>
          </w:tcPr>
          <w:p>
            <w:pPr>
              <w:pStyle w:val="TableParagraph"/>
              <w:spacing w:before="110"/>
              <w:jc w:val="center"/>
              <w:rPr>
                <w:sz w:val="20"/>
              </w:rPr>
            </w:pPr>
            <w:r>
              <w:rPr>
                <w:spacing w:val="-5"/>
                <w:sz w:val="20"/>
              </w:rPr>
              <w:t>P13</w:t>
            </w:r>
          </w:p>
        </w:tc>
        <w:tc>
          <w:tcPr>
            <w:tcW w:w="1720" w:type="dxa"/>
            <w:shd w:val="clear" w:color="auto" w:fill="F2F2F2"/>
          </w:tcPr>
          <w:p>
            <w:pPr>
              <w:pStyle w:val="TableParagraph"/>
              <w:spacing w:before="110"/>
              <w:ind w:left="5"/>
              <w:jc w:val="center"/>
              <w:rPr>
                <w:sz w:val="20"/>
              </w:rPr>
            </w:pPr>
            <w:r>
              <w:rPr>
                <w:spacing w:val="-5"/>
                <w:sz w:val="20"/>
              </w:rPr>
              <w:t>No</w:t>
            </w:r>
          </w:p>
        </w:tc>
        <w:tc>
          <w:tcPr>
            <w:tcW w:w="2100" w:type="dxa"/>
            <w:shd w:val="clear" w:color="auto" w:fill="F2F2F2"/>
          </w:tcPr>
          <w:p>
            <w:pPr>
              <w:pStyle w:val="TableParagraph"/>
              <w:spacing w:before="110"/>
              <w:ind w:left="10"/>
              <w:jc w:val="center"/>
              <w:rPr>
                <w:sz w:val="20"/>
              </w:rPr>
            </w:pPr>
            <w:r>
              <w:rPr>
                <w:spacing w:val="-5"/>
                <w:sz w:val="20"/>
              </w:rPr>
              <w:t>No</w:t>
            </w:r>
          </w:p>
        </w:tc>
        <w:tc>
          <w:tcPr>
            <w:tcW w:w="2540" w:type="dxa"/>
            <w:shd w:val="clear" w:color="auto" w:fill="F2F2F2"/>
          </w:tcPr>
          <w:p>
            <w:pPr>
              <w:pStyle w:val="TableParagraph"/>
              <w:spacing w:before="110"/>
              <w:ind w:left="5"/>
              <w:jc w:val="center"/>
              <w:rPr>
                <w:sz w:val="20"/>
              </w:rPr>
            </w:pPr>
            <w:r>
              <w:rPr>
                <w:spacing w:val="-5"/>
                <w:sz w:val="20"/>
              </w:rPr>
              <w:t>No</w:t>
            </w:r>
          </w:p>
        </w:tc>
        <w:tc>
          <w:tcPr>
            <w:tcW w:w="1660" w:type="dxa"/>
            <w:shd w:val="clear" w:color="auto" w:fill="F2F2F2"/>
          </w:tcPr>
          <w:p>
            <w:pPr>
              <w:pStyle w:val="TableParagraph"/>
              <w:spacing w:before="110"/>
              <w:ind w:left="5"/>
              <w:jc w:val="center"/>
              <w:rPr>
                <w:sz w:val="20"/>
              </w:rPr>
            </w:pPr>
            <w:r>
              <w:rPr>
                <w:spacing w:val="-5"/>
                <w:sz w:val="20"/>
              </w:rPr>
              <w:t>Yes</w:t>
            </w:r>
          </w:p>
        </w:tc>
      </w:tr>
      <w:tr>
        <w:trPr>
          <w:trHeight w:val="440" w:hRule="atLeast"/>
        </w:trPr>
        <w:tc>
          <w:tcPr>
            <w:tcW w:w="1320" w:type="dxa"/>
            <w:shd w:val="clear" w:color="auto" w:fill="D9D9D9"/>
          </w:tcPr>
          <w:p>
            <w:pPr>
              <w:pStyle w:val="TableParagraph"/>
              <w:spacing w:before="105"/>
              <w:jc w:val="center"/>
              <w:rPr>
                <w:sz w:val="20"/>
              </w:rPr>
            </w:pPr>
            <w:r>
              <w:rPr>
                <w:spacing w:val="-5"/>
                <w:sz w:val="20"/>
              </w:rPr>
              <w:t>P14</w:t>
            </w:r>
          </w:p>
        </w:tc>
        <w:tc>
          <w:tcPr>
            <w:tcW w:w="1720" w:type="dxa"/>
            <w:shd w:val="clear" w:color="auto" w:fill="D9D9D9"/>
          </w:tcPr>
          <w:p>
            <w:pPr>
              <w:pStyle w:val="TableParagraph"/>
              <w:spacing w:before="105"/>
              <w:ind w:left="5"/>
              <w:jc w:val="center"/>
              <w:rPr>
                <w:sz w:val="20"/>
              </w:rPr>
            </w:pPr>
            <w:r>
              <w:rPr>
                <w:spacing w:val="-5"/>
                <w:sz w:val="20"/>
              </w:rPr>
              <w:t>No</w:t>
            </w:r>
          </w:p>
        </w:tc>
        <w:tc>
          <w:tcPr>
            <w:tcW w:w="2100" w:type="dxa"/>
            <w:shd w:val="clear" w:color="auto" w:fill="D9D9D9"/>
          </w:tcPr>
          <w:p>
            <w:pPr>
              <w:pStyle w:val="TableParagraph"/>
              <w:spacing w:before="105"/>
              <w:ind w:right="68"/>
              <w:jc w:val="center"/>
              <w:rPr>
                <w:sz w:val="20"/>
              </w:rPr>
            </w:pPr>
            <w:r>
              <w:rPr>
                <w:spacing w:val="-5"/>
                <w:sz w:val="20"/>
              </w:rPr>
              <w:t>Yes</w:t>
            </w:r>
          </w:p>
        </w:tc>
        <w:tc>
          <w:tcPr>
            <w:tcW w:w="2540" w:type="dxa"/>
            <w:shd w:val="clear" w:color="auto" w:fill="D9D9D9"/>
          </w:tcPr>
          <w:p>
            <w:pPr>
              <w:pStyle w:val="TableParagraph"/>
              <w:spacing w:before="105"/>
              <w:ind w:left="5"/>
              <w:jc w:val="center"/>
              <w:rPr>
                <w:sz w:val="20"/>
              </w:rPr>
            </w:pPr>
            <w:r>
              <w:rPr>
                <w:spacing w:val="-5"/>
                <w:sz w:val="20"/>
              </w:rPr>
              <w:t>No</w:t>
            </w:r>
          </w:p>
        </w:tc>
        <w:tc>
          <w:tcPr>
            <w:tcW w:w="1660" w:type="dxa"/>
            <w:shd w:val="clear" w:color="auto" w:fill="D9D9D9"/>
          </w:tcPr>
          <w:p>
            <w:pPr>
              <w:pStyle w:val="TableParagraph"/>
              <w:spacing w:before="105"/>
              <w:ind w:left="5"/>
              <w:jc w:val="center"/>
              <w:rPr>
                <w:sz w:val="20"/>
              </w:rPr>
            </w:pPr>
            <w:r>
              <w:rPr>
                <w:spacing w:val="-5"/>
                <w:sz w:val="20"/>
              </w:rPr>
              <w:t>No</w:t>
            </w:r>
          </w:p>
        </w:tc>
      </w:tr>
      <w:tr>
        <w:trPr>
          <w:trHeight w:val="419" w:hRule="atLeast"/>
        </w:trPr>
        <w:tc>
          <w:tcPr>
            <w:tcW w:w="1320" w:type="dxa"/>
            <w:shd w:val="clear" w:color="auto" w:fill="F2F2F2"/>
          </w:tcPr>
          <w:p>
            <w:pPr>
              <w:pStyle w:val="TableParagraph"/>
              <w:spacing w:before="100"/>
              <w:jc w:val="center"/>
              <w:rPr>
                <w:sz w:val="20"/>
              </w:rPr>
            </w:pPr>
            <w:r>
              <w:rPr>
                <w:spacing w:val="-5"/>
                <w:sz w:val="20"/>
              </w:rPr>
              <w:t>P15</w:t>
            </w:r>
          </w:p>
        </w:tc>
        <w:tc>
          <w:tcPr>
            <w:tcW w:w="1720" w:type="dxa"/>
            <w:shd w:val="clear" w:color="auto" w:fill="F2F2F2"/>
          </w:tcPr>
          <w:p>
            <w:pPr>
              <w:pStyle w:val="TableParagraph"/>
              <w:spacing w:before="100"/>
              <w:ind w:left="5"/>
              <w:jc w:val="center"/>
              <w:rPr>
                <w:sz w:val="20"/>
              </w:rPr>
            </w:pPr>
            <w:r>
              <w:rPr>
                <w:spacing w:val="-5"/>
                <w:sz w:val="20"/>
              </w:rPr>
              <w:t>Yes</w:t>
            </w:r>
          </w:p>
        </w:tc>
        <w:tc>
          <w:tcPr>
            <w:tcW w:w="2100" w:type="dxa"/>
            <w:shd w:val="clear" w:color="auto" w:fill="F2F2F2"/>
          </w:tcPr>
          <w:p>
            <w:pPr>
              <w:pStyle w:val="TableParagraph"/>
              <w:spacing w:before="100"/>
              <w:ind w:left="10"/>
              <w:jc w:val="center"/>
              <w:rPr>
                <w:sz w:val="20"/>
              </w:rPr>
            </w:pPr>
            <w:r>
              <w:rPr>
                <w:spacing w:val="-5"/>
                <w:sz w:val="20"/>
              </w:rPr>
              <w:t>No</w:t>
            </w:r>
          </w:p>
        </w:tc>
        <w:tc>
          <w:tcPr>
            <w:tcW w:w="2540" w:type="dxa"/>
            <w:shd w:val="clear" w:color="auto" w:fill="F2F2F2"/>
          </w:tcPr>
          <w:p>
            <w:pPr>
              <w:pStyle w:val="TableParagraph"/>
              <w:spacing w:before="100"/>
              <w:ind w:left="5"/>
              <w:jc w:val="center"/>
              <w:rPr>
                <w:sz w:val="20"/>
              </w:rPr>
            </w:pPr>
            <w:r>
              <w:rPr>
                <w:spacing w:val="-5"/>
                <w:sz w:val="20"/>
              </w:rPr>
              <w:t>Yes</w:t>
            </w:r>
          </w:p>
        </w:tc>
        <w:tc>
          <w:tcPr>
            <w:tcW w:w="1660" w:type="dxa"/>
            <w:shd w:val="clear" w:color="auto" w:fill="F2F2F2"/>
          </w:tcPr>
          <w:p>
            <w:pPr>
              <w:pStyle w:val="TableParagraph"/>
              <w:spacing w:before="100"/>
              <w:ind w:left="5"/>
              <w:jc w:val="center"/>
              <w:rPr>
                <w:sz w:val="20"/>
              </w:rPr>
            </w:pPr>
            <w:r>
              <w:rPr>
                <w:spacing w:val="-5"/>
                <w:sz w:val="20"/>
              </w:rPr>
              <w:t>No</w:t>
            </w:r>
          </w:p>
        </w:tc>
      </w:tr>
      <w:tr>
        <w:trPr>
          <w:trHeight w:val="440" w:hRule="atLeast"/>
        </w:trPr>
        <w:tc>
          <w:tcPr>
            <w:tcW w:w="1320" w:type="dxa"/>
            <w:shd w:val="clear" w:color="auto" w:fill="D9D9D9"/>
          </w:tcPr>
          <w:p>
            <w:pPr>
              <w:pStyle w:val="TableParagraph"/>
              <w:spacing w:before="115"/>
              <w:jc w:val="center"/>
              <w:rPr>
                <w:sz w:val="20"/>
              </w:rPr>
            </w:pPr>
            <w:r>
              <w:rPr>
                <w:spacing w:val="-5"/>
                <w:sz w:val="20"/>
              </w:rPr>
              <w:t>P16</w:t>
            </w:r>
          </w:p>
        </w:tc>
        <w:tc>
          <w:tcPr>
            <w:tcW w:w="1720" w:type="dxa"/>
            <w:shd w:val="clear" w:color="auto" w:fill="D9D9D9"/>
          </w:tcPr>
          <w:p>
            <w:pPr>
              <w:pStyle w:val="TableParagraph"/>
              <w:spacing w:before="115"/>
              <w:ind w:left="5"/>
              <w:jc w:val="center"/>
              <w:rPr>
                <w:sz w:val="20"/>
              </w:rPr>
            </w:pPr>
            <w:r>
              <w:rPr>
                <w:spacing w:val="-5"/>
                <w:sz w:val="20"/>
              </w:rPr>
              <w:t>No</w:t>
            </w:r>
          </w:p>
        </w:tc>
        <w:tc>
          <w:tcPr>
            <w:tcW w:w="2100" w:type="dxa"/>
            <w:shd w:val="clear" w:color="auto" w:fill="D9D9D9"/>
          </w:tcPr>
          <w:p>
            <w:pPr>
              <w:pStyle w:val="TableParagraph"/>
              <w:spacing w:before="115"/>
              <w:ind w:left="10"/>
              <w:jc w:val="center"/>
              <w:rPr>
                <w:sz w:val="20"/>
              </w:rPr>
            </w:pPr>
            <w:r>
              <w:rPr>
                <w:spacing w:val="-5"/>
                <w:sz w:val="20"/>
              </w:rPr>
              <w:t>No</w:t>
            </w:r>
          </w:p>
        </w:tc>
        <w:tc>
          <w:tcPr>
            <w:tcW w:w="2540" w:type="dxa"/>
            <w:shd w:val="clear" w:color="auto" w:fill="D9D9D9"/>
          </w:tcPr>
          <w:p>
            <w:pPr>
              <w:pStyle w:val="TableParagraph"/>
              <w:spacing w:before="115"/>
              <w:ind w:left="5"/>
              <w:jc w:val="center"/>
              <w:rPr>
                <w:sz w:val="20"/>
              </w:rPr>
            </w:pPr>
            <w:r>
              <w:rPr>
                <w:spacing w:val="-5"/>
                <w:sz w:val="20"/>
              </w:rPr>
              <w:t>No</w:t>
            </w:r>
          </w:p>
        </w:tc>
        <w:tc>
          <w:tcPr>
            <w:tcW w:w="1660" w:type="dxa"/>
            <w:shd w:val="clear" w:color="auto" w:fill="D9D9D9"/>
          </w:tcPr>
          <w:p>
            <w:pPr>
              <w:pStyle w:val="TableParagraph"/>
              <w:spacing w:before="115"/>
              <w:ind w:left="5"/>
              <w:jc w:val="center"/>
              <w:rPr>
                <w:sz w:val="20"/>
              </w:rPr>
            </w:pPr>
            <w:r>
              <w:rPr>
                <w:spacing w:val="-5"/>
                <w:sz w:val="20"/>
              </w:rPr>
              <w:t>No</w:t>
            </w:r>
          </w:p>
        </w:tc>
      </w:tr>
      <w:tr>
        <w:trPr>
          <w:trHeight w:val="439" w:hRule="atLeast"/>
        </w:trPr>
        <w:tc>
          <w:tcPr>
            <w:tcW w:w="1320" w:type="dxa"/>
            <w:shd w:val="clear" w:color="auto" w:fill="D9D9D9"/>
          </w:tcPr>
          <w:p>
            <w:pPr>
              <w:pStyle w:val="TableParagraph"/>
              <w:spacing w:before="110"/>
              <w:jc w:val="center"/>
              <w:rPr>
                <w:sz w:val="20"/>
              </w:rPr>
            </w:pPr>
            <w:r>
              <w:rPr>
                <w:spacing w:val="-5"/>
                <w:sz w:val="20"/>
              </w:rPr>
              <w:t>P17</w:t>
            </w:r>
          </w:p>
        </w:tc>
        <w:tc>
          <w:tcPr>
            <w:tcW w:w="1720" w:type="dxa"/>
            <w:shd w:val="clear" w:color="auto" w:fill="D9D9D9"/>
          </w:tcPr>
          <w:p>
            <w:pPr>
              <w:pStyle w:val="TableParagraph"/>
              <w:spacing w:before="110"/>
              <w:ind w:left="5"/>
              <w:jc w:val="center"/>
              <w:rPr>
                <w:sz w:val="20"/>
              </w:rPr>
            </w:pPr>
            <w:r>
              <w:rPr>
                <w:spacing w:val="-5"/>
                <w:sz w:val="20"/>
              </w:rPr>
              <w:t>No</w:t>
            </w:r>
          </w:p>
        </w:tc>
        <w:tc>
          <w:tcPr>
            <w:tcW w:w="2100" w:type="dxa"/>
            <w:shd w:val="clear" w:color="auto" w:fill="D9D9D9"/>
          </w:tcPr>
          <w:p>
            <w:pPr>
              <w:pStyle w:val="TableParagraph"/>
              <w:spacing w:before="110"/>
              <w:ind w:right="68"/>
              <w:jc w:val="center"/>
              <w:rPr>
                <w:sz w:val="20"/>
              </w:rPr>
            </w:pPr>
            <w:r>
              <w:rPr>
                <w:spacing w:val="-5"/>
                <w:sz w:val="20"/>
              </w:rPr>
              <w:t>Yes</w:t>
            </w:r>
          </w:p>
        </w:tc>
        <w:tc>
          <w:tcPr>
            <w:tcW w:w="2540" w:type="dxa"/>
            <w:shd w:val="clear" w:color="auto" w:fill="D9D9D9"/>
          </w:tcPr>
          <w:p>
            <w:pPr>
              <w:pStyle w:val="TableParagraph"/>
              <w:spacing w:before="110"/>
              <w:ind w:left="5"/>
              <w:jc w:val="center"/>
              <w:rPr>
                <w:sz w:val="20"/>
              </w:rPr>
            </w:pPr>
            <w:r>
              <w:rPr>
                <w:spacing w:val="-5"/>
                <w:sz w:val="20"/>
              </w:rPr>
              <w:t>No</w:t>
            </w:r>
          </w:p>
        </w:tc>
        <w:tc>
          <w:tcPr>
            <w:tcW w:w="1660" w:type="dxa"/>
            <w:shd w:val="clear" w:color="auto" w:fill="D9D9D9"/>
          </w:tcPr>
          <w:p>
            <w:pPr>
              <w:pStyle w:val="TableParagraph"/>
              <w:spacing w:before="110"/>
              <w:ind w:left="5"/>
              <w:jc w:val="center"/>
              <w:rPr>
                <w:sz w:val="20"/>
              </w:rPr>
            </w:pPr>
            <w:r>
              <w:rPr>
                <w:spacing w:val="-5"/>
                <w:sz w:val="20"/>
              </w:rPr>
              <w:t>No</w:t>
            </w:r>
          </w:p>
        </w:tc>
      </w:tr>
      <w:tr>
        <w:trPr>
          <w:trHeight w:val="439" w:hRule="atLeast"/>
        </w:trPr>
        <w:tc>
          <w:tcPr>
            <w:tcW w:w="1320" w:type="dxa"/>
            <w:shd w:val="clear" w:color="auto" w:fill="F2F2F2"/>
          </w:tcPr>
          <w:p>
            <w:pPr>
              <w:pStyle w:val="TableParagraph"/>
              <w:spacing w:before="105"/>
              <w:jc w:val="center"/>
              <w:rPr>
                <w:sz w:val="20"/>
              </w:rPr>
            </w:pPr>
            <w:r>
              <w:rPr>
                <w:spacing w:val="-5"/>
                <w:sz w:val="20"/>
              </w:rPr>
              <w:t>P18</w:t>
            </w:r>
          </w:p>
        </w:tc>
        <w:tc>
          <w:tcPr>
            <w:tcW w:w="1720" w:type="dxa"/>
            <w:shd w:val="clear" w:color="auto" w:fill="F2F2F2"/>
          </w:tcPr>
          <w:p>
            <w:pPr>
              <w:pStyle w:val="TableParagraph"/>
              <w:spacing w:before="105"/>
              <w:ind w:left="5"/>
              <w:jc w:val="center"/>
              <w:rPr>
                <w:sz w:val="20"/>
              </w:rPr>
            </w:pPr>
            <w:r>
              <w:rPr>
                <w:spacing w:val="-5"/>
                <w:sz w:val="20"/>
              </w:rPr>
              <w:t>Yes</w:t>
            </w:r>
          </w:p>
        </w:tc>
        <w:tc>
          <w:tcPr>
            <w:tcW w:w="2100" w:type="dxa"/>
            <w:shd w:val="clear" w:color="auto" w:fill="F2F2F2"/>
          </w:tcPr>
          <w:p>
            <w:pPr>
              <w:pStyle w:val="TableParagraph"/>
              <w:spacing w:before="105"/>
              <w:ind w:left="10"/>
              <w:jc w:val="center"/>
              <w:rPr>
                <w:sz w:val="20"/>
              </w:rPr>
            </w:pPr>
            <w:r>
              <w:rPr>
                <w:spacing w:val="-5"/>
                <w:sz w:val="20"/>
              </w:rPr>
              <w:t>No</w:t>
            </w:r>
          </w:p>
        </w:tc>
        <w:tc>
          <w:tcPr>
            <w:tcW w:w="2540" w:type="dxa"/>
            <w:shd w:val="clear" w:color="auto" w:fill="F2F2F2"/>
          </w:tcPr>
          <w:p>
            <w:pPr>
              <w:pStyle w:val="TableParagraph"/>
              <w:spacing w:before="105"/>
              <w:ind w:left="5"/>
              <w:jc w:val="center"/>
              <w:rPr>
                <w:sz w:val="20"/>
              </w:rPr>
            </w:pPr>
            <w:r>
              <w:rPr>
                <w:spacing w:val="-5"/>
                <w:sz w:val="20"/>
              </w:rPr>
              <w:t>No</w:t>
            </w:r>
          </w:p>
        </w:tc>
        <w:tc>
          <w:tcPr>
            <w:tcW w:w="1660" w:type="dxa"/>
            <w:shd w:val="clear" w:color="auto" w:fill="F2F2F2"/>
          </w:tcPr>
          <w:p>
            <w:pPr>
              <w:pStyle w:val="TableParagraph"/>
              <w:spacing w:before="105"/>
              <w:ind w:left="5"/>
              <w:jc w:val="center"/>
              <w:rPr>
                <w:sz w:val="20"/>
              </w:rPr>
            </w:pPr>
            <w:r>
              <w:rPr>
                <w:spacing w:val="-5"/>
                <w:sz w:val="20"/>
              </w:rPr>
              <w:t>Yes</w:t>
            </w:r>
          </w:p>
        </w:tc>
      </w:tr>
      <w:tr>
        <w:trPr>
          <w:trHeight w:val="420" w:hRule="atLeast"/>
        </w:trPr>
        <w:tc>
          <w:tcPr>
            <w:tcW w:w="1320" w:type="dxa"/>
            <w:shd w:val="clear" w:color="auto" w:fill="D9D9D9"/>
          </w:tcPr>
          <w:p>
            <w:pPr>
              <w:pStyle w:val="TableParagraph"/>
              <w:spacing w:before="100"/>
              <w:jc w:val="center"/>
              <w:rPr>
                <w:sz w:val="20"/>
              </w:rPr>
            </w:pPr>
            <w:r>
              <w:rPr>
                <w:spacing w:val="-5"/>
                <w:sz w:val="20"/>
              </w:rPr>
              <w:t>P19</w:t>
            </w:r>
          </w:p>
        </w:tc>
        <w:tc>
          <w:tcPr>
            <w:tcW w:w="1720" w:type="dxa"/>
            <w:shd w:val="clear" w:color="auto" w:fill="D9D9D9"/>
          </w:tcPr>
          <w:p>
            <w:pPr>
              <w:pStyle w:val="TableParagraph"/>
              <w:spacing w:before="100"/>
              <w:ind w:left="5"/>
              <w:jc w:val="center"/>
              <w:rPr>
                <w:sz w:val="20"/>
              </w:rPr>
            </w:pPr>
            <w:r>
              <w:rPr>
                <w:spacing w:val="-5"/>
                <w:sz w:val="20"/>
              </w:rPr>
              <w:t>No</w:t>
            </w:r>
          </w:p>
        </w:tc>
        <w:tc>
          <w:tcPr>
            <w:tcW w:w="2100" w:type="dxa"/>
            <w:shd w:val="clear" w:color="auto" w:fill="D9D9D9"/>
          </w:tcPr>
          <w:p>
            <w:pPr>
              <w:pStyle w:val="TableParagraph"/>
              <w:spacing w:before="100"/>
              <w:ind w:right="68"/>
              <w:jc w:val="center"/>
              <w:rPr>
                <w:sz w:val="20"/>
              </w:rPr>
            </w:pPr>
            <w:r>
              <w:rPr>
                <w:spacing w:val="-5"/>
                <w:sz w:val="20"/>
              </w:rPr>
              <w:t>Yes</w:t>
            </w:r>
          </w:p>
        </w:tc>
        <w:tc>
          <w:tcPr>
            <w:tcW w:w="2540" w:type="dxa"/>
            <w:shd w:val="clear" w:color="auto" w:fill="D9D9D9"/>
          </w:tcPr>
          <w:p>
            <w:pPr>
              <w:pStyle w:val="TableParagraph"/>
              <w:spacing w:before="100"/>
              <w:ind w:left="5"/>
              <w:jc w:val="center"/>
              <w:rPr>
                <w:sz w:val="20"/>
              </w:rPr>
            </w:pPr>
            <w:r>
              <w:rPr>
                <w:spacing w:val="-5"/>
                <w:sz w:val="20"/>
              </w:rPr>
              <w:t>No</w:t>
            </w:r>
          </w:p>
        </w:tc>
        <w:tc>
          <w:tcPr>
            <w:tcW w:w="1660" w:type="dxa"/>
            <w:shd w:val="clear" w:color="auto" w:fill="D9D9D9"/>
          </w:tcPr>
          <w:p>
            <w:pPr>
              <w:pStyle w:val="TableParagraph"/>
              <w:spacing w:before="100"/>
              <w:ind w:left="5"/>
              <w:jc w:val="center"/>
              <w:rPr>
                <w:sz w:val="20"/>
              </w:rPr>
            </w:pPr>
            <w:r>
              <w:rPr>
                <w:spacing w:val="-5"/>
                <w:sz w:val="20"/>
              </w:rPr>
              <w:t>No</w:t>
            </w:r>
          </w:p>
        </w:tc>
      </w:tr>
      <w:tr>
        <w:trPr>
          <w:trHeight w:val="440" w:hRule="atLeast"/>
        </w:trPr>
        <w:tc>
          <w:tcPr>
            <w:tcW w:w="1320" w:type="dxa"/>
            <w:shd w:val="clear" w:color="auto" w:fill="F2F2F2"/>
          </w:tcPr>
          <w:p>
            <w:pPr>
              <w:pStyle w:val="TableParagraph"/>
              <w:spacing w:before="115"/>
              <w:jc w:val="center"/>
              <w:rPr>
                <w:sz w:val="20"/>
              </w:rPr>
            </w:pPr>
            <w:r>
              <w:rPr>
                <w:spacing w:val="-5"/>
                <w:sz w:val="20"/>
              </w:rPr>
              <w:t>P20</w:t>
            </w:r>
          </w:p>
        </w:tc>
        <w:tc>
          <w:tcPr>
            <w:tcW w:w="1720" w:type="dxa"/>
            <w:shd w:val="clear" w:color="auto" w:fill="F2F2F2"/>
          </w:tcPr>
          <w:p>
            <w:pPr>
              <w:pStyle w:val="TableParagraph"/>
              <w:spacing w:before="115"/>
              <w:ind w:left="5"/>
              <w:jc w:val="center"/>
              <w:rPr>
                <w:sz w:val="20"/>
              </w:rPr>
            </w:pPr>
            <w:r>
              <w:rPr>
                <w:spacing w:val="-5"/>
                <w:sz w:val="20"/>
              </w:rPr>
              <w:t>No</w:t>
            </w:r>
          </w:p>
        </w:tc>
        <w:tc>
          <w:tcPr>
            <w:tcW w:w="2100" w:type="dxa"/>
            <w:shd w:val="clear" w:color="auto" w:fill="F2F2F2"/>
          </w:tcPr>
          <w:p>
            <w:pPr>
              <w:pStyle w:val="TableParagraph"/>
              <w:spacing w:before="115"/>
              <w:ind w:right="68"/>
              <w:jc w:val="center"/>
              <w:rPr>
                <w:sz w:val="20"/>
              </w:rPr>
            </w:pPr>
            <w:r>
              <w:rPr>
                <w:spacing w:val="-5"/>
                <w:sz w:val="20"/>
              </w:rPr>
              <w:t>Yes</w:t>
            </w:r>
          </w:p>
        </w:tc>
        <w:tc>
          <w:tcPr>
            <w:tcW w:w="2540" w:type="dxa"/>
            <w:shd w:val="clear" w:color="auto" w:fill="F2F2F2"/>
          </w:tcPr>
          <w:p>
            <w:pPr>
              <w:pStyle w:val="TableParagraph"/>
              <w:spacing w:before="115"/>
              <w:ind w:left="5"/>
              <w:jc w:val="center"/>
              <w:rPr>
                <w:sz w:val="20"/>
              </w:rPr>
            </w:pPr>
            <w:r>
              <w:rPr>
                <w:spacing w:val="-5"/>
                <w:sz w:val="20"/>
              </w:rPr>
              <w:t>Yes</w:t>
            </w:r>
          </w:p>
        </w:tc>
        <w:tc>
          <w:tcPr>
            <w:tcW w:w="1660" w:type="dxa"/>
            <w:shd w:val="clear" w:color="auto" w:fill="F2F2F2"/>
          </w:tcPr>
          <w:p>
            <w:pPr>
              <w:pStyle w:val="TableParagraph"/>
              <w:spacing w:before="115"/>
              <w:ind w:left="5"/>
              <w:jc w:val="center"/>
              <w:rPr>
                <w:sz w:val="20"/>
              </w:rPr>
            </w:pPr>
            <w:r>
              <w:rPr>
                <w:spacing w:val="-5"/>
                <w:sz w:val="20"/>
              </w:rPr>
              <w:t>Yes</w:t>
            </w:r>
          </w:p>
        </w:tc>
      </w:tr>
      <w:tr>
        <w:trPr>
          <w:trHeight w:val="439" w:hRule="atLeast"/>
        </w:trPr>
        <w:tc>
          <w:tcPr>
            <w:tcW w:w="1320" w:type="dxa"/>
            <w:shd w:val="clear" w:color="auto" w:fill="D9D9D9"/>
          </w:tcPr>
          <w:p>
            <w:pPr>
              <w:pStyle w:val="TableParagraph"/>
              <w:spacing w:before="110"/>
              <w:jc w:val="center"/>
              <w:rPr>
                <w:sz w:val="20"/>
              </w:rPr>
            </w:pPr>
            <w:r>
              <w:rPr>
                <w:spacing w:val="-5"/>
                <w:sz w:val="20"/>
              </w:rPr>
              <w:t>P21</w:t>
            </w:r>
          </w:p>
        </w:tc>
        <w:tc>
          <w:tcPr>
            <w:tcW w:w="1720" w:type="dxa"/>
            <w:shd w:val="clear" w:color="auto" w:fill="D9D9D9"/>
          </w:tcPr>
          <w:p>
            <w:pPr>
              <w:pStyle w:val="TableParagraph"/>
              <w:spacing w:before="110"/>
              <w:ind w:left="5"/>
              <w:jc w:val="center"/>
              <w:rPr>
                <w:sz w:val="20"/>
              </w:rPr>
            </w:pPr>
            <w:r>
              <w:rPr>
                <w:spacing w:val="-5"/>
                <w:sz w:val="20"/>
              </w:rPr>
              <w:t>Yes</w:t>
            </w:r>
          </w:p>
        </w:tc>
        <w:tc>
          <w:tcPr>
            <w:tcW w:w="2100" w:type="dxa"/>
            <w:shd w:val="clear" w:color="auto" w:fill="D9D9D9"/>
          </w:tcPr>
          <w:p>
            <w:pPr>
              <w:pStyle w:val="TableParagraph"/>
              <w:spacing w:before="110"/>
              <w:ind w:left="10"/>
              <w:jc w:val="center"/>
              <w:rPr>
                <w:sz w:val="20"/>
              </w:rPr>
            </w:pPr>
            <w:r>
              <w:rPr>
                <w:spacing w:val="-5"/>
                <w:sz w:val="20"/>
              </w:rPr>
              <w:t>No</w:t>
            </w:r>
          </w:p>
        </w:tc>
        <w:tc>
          <w:tcPr>
            <w:tcW w:w="2540" w:type="dxa"/>
            <w:shd w:val="clear" w:color="auto" w:fill="D9D9D9"/>
          </w:tcPr>
          <w:p>
            <w:pPr>
              <w:pStyle w:val="TableParagraph"/>
              <w:spacing w:before="110"/>
              <w:ind w:left="5"/>
              <w:jc w:val="center"/>
              <w:rPr>
                <w:sz w:val="20"/>
              </w:rPr>
            </w:pPr>
            <w:r>
              <w:rPr>
                <w:spacing w:val="-5"/>
                <w:sz w:val="20"/>
              </w:rPr>
              <w:t>No</w:t>
            </w:r>
          </w:p>
        </w:tc>
        <w:tc>
          <w:tcPr>
            <w:tcW w:w="1660" w:type="dxa"/>
            <w:shd w:val="clear" w:color="auto" w:fill="D9D9D9"/>
          </w:tcPr>
          <w:p>
            <w:pPr>
              <w:pStyle w:val="TableParagraph"/>
              <w:spacing w:before="110"/>
              <w:ind w:left="5"/>
              <w:jc w:val="center"/>
              <w:rPr>
                <w:sz w:val="20"/>
              </w:rPr>
            </w:pPr>
            <w:r>
              <w:rPr>
                <w:spacing w:val="-5"/>
                <w:sz w:val="20"/>
              </w:rPr>
              <w:t>No</w:t>
            </w:r>
          </w:p>
        </w:tc>
      </w:tr>
      <w:tr>
        <w:trPr>
          <w:trHeight w:val="440" w:hRule="atLeast"/>
        </w:trPr>
        <w:tc>
          <w:tcPr>
            <w:tcW w:w="1320" w:type="dxa"/>
            <w:shd w:val="clear" w:color="auto" w:fill="F2F2F2"/>
          </w:tcPr>
          <w:p>
            <w:pPr>
              <w:pStyle w:val="TableParagraph"/>
              <w:spacing w:before="105"/>
              <w:jc w:val="center"/>
              <w:rPr>
                <w:sz w:val="20"/>
              </w:rPr>
            </w:pPr>
            <w:r>
              <w:rPr>
                <w:spacing w:val="-5"/>
                <w:sz w:val="20"/>
              </w:rPr>
              <w:t>P22</w:t>
            </w:r>
          </w:p>
        </w:tc>
        <w:tc>
          <w:tcPr>
            <w:tcW w:w="1720" w:type="dxa"/>
            <w:shd w:val="clear" w:color="auto" w:fill="F2F2F2"/>
          </w:tcPr>
          <w:p>
            <w:pPr>
              <w:pStyle w:val="TableParagraph"/>
              <w:spacing w:before="105"/>
              <w:ind w:left="5"/>
              <w:jc w:val="center"/>
              <w:rPr>
                <w:sz w:val="20"/>
              </w:rPr>
            </w:pPr>
            <w:r>
              <w:rPr>
                <w:spacing w:val="-5"/>
                <w:sz w:val="20"/>
              </w:rPr>
              <w:t>No</w:t>
            </w:r>
          </w:p>
        </w:tc>
        <w:tc>
          <w:tcPr>
            <w:tcW w:w="2100" w:type="dxa"/>
            <w:shd w:val="clear" w:color="auto" w:fill="F2F2F2"/>
          </w:tcPr>
          <w:p>
            <w:pPr>
              <w:pStyle w:val="TableParagraph"/>
              <w:spacing w:before="105"/>
              <w:ind w:right="68"/>
              <w:jc w:val="center"/>
              <w:rPr>
                <w:sz w:val="20"/>
              </w:rPr>
            </w:pPr>
            <w:r>
              <w:rPr>
                <w:spacing w:val="-5"/>
                <w:sz w:val="20"/>
              </w:rPr>
              <w:t>Yes</w:t>
            </w:r>
          </w:p>
        </w:tc>
        <w:tc>
          <w:tcPr>
            <w:tcW w:w="2540" w:type="dxa"/>
            <w:shd w:val="clear" w:color="auto" w:fill="F2F2F2"/>
          </w:tcPr>
          <w:p>
            <w:pPr>
              <w:pStyle w:val="TableParagraph"/>
              <w:spacing w:before="105"/>
              <w:ind w:left="5"/>
              <w:jc w:val="center"/>
              <w:rPr>
                <w:sz w:val="20"/>
              </w:rPr>
            </w:pPr>
            <w:r>
              <w:rPr>
                <w:spacing w:val="-5"/>
                <w:sz w:val="20"/>
              </w:rPr>
              <w:t>Yes</w:t>
            </w:r>
          </w:p>
        </w:tc>
        <w:tc>
          <w:tcPr>
            <w:tcW w:w="1660" w:type="dxa"/>
            <w:shd w:val="clear" w:color="auto" w:fill="F2F2F2"/>
          </w:tcPr>
          <w:p>
            <w:pPr>
              <w:pStyle w:val="TableParagraph"/>
              <w:spacing w:before="105"/>
              <w:ind w:left="5"/>
              <w:jc w:val="center"/>
              <w:rPr>
                <w:sz w:val="20"/>
              </w:rPr>
            </w:pPr>
            <w:r>
              <w:rPr>
                <w:spacing w:val="-5"/>
                <w:sz w:val="20"/>
              </w:rPr>
              <w:t>Yes</w:t>
            </w:r>
          </w:p>
        </w:tc>
      </w:tr>
      <w:tr>
        <w:trPr>
          <w:trHeight w:val="419" w:hRule="atLeast"/>
        </w:trPr>
        <w:tc>
          <w:tcPr>
            <w:tcW w:w="1320" w:type="dxa"/>
            <w:shd w:val="clear" w:color="auto" w:fill="F2F2F2"/>
          </w:tcPr>
          <w:p>
            <w:pPr>
              <w:pStyle w:val="TableParagraph"/>
              <w:spacing w:before="100"/>
              <w:jc w:val="center"/>
              <w:rPr>
                <w:sz w:val="20"/>
              </w:rPr>
            </w:pPr>
            <w:r>
              <w:rPr>
                <w:spacing w:val="-5"/>
                <w:sz w:val="20"/>
              </w:rPr>
              <w:t>P23</w:t>
            </w:r>
          </w:p>
        </w:tc>
        <w:tc>
          <w:tcPr>
            <w:tcW w:w="1720" w:type="dxa"/>
            <w:shd w:val="clear" w:color="auto" w:fill="F2F2F2"/>
          </w:tcPr>
          <w:p>
            <w:pPr>
              <w:pStyle w:val="TableParagraph"/>
              <w:spacing w:before="100"/>
              <w:ind w:left="5"/>
              <w:jc w:val="center"/>
              <w:rPr>
                <w:sz w:val="20"/>
              </w:rPr>
            </w:pPr>
            <w:r>
              <w:rPr>
                <w:spacing w:val="-5"/>
                <w:sz w:val="20"/>
              </w:rPr>
              <w:t>No</w:t>
            </w:r>
          </w:p>
        </w:tc>
        <w:tc>
          <w:tcPr>
            <w:tcW w:w="2100" w:type="dxa"/>
            <w:shd w:val="clear" w:color="auto" w:fill="F2F2F2"/>
          </w:tcPr>
          <w:p>
            <w:pPr>
              <w:pStyle w:val="TableParagraph"/>
              <w:spacing w:before="100"/>
              <w:ind w:left="10"/>
              <w:jc w:val="center"/>
              <w:rPr>
                <w:sz w:val="20"/>
              </w:rPr>
            </w:pPr>
            <w:r>
              <w:rPr>
                <w:spacing w:val="-5"/>
                <w:sz w:val="20"/>
              </w:rPr>
              <w:t>No</w:t>
            </w:r>
          </w:p>
        </w:tc>
        <w:tc>
          <w:tcPr>
            <w:tcW w:w="2540" w:type="dxa"/>
            <w:shd w:val="clear" w:color="auto" w:fill="F2F2F2"/>
          </w:tcPr>
          <w:p>
            <w:pPr>
              <w:pStyle w:val="TableParagraph"/>
              <w:spacing w:before="100"/>
              <w:ind w:left="5"/>
              <w:jc w:val="center"/>
              <w:rPr>
                <w:sz w:val="20"/>
              </w:rPr>
            </w:pPr>
            <w:r>
              <w:rPr>
                <w:spacing w:val="-5"/>
                <w:sz w:val="20"/>
              </w:rPr>
              <w:t>No</w:t>
            </w:r>
          </w:p>
        </w:tc>
        <w:tc>
          <w:tcPr>
            <w:tcW w:w="1660" w:type="dxa"/>
            <w:shd w:val="clear" w:color="auto" w:fill="F2F2F2"/>
          </w:tcPr>
          <w:p>
            <w:pPr>
              <w:pStyle w:val="TableParagraph"/>
              <w:spacing w:before="100"/>
              <w:ind w:left="5"/>
              <w:jc w:val="center"/>
              <w:rPr>
                <w:sz w:val="20"/>
              </w:rPr>
            </w:pPr>
            <w:r>
              <w:rPr>
                <w:spacing w:val="-5"/>
                <w:sz w:val="20"/>
              </w:rPr>
              <w:t>Yes</w:t>
            </w:r>
          </w:p>
        </w:tc>
      </w:tr>
      <w:tr>
        <w:trPr>
          <w:trHeight w:val="440" w:hRule="atLeast"/>
        </w:trPr>
        <w:tc>
          <w:tcPr>
            <w:tcW w:w="1320" w:type="dxa"/>
            <w:shd w:val="clear" w:color="auto" w:fill="F2F2F2"/>
          </w:tcPr>
          <w:p>
            <w:pPr>
              <w:pStyle w:val="TableParagraph"/>
              <w:spacing w:before="115"/>
              <w:jc w:val="center"/>
              <w:rPr>
                <w:sz w:val="20"/>
              </w:rPr>
            </w:pPr>
            <w:r>
              <w:rPr>
                <w:spacing w:val="-5"/>
                <w:sz w:val="20"/>
              </w:rPr>
              <w:t>P24</w:t>
            </w:r>
          </w:p>
        </w:tc>
        <w:tc>
          <w:tcPr>
            <w:tcW w:w="1720" w:type="dxa"/>
            <w:shd w:val="clear" w:color="auto" w:fill="F2F2F2"/>
          </w:tcPr>
          <w:p>
            <w:pPr>
              <w:pStyle w:val="TableParagraph"/>
              <w:spacing w:before="115"/>
              <w:ind w:left="5"/>
              <w:jc w:val="center"/>
              <w:rPr>
                <w:sz w:val="20"/>
              </w:rPr>
            </w:pPr>
            <w:r>
              <w:rPr>
                <w:spacing w:val="-5"/>
                <w:sz w:val="20"/>
              </w:rPr>
              <w:t>No</w:t>
            </w:r>
          </w:p>
        </w:tc>
        <w:tc>
          <w:tcPr>
            <w:tcW w:w="2100" w:type="dxa"/>
            <w:shd w:val="clear" w:color="auto" w:fill="F2F2F2"/>
          </w:tcPr>
          <w:p>
            <w:pPr>
              <w:pStyle w:val="TableParagraph"/>
              <w:spacing w:before="115"/>
              <w:ind w:right="68"/>
              <w:jc w:val="center"/>
              <w:rPr>
                <w:sz w:val="20"/>
              </w:rPr>
            </w:pPr>
            <w:r>
              <w:rPr>
                <w:spacing w:val="-5"/>
                <w:sz w:val="20"/>
              </w:rPr>
              <w:t>Yes</w:t>
            </w:r>
          </w:p>
        </w:tc>
        <w:tc>
          <w:tcPr>
            <w:tcW w:w="2540" w:type="dxa"/>
            <w:shd w:val="clear" w:color="auto" w:fill="F2F2F2"/>
          </w:tcPr>
          <w:p>
            <w:pPr>
              <w:pStyle w:val="TableParagraph"/>
              <w:spacing w:before="115"/>
              <w:ind w:left="5"/>
              <w:jc w:val="center"/>
              <w:rPr>
                <w:sz w:val="20"/>
              </w:rPr>
            </w:pPr>
            <w:r>
              <w:rPr>
                <w:spacing w:val="-5"/>
                <w:sz w:val="20"/>
              </w:rPr>
              <w:t>No</w:t>
            </w:r>
          </w:p>
        </w:tc>
        <w:tc>
          <w:tcPr>
            <w:tcW w:w="1660" w:type="dxa"/>
            <w:shd w:val="clear" w:color="auto" w:fill="F2F2F2"/>
          </w:tcPr>
          <w:p>
            <w:pPr>
              <w:pStyle w:val="TableParagraph"/>
              <w:spacing w:before="115"/>
              <w:ind w:left="5"/>
              <w:jc w:val="center"/>
              <w:rPr>
                <w:sz w:val="20"/>
              </w:rPr>
            </w:pPr>
            <w:r>
              <w:rPr>
                <w:spacing w:val="-5"/>
                <w:sz w:val="20"/>
              </w:rPr>
              <w:t>No</w:t>
            </w:r>
          </w:p>
        </w:tc>
      </w:tr>
      <w:tr>
        <w:trPr>
          <w:trHeight w:val="440" w:hRule="atLeast"/>
        </w:trPr>
        <w:tc>
          <w:tcPr>
            <w:tcW w:w="1320" w:type="dxa"/>
            <w:shd w:val="clear" w:color="auto" w:fill="F2F2F2"/>
          </w:tcPr>
          <w:p>
            <w:pPr>
              <w:pStyle w:val="TableParagraph"/>
              <w:spacing w:before="110"/>
              <w:jc w:val="center"/>
              <w:rPr>
                <w:sz w:val="20"/>
              </w:rPr>
            </w:pPr>
            <w:r>
              <w:rPr>
                <w:spacing w:val="-5"/>
                <w:sz w:val="20"/>
              </w:rPr>
              <w:t>P25</w:t>
            </w:r>
          </w:p>
        </w:tc>
        <w:tc>
          <w:tcPr>
            <w:tcW w:w="1720" w:type="dxa"/>
            <w:shd w:val="clear" w:color="auto" w:fill="F2F2F2"/>
          </w:tcPr>
          <w:p>
            <w:pPr>
              <w:pStyle w:val="TableParagraph"/>
              <w:spacing w:before="110"/>
              <w:ind w:left="5"/>
              <w:jc w:val="center"/>
              <w:rPr>
                <w:sz w:val="20"/>
              </w:rPr>
            </w:pPr>
            <w:r>
              <w:rPr>
                <w:spacing w:val="-5"/>
                <w:sz w:val="20"/>
              </w:rPr>
              <w:t>No</w:t>
            </w:r>
          </w:p>
        </w:tc>
        <w:tc>
          <w:tcPr>
            <w:tcW w:w="2100" w:type="dxa"/>
            <w:shd w:val="clear" w:color="auto" w:fill="F2F2F2"/>
          </w:tcPr>
          <w:p>
            <w:pPr>
              <w:pStyle w:val="TableParagraph"/>
              <w:spacing w:before="110"/>
              <w:ind w:left="10"/>
              <w:jc w:val="center"/>
              <w:rPr>
                <w:sz w:val="20"/>
              </w:rPr>
            </w:pPr>
            <w:r>
              <w:rPr>
                <w:spacing w:val="-5"/>
                <w:sz w:val="20"/>
              </w:rPr>
              <w:t>No</w:t>
            </w:r>
          </w:p>
        </w:tc>
        <w:tc>
          <w:tcPr>
            <w:tcW w:w="2540" w:type="dxa"/>
            <w:shd w:val="clear" w:color="auto" w:fill="F2F2F2"/>
          </w:tcPr>
          <w:p>
            <w:pPr>
              <w:pStyle w:val="TableParagraph"/>
              <w:spacing w:before="110"/>
              <w:ind w:left="5"/>
              <w:jc w:val="center"/>
              <w:rPr>
                <w:sz w:val="20"/>
              </w:rPr>
            </w:pPr>
            <w:r>
              <w:rPr>
                <w:spacing w:val="-5"/>
                <w:sz w:val="20"/>
              </w:rPr>
              <w:t>No</w:t>
            </w:r>
          </w:p>
        </w:tc>
        <w:tc>
          <w:tcPr>
            <w:tcW w:w="1660" w:type="dxa"/>
            <w:shd w:val="clear" w:color="auto" w:fill="F2F2F2"/>
          </w:tcPr>
          <w:p>
            <w:pPr>
              <w:pStyle w:val="TableParagraph"/>
              <w:spacing w:before="110"/>
              <w:ind w:left="5"/>
              <w:jc w:val="center"/>
              <w:rPr>
                <w:sz w:val="20"/>
              </w:rPr>
            </w:pPr>
            <w:r>
              <w:rPr>
                <w:spacing w:val="-5"/>
                <w:sz w:val="20"/>
              </w:rPr>
              <w:t>Yes</w:t>
            </w:r>
          </w:p>
        </w:tc>
      </w:tr>
      <w:tr>
        <w:trPr>
          <w:trHeight w:val="439" w:hRule="atLeast"/>
        </w:trPr>
        <w:tc>
          <w:tcPr>
            <w:tcW w:w="1320" w:type="dxa"/>
            <w:shd w:val="clear" w:color="auto" w:fill="F2F2F2"/>
          </w:tcPr>
          <w:p>
            <w:pPr>
              <w:pStyle w:val="TableParagraph"/>
              <w:spacing w:before="105"/>
              <w:jc w:val="center"/>
              <w:rPr>
                <w:sz w:val="20"/>
              </w:rPr>
            </w:pPr>
            <w:r>
              <w:rPr>
                <w:spacing w:val="-5"/>
                <w:sz w:val="20"/>
              </w:rPr>
              <w:t>P26</w:t>
            </w:r>
          </w:p>
        </w:tc>
        <w:tc>
          <w:tcPr>
            <w:tcW w:w="1720" w:type="dxa"/>
            <w:shd w:val="clear" w:color="auto" w:fill="F2F2F2"/>
          </w:tcPr>
          <w:p>
            <w:pPr>
              <w:pStyle w:val="TableParagraph"/>
              <w:spacing w:before="105"/>
              <w:ind w:left="5"/>
              <w:jc w:val="center"/>
              <w:rPr>
                <w:sz w:val="20"/>
              </w:rPr>
            </w:pPr>
            <w:r>
              <w:rPr>
                <w:spacing w:val="-5"/>
                <w:sz w:val="20"/>
              </w:rPr>
              <w:t>No</w:t>
            </w:r>
          </w:p>
        </w:tc>
        <w:tc>
          <w:tcPr>
            <w:tcW w:w="2100" w:type="dxa"/>
            <w:shd w:val="clear" w:color="auto" w:fill="F2F2F2"/>
          </w:tcPr>
          <w:p>
            <w:pPr>
              <w:pStyle w:val="TableParagraph"/>
              <w:spacing w:before="105"/>
              <w:ind w:right="68"/>
              <w:jc w:val="center"/>
              <w:rPr>
                <w:sz w:val="20"/>
              </w:rPr>
            </w:pPr>
            <w:r>
              <w:rPr>
                <w:spacing w:val="-5"/>
                <w:sz w:val="20"/>
              </w:rPr>
              <w:t>Yes</w:t>
            </w:r>
          </w:p>
        </w:tc>
        <w:tc>
          <w:tcPr>
            <w:tcW w:w="2540" w:type="dxa"/>
            <w:shd w:val="clear" w:color="auto" w:fill="F2F2F2"/>
          </w:tcPr>
          <w:p>
            <w:pPr>
              <w:pStyle w:val="TableParagraph"/>
              <w:spacing w:before="105"/>
              <w:ind w:left="5"/>
              <w:jc w:val="center"/>
              <w:rPr>
                <w:sz w:val="20"/>
              </w:rPr>
            </w:pPr>
            <w:r>
              <w:rPr>
                <w:spacing w:val="-5"/>
                <w:sz w:val="20"/>
              </w:rPr>
              <w:t>No</w:t>
            </w:r>
          </w:p>
        </w:tc>
        <w:tc>
          <w:tcPr>
            <w:tcW w:w="1660" w:type="dxa"/>
            <w:shd w:val="clear" w:color="auto" w:fill="F2F2F2"/>
          </w:tcPr>
          <w:p>
            <w:pPr>
              <w:pStyle w:val="TableParagraph"/>
              <w:spacing w:before="105"/>
              <w:ind w:left="5"/>
              <w:jc w:val="center"/>
              <w:rPr>
                <w:sz w:val="20"/>
              </w:rPr>
            </w:pPr>
            <w:r>
              <w:rPr>
                <w:spacing w:val="-5"/>
                <w:sz w:val="20"/>
              </w:rPr>
              <w:t>Yes</w:t>
            </w:r>
          </w:p>
        </w:tc>
      </w:tr>
      <w:tr>
        <w:trPr>
          <w:trHeight w:val="420" w:hRule="atLeast"/>
        </w:trPr>
        <w:tc>
          <w:tcPr>
            <w:tcW w:w="1320" w:type="dxa"/>
            <w:shd w:val="clear" w:color="auto" w:fill="F2F2F2"/>
          </w:tcPr>
          <w:p>
            <w:pPr>
              <w:pStyle w:val="TableParagraph"/>
              <w:spacing w:before="100"/>
              <w:jc w:val="center"/>
              <w:rPr>
                <w:sz w:val="20"/>
              </w:rPr>
            </w:pPr>
            <w:r>
              <w:rPr>
                <w:spacing w:val="-5"/>
                <w:sz w:val="20"/>
              </w:rPr>
              <w:t>P27</w:t>
            </w:r>
          </w:p>
        </w:tc>
        <w:tc>
          <w:tcPr>
            <w:tcW w:w="1720" w:type="dxa"/>
            <w:shd w:val="clear" w:color="auto" w:fill="F2F2F2"/>
          </w:tcPr>
          <w:p>
            <w:pPr>
              <w:pStyle w:val="TableParagraph"/>
              <w:spacing w:before="100"/>
              <w:ind w:left="5"/>
              <w:jc w:val="center"/>
              <w:rPr>
                <w:sz w:val="20"/>
              </w:rPr>
            </w:pPr>
            <w:r>
              <w:rPr>
                <w:spacing w:val="-5"/>
                <w:sz w:val="20"/>
              </w:rPr>
              <w:t>No</w:t>
            </w:r>
          </w:p>
        </w:tc>
        <w:tc>
          <w:tcPr>
            <w:tcW w:w="2100" w:type="dxa"/>
            <w:shd w:val="clear" w:color="auto" w:fill="F2F2F2"/>
          </w:tcPr>
          <w:p>
            <w:pPr>
              <w:pStyle w:val="TableParagraph"/>
              <w:spacing w:before="100"/>
              <w:ind w:left="10"/>
              <w:jc w:val="center"/>
              <w:rPr>
                <w:sz w:val="20"/>
              </w:rPr>
            </w:pPr>
            <w:r>
              <w:rPr>
                <w:spacing w:val="-5"/>
                <w:sz w:val="20"/>
              </w:rPr>
              <w:t>No</w:t>
            </w:r>
          </w:p>
        </w:tc>
        <w:tc>
          <w:tcPr>
            <w:tcW w:w="2540" w:type="dxa"/>
            <w:shd w:val="clear" w:color="auto" w:fill="F2F2F2"/>
          </w:tcPr>
          <w:p>
            <w:pPr>
              <w:pStyle w:val="TableParagraph"/>
              <w:spacing w:before="100"/>
              <w:ind w:left="5"/>
              <w:jc w:val="center"/>
              <w:rPr>
                <w:sz w:val="20"/>
              </w:rPr>
            </w:pPr>
            <w:r>
              <w:rPr>
                <w:spacing w:val="-5"/>
                <w:sz w:val="20"/>
              </w:rPr>
              <w:t>No</w:t>
            </w:r>
          </w:p>
        </w:tc>
        <w:tc>
          <w:tcPr>
            <w:tcW w:w="1660" w:type="dxa"/>
            <w:shd w:val="clear" w:color="auto" w:fill="F2F2F2"/>
          </w:tcPr>
          <w:p>
            <w:pPr>
              <w:pStyle w:val="TableParagraph"/>
              <w:spacing w:before="100"/>
              <w:ind w:left="5"/>
              <w:jc w:val="center"/>
              <w:rPr>
                <w:sz w:val="20"/>
              </w:rPr>
            </w:pPr>
            <w:r>
              <w:rPr>
                <w:spacing w:val="-5"/>
                <w:sz w:val="20"/>
              </w:rPr>
              <w:t>Yes</w:t>
            </w:r>
          </w:p>
        </w:tc>
      </w:tr>
      <w:tr>
        <w:trPr>
          <w:trHeight w:val="439" w:hRule="atLeast"/>
        </w:trPr>
        <w:tc>
          <w:tcPr>
            <w:tcW w:w="1320" w:type="dxa"/>
            <w:shd w:val="clear" w:color="auto" w:fill="D9D9D9"/>
          </w:tcPr>
          <w:p>
            <w:pPr>
              <w:pStyle w:val="TableParagraph"/>
              <w:spacing w:before="115"/>
              <w:jc w:val="center"/>
              <w:rPr>
                <w:sz w:val="20"/>
              </w:rPr>
            </w:pPr>
            <w:r>
              <w:rPr>
                <w:spacing w:val="-5"/>
                <w:sz w:val="20"/>
              </w:rPr>
              <w:t>P28</w:t>
            </w:r>
          </w:p>
        </w:tc>
        <w:tc>
          <w:tcPr>
            <w:tcW w:w="1720" w:type="dxa"/>
            <w:shd w:val="clear" w:color="auto" w:fill="D9D9D9"/>
          </w:tcPr>
          <w:p>
            <w:pPr>
              <w:pStyle w:val="TableParagraph"/>
              <w:spacing w:before="115"/>
              <w:ind w:left="5"/>
              <w:jc w:val="center"/>
              <w:rPr>
                <w:sz w:val="20"/>
              </w:rPr>
            </w:pPr>
            <w:r>
              <w:rPr>
                <w:spacing w:val="-5"/>
                <w:sz w:val="20"/>
              </w:rPr>
              <w:t>No</w:t>
            </w:r>
          </w:p>
        </w:tc>
        <w:tc>
          <w:tcPr>
            <w:tcW w:w="2100" w:type="dxa"/>
            <w:shd w:val="clear" w:color="auto" w:fill="D9D9D9"/>
          </w:tcPr>
          <w:p>
            <w:pPr>
              <w:pStyle w:val="TableParagraph"/>
              <w:spacing w:before="115"/>
              <w:ind w:left="10"/>
              <w:jc w:val="center"/>
              <w:rPr>
                <w:sz w:val="20"/>
              </w:rPr>
            </w:pPr>
            <w:r>
              <w:rPr>
                <w:spacing w:val="-5"/>
                <w:sz w:val="20"/>
              </w:rPr>
              <w:t>No</w:t>
            </w:r>
          </w:p>
        </w:tc>
        <w:tc>
          <w:tcPr>
            <w:tcW w:w="2540" w:type="dxa"/>
            <w:shd w:val="clear" w:color="auto" w:fill="D9D9D9"/>
          </w:tcPr>
          <w:p>
            <w:pPr>
              <w:pStyle w:val="TableParagraph"/>
              <w:spacing w:before="115"/>
              <w:ind w:left="5"/>
              <w:jc w:val="center"/>
              <w:rPr>
                <w:sz w:val="20"/>
              </w:rPr>
            </w:pPr>
            <w:r>
              <w:rPr>
                <w:spacing w:val="-5"/>
                <w:sz w:val="20"/>
              </w:rPr>
              <w:t>No</w:t>
            </w:r>
          </w:p>
        </w:tc>
        <w:tc>
          <w:tcPr>
            <w:tcW w:w="1660" w:type="dxa"/>
            <w:shd w:val="clear" w:color="auto" w:fill="D9D9D9"/>
          </w:tcPr>
          <w:p>
            <w:pPr>
              <w:pStyle w:val="TableParagraph"/>
              <w:spacing w:before="115"/>
              <w:ind w:left="5"/>
              <w:jc w:val="center"/>
              <w:rPr>
                <w:sz w:val="20"/>
              </w:rPr>
            </w:pPr>
            <w:r>
              <w:rPr>
                <w:spacing w:val="-5"/>
                <w:sz w:val="20"/>
              </w:rPr>
              <w:t>No</w:t>
            </w:r>
          </w:p>
        </w:tc>
      </w:tr>
      <w:tr>
        <w:trPr>
          <w:trHeight w:val="440" w:hRule="atLeast"/>
        </w:trPr>
        <w:tc>
          <w:tcPr>
            <w:tcW w:w="1320" w:type="dxa"/>
            <w:shd w:val="clear" w:color="auto" w:fill="D9D9D9"/>
          </w:tcPr>
          <w:p>
            <w:pPr>
              <w:pStyle w:val="TableParagraph"/>
              <w:spacing w:before="110"/>
              <w:jc w:val="center"/>
              <w:rPr>
                <w:sz w:val="20"/>
              </w:rPr>
            </w:pPr>
            <w:r>
              <w:rPr>
                <w:spacing w:val="-5"/>
                <w:sz w:val="20"/>
              </w:rPr>
              <w:t>P29</w:t>
            </w:r>
          </w:p>
        </w:tc>
        <w:tc>
          <w:tcPr>
            <w:tcW w:w="1720" w:type="dxa"/>
            <w:shd w:val="clear" w:color="auto" w:fill="D9D9D9"/>
          </w:tcPr>
          <w:p>
            <w:pPr>
              <w:pStyle w:val="TableParagraph"/>
              <w:spacing w:before="110"/>
              <w:ind w:left="5"/>
              <w:jc w:val="center"/>
              <w:rPr>
                <w:sz w:val="20"/>
              </w:rPr>
            </w:pPr>
            <w:r>
              <w:rPr>
                <w:spacing w:val="-5"/>
                <w:sz w:val="20"/>
              </w:rPr>
              <w:t>No</w:t>
            </w:r>
          </w:p>
        </w:tc>
        <w:tc>
          <w:tcPr>
            <w:tcW w:w="2100" w:type="dxa"/>
            <w:shd w:val="clear" w:color="auto" w:fill="D9D9D9"/>
          </w:tcPr>
          <w:p>
            <w:pPr>
              <w:pStyle w:val="TableParagraph"/>
              <w:spacing w:before="110"/>
              <w:ind w:left="10"/>
              <w:jc w:val="center"/>
              <w:rPr>
                <w:sz w:val="20"/>
              </w:rPr>
            </w:pPr>
            <w:r>
              <w:rPr>
                <w:spacing w:val="-5"/>
                <w:sz w:val="20"/>
              </w:rPr>
              <w:t>No</w:t>
            </w:r>
          </w:p>
        </w:tc>
        <w:tc>
          <w:tcPr>
            <w:tcW w:w="2540" w:type="dxa"/>
            <w:shd w:val="clear" w:color="auto" w:fill="D9D9D9"/>
          </w:tcPr>
          <w:p>
            <w:pPr>
              <w:pStyle w:val="TableParagraph"/>
              <w:spacing w:before="110"/>
              <w:ind w:left="5"/>
              <w:jc w:val="center"/>
              <w:rPr>
                <w:sz w:val="20"/>
              </w:rPr>
            </w:pPr>
            <w:r>
              <w:rPr>
                <w:spacing w:val="-5"/>
                <w:sz w:val="20"/>
              </w:rPr>
              <w:t>No</w:t>
            </w:r>
          </w:p>
        </w:tc>
        <w:tc>
          <w:tcPr>
            <w:tcW w:w="1660" w:type="dxa"/>
            <w:shd w:val="clear" w:color="auto" w:fill="D9D9D9"/>
          </w:tcPr>
          <w:p>
            <w:pPr>
              <w:pStyle w:val="TableParagraph"/>
              <w:spacing w:before="110"/>
              <w:ind w:left="5"/>
              <w:jc w:val="center"/>
              <w:rPr>
                <w:sz w:val="20"/>
              </w:rPr>
            </w:pPr>
            <w:r>
              <w:rPr>
                <w:spacing w:val="-5"/>
                <w:sz w:val="20"/>
              </w:rPr>
              <w:t>No</w:t>
            </w:r>
          </w:p>
        </w:tc>
      </w:tr>
    </w:tbl>
    <w:p>
      <w:pPr>
        <w:pStyle w:val="BodyText"/>
        <w:spacing w:before="23"/>
        <w:rPr>
          <w:b/>
          <w:sz w:val="20"/>
        </w:rPr>
      </w:pPr>
    </w:p>
    <w:tbl>
      <w:tblPr>
        <w:tblW w:w="0" w:type="auto"/>
        <w:jc w:val="left"/>
        <w:tblInd w:w="1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20"/>
        <w:gridCol w:w="1720"/>
        <w:gridCol w:w="2100"/>
        <w:gridCol w:w="2540"/>
        <w:gridCol w:w="1660"/>
      </w:tblGrid>
      <w:tr>
        <w:trPr>
          <w:trHeight w:val="439" w:hRule="atLeast"/>
        </w:trPr>
        <w:tc>
          <w:tcPr>
            <w:tcW w:w="1320" w:type="dxa"/>
            <w:shd w:val="clear" w:color="auto" w:fill="D9D9D9"/>
          </w:tcPr>
          <w:p>
            <w:pPr>
              <w:pStyle w:val="TableParagraph"/>
              <w:spacing w:before="110"/>
              <w:jc w:val="center"/>
              <w:rPr>
                <w:sz w:val="20"/>
              </w:rPr>
            </w:pPr>
            <w:r>
              <w:rPr>
                <w:spacing w:val="-5"/>
                <w:sz w:val="20"/>
              </w:rPr>
              <w:t>P30</w:t>
            </w:r>
          </w:p>
        </w:tc>
        <w:tc>
          <w:tcPr>
            <w:tcW w:w="1720" w:type="dxa"/>
            <w:shd w:val="clear" w:color="auto" w:fill="D9D9D9"/>
          </w:tcPr>
          <w:p>
            <w:pPr>
              <w:pStyle w:val="TableParagraph"/>
              <w:spacing w:before="110"/>
              <w:ind w:left="5"/>
              <w:jc w:val="center"/>
              <w:rPr>
                <w:sz w:val="20"/>
              </w:rPr>
            </w:pPr>
            <w:r>
              <w:rPr>
                <w:spacing w:val="-5"/>
                <w:sz w:val="20"/>
              </w:rPr>
              <w:t>Yes</w:t>
            </w:r>
          </w:p>
        </w:tc>
        <w:tc>
          <w:tcPr>
            <w:tcW w:w="2100" w:type="dxa"/>
            <w:shd w:val="clear" w:color="auto" w:fill="D9D9D9"/>
          </w:tcPr>
          <w:p>
            <w:pPr>
              <w:pStyle w:val="TableParagraph"/>
              <w:spacing w:before="110"/>
              <w:ind w:left="10"/>
              <w:jc w:val="center"/>
              <w:rPr>
                <w:sz w:val="20"/>
              </w:rPr>
            </w:pPr>
            <w:r>
              <w:rPr>
                <w:spacing w:val="-5"/>
                <w:sz w:val="20"/>
              </w:rPr>
              <w:t>No</w:t>
            </w:r>
          </w:p>
        </w:tc>
        <w:tc>
          <w:tcPr>
            <w:tcW w:w="2540" w:type="dxa"/>
            <w:shd w:val="clear" w:color="auto" w:fill="D9D9D9"/>
          </w:tcPr>
          <w:p>
            <w:pPr>
              <w:pStyle w:val="TableParagraph"/>
              <w:spacing w:before="110"/>
              <w:ind w:left="5"/>
              <w:jc w:val="center"/>
              <w:rPr>
                <w:sz w:val="20"/>
              </w:rPr>
            </w:pPr>
            <w:r>
              <w:rPr>
                <w:spacing w:val="-5"/>
                <w:sz w:val="20"/>
              </w:rPr>
              <w:t>No</w:t>
            </w:r>
          </w:p>
        </w:tc>
        <w:tc>
          <w:tcPr>
            <w:tcW w:w="1660" w:type="dxa"/>
            <w:shd w:val="clear" w:color="auto" w:fill="D9D9D9"/>
          </w:tcPr>
          <w:p>
            <w:pPr>
              <w:pStyle w:val="TableParagraph"/>
              <w:spacing w:before="110"/>
              <w:ind w:left="5"/>
              <w:jc w:val="center"/>
              <w:rPr>
                <w:sz w:val="20"/>
              </w:rPr>
            </w:pPr>
            <w:r>
              <w:rPr>
                <w:spacing w:val="-5"/>
                <w:sz w:val="20"/>
              </w:rPr>
              <w:t>No</w:t>
            </w:r>
          </w:p>
        </w:tc>
      </w:tr>
      <w:tr>
        <w:trPr>
          <w:trHeight w:val="439" w:hRule="atLeast"/>
        </w:trPr>
        <w:tc>
          <w:tcPr>
            <w:tcW w:w="1320" w:type="dxa"/>
            <w:shd w:val="clear" w:color="auto" w:fill="F2F2F2"/>
          </w:tcPr>
          <w:p>
            <w:pPr>
              <w:pStyle w:val="TableParagraph"/>
              <w:spacing w:before="105"/>
              <w:jc w:val="center"/>
              <w:rPr>
                <w:sz w:val="20"/>
              </w:rPr>
            </w:pPr>
            <w:r>
              <w:rPr>
                <w:spacing w:val="-5"/>
                <w:sz w:val="20"/>
              </w:rPr>
              <w:t>P31</w:t>
            </w:r>
          </w:p>
        </w:tc>
        <w:tc>
          <w:tcPr>
            <w:tcW w:w="1720" w:type="dxa"/>
            <w:shd w:val="clear" w:color="auto" w:fill="F2F2F2"/>
          </w:tcPr>
          <w:p>
            <w:pPr>
              <w:pStyle w:val="TableParagraph"/>
              <w:spacing w:before="105"/>
              <w:ind w:left="5"/>
              <w:jc w:val="center"/>
              <w:rPr>
                <w:sz w:val="20"/>
              </w:rPr>
            </w:pPr>
            <w:r>
              <w:rPr>
                <w:spacing w:val="-5"/>
                <w:sz w:val="20"/>
              </w:rPr>
              <w:t>No</w:t>
            </w:r>
          </w:p>
        </w:tc>
        <w:tc>
          <w:tcPr>
            <w:tcW w:w="2100" w:type="dxa"/>
            <w:shd w:val="clear" w:color="auto" w:fill="F2F2F2"/>
          </w:tcPr>
          <w:p>
            <w:pPr>
              <w:pStyle w:val="TableParagraph"/>
              <w:spacing w:before="105"/>
              <w:ind w:left="10"/>
              <w:jc w:val="center"/>
              <w:rPr>
                <w:sz w:val="20"/>
              </w:rPr>
            </w:pPr>
            <w:r>
              <w:rPr>
                <w:spacing w:val="-5"/>
                <w:sz w:val="20"/>
              </w:rPr>
              <w:t>No</w:t>
            </w:r>
          </w:p>
        </w:tc>
        <w:tc>
          <w:tcPr>
            <w:tcW w:w="2540" w:type="dxa"/>
            <w:shd w:val="clear" w:color="auto" w:fill="F2F2F2"/>
          </w:tcPr>
          <w:p>
            <w:pPr>
              <w:pStyle w:val="TableParagraph"/>
              <w:spacing w:before="105"/>
              <w:ind w:left="5"/>
              <w:jc w:val="center"/>
              <w:rPr>
                <w:sz w:val="20"/>
              </w:rPr>
            </w:pPr>
            <w:r>
              <w:rPr>
                <w:spacing w:val="-5"/>
                <w:sz w:val="20"/>
              </w:rPr>
              <w:t>No</w:t>
            </w:r>
          </w:p>
        </w:tc>
        <w:tc>
          <w:tcPr>
            <w:tcW w:w="1660" w:type="dxa"/>
            <w:shd w:val="clear" w:color="auto" w:fill="F2F2F2"/>
          </w:tcPr>
          <w:p>
            <w:pPr>
              <w:pStyle w:val="TableParagraph"/>
              <w:spacing w:before="105"/>
              <w:ind w:left="5"/>
              <w:jc w:val="center"/>
              <w:rPr>
                <w:sz w:val="20"/>
              </w:rPr>
            </w:pPr>
            <w:r>
              <w:rPr>
                <w:spacing w:val="-5"/>
                <w:sz w:val="20"/>
              </w:rPr>
              <w:t>Yes</w:t>
            </w:r>
          </w:p>
        </w:tc>
      </w:tr>
      <w:tr>
        <w:trPr>
          <w:trHeight w:val="419" w:hRule="atLeast"/>
        </w:trPr>
        <w:tc>
          <w:tcPr>
            <w:tcW w:w="1320" w:type="dxa"/>
            <w:shd w:val="clear" w:color="auto" w:fill="F2F2F2"/>
          </w:tcPr>
          <w:p>
            <w:pPr>
              <w:pStyle w:val="TableParagraph"/>
              <w:spacing w:before="100"/>
              <w:jc w:val="center"/>
              <w:rPr>
                <w:sz w:val="20"/>
              </w:rPr>
            </w:pPr>
            <w:r>
              <w:rPr>
                <w:spacing w:val="-5"/>
                <w:sz w:val="20"/>
              </w:rPr>
              <w:t>P32</w:t>
            </w:r>
          </w:p>
        </w:tc>
        <w:tc>
          <w:tcPr>
            <w:tcW w:w="1720" w:type="dxa"/>
            <w:shd w:val="clear" w:color="auto" w:fill="F2F2F2"/>
          </w:tcPr>
          <w:p>
            <w:pPr>
              <w:pStyle w:val="TableParagraph"/>
              <w:spacing w:before="100"/>
              <w:ind w:left="5"/>
              <w:jc w:val="center"/>
              <w:rPr>
                <w:sz w:val="20"/>
              </w:rPr>
            </w:pPr>
            <w:r>
              <w:rPr>
                <w:spacing w:val="-5"/>
                <w:sz w:val="20"/>
              </w:rPr>
              <w:t>No</w:t>
            </w:r>
          </w:p>
        </w:tc>
        <w:tc>
          <w:tcPr>
            <w:tcW w:w="2100" w:type="dxa"/>
            <w:shd w:val="clear" w:color="auto" w:fill="F2F2F2"/>
          </w:tcPr>
          <w:p>
            <w:pPr>
              <w:pStyle w:val="TableParagraph"/>
              <w:spacing w:before="100"/>
              <w:ind w:right="68"/>
              <w:jc w:val="center"/>
              <w:rPr>
                <w:sz w:val="20"/>
              </w:rPr>
            </w:pPr>
            <w:r>
              <w:rPr>
                <w:spacing w:val="-5"/>
                <w:sz w:val="20"/>
              </w:rPr>
              <w:t>Yes</w:t>
            </w:r>
          </w:p>
        </w:tc>
        <w:tc>
          <w:tcPr>
            <w:tcW w:w="2540" w:type="dxa"/>
            <w:shd w:val="clear" w:color="auto" w:fill="F2F2F2"/>
          </w:tcPr>
          <w:p>
            <w:pPr>
              <w:pStyle w:val="TableParagraph"/>
              <w:spacing w:before="100"/>
              <w:ind w:left="5"/>
              <w:jc w:val="center"/>
              <w:rPr>
                <w:sz w:val="20"/>
              </w:rPr>
            </w:pPr>
            <w:r>
              <w:rPr>
                <w:spacing w:val="-5"/>
                <w:sz w:val="20"/>
              </w:rPr>
              <w:t>No</w:t>
            </w:r>
          </w:p>
        </w:tc>
        <w:tc>
          <w:tcPr>
            <w:tcW w:w="1660" w:type="dxa"/>
            <w:shd w:val="clear" w:color="auto" w:fill="F2F2F2"/>
          </w:tcPr>
          <w:p>
            <w:pPr>
              <w:pStyle w:val="TableParagraph"/>
              <w:spacing w:before="100"/>
              <w:ind w:left="5"/>
              <w:jc w:val="center"/>
              <w:rPr>
                <w:sz w:val="20"/>
              </w:rPr>
            </w:pPr>
            <w:r>
              <w:rPr>
                <w:spacing w:val="-5"/>
                <w:sz w:val="20"/>
              </w:rPr>
              <w:t>Yes</w:t>
            </w:r>
          </w:p>
        </w:tc>
      </w:tr>
    </w:tbl>
    <w:p>
      <w:pPr>
        <w:pStyle w:val="TableParagraph"/>
        <w:spacing w:after="0"/>
        <w:jc w:val="center"/>
        <w:rPr>
          <w:sz w:val="20"/>
        </w:rPr>
        <w:sectPr>
          <w:type w:val="continuous"/>
          <w:pgSz w:w="12240" w:h="15840"/>
          <w:pgMar w:header="0" w:footer="750" w:top="680" w:bottom="960" w:left="720" w:right="0"/>
        </w:sectPr>
      </w:pPr>
    </w:p>
    <w:tbl>
      <w:tblPr>
        <w:tblW w:w="0" w:type="auto"/>
        <w:jc w:val="left"/>
        <w:tblInd w:w="1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20"/>
        <w:gridCol w:w="1720"/>
        <w:gridCol w:w="2100"/>
        <w:gridCol w:w="2540"/>
        <w:gridCol w:w="1660"/>
      </w:tblGrid>
      <w:tr>
        <w:trPr>
          <w:trHeight w:val="419" w:hRule="atLeast"/>
        </w:trPr>
        <w:tc>
          <w:tcPr>
            <w:tcW w:w="1320" w:type="dxa"/>
            <w:shd w:val="clear" w:color="auto" w:fill="F2F2F2"/>
          </w:tcPr>
          <w:p>
            <w:pPr>
              <w:pStyle w:val="TableParagraph"/>
              <w:spacing w:before="100"/>
              <w:jc w:val="center"/>
              <w:rPr>
                <w:sz w:val="20"/>
              </w:rPr>
            </w:pPr>
            <w:r>
              <w:rPr>
                <w:spacing w:val="-5"/>
                <w:sz w:val="20"/>
              </w:rPr>
              <w:t>P33</w:t>
            </w:r>
          </w:p>
        </w:tc>
        <w:tc>
          <w:tcPr>
            <w:tcW w:w="1720" w:type="dxa"/>
            <w:shd w:val="clear" w:color="auto" w:fill="F2F2F2"/>
          </w:tcPr>
          <w:p>
            <w:pPr>
              <w:pStyle w:val="TableParagraph"/>
              <w:spacing w:before="100"/>
              <w:ind w:left="5"/>
              <w:jc w:val="center"/>
              <w:rPr>
                <w:sz w:val="20"/>
              </w:rPr>
            </w:pPr>
            <w:r>
              <w:rPr>
                <w:spacing w:val="-5"/>
                <w:sz w:val="20"/>
              </w:rPr>
              <w:t>No</w:t>
            </w:r>
          </w:p>
        </w:tc>
        <w:tc>
          <w:tcPr>
            <w:tcW w:w="2100" w:type="dxa"/>
            <w:shd w:val="clear" w:color="auto" w:fill="F2F2F2"/>
          </w:tcPr>
          <w:p>
            <w:pPr>
              <w:pStyle w:val="TableParagraph"/>
              <w:spacing w:before="100"/>
              <w:ind w:left="10"/>
              <w:jc w:val="center"/>
              <w:rPr>
                <w:sz w:val="20"/>
              </w:rPr>
            </w:pPr>
            <w:r>
              <w:rPr>
                <w:spacing w:val="-5"/>
                <w:sz w:val="20"/>
              </w:rPr>
              <w:t>No</w:t>
            </w:r>
          </w:p>
        </w:tc>
        <w:tc>
          <w:tcPr>
            <w:tcW w:w="2540" w:type="dxa"/>
            <w:shd w:val="clear" w:color="auto" w:fill="F2F2F2"/>
          </w:tcPr>
          <w:p>
            <w:pPr>
              <w:pStyle w:val="TableParagraph"/>
              <w:spacing w:before="100"/>
              <w:ind w:left="5"/>
              <w:jc w:val="center"/>
              <w:rPr>
                <w:sz w:val="20"/>
              </w:rPr>
            </w:pPr>
            <w:r>
              <w:rPr>
                <w:spacing w:val="-5"/>
                <w:sz w:val="20"/>
              </w:rPr>
              <w:t>No</w:t>
            </w:r>
          </w:p>
        </w:tc>
        <w:tc>
          <w:tcPr>
            <w:tcW w:w="1660" w:type="dxa"/>
            <w:shd w:val="clear" w:color="auto" w:fill="F2F2F2"/>
          </w:tcPr>
          <w:p>
            <w:pPr>
              <w:pStyle w:val="TableParagraph"/>
              <w:spacing w:before="100"/>
              <w:ind w:left="5"/>
              <w:jc w:val="center"/>
              <w:rPr>
                <w:sz w:val="20"/>
              </w:rPr>
            </w:pPr>
            <w:r>
              <w:rPr>
                <w:spacing w:val="-5"/>
                <w:sz w:val="20"/>
              </w:rPr>
              <w:t>Yes</w:t>
            </w:r>
          </w:p>
        </w:tc>
      </w:tr>
      <w:tr>
        <w:trPr>
          <w:trHeight w:val="439" w:hRule="atLeast"/>
        </w:trPr>
        <w:tc>
          <w:tcPr>
            <w:tcW w:w="1320" w:type="dxa"/>
            <w:shd w:val="clear" w:color="auto" w:fill="D9D9D9"/>
          </w:tcPr>
          <w:p>
            <w:pPr>
              <w:pStyle w:val="TableParagraph"/>
              <w:spacing w:before="115"/>
              <w:jc w:val="center"/>
              <w:rPr>
                <w:sz w:val="20"/>
              </w:rPr>
            </w:pPr>
            <w:r>
              <w:rPr>
                <w:spacing w:val="-5"/>
                <w:sz w:val="20"/>
              </w:rPr>
              <w:t>P34</w:t>
            </w:r>
          </w:p>
        </w:tc>
        <w:tc>
          <w:tcPr>
            <w:tcW w:w="1720" w:type="dxa"/>
            <w:shd w:val="clear" w:color="auto" w:fill="D9D9D9"/>
          </w:tcPr>
          <w:p>
            <w:pPr>
              <w:pStyle w:val="TableParagraph"/>
              <w:spacing w:before="115"/>
              <w:ind w:left="5"/>
              <w:jc w:val="center"/>
              <w:rPr>
                <w:sz w:val="20"/>
              </w:rPr>
            </w:pPr>
            <w:r>
              <w:rPr>
                <w:spacing w:val="-5"/>
                <w:sz w:val="20"/>
              </w:rPr>
              <w:t>No</w:t>
            </w:r>
          </w:p>
        </w:tc>
        <w:tc>
          <w:tcPr>
            <w:tcW w:w="2100" w:type="dxa"/>
            <w:shd w:val="clear" w:color="auto" w:fill="D9D9D9"/>
          </w:tcPr>
          <w:p>
            <w:pPr>
              <w:pStyle w:val="TableParagraph"/>
              <w:spacing w:before="115"/>
              <w:ind w:left="10"/>
              <w:jc w:val="center"/>
              <w:rPr>
                <w:sz w:val="20"/>
              </w:rPr>
            </w:pPr>
            <w:r>
              <w:rPr>
                <w:spacing w:val="-5"/>
                <w:sz w:val="20"/>
              </w:rPr>
              <w:t>No</w:t>
            </w:r>
          </w:p>
        </w:tc>
        <w:tc>
          <w:tcPr>
            <w:tcW w:w="2540" w:type="dxa"/>
            <w:shd w:val="clear" w:color="auto" w:fill="D9D9D9"/>
          </w:tcPr>
          <w:p>
            <w:pPr>
              <w:pStyle w:val="TableParagraph"/>
              <w:spacing w:before="115"/>
              <w:ind w:left="5"/>
              <w:jc w:val="center"/>
              <w:rPr>
                <w:sz w:val="20"/>
              </w:rPr>
            </w:pPr>
            <w:r>
              <w:rPr>
                <w:spacing w:val="-5"/>
                <w:sz w:val="20"/>
              </w:rPr>
              <w:t>No</w:t>
            </w:r>
          </w:p>
        </w:tc>
        <w:tc>
          <w:tcPr>
            <w:tcW w:w="1660" w:type="dxa"/>
            <w:shd w:val="clear" w:color="auto" w:fill="D9D9D9"/>
          </w:tcPr>
          <w:p>
            <w:pPr>
              <w:pStyle w:val="TableParagraph"/>
              <w:spacing w:before="115"/>
              <w:ind w:left="5"/>
              <w:jc w:val="center"/>
              <w:rPr>
                <w:sz w:val="20"/>
              </w:rPr>
            </w:pPr>
            <w:r>
              <w:rPr>
                <w:spacing w:val="-5"/>
                <w:sz w:val="20"/>
              </w:rPr>
              <w:t>No</w:t>
            </w:r>
          </w:p>
        </w:tc>
      </w:tr>
      <w:tr>
        <w:trPr>
          <w:trHeight w:val="440" w:hRule="atLeast"/>
        </w:trPr>
        <w:tc>
          <w:tcPr>
            <w:tcW w:w="1320" w:type="dxa"/>
            <w:shd w:val="clear" w:color="auto" w:fill="F2F2F2"/>
          </w:tcPr>
          <w:p>
            <w:pPr>
              <w:pStyle w:val="TableParagraph"/>
              <w:spacing w:before="111"/>
              <w:jc w:val="center"/>
              <w:rPr>
                <w:sz w:val="20"/>
              </w:rPr>
            </w:pPr>
            <w:r>
              <w:rPr>
                <w:spacing w:val="-5"/>
                <w:sz w:val="20"/>
              </w:rPr>
              <w:t>P35</w:t>
            </w:r>
          </w:p>
        </w:tc>
        <w:tc>
          <w:tcPr>
            <w:tcW w:w="1720" w:type="dxa"/>
            <w:shd w:val="clear" w:color="auto" w:fill="F2F2F2"/>
          </w:tcPr>
          <w:p>
            <w:pPr>
              <w:pStyle w:val="TableParagraph"/>
              <w:spacing w:before="111"/>
              <w:ind w:left="5"/>
              <w:jc w:val="center"/>
              <w:rPr>
                <w:sz w:val="20"/>
              </w:rPr>
            </w:pPr>
            <w:r>
              <w:rPr>
                <w:spacing w:val="-5"/>
                <w:sz w:val="20"/>
              </w:rPr>
              <w:t>No</w:t>
            </w:r>
          </w:p>
        </w:tc>
        <w:tc>
          <w:tcPr>
            <w:tcW w:w="2100" w:type="dxa"/>
            <w:shd w:val="clear" w:color="auto" w:fill="F2F2F2"/>
          </w:tcPr>
          <w:p>
            <w:pPr>
              <w:pStyle w:val="TableParagraph"/>
              <w:spacing w:before="111"/>
              <w:ind w:right="68"/>
              <w:jc w:val="center"/>
              <w:rPr>
                <w:sz w:val="20"/>
              </w:rPr>
            </w:pPr>
            <w:r>
              <w:rPr>
                <w:spacing w:val="-5"/>
                <w:sz w:val="20"/>
              </w:rPr>
              <w:t>Yes</w:t>
            </w:r>
          </w:p>
        </w:tc>
        <w:tc>
          <w:tcPr>
            <w:tcW w:w="2540" w:type="dxa"/>
            <w:shd w:val="clear" w:color="auto" w:fill="F2F2F2"/>
          </w:tcPr>
          <w:p>
            <w:pPr>
              <w:pStyle w:val="TableParagraph"/>
              <w:spacing w:before="111"/>
              <w:ind w:left="5"/>
              <w:jc w:val="center"/>
              <w:rPr>
                <w:sz w:val="20"/>
              </w:rPr>
            </w:pPr>
            <w:r>
              <w:rPr>
                <w:spacing w:val="-5"/>
                <w:sz w:val="20"/>
              </w:rPr>
              <w:t>No</w:t>
            </w:r>
          </w:p>
        </w:tc>
        <w:tc>
          <w:tcPr>
            <w:tcW w:w="1660" w:type="dxa"/>
            <w:shd w:val="clear" w:color="auto" w:fill="F2F2F2"/>
          </w:tcPr>
          <w:p>
            <w:pPr>
              <w:pStyle w:val="TableParagraph"/>
              <w:spacing w:before="111"/>
              <w:ind w:left="5"/>
              <w:jc w:val="center"/>
              <w:rPr>
                <w:sz w:val="20"/>
              </w:rPr>
            </w:pPr>
            <w:r>
              <w:rPr>
                <w:spacing w:val="-5"/>
                <w:sz w:val="20"/>
              </w:rPr>
              <w:t>Yes</w:t>
            </w:r>
          </w:p>
        </w:tc>
      </w:tr>
    </w:tbl>
    <w:p>
      <w:pPr>
        <w:pStyle w:val="BodyText"/>
        <w:rPr>
          <w:b/>
          <w:sz w:val="20"/>
        </w:rPr>
      </w:pPr>
    </w:p>
    <w:p>
      <w:pPr>
        <w:pStyle w:val="BodyText"/>
        <w:spacing w:before="22"/>
        <w:rPr>
          <w:b/>
          <w:sz w:val="20"/>
        </w:rPr>
      </w:pPr>
    </w:p>
    <w:p>
      <w:pPr>
        <w:spacing w:before="0"/>
        <w:ind w:left="0" w:right="1331" w:firstLine="0"/>
        <w:jc w:val="center"/>
        <w:rPr>
          <w:b/>
          <w:sz w:val="20"/>
        </w:rPr>
      </w:pPr>
      <w:r>
        <w:rPr>
          <w:b/>
          <w:sz w:val="20"/>
        </w:rPr>
        <w:t>Table</w:t>
      </w:r>
      <w:r>
        <w:rPr>
          <w:b/>
          <w:spacing w:val="-12"/>
          <w:sz w:val="20"/>
        </w:rPr>
        <w:t> </w:t>
      </w:r>
      <w:r>
        <w:rPr>
          <w:b/>
          <w:sz w:val="20"/>
        </w:rPr>
        <w:t>4:</w:t>
      </w:r>
      <w:r>
        <w:rPr>
          <w:b/>
          <w:spacing w:val="-12"/>
          <w:sz w:val="20"/>
        </w:rPr>
        <w:t> </w:t>
      </w:r>
      <w:r>
        <w:rPr>
          <w:b/>
          <w:sz w:val="20"/>
        </w:rPr>
        <w:t>Supporting</w:t>
      </w:r>
      <w:r>
        <w:rPr>
          <w:b/>
          <w:spacing w:val="-11"/>
          <w:sz w:val="20"/>
        </w:rPr>
        <w:t> </w:t>
      </w:r>
      <w:r>
        <w:rPr>
          <w:b/>
          <w:spacing w:val="-2"/>
          <w:sz w:val="20"/>
        </w:rPr>
        <w:t>Quotes</w:t>
      </w:r>
    </w:p>
    <w:tbl>
      <w:tblPr>
        <w:tblW w:w="0" w:type="auto"/>
        <w:jc w:val="left"/>
        <w:tblInd w:w="1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40"/>
        <w:gridCol w:w="7920"/>
      </w:tblGrid>
      <w:tr>
        <w:trPr>
          <w:trHeight w:val="459" w:hRule="atLeast"/>
        </w:trPr>
        <w:tc>
          <w:tcPr>
            <w:tcW w:w="1440" w:type="dxa"/>
          </w:tcPr>
          <w:p>
            <w:pPr>
              <w:pStyle w:val="TableParagraph"/>
              <w:spacing w:before="100"/>
              <w:ind w:left="24" w:right="97"/>
              <w:jc w:val="center"/>
              <w:rPr>
                <w:b/>
                <w:sz w:val="20"/>
              </w:rPr>
            </w:pPr>
            <w:r>
              <w:rPr>
                <w:b/>
                <w:spacing w:val="-2"/>
                <w:sz w:val="20"/>
              </w:rPr>
              <w:t>Subtheme</w:t>
            </w:r>
          </w:p>
        </w:tc>
        <w:tc>
          <w:tcPr>
            <w:tcW w:w="7920" w:type="dxa"/>
          </w:tcPr>
          <w:p>
            <w:pPr>
              <w:pStyle w:val="TableParagraph"/>
              <w:spacing w:before="100"/>
              <w:jc w:val="center"/>
              <w:rPr>
                <w:b/>
                <w:sz w:val="20"/>
              </w:rPr>
            </w:pPr>
            <w:r>
              <w:rPr>
                <w:b/>
                <w:spacing w:val="-2"/>
                <w:sz w:val="20"/>
              </w:rPr>
              <w:t>Representative</w:t>
            </w:r>
            <w:r>
              <w:rPr>
                <w:b/>
                <w:spacing w:val="11"/>
                <w:sz w:val="20"/>
              </w:rPr>
              <w:t> </w:t>
            </w:r>
            <w:r>
              <w:rPr>
                <w:b/>
                <w:spacing w:val="-2"/>
                <w:sz w:val="20"/>
              </w:rPr>
              <w:t>Quotes</w:t>
            </w:r>
          </w:p>
        </w:tc>
      </w:tr>
      <w:tr>
        <w:trPr>
          <w:trHeight w:val="6440" w:hRule="atLeast"/>
        </w:trPr>
        <w:tc>
          <w:tcPr>
            <w:tcW w:w="1440" w:type="dxa"/>
          </w:tcPr>
          <w:p>
            <w:pPr>
              <w:pStyle w:val="TableParagraph"/>
              <w:spacing w:before="100"/>
              <w:ind w:right="97"/>
              <w:jc w:val="center"/>
              <w:rPr>
                <w:sz w:val="20"/>
              </w:rPr>
            </w:pPr>
            <w:r>
              <w:rPr>
                <w:spacing w:val="-5"/>
                <w:sz w:val="20"/>
              </w:rPr>
              <w:t>1.1</w:t>
            </w:r>
          </w:p>
        </w:tc>
        <w:tc>
          <w:tcPr>
            <w:tcW w:w="7920" w:type="dxa"/>
          </w:tcPr>
          <w:p>
            <w:pPr>
              <w:pStyle w:val="TableParagraph"/>
              <w:spacing w:line="230" w:lineRule="auto" w:before="100"/>
              <w:ind w:left="215" w:right="237"/>
              <w:rPr>
                <w:sz w:val="20"/>
              </w:rPr>
            </w:pPr>
            <w:r>
              <w:rPr>
                <w:sz w:val="20"/>
              </w:rPr>
              <w:t>Then I decided to talk to Dr. Hasson about wanting to switch my major, but being worried that</w:t>
            </w:r>
            <w:r>
              <w:rPr>
                <w:spacing w:val="40"/>
                <w:sz w:val="20"/>
              </w:rPr>
              <w:t> </w:t>
            </w:r>
            <w:r>
              <w:rPr>
                <w:sz w:val="20"/>
              </w:rPr>
              <w:t>I'm</w:t>
            </w:r>
            <w:r>
              <w:rPr>
                <w:spacing w:val="-3"/>
                <w:sz w:val="20"/>
              </w:rPr>
              <w:t> </w:t>
            </w:r>
            <w:r>
              <w:rPr>
                <w:sz w:val="20"/>
              </w:rPr>
              <w:t>not</w:t>
            </w:r>
            <w:r>
              <w:rPr>
                <w:spacing w:val="-3"/>
                <w:sz w:val="20"/>
              </w:rPr>
              <w:t> </w:t>
            </w:r>
            <w:r>
              <w:rPr>
                <w:sz w:val="20"/>
              </w:rPr>
              <w:t>going</w:t>
            </w:r>
            <w:r>
              <w:rPr>
                <w:spacing w:val="-3"/>
                <w:sz w:val="20"/>
              </w:rPr>
              <w:t> </w:t>
            </w:r>
            <w:r>
              <w:rPr>
                <w:sz w:val="20"/>
              </w:rPr>
              <w:t>to</w:t>
            </w:r>
            <w:r>
              <w:rPr>
                <w:spacing w:val="-3"/>
                <w:sz w:val="20"/>
              </w:rPr>
              <w:t> </w:t>
            </w:r>
            <w:r>
              <w:rPr>
                <w:sz w:val="20"/>
              </w:rPr>
              <w:t>be</w:t>
            </w:r>
            <w:r>
              <w:rPr>
                <w:spacing w:val="-3"/>
                <w:sz w:val="20"/>
              </w:rPr>
              <w:t> </w:t>
            </w:r>
            <w:r>
              <w:rPr>
                <w:sz w:val="20"/>
              </w:rPr>
              <w:t>smart</w:t>
            </w:r>
            <w:r>
              <w:rPr>
                <w:spacing w:val="-3"/>
                <w:sz w:val="20"/>
              </w:rPr>
              <w:t> </w:t>
            </w:r>
            <w:r>
              <w:rPr>
                <w:sz w:val="20"/>
              </w:rPr>
              <w:t>enough.</w:t>
            </w:r>
            <w:r>
              <w:rPr>
                <w:spacing w:val="-3"/>
                <w:sz w:val="20"/>
              </w:rPr>
              <w:t> </w:t>
            </w:r>
            <w:r>
              <w:rPr>
                <w:sz w:val="20"/>
              </w:rPr>
              <w:t>And</w:t>
            </w:r>
            <w:r>
              <w:rPr>
                <w:spacing w:val="-3"/>
                <w:sz w:val="20"/>
              </w:rPr>
              <w:t> </w:t>
            </w:r>
            <w:r>
              <w:rPr>
                <w:sz w:val="20"/>
              </w:rPr>
              <w:t>he</w:t>
            </w:r>
            <w:r>
              <w:rPr>
                <w:spacing w:val="-3"/>
                <w:sz w:val="20"/>
              </w:rPr>
              <w:t> </w:t>
            </w:r>
            <w:r>
              <w:rPr>
                <w:sz w:val="20"/>
              </w:rPr>
              <w:t>was</w:t>
            </w:r>
            <w:r>
              <w:rPr>
                <w:spacing w:val="-3"/>
                <w:sz w:val="20"/>
              </w:rPr>
              <w:t> </w:t>
            </w:r>
            <w:r>
              <w:rPr>
                <w:sz w:val="20"/>
              </w:rPr>
              <w:t>like</w:t>
            </w:r>
            <w:r>
              <w:rPr>
                <w:spacing w:val="-3"/>
                <w:sz w:val="20"/>
              </w:rPr>
              <w:t> </w:t>
            </w:r>
            <w:r>
              <w:rPr>
                <w:sz w:val="20"/>
              </w:rPr>
              <w:t>“No,</w:t>
            </w:r>
            <w:r>
              <w:rPr>
                <w:spacing w:val="-3"/>
                <w:sz w:val="20"/>
              </w:rPr>
              <w:t> </w:t>
            </w:r>
            <w:r>
              <w:rPr>
                <w:sz w:val="20"/>
              </w:rPr>
              <w:t>you’ve</w:t>
            </w:r>
            <w:r>
              <w:rPr>
                <w:spacing w:val="-3"/>
                <w:sz w:val="20"/>
              </w:rPr>
              <w:t> </w:t>
            </w:r>
            <w:r>
              <w:rPr>
                <w:sz w:val="20"/>
              </w:rPr>
              <w:t>got</w:t>
            </w:r>
            <w:r>
              <w:rPr>
                <w:spacing w:val="-3"/>
                <w:sz w:val="20"/>
              </w:rPr>
              <w:t> </w:t>
            </w:r>
            <w:r>
              <w:rPr>
                <w:sz w:val="20"/>
              </w:rPr>
              <w:t>this.”</w:t>
            </w:r>
            <w:r>
              <w:rPr>
                <w:spacing w:val="-3"/>
                <w:sz w:val="20"/>
              </w:rPr>
              <w:t> </w:t>
            </w:r>
            <w:r>
              <w:rPr>
                <w:sz w:val="20"/>
              </w:rPr>
              <w:t>…Then</w:t>
            </w:r>
            <w:r>
              <w:rPr>
                <w:spacing w:val="-3"/>
                <w:sz w:val="20"/>
              </w:rPr>
              <w:t> </w:t>
            </w:r>
            <w:r>
              <w:rPr>
                <w:sz w:val="20"/>
              </w:rPr>
              <w:t>I</w:t>
            </w:r>
            <w:r>
              <w:rPr>
                <w:spacing w:val="-3"/>
                <w:sz w:val="20"/>
              </w:rPr>
              <w:t> </w:t>
            </w:r>
            <w:r>
              <w:rPr>
                <w:sz w:val="20"/>
              </w:rPr>
              <w:t>just decided</w:t>
            </w:r>
            <w:r>
              <w:rPr>
                <w:spacing w:val="40"/>
                <w:sz w:val="20"/>
              </w:rPr>
              <w:t> </w:t>
            </w:r>
            <w:r>
              <w:rPr>
                <w:sz w:val="20"/>
              </w:rPr>
              <w:t>to switch and became locked in with accounting, and I've loved it ever since. (P3)</w:t>
            </w:r>
          </w:p>
          <w:p>
            <w:pPr>
              <w:pStyle w:val="TableParagraph"/>
              <w:spacing w:before="4"/>
              <w:rPr>
                <w:b/>
                <w:sz w:val="20"/>
              </w:rPr>
            </w:pPr>
          </w:p>
          <w:p>
            <w:pPr>
              <w:pStyle w:val="TableParagraph"/>
              <w:spacing w:line="230" w:lineRule="auto"/>
              <w:ind w:left="215" w:right="237"/>
              <w:rPr>
                <w:sz w:val="20"/>
              </w:rPr>
            </w:pPr>
            <w:r>
              <w:rPr>
                <w:sz w:val="20"/>
              </w:rPr>
              <w:t>But honestly, the professors are definitely what made me stay. They care about their job. They're</w:t>
            </w:r>
            <w:r>
              <w:rPr>
                <w:spacing w:val="-3"/>
                <w:sz w:val="20"/>
              </w:rPr>
              <w:t> </w:t>
            </w:r>
            <w:r>
              <w:rPr>
                <w:sz w:val="20"/>
              </w:rPr>
              <w:t>not</w:t>
            </w:r>
            <w:r>
              <w:rPr>
                <w:spacing w:val="-3"/>
                <w:sz w:val="20"/>
              </w:rPr>
              <w:t> </w:t>
            </w:r>
            <w:r>
              <w:rPr>
                <w:sz w:val="20"/>
              </w:rPr>
              <w:t>teaching</w:t>
            </w:r>
            <w:r>
              <w:rPr>
                <w:spacing w:val="-3"/>
                <w:sz w:val="20"/>
              </w:rPr>
              <w:t> </w:t>
            </w:r>
            <w:r>
              <w:rPr>
                <w:sz w:val="20"/>
              </w:rPr>
              <w:t>for</w:t>
            </w:r>
            <w:r>
              <w:rPr>
                <w:spacing w:val="-3"/>
                <w:sz w:val="20"/>
              </w:rPr>
              <w:t> </w:t>
            </w:r>
            <w:r>
              <w:rPr>
                <w:sz w:val="20"/>
              </w:rPr>
              <w:t>the</w:t>
            </w:r>
            <w:r>
              <w:rPr>
                <w:spacing w:val="-3"/>
                <w:sz w:val="20"/>
              </w:rPr>
              <w:t> </w:t>
            </w:r>
            <w:r>
              <w:rPr>
                <w:sz w:val="20"/>
              </w:rPr>
              <w:t>money,</w:t>
            </w:r>
            <w:r>
              <w:rPr>
                <w:spacing w:val="-3"/>
                <w:sz w:val="20"/>
              </w:rPr>
              <w:t> </w:t>
            </w:r>
            <w:r>
              <w:rPr>
                <w:sz w:val="20"/>
              </w:rPr>
              <w:t>they're</w:t>
            </w:r>
            <w:r>
              <w:rPr>
                <w:spacing w:val="-3"/>
                <w:sz w:val="20"/>
              </w:rPr>
              <w:t> </w:t>
            </w:r>
            <w:r>
              <w:rPr>
                <w:sz w:val="20"/>
              </w:rPr>
              <w:t>doing</w:t>
            </w:r>
            <w:r>
              <w:rPr>
                <w:spacing w:val="-3"/>
                <w:sz w:val="20"/>
              </w:rPr>
              <w:t> </w:t>
            </w:r>
            <w:r>
              <w:rPr>
                <w:sz w:val="20"/>
              </w:rPr>
              <w:t>it</w:t>
            </w:r>
            <w:r>
              <w:rPr>
                <w:spacing w:val="-3"/>
                <w:sz w:val="20"/>
              </w:rPr>
              <w:t> </w:t>
            </w:r>
            <w:r>
              <w:rPr>
                <w:sz w:val="20"/>
              </w:rPr>
              <w:t>because</w:t>
            </w:r>
            <w:r>
              <w:rPr>
                <w:spacing w:val="-3"/>
                <w:sz w:val="20"/>
              </w:rPr>
              <w:t> </w:t>
            </w:r>
            <w:r>
              <w:rPr>
                <w:sz w:val="20"/>
              </w:rPr>
              <w:t>they</w:t>
            </w:r>
            <w:r>
              <w:rPr>
                <w:spacing w:val="-3"/>
                <w:sz w:val="20"/>
              </w:rPr>
              <w:t> </w:t>
            </w:r>
            <w:r>
              <w:rPr>
                <w:sz w:val="20"/>
              </w:rPr>
              <w:t>love</w:t>
            </w:r>
            <w:r>
              <w:rPr>
                <w:spacing w:val="-3"/>
                <w:sz w:val="20"/>
              </w:rPr>
              <w:t> </w:t>
            </w:r>
            <w:r>
              <w:rPr>
                <w:sz w:val="20"/>
              </w:rPr>
              <w:t>it.</w:t>
            </w:r>
            <w:r>
              <w:rPr>
                <w:spacing w:val="-3"/>
                <w:sz w:val="20"/>
              </w:rPr>
              <w:t> </w:t>
            </w:r>
            <w:r>
              <w:rPr>
                <w:sz w:val="20"/>
              </w:rPr>
              <w:t>And</w:t>
            </w:r>
            <w:r>
              <w:rPr>
                <w:spacing w:val="-3"/>
                <w:sz w:val="20"/>
              </w:rPr>
              <w:t> </w:t>
            </w:r>
            <w:r>
              <w:rPr>
                <w:sz w:val="20"/>
              </w:rPr>
              <w:t>I</w:t>
            </w:r>
            <w:r>
              <w:rPr>
                <w:spacing w:val="-3"/>
                <w:sz w:val="20"/>
              </w:rPr>
              <w:t> </w:t>
            </w:r>
            <w:r>
              <w:rPr>
                <w:sz w:val="20"/>
              </w:rPr>
              <w:t>appreciate that,</w:t>
            </w:r>
            <w:r>
              <w:rPr>
                <w:spacing w:val="40"/>
                <w:sz w:val="20"/>
              </w:rPr>
              <w:t> </w:t>
            </w:r>
            <w:r>
              <w:rPr>
                <w:sz w:val="20"/>
              </w:rPr>
              <w:t>the</w:t>
            </w:r>
            <w:r>
              <w:rPr>
                <w:spacing w:val="-3"/>
                <w:sz w:val="20"/>
              </w:rPr>
              <w:t> </w:t>
            </w:r>
            <w:r>
              <w:rPr>
                <w:sz w:val="20"/>
              </w:rPr>
              <w:t>time</w:t>
            </w:r>
            <w:r>
              <w:rPr>
                <w:spacing w:val="-3"/>
                <w:sz w:val="20"/>
              </w:rPr>
              <w:t> </w:t>
            </w:r>
            <w:r>
              <w:rPr>
                <w:sz w:val="20"/>
              </w:rPr>
              <w:t>and</w:t>
            </w:r>
            <w:r>
              <w:rPr>
                <w:spacing w:val="-3"/>
                <w:sz w:val="20"/>
              </w:rPr>
              <w:t> </w:t>
            </w:r>
            <w:r>
              <w:rPr>
                <w:sz w:val="20"/>
              </w:rPr>
              <w:t>effort</w:t>
            </w:r>
            <w:r>
              <w:rPr>
                <w:spacing w:val="-3"/>
                <w:sz w:val="20"/>
              </w:rPr>
              <w:t> </w:t>
            </w:r>
            <w:r>
              <w:rPr>
                <w:sz w:val="20"/>
              </w:rPr>
              <w:t>that</w:t>
            </w:r>
            <w:r>
              <w:rPr>
                <w:spacing w:val="-3"/>
                <w:sz w:val="20"/>
              </w:rPr>
              <w:t> </w:t>
            </w:r>
            <w:r>
              <w:rPr>
                <w:sz w:val="20"/>
              </w:rPr>
              <w:t>they</w:t>
            </w:r>
            <w:r>
              <w:rPr>
                <w:spacing w:val="-3"/>
                <w:sz w:val="20"/>
              </w:rPr>
              <w:t> </w:t>
            </w:r>
            <w:r>
              <w:rPr>
                <w:sz w:val="20"/>
              </w:rPr>
              <w:t>put</w:t>
            </w:r>
            <w:r>
              <w:rPr>
                <w:spacing w:val="-3"/>
                <w:sz w:val="20"/>
              </w:rPr>
              <w:t> </w:t>
            </w:r>
            <w:r>
              <w:rPr>
                <w:sz w:val="20"/>
              </w:rPr>
              <w:t>into</w:t>
            </w:r>
            <w:r>
              <w:rPr>
                <w:spacing w:val="-3"/>
                <w:sz w:val="20"/>
              </w:rPr>
              <w:t> </w:t>
            </w:r>
            <w:r>
              <w:rPr>
                <w:sz w:val="20"/>
              </w:rPr>
              <w:t>us</w:t>
            </w:r>
            <w:r>
              <w:rPr>
                <w:spacing w:val="-3"/>
                <w:sz w:val="20"/>
              </w:rPr>
              <w:t> </w:t>
            </w:r>
            <w:r>
              <w:rPr>
                <w:sz w:val="20"/>
              </w:rPr>
              <w:t>every</w:t>
            </w:r>
            <w:r>
              <w:rPr>
                <w:spacing w:val="-3"/>
                <w:sz w:val="20"/>
              </w:rPr>
              <w:t> </w:t>
            </w:r>
            <w:r>
              <w:rPr>
                <w:sz w:val="20"/>
              </w:rPr>
              <w:t>single</w:t>
            </w:r>
            <w:r>
              <w:rPr>
                <w:spacing w:val="-3"/>
                <w:sz w:val="20"/>
              </w:rPr>
              <w:t> </w:t>
            </w:r>
            <w:r>
              <w:rPr>
                <w:sz w:val="20"/>
              </w:rPr>
              <w:t>time</w:t>
            </w:r>
            <w:r>
              <w:rPr>
                <w:spacing w:val="-3"/>
                <w:sz w:val="20"/>
              </w:rPr>
              <w:t> </w:t>
            </w:r>
            <w:r>
              <w:rPr>
                <w:sz w:val="20"/>
              </w:rPr>
              <w:t>we</w:t>
            </w:r>
            <w:r>
              <w:rPr>
                <w:spacing w:val="-3"/>
                <w:sz w:val="20"/>
              </w:rPr>
              <w:t> </w:t>
            </w:r>
            <w:r>
              <w:rPr>
                <w:sz w:val="20"/>
              </w:rPr>
              <w:t>go</w:t>
            </w:r>
            <w:r>
              <w:rPr>
                <w:spacing w:val="-3"/>
                <w:sz w:val="20"/>
              </w:rPr>
              <w:t> </w:t>
            </w:r>
            <w:r>
              <w:rPr>
                <w:sz w:val="20"/>
              </w:rPr>
              <w:t>to</w:t>
            </w:r>
            <w:r>
              <w:rPr>
                <w:spacing w:val="-3"/>
                <w:sz w:val="20"/>
              </w:rPr>
              <w:t> </w:t>
            </w:r>
            <w:r>
              <w:rPr>
                <w:sz w:val="20"/>
              </w:rPr>
              <w:t>their</w:t>
            </w:r>
            <w:r>
              <w:rPr>
                <w:spacing w:val="-3"/>
                <w:sz w:val="20"/>
              </w:rPr>
              <w:t> </w:t>
            </w:r>
            <w:r>
              <w:rPr>
                <w:sz w:val="20"/>
              </w:rPr>
              <w:t>class</w:t>
            </w:r>
            <w:r>
              <w:rPr>
                <w:spacing w:val="-3"/>
                <w:sz w:val="20"/>
              </w:rPr>
              <w:t> </w:t>
            </w:r>
            <w:r>
              <w:rPr>
                <w:sz w:val="20"/>
              </w:rPr>
              <w:t>and</w:t>
            </w:r>
            <w:r>
              <w:rPr>
                <w:spacing w:val="-3"/>
                <w:sz w:val="20"/>
              </w:rPr>
              <w:t> </w:t>
            </w:r>
            <w:r>
              <w:rPr>
                <w:sz w:val="20"/>
              </w:rPr>
              <w:t>all that. (P3)</w:t>
            </w:r>
          </w:p>
          <w:p>
            <w:pPr>
              <w:pStyle w:val="TableParagraph"/>
              <w:spacing w:before="3"/>
              <w:rPr>
                <w:b/>
                <w:sz w:val="20"/>
              </w:rPr>
            </w:pPr>
          </w:p>
          <w:p>
            <w:pPr>
              <w:pStyle w:val="TableParagraph"/>
              <w:spacing w:line="230" w:lineRule="auto"/>
              <w:ind w:left="200" w:right="237" w:firstLine="15"/>
              <w:rPr>
                <w:sz w:val="20"/>
              </w:rPr>
            </w:pPr>
            <w:r>
              <w:rPr>
                <w:sz w:val="20"/>
              </w:rPr>
              <w:t>Also, you know Ms. Deese was a really good teacher. I always thought accounting was boring,</w:t>
            </w:r>
            <w:r>
              <w:rPr>
                <w:spacing w:val="40"/>
                <w:sz w:val="20"/>
              </w:rPr>
              <w:t> </w:t>
            </w:r>
            <w:r>
              <w:rPr>
                <w:sz w:val="20"/>
              </w:rPr>
              <w:t>just</w:t>
            </w:r>
            <w:r>
              <w:rPr>
                <w:spacing w:val="-3"/>
                <w:sz w:val="20"/>
              </w:rPr>
              <w:t> </w:t>
            </w:r>
            <w:r>
              <w:rPr>
                <w:sz w:val="20"/>
              </w:rPr>
              <w:t>numbers</w:t>
            </w:r>
            <w:r>
              <w:rPr>
                <w:spacing w:val="-3"/>
                <w:sz w:val="20"/>
              </w:rPr>
              <w:t> </w:t>
            </w:r>
            <w:r>
              <w:rPr>
                <w:sz w:val="20"/>
              </w:rPr>
              <w:t>and</w:t>
            </w:r>
            <w:r>
              <w:rPr>
                <w:spacing w:val="-3"/>
                <w:sz w:val="20"/>
              </w:rPr>
              <w:t> </w:t>
            </w:r>
            <w:r>
              <w:rPr>
                <w:sz w:val="20"/>
              </w:rPr>
              <w:t>stuff,</w:t>
            </w:r>
            <w:r>
              <w:rPr>
                <w:spacing w:val="-3"/>
                <w:sz w:val="20"/>
              </w:rPr>
              <w:t> </w:t>
            </w:r>
            <w:r>
              <w:rPr>
                <w:sz w:val="20"/>
              </w:rPr>
              <w:t>but</w:t>
            </w:r>
            <w:r>
              <w:rPr>
                <w:spacing w:val="-3"/>
                <w:sz w:val="20"/>
              </w:rPr>
              <w:t> </w:t>
            </w:r>
            <w:r>
              <w:rPr>
                <w:sz w:val="20"/>
              </w:rPr>
              <w:t>she</w:t>
            </w:r>
            <w:r>
              <w:rPr>
                <w:spacing w:val="-3"/>
                <w:sz w:val="20"/>
              </w:rPr>
              <w:t> </w:t>
            </w:r>
            <w:r>
              <w:rPr>
                <w:sz w:val="20"/>
              </w:rPr>
              <w:t>really</w:t>
            </w:r>
            <w:r>
              <w:rPr>
                <w:spacing w:val="-3"/>
                <w:sz w:val="20"/>
              </w:rPr>
              <w:t> </w:t>
            </w:r>
            <w:r>
              <w:rPr>
                <w:sz w:val="20"/>
              </w:rPr>
              <w:t>showed</w:t>
            </w:r>
            <w:r>
              <w:rPr>
                <w:spacing w:val="-3"/>
                <w:sz w:val="20"/>
              </w:rPr>
              <w:t> </w:t>
            </w:r>
            <w:r>
              <w:rPr>
                <w:sz w:val="20"/>
              </w:rPr>
              <w:t>us</w:t>
            </w:r>
            <w:r>
              <w:rPr>
                <w:spacing w:val="-3"/>
                <w:sz w:val="20"/>
              </w:rPr>
              <w:t> </w:t>
            </w:r>
            <w:r>
              <w:rPr>
                <w:sz w:val="20"/>
              </w:rPr>
              <w:t>that</w:t>
            </w:r>
            <w:r>
              <w:rPr>
                <w:spacing w:val="-3"/>
                <w:sz w:val="20"/>
              </w:rPr>
              <w:t> </w:t>
            </w:r>
            <w:r>
              <w:rPr>
                <w:sz w:val="20"/>
              </w:rPr>
              <w:t>it's</w:t>
            </w:r>
            <w:r>
              <w:rPr>
                <w:spacing w:val="-3"/>
                <w:sz w:val="20"/>
              </w:rPr>
              <w:t> </w:t>
            </w:r>
            <w:r>
              <w:rPr>
                <w:sz w:val="20"/>
              </w:rPr>
              <w:t>more</w:t>
            </w:r>
            <w:r>
              <w:rPr>
                <w:spacing w:val="-3"/>
                <w:sz w:val="20"/>
              </w:rPr>
              <w:t> </w:t>
            </w:r>
            <w:r>
              <w:rPr>
                <w:sz w:val="20"/>
              </w:rPr>
              <w:t>than</w:t>
            </w:r>
            <w:r>
              <w:rPr>
                <w:spacing w:val="-3"/>
                <w:sz w:val="20"/>
              </w:rPr>
              <w:t> </w:t>
            </w:r>
            <w:r>
              <w:rPr>
                <w:sz w:val="20"/>
              </w:rPr>
              <w:t>that</w:t>
            </w:r>
            <w:r>
              <w:rPr>
                <w:spacing w:val="-3"/>
                <w:sz w:val="20"/>
              </w:rPr>
              <w:t> </w:t>
            </w:r>
            <w:r>
              <w:rPr>
                <w:sz w:val="20"/>
              </w:rPr>
              <w:t>…</w:t>
            </w:r>
            <w:r>
              <w:rPr>
                <w:spacing w:val="-3"/>
                <w:sz w:val="20"/>
              </w:rPr>
              <w:t> </w:t>
            </w:r>
            <w:r>
              <w:rPr>
                <w:sz w:val="20"/>
              </w:rPr>
              <w:t>So</w:t>
            </w:r>
            <w:r>
              <w:rPr>
                <w:spacing w:val="-3"/>
                <w:sz w:val="20"/>
              </w:rPr>
              <w:t> </w:t>
            </w:r>
            <w:r>
              <w:rPr>
                <w:sz w:val="20"/>
              </w:rPr>
              <w:t>when she showed</w:t>
            </w:r>
            <w:r>
              <w:rPr>
                <w:spacing w:val="40"/>
                <w:sz w:val="20"/>
              </w:rPr>
              <w:t> </w:t>
            </w:r>
            <w:r>
              <w:rPr>
                <w:sz w:val="20"/>
              </w:rPr>
              <w:t>us accounting and that it was fun, and I picked up on it really quick, she definitely solidified</w:t>
            </w:r>
            <w:r>
              <w:rPr>
                <w:spacing w:val="40"/>
                <w:sz w:val="20"/>
              </w:rPr>
              <w:t> </w:t>
            </w:r>
            <w:r>
              <w:rPr>
                <w:sz w:val="20"/>
              </w:rPr>
              <w:t>that for me. (P7)</w:t>
            </w:r>
          </w:p>
          <w:p>
            <w:pPr>
              <w:pStyle w:val="TableParagraph"/>
              <w:spacing w:before="2"/>
              <w:rPr>
                <w:b/>
                <w:sz w:val="20"/>
              </w:rPr>
            </w:pPr>
          </w:p>
          <w:p>
            <w:pPr>
              <w:pStyle w:val="TableParagraph"/>
              <w:spacing w:line="230" w:lineRule="auto"/>
              <w:ind w:left="215" w:right="237"/>
              <w:rPr>
                <w:sz w:val="20"/>
              </w:rPr>
            </w:pPr>
            <w:r>
              <w:rPr>
                <w:sz w:val="20"/>
              </w:rPr>
              <w:t>I</w:t>
            </w:r>
            <w:r>
              <w:rPr>
                <w:spacing w:val="-2"/>
                <w:sz w:val="20"/>
              </w:rPr>
              <w:t> </w:t>
            </w:r>
            <w:r>
              <w:rPr>
                <w:sz w:val="20"/>
              </w:rPr>
              <w:t>took</w:t>
            </w:r>
            <w:r>
              <w:rPr>
                <w:spacing w:val="-2"/>
                <w:sz w:val="20"/>
              </w:rPr>
              <w:t> </w:t>
            </w:r>
            <w:r>
              <w:rPr>
                <w:sz w:val="20"/>
              </w:rPr>
              <w:t>it</w:t>
            </w:r>
            <w:r>
              <w:rPr>
                <w:spacing w:val="-2"/>
                <w:sz w:val="20"/>
              </w:rPr>
              <w:t> </w:t>
            </w:r>
            <w:r>
              <w:rPr>
                <w:sz w:val="20"/>
              </w:rPr>
              <w:t>[HR]</w:t>
            </w:r>
            <w:r>
              <w:rPr>
                <w:spacing w:val="-2"/>
                <w:sz w:val="20"/>
              </w:rPr>
              <w:t> </w:t>
            </w:r>
            <w:r>
              <w:rPr>
                <w:sz w:val="20"/>
              </w:rPr>
              <w:t>because</w:t>
            </w:r>
            <w:r>
              <w:rPr>
                <w:spacing w:val="-2"/>
                <w:sz w:val="20"/>
              </w:rPr>
              <w:t> </w:t>
            </w:r>
            <w:r>
              <w:rPr>
                <w:sz w:val="20"/>
              </w:rPr>
              <w:t>I</w:t>
            </w:r>
            <w:r>
              <w:rPr>
                <w:spacing w:val="-2"/>
                <w:sz w:val="20"/>
              </w:rPr>
              <w:t> </w:t>
            </w:r>
            <w:r>
              <w:rPr>
                <w:sz w:val="20"/>
              </w:rPr>
              <w:t>might</w:t>
            </w:r>
            <w:r>
              <w:rPr>
                <w:spacing w:val="-2"/>
                <w:sz w:val="20"/>
              </w:rPr>
              <w:t> </w:t>
            </w:r>
            <w:r>
              <w:rPr>
                <w:sz w:val="20"/>
              </w:rPr>
              <w:t>as</w:t>
            </w:r>
            <w:r>
              <w:rPr>
                <w:spacing w:val="-2"/>
                <w:sz w:val="20"/>
              </w:rPr>
              <w:t> </w:t>
            </w:r>
            <w:r>
              <w:rPr>
                <w:sz w:val="20"/>
              </w:rPr>
              <w:t>well</w:t>
            </w:r>
            <w:r>
              <w:rPr>
                <w:spacing w:val="-2"/>
                <w:sz w:val="20"/>
              </w:rPr>
              <w:t> </w:t>
            </w:r>
            <w:r>
              <w:rPr>
                <w:sz w:val="20"/>
              </w:rPr>
              <w:t>and</w:t>
            </w:r>
            <w:r>
              <w:rPr>
                <w:spacing w:val="-2"/>
                <w:sz w:val="20"/>
              </w:rPr>
              <w:t> </w:t>
            </w:r>
            <w:r>
              <w:rPr>
                <w:sz w:val="20"/>
              </w:rPr>
              <w:t>it</w:t>
            </w:r>
            <w:r>
              <w:rPr>
                <w:spacing w:val="-2"/>
                <w:sz w:val="20"/>
              </w:rPr>
              <w:t> </w:t>
            </w:r>
            <w:r>
              <w:rPr>
                <w:sz w:val="20"/>
              </w:rPr>
              <w:t>should</w:t>
            </w:r>
            <w:r>
              <w:rPr>
                <w:spacing w:val="-2"/>
                <w:sz w:val="20"/>
              </w:rPr>
              <w:t> </w:t>
            </w:r>
            <w:r>
              <w:rPr>
                <w:sz w:val="20"/>
              </w:rPr>
              <w:t>be</w:t>
            </w:r>
            <w:r>
              <w:rPr>
                <w:spacing w:val="-2"/>
                <w:sz w:val="20"/>
              </w:rPr>
              <w:t> </w:t>
            </w:r>
            <w:r>
              <w:rPr>
                <w:sz w:val="20"/>
              </w:rPr>
              <w:t>interesting.</w:t>
            </w:r>
            <w:r>
              <w:rPr>
                <w:spacing w:val="-2"/>
                <w:sz w:val="20"/>
              </w:rPr>
              <w:t> </w:t>
            </w:r>
            <w:r>
              <w:rPr>
                <w:sz w:val="20"/>
              </w:rPr>
              <w:t>So</w:t>
            </w:r>
            <w:r>
              <w:rPr>
                <w:spacing w:val="-2"/>
                <w:sz w:val="20"/>
              </w:rPr>
              <w:t> </w:t>
            </w:r>
            <w:r>
              <w:rPr>
                <w:sz w:val="20"/>
              </w:rPr>
              <w:t>I</w:t>
            </w:r>
            <w:r>
              <w:rPr>
                <w:spacing w:val="-2"/>
                <w:sz w:val="20"/>
              </w:rPr>
              <w:t> </w:t>
            </w:r>
            <w:r>
              <w:rPr>
                <w:sz w:val="20"/>
              </w:rPr>
              <w:t>took</w:t>
            </w:r>
            <w:r>
              <w:rPr>
                <w:spacing w:val="-2"/>
                <w:sz w:val="20"/>
              </w:rPr>
              <w:t> </w:t>
            </w:r>
            <w:r>
              <w:rPr>
                <w:sz w:val="20"/>
              </w:rPr>
              <w:t>it</w:t>
            </w:r>
            <w:r>
              <w:rPr>
                <w:spacing w:val="-2"/>
                <w:sz w:val="20"/>
              </w:rPr>
              <w:t> </w:t>
            </w:r>
            <w:r>
              <w:rPr>
                <w:sz w:val="20"/>
              </w:rPr>
              <w:t>and</w:t>
            </w:r>
            <w:r>
              <w:rPr>
                <w:spacing w:val="-2"/>
                <w:sz w:val="20"/>
              </w:rPr>
              <w:t> </w:t>
            </w:r>
            <w:r>
              <w:rPr>
                <w:sz w:val="20"/>
              </w:rPr>
              <w:t>I</w:t>
            </w:r>
            <w:r>
              <w:rPr>
                <w:spacing w:val="-2"/>
                <w:sz w:val="20"/>
              </w:rPr>
              <w:t> </w:t>
            </w:r>
            <w:r>
              <w:rPr>
                <w:sz w:val="20"/>
              </w:rPr>
              <w:t>loved</w:t>
            </w:r>
            <w:r>
              <w:rPr>
                <w:spacing w:val="-2"/>
                <w:sz w:val="20"/>
              </w:rPr>
              <w:t> </w:t>
            </w:r>
            <w:r>
              <w:rPr>
                <w:sz w:val="20"/>
              </w:rPr>
              <w:t>it, and I loved all my professors that I had. So I kept taking IO [Industrial-Organizational Psychology] classes with the IO grad professors because the classes were just interesting. </w:t>
            </w:r>
            <w:r>
              <w:rPr>
                <w:spacing w:val="-2"/>
                <w:sz w:val="20"/>
              </w:rPr>
              <w:t>(P11)</w:t>
            </w:r>
          </w:p>
          <w:p>
            <w:pPr>
              <w:pStyle w:val="TableParagraph"/>
              <w:spacing w:before="4"/>
              <w:rPr>
                <w:b/>
                <w:sz w:val="20"/>
              </w:rPr>
            </w:pPr>
          </w:p>
          <w:p>
            <w:pPr>
              <w:pStyle w:val="TableParagraph"/>
              <w:spacing w:line="230" w:lineRule="auto"/>
              <w:ind w:left="215" w:right="415" w:firstLine="15"/>
              <w:rPr>
                <w:sz w:val="20"/>
              </w:rPr>
            </w:pPr>
            <w:r>
              <w:rPr>
                <w:sz w:val="20"/>
              </w:rPr>
              <w:t>So first off, my junior year of high school, I took an accounting class that wasn't like a college</w:t>
            </w:r>
            <w:r>
              <w:rPr>
                <w:spacing w:val="40"/>
                <w:sz w:val="20"/>
              </w:rPr>
              <w:t> </w:t>
            </w:r>
            <w:r>
              <w:rPr>
                <w:sz w:val="20"/>
              </w:rPr>
              <w:t>level</w:t>
            </w:r>
            <w:r>
              <w:rPr>
                <w:spacing w:val="-3"/>
                <w:sz w:val="20"/>
              </w:rPr>
              <w:t> </w:t>
            </w:r>
            <w:r>
              <w:rPr>
                <w:sz w:val="20"/>
              </w:rPr>
              <w:t>class,</w:t>
            </w:r>
            <w:r>
              <w:rPr>
                <w:spacing w:val="-3"/>
                <w:sz w:val="20"/>
              </w:rPr>
              <w:t> </w:t>
            </w:r>
            <w:r>
              <w:rPr>
                <w:sz w:val="20"/>
              </w:rPr>
              <w:t>and</w:t>
            </w:r>
            <w:r>
              <w:rPr>
                <w:spacing w:val="-3"/>
                <w:sz w:val="20"/>
              </w:rPr>
              <w:t> </w:t>
            </w:r>
            <w:r>
              <w:rPr>
                <w:sz w:val="20"/>
              </w:rPr>
              <w:t>then</w:t>
            </w:r>
            <w:r>
              <w:rPr>
                <w:spacing w:val="-3"/>
                <w:sz w:val="20"/>
              </w:rPr>
              <w:t> </w:t>
            </w:r>
            <w:r>
              <w:rPr>
                <w:sz w:val="20"/>
              </w:rPr>
              <w:t>I</w:t>
            </w:r>
            <w:r>
              <w:rPr>
                <w:spacing w:val="-3"/>
                <w:sz w:val="20"/>
              </w:rPr>
              <w:t> </w:t>
            </w:r>
            <w:r>
              <w:rPr>
                <w:sz w:val="20"/>
              </w:rPr>
              <w:t>had</w:t>
            </w:r>
            <w:r>
              <w:rPr>
                <w:spacing w:val="-3"/>
                <w:sz w:val="20"/>
              </w:rPr>
              <w:t> </w:t>
            </w:r>
            <w:r>
              <w:rPr>
                <w:sz w:val="20"/>
              </w:rPr>
              <w:t>really</w:t>
            </w:r>
            <w:r>
              <w:rPr>
                <w:spacing w:val="-3"/>
                <w:sz w:val="20"/>
              </w:rPr>
              <w:t> </w:t>
            </w:r>
            <w:r>
              <w:rPr>
                <w:sz w:val="20"/>
              </w:rPr>
              <w:t>good</w:t>
            </w:r>
            <w:r>
              <w:rPr>
                <w:spacing w:val="-3"/>
                <w:sz w:val="20"/>
              </w:rPr>
              <w:t> </w:t>
            </w:r>
            <w:r>
              <w:rPr>
                <w:sz w:val="20"/>
              </w:rPr>
              <w:t>relations</w:t>
            </w:r>
            <w:r>
              <w:rPr>
                <w:spacing w:val="-3"/>
                <w:sz w:val="20"/>
              </w:rPr>
              <w:t> </w:t>
            </w:r>
            <w:r>
              <w:rPr>
                <w:sz w:val="20"/>
              </w:rPr>
              <w:t>with</w:t>
            </w:r>
            <w:r>
              <w:rPr>
                <w:spacing w:val="-3"/>
                <w:sz w:val="20"/>
              </w:rPr>
              <w:t> </w:t>
            </w:r>
            <w:r>
              <w:rPr>
                <w:sz w:val="20"/>
              </w:rPr>
              <w:t>a</w:t>
            </w:r>
            <w:r>
              <w:rPr>
                <w:spacing w:val="-3"/>
                <w:sz w:val="20"/>
              </w:rPr>
              <w:t> </w:t>
            </w:r>
            <w:r>
              <w:rPr>
                <w:sz w:val="20"/>
              </w:rPr>
              <w:t>teacher,</w:t>
            </w:r>
            <w:r>
              <w:rPr>
                <w:spacing w:val="-3"/>
                <w:sz w:val="20"/>
              </w:rPr>
              <w:t> </w:t>
            </w:r>
            <w:r>
              <w:rPr>
                <w:sz w:val="20"/>
              </w:rPr>
              <w:t>and</w:t>
            </w:r>
            <w:r>
              <w:rPr>
                <w:spacing w:val="-3"/>
                <w:sz w:val="20"/>
              </w:rPr>
              <w:t> </w:t>
            </w:r>
            <w:r>
              <w:rPr>
                <w:sz w:val="20"/>
              </w:rPr>
              <w:t>it</w:t>
            </w:r>
            <w:r>
              <w:rPr>
                <w:spacing w:val="-3"/>
                <w:sz w:val="20"/>
              </w:rPr>
              <w:t> </w:t>
            </w:r>
            <w:r>
              <w:rPr>
                <w:sz w:val="20"/>
              </w:rPr>
              <w:t>just</w:t>
            </w:r>
            <w:r>
              <w:rPr>
                <w:spacing w:val="-3"/>
                <w:sz w:val="20"/>
              </w:rPr>
              <w:t> </w:t>
            </w:r>
            <w:r>
              <w:rPr>
                <w:sz w:val="20"/>
              </w:rPr>
              <w:t>ended</w:t>
            </w:r>
            <w:r>
              <w:rPr>
                <w:spacing w:val="-3"/>
                <w:sz w:val="20"/>
              </w:rPr>
              <w:t> </w:t>
            </w:r>
            <w:r>
              <w:rPr>
                <w:sz w:val="20"/>
              </w:rPr>
              <w:t>up being a</w:t>
            </w:r>
            <w:r>
              <w:rPr>
                <w:spacing w:val="40"/>
                <w:sz w:val="20"/>
              </w:rPr>
              <w:t> </w:t>
            </w:r>
            <w:r>
              <w:rPr>
                <w:sz w:val="20"/>
              </w:rPr>
              <w:t>really good time…I kind of got introduced to it early, and I liked it a lot, and I knew I kind of</w:t>
            </w:r>
            <w:r>
              <w:rPr>
                <w:spacing w:val="40"/>
                <w:sz w:val="20"/>
              </w:rPr>
              <w:t> </w:t>
            </w:r>
            <w:r>
              <w:rPr>
                <w:sz w:val="20"/>
              </w:rPr>
              <w:t>wanted to pursue it in college. (P22)</w:t>
            </w:r>
          </w:p>
          <w:p>
            <w:pPr>
              <w:pStyle w:val="TableParagraph"/>
              <w:spacing w:before="3"/>
              <w:rPr>
                <w:b/>
                <w:sz w:val="20"/>
              </w:rPr>
            </w:pPr>
          </w:p>
          <w:p>
            <w:pPr>
              <w:pStyle w:val="TableParagraph"/>
              <w:spacing w:line="230" w:lineRule="auto"/>
              <w:ind w:left="215" w:right="237"/>
              <w:rPr>
                <w:sz w:val="20"/>
              </w:rPr>
            </w:pPr>
            <w:r>
              <w:rPr>
                <w:sz w:val="20"/>
              </w:rPr>
              <w:t>I think it's just a lot more engaging and, at least for me … And I feel like a lot of the professors</w:t>
            </w:r>
            <w:r>
              <w:rPr>
                <w:spacing w:val="40"/>
                <w:sz w:val="20"/>
              </w:rPr>
              <w:t> </w:t>
            </w:r>
            <w:r>
              <w:rPr>
                <w:sz w:val="20"/>
              </w:rPr>
              <w:t>I have now, compared to a lot of my other majors, are more, I guess, more personable,</w:t>
            </w:r>
            <w:r>
              <w:rPr>
                <w:spacing w:val="-3"/>
                <w:sz w:val="20"/>
              </w:rPr>
              <w:t> </w:t>
            </w:r>
            <w:r>
              <w:rPr>
                <w:sz w:val="20"/>
              </w:rPr>
              <w:t>or</w:t>
            </w:r>
            <w:r>
              <w:rPr>
                <w:spacing w:val="-3"/>
                <w:sz w:val="20"/>
              </w:rPr>
              <w:t> </w:t>
            </w:r>
            <w:r>
              <w:rPr>
                <w:sz w:val="20"/>
              </w:rPr>
              <w:t>they</w:t>
            </w:r>
            <w:r>
              <w:rPr>
                <w:spacing w:val="40"/>
                <w:sz w:val="20"/>
              </w:rPr>
              <w:t> </w:t>
            </w:r>
            <w:r>
              <w:rPr>
                <w:sz w:val="20"/>
              </w:rPr>
              <w:t>all</w:t>
            </w:r>
            <w:r>
              <w:rPr>
                <w:spacing w:val="-3"/>
                <w:sz w:val="20"/>
              </w:rPr>
              <w:t> </w:t>
            </w:r>
            <w:r>
              <w:rPr>
                <w:sz w:val="20"/>
              </w:rPr>
              <w:t>know</w:t>
            </w:r>
            <w:r>
              <w:rPr>
                <w:spacing w:val="-3"/>
                <w:sz w:val="20"/>
              </w:rPr>
              <w:t> </w:t>
            </w:r>
            <w:r>
              <w:rPr>
                <w:sz w:val="20"/>
              </w:rPr>
              <w:t>their</w:t>
            </w:r>
            <w:r>
              <w:rPr>
                <w:spacing w:val="-3"/>
                <w:sz w:val="20"/>
              </w:rPr>
              <w:t> </w:t>
            </w:r>
            <w:r>
              <w:rPr>
                <w:sz w:val="20"/>
              </w:rPr>
              <w:t>stuff</w:t>
            </w:r>
            <w:r>
              <w:rPr>
                <w:spacing w:val="-3"/>
                <w:sz w:val="20"/>
              </w:rPr>
              <w:t> </w:t>
            </w:r>
            <w:r>
              <w:rPr>
                <w:sz w:val="20"/>
              </w:rPr>
              <w:t>really</w:t>
            </w:r>
            <w:r>
              <w:rPr>
                <w:spacing w:val="-3"/>
                <w:sz w:val="20"/>
              </w:rPr>
              <w:t> </w:t>
            </w:r>
            <w:r>
              <w:rPr>
                <w:sz w:val="20"/>
              </w:rPr>
              <w:t>well.</w:t>
            </w:r>
            <w:r>
              <w:rPr>
                <w:spacing w:val="-3"/>
                <w:sz w:val="20"/>
              </w:rPr>
              <w:t> </w:t>
            </w:r>
            <w:r>
              <w:rPr>
                <w:sz w:val="20"/>
              </w:rPr>
              <w:t>Not</w:t>
            </w:r>
            <w:r>
              <w:rPr>
                <w:spacing w:val="-3"/>
                <w:sz w:val="20"/>
              </w:rPr>
              <w:t> </w:t>
            </w:r>
            <w:r>
              <w:rPr>
                <w:sz w:val="20"/>
              </w:rPr>
              <w:t>that</w:t>
            </w:r>
            <w:r>
              <w:rPr>
                <w:spacing w:val="-3"/>
                <w:sz w:val="20"/>
              </w:rPr>
              <w:t> </w:t>
            </w:r>
            <w:r>
              <w:rPr>
                <w:sz w:val="20"/>
              </w:rPr>
              <w:t>others</w:t>
            </w:r>
            <w:r>
              <w:rPr>
                <w:spacing w:val="-3"/>
                <w:sz w:val="20"/>
              </w:rPr>
              <w:t> </w:t>
            </w:r>
            <w:r>
              <w:rPr>
                <w:sz w:val="20"/>
              </w:rPr>
              <w:t>didn’t,</w:t>
            </w:r>
            <w:r>
              <w:rPr>
                <w:spacing w:val="-3"/>
                <w:sz w:val="20"/>
              </w:rPr>
              <w:t> </w:t>
            </w:r>
            <w:r>
              <w:rPr>
                <w:sz w:val="20"/>
              </w:rPr>
              <w:t>but</w:t>
            </w:r>
            <w:r>
              <w:rPr>
                <w:spacing w:val="-3"/>
                <w:sz w:val="20"/>
              </w:rPr>
              <w:t> </w:t>
            </w:r>
            <w:r>
              <w:rPr>
                <w:sz w:val="20"/>
              </w:rPr>
              <w:t>they</w:t>
            </w:r>
            <w:r>
              <w:rPr>
                <w:spacing w:val="-3"/>
                <w:sz w:val="20"/>
              </w:rPr>
              <w:t> </w:t>
            </w:r>
            <w:r>
              <w:rPr>
                <w:sz w:val="20"/>
              </w:rPr>
              <w:t>seem</w:t>
            </w:r>
            <w:r>
              <w:rPr>
                <w:spacing w:val="-3"/>
                <w:sz w:val="20"/>
              </w:rPr>
              <w:t> </w:t>
            </w:r>
            <w:r>
              <w:rPr>
                <w:sz w:val="20"/>
              </w:rPr>
              <w:t>to care a little bit more.</w:t>
            </w:r>
            <w:r>
              <w:rPr>
                <w:spacing w:val="40"/>
                <w:sz w:val="20"/>
              </w:rPr>
              <w:t> </w:t>
            </w:r>
            <w:r>
              <w:rPr>
                <w:sz w:val="20"/>
              </w:rPr>
              <w:t>(P32)</w:t>
            </w:r>
          </w:p>
        </w:tc>
      </w:tr>
    </w:tbl>
    <w:p>
      <w:pPr>
        <w:pStyle w:val="TableParagraph"/>
        <w:spacing w:after="0" w:line="230" w:lineRule="auto"/>
        <w:rPr>
          <w:sz w:val="20"/>
        </w:rPr>
        <w:sectPr>
          <w:type w:val="continuous"/>
          <w:pgSz w:w="12240" w:h="15840"/>
          <w:pgMar w:header="0" w:footer="750" w:top="680" w:bottom="960" w:left="720" w:right="0"/>
        </w:sectPr>
      </w:pPr>
    </w:p>
    <w:tbl>
      <w:tblPr>
        <w:tblW w:w="0" w:type="auto"/>
        <w:jc w:val="left"/>
        <w:tblInd w:w="1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40"/>
        <w:gridCol w:w="7920"/>
      </w:tblGrid>
      <w:tr>
        <w:trPr>
          <w:trHeight w:val="5939" w:hRule="atLeast"/>
        </w:trPr>
        <w:tc>
          <w:tcPr>
            <w:tcW w:w="1440" w:type="dxa"/>
          </w:tcPr>
          <w:p>
            <w:pPr>
              <w:pStyle w:val="TableParagraph"/>
              <w:spacing w:before="100"/>
              <w:ind w:right="97"/>
              <w:jc w:val="center"/>
              <w:rPr>
                <w:sz w:val="20"/>
              </w:rPr>
            </w:pPr>
            <w:r>
              <w:rPr>
                <w:spacing w:val="-5"/>
                <w:sz w:val="20"/>
              </w:rPr>
              <w:t>1.2</w:t>
            </w:r>
          </w:p>
        </w:tc>
        <w:tc>
          <w:tcPr>
            <w:tcW w:w="7920" w:type="dxa"/>
          </w:tcPr>
          <w:p>
            <w:pPr>
              <w:pStyle w:val="TableParagraph"/>
              <w:spacing w:line="230" w:lineRule="auto" w:before="100"/>
              <w:ind w:left="215" w:right="193"/>
              <w:rPr>
                <w:sz w:val="20"/>
              </w:rPr>
            </w:pPr>
            <w:r>
              <w:rPr>
                <w:sz w:val="20"/>
              </w:rPr>
              <w:t>Another thing that really made me think this will be a good career to go into is that both of</w:t>
            </w:r>
            <w:r>
              <w:rPr>
                <w:sz w:val="20"/>
              </w:rPr>
              <w:t> the</w:t>
            </w:r>
            <w:r>
              <w:rPr>
                <w:spacing w:val="40"/>
                <w:sz w:val="20"/>
              </w:rPr>
              <w:t> </w:t>
            </w:r>
            <w:r>
              <w:rPr>
                <w:sz w:val="20"/>
              </w:rPr>
              <w:t>BAP</w:t>
            </w:r>
            <w:r>
              <w:rPr>
                <w:spacing w:val="-3"/>
                <w:sz w:val="20"/>
              </w:rPr>
              <w:t> </w:t>
            </w:r>
            <w:r>
              <w:rPr>
                <w:sz w:val="20"/>
              </w:rPr>
              <w:t>[students],</w:t>
            </w:r>
            <w:r>
              <w:rPr>
                <w:spacing w:val="-3"/>
                <w:sz w:val="20"/>
              </w:rPr>
              <w:t> </w:t>
            </w:r>
            <w:r>
              <w:rPr>
                <w:sz w:val="20"/>
              </w:rPr>
              <w:t>or</w:t>
            </w:r>
            <w:r>
              <w:rPr>
                <w:spacing w:val="-3"/>
                <w:sz w:val="20"/>
              </w:rPr>
              <w:t> </w:t>
            </w:r>
            <w:r>
              <w:rPr>
                <w:sz w:val="20"/>
              </w:rPr>
              <w:t>just</w:t>
            </w:r>
            <w:r>
              <w:rPr>
                <w:spacing w:val="-3"/>
                <w:sz w:val="20"/>
              </w:rPr>
              <w:t> </w:t>
            </w:r>
            <w:r>
              <w:rPr>
                <w:sz w:val="20"/>
              </w:rPr>
              <w:t>accounting</w:t>
            </w:r>
            <w:r>
              <w:rPr>
                <w:spacing w:val="-3"/>
                <w:sz w:val="20"/>
              </w:rPr>
              <w:t> </w:t>
            </w:r>
            <w:r>
              <w:rPr>
                <w:sz w:val="20"/>
              </w:rPr>
              <w:t>majors,</w:t>
            </w:r>
            <w:r>
              <w:rPr>
                <w:spacing w:val="-3"/>
                <w:sz w:val="20"/>
              </w:rPr>
              <w:t> </w:t>
            </w:r>
            <w:r>
              <w:rPr>
                <w:sz w:val="20"/>
              </w:rPr>
              <w:t>who</w:t>
            </w:r>
            <w:r>
              <w:rPr>
                <w:spacing w:val="-3"/>
                <w:sz w:val="20"/>
              </w:rPr>
              <w:t> </w:t>
            </w:r>
            <w:r>
              <w:rPr>
                <w:sz w:val="20"/>
              </w:rPr>
              <w:t>were</w:t>
            </w:r>
            <w:r>
              <w:rPr>
                <w:spacing w:val="-3"/>
                <w:sz w:val="20"/>
              </w:rPr>
              <w:t> </w:t>
            </w:r>
            <w:r>
              <w:rPr>
                <w:sz w:val="20"/>
              </w:rPr>
              <w:t>at</w:t>
            </w:r>
            <w:r>
              <w:rPr>
                <w:spacing w:val="-3"/>
                <w:sz w:val="20"/>
              </w:rPr>
              <w:t> </w:t>
            </w:r>
            <w:r>
              <w:rPr>
                <w:sz w:val="20"/>
              </w:rPr>
              <w:t>the</w:t>
            </w:r>
            <w:r>
              <w:rPr>
                <w:spacing w:val="-3"/>
                <w:sz w:val="20"/>
              </w:rPr>
              <w:t> </w:t>
            </w:r>
            <w:r>
              <w:rPr>
                <w:sz w:val="20"/>
              </w:rPr>
              <w:t>table</w:t>
            </w:r>
            <w:r>
              <w:rPr>
                <w:spacing w:val="-3"/>
                <w:sz w:val="20"/>
              </w:rPr>
              <w:t> </w:t>
            </w:r>
            <w:r>
              <w:rPr>
                <w:sz w:val="20"/>
              </w:rPr>
              <w:t>had</w:t>
            </w:r>
            <w:r>
              <w:rPr>
                <w:spacing w:val="-3"/>
                <w:sz w:val="20"/>
              </w:rPr>
              <w:t> </w:t>
            </w:r>
            <w:r>
              <w:rPr>
                <w:sz w:val="20"/>
              </w:rPr>
              <w:t>already</w:t>
            </w:r>
            <w:r>
              <w:rPr>
                <w:spacing w:val="-3"/>
                <w:sz w:val="20"/>
              </w:rPr>
              <w:t> </w:t>
            </w:r>
            <w:r>
              <w:rPr>
                <w:sz w:val="20"/>
              </w:rPr>
              <w:t>done</w:t>
            </w:r>
            <w:r>
              <w:rPr>
                <w:spacing w:val="-3"/>
                <w:sz w:val="20"/>
              </w:rPr>
              <w:t> </w:t>
            </w:r>
            <w:r>
              <w:rPr>
                <w:sz w:val="20"/>
              </w:rPr>
              <w:t>two</w:t>
            </w:r>
            <w:r>
              <w:rPr>
                <w:spacing w:val="-3"/>
                <w:sz w:val="20"/>
              </w:rPr>
              <w:t> </w:t>
            </w:r>
            <w:r>
              <w:rPr>
                <w:sz w:val="20"/>
              </w:rPr>
              <w:t>or three</w:t>
            </w:r>
            <w:r>
              <w:rPr>
                <w:spacing w:val="40"/>
                <w:sz w:val="20"/>
              </w:rPr>
              <w:t> </w:t>
            </w:r>
            <w:r>
              <w:rPr>
                <w:sz w:val="20"/>
              </w:rPr>
              <w:t>internships by that point. So it made me think “Okay, there's definitely jobs there. It'll definitely</w:t>
            </w:r>
            <w:r>
              <w:rPr>
                <w:spacing w:val="40"/>
                <w:sz w:val="20"/>
              </w:rPr>
              <w:t> </w:t>
            </w:r>
            <w:r>
              <w:rPr>
                <w:sz w:val="20"/>
              </w:rPr>
              <w:t>be relatively easy to get a job and definitely have stability in that sense.” They were also paid,</w:t>
            </w:r>
            <w:r>
              <w:rPr>
                <w:spacing w:val="40"/>
                <w:sz w:val="20"/>
              </w:rPr>
              <w:t> </w:t>
            </w:r>
            <w:r>
              <w:rPr>
                <w:sz w:val="20"/>
              </w:rPr>
              <w:t>and paid very well, so that was another plus. (P8)</w:t>
            </w:r>
          </w:p>
          <w:p>
            <w:pPr>
              <w:pStyle w:val="TableParagraph"/>
              <w:spacing w:before="3"/>
              <w:rPr>
                <w:b/>
                <w:sz w:val="20"/>
              </w:rPr>
            </w:pPr>
          </w:p>
          <w:p>
            <w:pPr>
              <w:pStyle w:val="TableParagraph"/>
              <w:spacing w:line="264" w:lineRule="auto"/>
              <w:ind w:left="215" w:right="237"/>
              <w:rPr>
                <w:sz w:val="20"/>
              </w:rPr>
            </w:pPr>
            <w:r>
              <w:rPr>
                <w:sz w:val="20"/>
              </w:rPr>
              <w:t>I think part of it is the honesty of the students saying “This was my hardest class. I love the professor,</w:t>
            </w:r>
            <w:r>
              <w:rPr>
                <w:spacing w:val="-3"/>
                <w:sz w:val="20"/>
              </w:rPr>
              <w:t> </w:t>
            </w:r>
            <w:r>
              <w:rPr>
                <w:sz w:val="20"/>
              </w:rPr>
              <w:t>but</w:t>
            </w:r>
            <w:r>
              <w:rPr>
                <w:spacing w:val="-3"/>
                <w:sz w:val="20"/>
              </w:rPr>
              <w:t> </w:t>
            </w:r>
            <w:r>
              <w:rPr>
                <w:sz w:val="20"/>
              </w:rPr>
              <w:t>this</w:t>
            </w:r>
            <w:r>
              <w:rPr>
                <w:spacing w:val="-3"/>
                <w:sz w:val="20"/>
              </w:rPr>
              <w:t> </w:t>
            </w:r>
            <w:r>
              <w:rPr>
                <w:sz w:val="20"/>
              </w:rPr>
              <w:t>was</w:t>
            </w:r>
            <w:r>
              <w:rPr>
                <w:spacing w:val="-3"/>
                <w:sz w:val="20"/>
              </w:rPr>
              <w:t> </w:t>
            </w:r>
            <w:r>
              <w:rPr>
                <w:sz w:val="20"/>
              </w:rPr>
              <w:t>really</w:t>
            </w:r>
            <w:r>
              <w:rPr>
                <w:spacing w:val="-3"/>
                <w:sz w:val="20"/>
              </w:rPr>
              <w:t> </w:t>
            </w:r>
            <w:r>
              <w:rPr>
                <w:sz w:val="20"/>
              </w:rPr>
              <w:t>hard</w:t>
            </w:r>
            <w:r>
              <w:rPr>
                <w:spacing w:val="-3"/>
                <w:sz w:val="20"/>
              </w:rPr>
              <w:t> </w:t>
            </w:r>
            <w:r>
              <w:rPr>
                <w:sz w:val="20"/>
              </w:rPr>
              <w:t>for</w:t>
            </w:r>
            <w:r>
              <w:rPr>
                <w:spacing w:val="-3"/>
                <w:sz w:val="20"/>
              </w:rPr>
              <w:t> </w:t>
            </w:r>
            <w:r>
              <w:rPr>
                <w:sz w:val="20"/>
              </w:rPr>
              <w:t>me.”</w:t>
            </w:r>
            <w:r>
              <w:rPr>
                <w:spacing w:val="-3"/>
                <w:sz w:val="20"/>
              </w:rPr>
              <w:t> </w:t>
            </w:r>
            <w:r>
              <w:rPr>
                <w:sz w:val="20"/>
              </w:rPr>
              <w:t>The</w:t>
            </w:r>
            <w:r>
              <w:rPr>
                <w:spacing w:val="-3"/>
                <w:sz w:val="20"/>
              </w:rPr>
              <w:t> </w:t>
            </w:r>
            <w:r>
              <w:rPr>
                <w:sz w:val="20"/>
              </w:rPr>
              <w:t>reaction</w:t>
            </w:r>
            <w:r>
              <w:rPr>
                <w:spacing w:val="-3"/>
                <w:sz w:val="20"/>
              </w:rPr>
              <w:t> </w:t>
            </w:r>
            <w:r>
              <w:rPr>
                <w:sz w:val="20"/>
              </w:rPr>
              <w:t>of</w:t>
            </w:r>
            <w:r>
              <w:rPr>
                <w:spacing w:val="-3"/>
                <w:sz w:val="20"/>
              </w:rPr>
              <w:t> </w:t>
            </w:r>
            <w:r>
              <w:rPr>
                <w:sz w:val="20"/>
              </w:rPr>
              <w:t>the</w:t>
            </w:r>
            <w:r>
              <w:rPr>
                <w:spacing w:val="-3"/>
                <w:sz w:val="20"/>
              </w:rPr>
              <w:t> </w:t>
            </w:r>
            <w:r>
              <w:rPr>
                <w:sz w:val="20"/>
              </w:rPr>
              <w:t>room,</w:t>
            </w:r>
            <w:r>
              <w:rPr>
                <w:spacing w:val="-3"/>
                <w:sz w:val="20"/>
              </w:rPr>
              <w:t> </w:t>
            </w:r>
            <w:r>
              <w:rPr>
                <w:sz w:val="20"/>
              </w:rPr>
              <w:t>whether</w:t>
            </w:r>
            <w:r>
              <w:rPr>
                <w:spacing w:val="-3"/>
                <w:sz w:val="20"/>
              </w:rPr>
              <w:t> </w:t>
            </w:r>
            <w:r>
              <w:rPr>
                <w:sz w:val="20"/>
              </w:rPr>
              <w:t>it</w:t>
            </w:r>
            <w:r>
              <w:rPr>
                <w:spacing w:val="-3"/>
                <w:sz w:val="20"/>
              </w:rPr>
              <w:t> </w:t>
            </w:r>
            <w:r>
              <w:rPr>
                <w:sz w:val="20"/>
              </w:rPr>
              <w:t>was</w:t>
            </w:r>
            <w:r>
              <w:rPr>
                <w:spacing w:val="-3"/>
                <w:sz w:val="20"/>
              </w:rPr>
              <w:t> </w:t>
            </w:r>
            <w:r>
              <w:rPr>
                <w:sz w:val="20"/>
              </w:rPr>
              <w:t>a</w:t>
            </w:r>
            <w:r>
              <w:rPr>
                <w:spacing w:val="-3"/>
                <w:sz w:val="20"/>
              </w:rPr>
              <w:t> </w:t>
            </w:r>
            <w:r>
              <w:rPr>
                <w:sz w:val="20"/>
              </w:rPr>
              <w:t>laugh or</w:t>
            </w:r>
            <w:r>
              <w:rPr>
                <w:spacing w:val="40"/>
                <w:sz w:val="20"/>
              </w:rPr>
              <w:t> </w:t>
            </w:r>
            <w:r>
              <w:rPr>
                <w:sz w:val="20"/>
              </w:rPr>
              <w:t>the thought that “we've all been there,” made it seem like it's okay to not be perfect … Seeing</w:t>
            </w:r>
            <w:r>
              <w:rPr>
                <w:spacing w:val="40"/>
                <w:sz w:val="20"/>
              </w:rPr>
              <w:t> </w:t>
            </w:r>
            <w:r>
              <w:rPr>
                <w:sz w:val="20"/>
              </w:rPr>
              <w:t>that</w:t>
            </w:r>
            <w:r>
              <w:rPr>
                <w:spacing w:val="-2"/>
                <w:sz w:val="20"/>
              </w:rPr>
              <w:t> </w:t>
            </w:r>
            <w:r>
              <w:rPr>
                <w:sz w:val="20"/>
              </w:rPr>
              <w:t>attitude</w:t>
            </w:r>
            <w:r>
              <w:rPr>
                <w:spacing w:val="-2"/>
                <w:sz w:val="20"/>
              </w:rPr>
              <w:t> </w:t>
            </w:r>
            <w:r>
              <w:rPr>
                <w:sz w:val="20"/>
              </w:rPr>
              <w:t>helped</w:t>
            </w:r>
            <w:r>
              <w:rPr>
                <w:spacing w:val="-2"/>
                <w:sz w:val="20"/>
              </w:rPr>
              <w:t> </w:t>
            </w:r>
            <w:r>
              <w:rPr>
                <w:sz w:val="20"/>
              </w:rPr>
              <w:t>me</w:t>
            </w:r>
            <w:r>
              <w:rPr>
                <w:spacing w:val="-2"/>
                <w:sz w:val="20"/>
              </w:rPr>
              <w:t> </w:t>
            </w:r>
            <w:r>
              <w:rPr>
                <w:sz w:val="20"/>
              </w:rPr>
              <w:t>realize</w:t>
            </w:r>
            <w:r>
              <w:rPr>
                <w:spacing w:val="-2"/>
                <w:sz w:val="20"/>
              </w:rPr>
              <w:t> </w:t>
            </w:r>
            <w:r>
              <w:rPr>
                <w:sz w:val="20"/>
              </w:rPr>
              <w:t>that</w:t>
            </w:r>
            <w:r>
              <w:rPr>
                <w:spacing w:val="-2"/>
                <w:sz w:val="20"/>
              </w:rPr>
              <w:t> </w:t>
            </w:r>
            <w:r>
              <w:rPr>
                <w:sz w:val="20"/>
              </w:rPr>
              <w:t>it</w:t>
            </w:r>
            <w:r>
              <w:rPr>
                <w:spacing w:val="-2"/>
                <w:sz w:val="20"/>
              </w:rPr>
              <w:t> </w:t>
            </w:r>
            <w:r>
              <w:rPr>
                <w:sz w:val="20"/>
              </w:rPr>
              <w:t>will</w:t>
            </w:r>
            <w:r>
              <w:rPr>
                <w:spacing w:val="-2"/>
                <w:sz w:val="20"/>
              </w:rPr>
              <w:t> </w:t>
            </w:r>
            <w:r>
              <w:rPr>
                <w:sz w:val="20"/>
              </w:rPr>
              <w:t>be</w:t>
            </w:r>
            <w:r>
              <w:rPr>
                <w:spacing w:val="-2"/>
                <w:sz w:val="20"/>
              </w:rPr>
              <w:t> </w:t>
            </w:r>
            <w:r>
              <w:rPr>
                <w:sz w:val="20"/>
              </w:rPr>
              <w:t>hard,</w:t>
            </w:r>
            <w:r>
              <w:rPr>
                <w:spacing w:val="-2"/>
                <w:sz w:val="20"/>
              </w:rPr>
              <w:t> </w:t>
            </w:r>
            <w:r>
              <w:rPr>
                <w:sz w:val="20"/>
              </w:rPr>
              <w:t>but</w:t>
            </w:r>
            <w:r>
              <w:rPr>
                <w:spacing w:val="-2"/>
                <w:sz w:val="20"/>
              </w:rPr>
              <w:t> </w:t>
            </w:r>
            <w:r>
              <w:rPr>
                <w:sz w:val="20"/>
              </w:rPr>
              <w:t>it</w:t>
            </w:r>
            <w:r>
              <w:rPr>
                <w:spacing w:val="-2"/>
                <w:sz w:val="20"/>
              </w:rPr>
              <w:t> </w:t>
            </w:r>
            <w:r>
              <w:rPr>
                <w:sz w:val="20"/>
              </w:rPr>
              <w:t>is</w:t>
            </w:r>
            <w:r>
              <w:rPr>
                <w:spacing w:val="-2"/>
                <w:sz w:val="20"/>
              </w:rPr>
              <w:t> </w:t>
            </w:r>
            <w:r>
              <w:rPr>
                <w:sz w:val="20"/>
              </w:rPr>
              <w:t>something</w:t>
            </w:r>
            <w:r>
              <w:rPr>
                <w:spacing w:val="-2"/>
                <w:sz w:val="20"/>
              </w:rPr>
              <w:t> </w:t>
            </w:r>
            <w:r>
              <w:rPr>
                <w:sz w:val="20"/>
              </w:rPr>
              <w:t>that</w:t>
            </w:r>
            <w:r>
              <w:rPr>
                <w:spacing w:val="-2"/>
                <w:sz w:val="20"/>
              </w:rPr>
              <w:t> </w:t>
            </w:r>
            <w:r>
              <w:rPr>
                <w:sz w:val="20"/>
              </w:rPr>
              <w:t>everyone, like people</w:t>
            </w:r>
            <w:r>
              <w:rPr>
                <w:spacing w:val="40"/>
                <w:sz w:val="20"/>
              </w:rPr>
              <w:t> </w:t>
            </w:r>
            <w:r>
              <w:rPr>
                <w:sz w:val="20"/>
              </w:rPr>
              <w:t>struggling with different parts, will get through and you learn to work with the people around</w:t>
            </w:r>
            <w:r>
              <w:rPr>
                <w:spacing w:val="40"/>
                <w:sz w:val="20"/>
              </w:rPr>
              <w:t> </w:t>
            </w:r>
            <w:r>
              <w:rPr>
                <w:sz w:val="20"/>
              </w:rPr>
              <w:t>you. (P10)</w:t>
            </w:r>
          </w:p>
          <w:p>
            <w:pPr>
              <w:pStyle w:val="TableParagraph"/>
              <w:spacing w:before="13"/>
              <w:rPr>
                <w:b/>
                <w:sz w:val="20"/>
              </w:rPr>
            </w:pPr>
          </w:p>
          <w:p>
            <w:pPr>
              <w:pStyle w:val="TableParagraph"/>
              <w:spacing w:line="230" w:lineRule="auto"/>
              <w:ind w:left="215" w:right="237"/>
              <w:rPr>
                <w:sz w:val="20"/>
              </w:rPr>
            </w:pPr>
            <w:r>
              <w:rPr>
                <w:sz w:val="20"/>
              </w:rPr>
              <w:t>I really like it. And they give you a mentor that's also like a girl above you, or that's been in the</w:t>
            </w:r>
            <w:r>
              <w:rPr>
                <w:spacing w:val="40"/>
                <w:sz w:val="20"/>
              </w:rPr>
              <w:t> </w:t>
            </w:r>
            <w:r>
              <w:rPr>
                <w:sz w:val="20"/>
              </w:rPr>
              <w:t>club</w:t>
            </w:r>
            <w:r>
              <w:rPr>
                <w:spacing w:val="-4"/>
                <w:sz w:val="20"/>
              </w:rPr>
              <w:t> </w:t>
            </w:r>
            <w:r>
              <w:rPr>
                <w:sz w:val="20"/>
              </w:rPr>
              <w:t>longer,</w:t>
            </w:r>
            <w:r>
              <w:rPr>
                <w:spacing w:val="-4"/>
                <w:sz w:val="20"/>
              </w:rPr>
              <w:t> </w:t>
            </w:r>
            <w:r>
              <w:rPr>
                <w:sz w:val="20"/>
              </w:rPr>
              <w:t>which</w:t>
            </w:r>
            <w:r>
              <w:rPr>
                <w:spacing w:val="-4"/>
                <w:sz w:val="20"/>
              </w:rPr>
              <w:t> </w:t>
            </w:r>
            <w:r>
              <w:rPr>
                <w:sz w:val="20"/>
              </w:rPr>
              <w:t>I</w:t>
            </w:r>
            <w:r>
              <w:rPr>
                <w:spacing w:val="-4"/>
                <w:sz w:val="20"/>
              </w:rPr>
              <w:t> </w:t>
            </w:r>
            <w:r>
              <w:rPr>
                <w:sz w:val="20"/>
              </w:rPr>
              <w:t>really</w:t>
            </w:r>
            <w:r>
              <w:rPr>
                <w:spacing w:val="-4"/>
                <w:sz w:val="20"/>
              </w:rPr>
              <w:t> </w:t>
            </w:r>
            <w:r>
              <w:rPr>
                <w:sz w:val="20"/>
              </w:rPr>
              <w:t>like</w:t>
            </w:r>
            <w:r>
              <w:rPr>
                <w:spacing w:val="-4"/>
                <w:sz w:val="20"/>
              </w:rPr>
              <w:t> </w:t>
            </w:r>
            <w:r>
              <w:rPr>
                <w:sz w:val="20"/>
              </w:rPr>
              <w:t>too.</w:t>
            </w:r>
            <w:r>
              <w:rPr>
                <w:spacing w:val="-4"/>
                <w:sz w:val="20"/>
              </w:rPr>
              <w:t> </w:t>
            </w:r>
            <w:r>
              <w:rPr>
                <w:sz w:val="20"/>
              </w:rPr>
              <w:t>It</w:t>
            </w:r>
            <w:r>
              <w:rPr>
                <w:spacing w:val="-4"/>
                <w:sz w:val="20"/>
              </w:rPr>
              <w:t> </w:t>
            </w:r>
            <w:r>
              <w:rPr>
                <w:sz w:val="20"/>
              </w:rPr>
              <w:t>makes</w:t>
            </w:r>
            <w:r>
              <w:rPr>
                <w:spacing w:val="-4"/>
                <w:sz w:val="20"/>
              </w:rPr>
              <w:t> </w:t>
            </w:r>
            <w:r>
              <w:rPr>
                <w:sz w:val="20"/>
              </w:rPr>
              <w:t>going</w:t>
            </w:r>
            <w:r>
              <w:rPr>
                <w:spacing w:val="-4"/>
                <w:sz w:val="20"/>
              </w:rPr>
              <w:t> </w:t>
            </w:r>
            <w:r>
              <w:rPr>
                <w:sz w:val="20"/>
              </w:rPr>
              <w:t>into</w:t>
            </w:r>
            <w:r>
              <w:rPr>
                <w:spacing w:val="-4"/>
                <w:sz w:val="20"/>
              </w:rPr>
              <w:t> </w:t>
            </w:r>
            <w:r>
              <w:rPr>
                <w:sz w:val="20"/>
              </w:rPr>
              <w:t>a</w:t>
            </w:r>
            <w:r>
              <w:rPr>
                <w:spacing w:val="-4"/>
                <w:sz w:val="20"/>
              </w:rPr>
              <w:t> </w:t>
            </w:r>
            <w:r>
              <w:rPr>
                <w:sz w:val="20"/>
              </w:rPr>
              <w:t>new</w:t>
            </w:r>
            <w:r>
              <w:rPr>
                <w:spacing w:val="-4"/>
                <w:sz w:val="20"/>
              </w:rPr>
              <w:t> </w:t>
            </w:r>
            <w:r>
              <w:rPr>
                <w:sz w:val="20"/>
              </w:rPr>
              <w:t>club</w:t>
            </w:r>
            <w:r>
              <w:rPr>
                <w:spacing w:val="-4"/>
                <w:sz w:val="20"/>
              </w:rPr>
              <w:t> </w:t>
            </w:r>
            <w:r>
              <w:rPr>
                <w:sz w:val="20"/>
              </w:rPr>
              <w:t>a</w:t>
            </w:r>
            <w:r>
              <w:rPr>
                <w:spacing w:val="-4"/>
                <w:sz w:val="20"/>
              </w:rPr>
              <w:t> </w:t>
            </w:r>
            <w:r>
              <w:rPr>
                <w:sz w:val="20"/>
              </w:rPr>
              <w:t>lot</w:t>
            </w:r>
            <w:r>
              <w:rPr>
                <w:spacing w:val="-4"/>
                <w:sz w:val="20"/>
              </w:rPr>
              <w:t> </w:t>
            </w:r>
            <w:r>
              <w:rPr>
                <w:sz w:val="20"/>
              </w:rPr>
              <w:t>less</w:t>
            </w:r>
            <w:r>
              <w:rPr>
                <w:spacing w:val="-4"/>
                <w:sz w:val="20"/>
              </w:rPr>
              <w:t> </w:t>
            </w:r>
            <w:r>
              <w:rPr>
                <w:sz w:val="20"/>
              </w:rPr>
              <w:t>scary.</w:t>
            </w:r>
            <w:r>
              <w:rPr>
                <w:spacing w:val="-4"/>
                <w:sz w:val="20"/>
              </w:rPr>
              <w:t> </w:t>
            </w:r>
            <w:r>
              <w:rPr>
                <w:sz w:val="20"/>
              </w:rPr>
              <w:t>(P18)</w:t>
            </w:r>
          </w:p>
          <w:p>
            <w:pPr>
              <w:pStyle w:val="TableParagraph"/>
              <w:spacing w:before="4"/>
              <w:rPr>
                <w:b/>
                <w:sz w:val="20"/>
              </w:rPr>
            </w:pPr>
          </w:p>
          <w:p>
            <w:pPr>
              <w:pStyle w:val="TableParagraph"/>
              <w:spacing w:line="230" w:lineRule="auto"/>
              <w:ind w:left="215" w:right="237"/>
              <w:rPr>
                <w:sz w:val="20"/>
              </w:rPr>
            </w:pPr>
            <w:r>
              <w:rPr>
                <w:sz w:val="20"/>
              </w:rPr>
              <w:t>I had dinner with one of my friends who was an accounting major and she explained to me why</w:t>
            </w:r>
            <w:r>
              <w:rPr>
                <w:spacing w:val="40"/>
                <w:sz w:val="20"/>
              </w:rPr>
              <w:t> </w:t>
            </w:r>
            <w:r>
              <w:rPr>
                <w:sz w:val="20"/>
              </w:rPr>
              <w:t>she</w:t>
            </w:r>
            <w:r>
              <w:rPr>
                <w:spacing w:val="-3"/>
                <w:sz w:val="20"/>
              </w:rPr>
              <w:t> </w:t>
            </w:r>
            <w:r>
              <w:rPr>
                <w:sz w:val="20"/>
              </w:rPr>
              <w:t>wanted</w:t>
            </w:r>
            <w:r>
              <w:rPr>
                <w:spacing w:val="-3"/>
                <w:sz w:val="20"/>
              </w:rPr>
              <w:t> </w:t>
            </w:r>
            <w:r>
              <w:rPr>
                <w:sz w:val="20"/>
              </w:rPr>
              <w:t>to</w:t>
            </w:r>
            <w:r>
              <w:rPr>
                <w:spacing w:val="-3"/>
                <w:sz w:val="20"/>
              </w:rPr>
              <w:t> </w:t>
            </w:r>
            <w:r>
              <w:rPr>
                <w:sz w:val="20"/>
              </w:rPr>
              <w:t>be</w:t>
            </w:r>
            <w:r>
              <w:rPr>
                <w:spacing w:val="-3"/>
                <w:sz w:val="20"/>
              </w:rPr>
              <w:t> </w:t>
            </w:r>
            <w:r>
              <w:rPr>
                <w:sz w:val="20"/>
              </w:rPr>
              <w:t>an</w:t>
            </w:r>
            <w:r>
              <w:rPr>
                <w:spacing w:val="-3"/>
                <w:sz w:val="20"/>
              </w:rPr>
              <w:t> </w:t>
            </w:r>
            <w:r>
              <w:rPr>
                <w:sz w:val="20"/>
              </w:rPr>
              <w:t>accountant,</w:t>
            </w:r>
            <w:r>
              <w:rPr>
                <w:spacing w:val="-3"/>
                <w:sz w:val="20"/>
              </w:rPr>
              <w:t> </w:t>
            </w:r>
            <w:r>
              <w:rPr>
                <w:sz w:val="20"/>
              </w:rPr>
              <w:t>and</w:t>
            </w:r>
            <w:r>
              <w:rPr>
                <w:spacing w:val="-3"/>
                <w:sz w:val="20"/>
              </w:rPr>
              <w:t> </w:t>
            </w:r>
            <w:r>
              <w:rPr>
                <w:sz w:val="20"/>
              </w:rPr>
              <w:t>I</w:t>
            </w:r>
            <w:r>
              <w:rPr>
                <w:spacing w:val="-3"/>
                <w:sz w:val="20"/>
              </w:rPr>
              <w:t> </w:t>
            </w:r>
            <w:r>
              <w:rPr>
                <w:sz w:val="20"/>
              </w:rPr>
              <w:t>just</w:t>
            </w:r>
            <w:r>
              <w:rPr>
                <w:spacing w:val="-3"/>
                <w:sz w:val="20"/>
              </w:rPr>
              <w:t> </w:t>
            </w:r>
            <w:r>
              <w:rPr>
                <w:sz w:val="20"/>
              </w:rPr>
              <w:t>found</w:t>
            </w:r>
            <w:r>
              <w:rPr>
                <w:spacing w:val="-3"/>
                <w:sz w:val="20"/>
              </w:rPr>
              <w:t> </w:t>
            </w:r>
            <w:r>
              <w:rPr>
                <w:sz w:val="20"/>
              </w:rPr>
              <w:t>it</w:t>
            </w:r>
            <w:r>
              <w:rPr>
                <w:spacing w:val="-3"/>
                <w:sz w:val="20"/>
              </w:rPr>
              <w:t> </w:t>
            </w:r>
            <w:r>
              <w:rPr>
                <w:sz w:val="20"/>
              </w:rPr>
              <w:t>kind</w:t>
            </w:r>
            <w:r>
              <w:rPr>
                <w:spacing w:val="-3"/>
                <w:sz w:val="20"/>
              </w:rPr>
              <w:t> </w:t>
            </w:r>
            <w:r>
              <w:rPr>
                <w:sz w:val="20"/>
              </w:rPr>
              <w:t>of</w:t>
            </w:r>
            <w:r>
              <w:rPr>
                <w:spacing w:val="-3"/>
                <w:sz w:val="20"/>
              </w:rPr>
              <w:t> </w:t>
            </w:r>
            <w:r>
              <w:rPr>
                <w:sz w:val="20"/>
              </w:rPr>
              <w:t>appealing</w:t>
            </w:r>
            <w:r>
              <w:rPr>
                <w:spacing w:val="-3"/>
                <w:sz w:val="20"/>
              </w:rPr>
              <w:t> </w:t>
            </w:r>
            <w:r>
              <w:rPr>
                <w:sz w:val="20"/>
              </w:rPr>
              <w:t>and</w:t>
            </w:r>
            <w:r>
              <w:rPr>
                <w:spacing w:val="-3"/>
                <w:sz w:val="20"/>
              </w:rPr>
              <w:t> </w:t>
            </w:r>
            <w:r>
              <w:rPr>
                <w:sz w:val="20"/>
              </w:rPr>
              <w:t>reliable.</w:t>
            </w:r>
            <w:r>
              <w:rPr>
                <w:spacing w:val="-3"/>
                <w:sz w:val="20"/>
              </w:rPr>
              <w:t> </w:t>
            </w:r>
            <w:r>
              <w:rPr>
                <w:sz w:val="20"/>
              </w:rPr>
              <w:t>So</w:t>
            </w:r>
            <w:r>
              <w:rPr>
                <w:spacing w:val="-3"/>
                <w:sz w:val="20"/>
              </w:rPr>
              <w:t> </w:t>
            </w:r>
            <w:r>
              <w:rPr>
                <w:sz w:val="20"/>
              </w:rPr>
              <w:t>I switched</w:t>
            </w:r>
            <w:r>
              <w:rPr>
                <w:spacing w:val="40"/>
                <w:sz w:val="20"/>
              </w:rPr>
              <w:t> </w:t>
            </w:r>
            <w:r>
              <w:rPr>
                <w:sz w:val="20"/>
              </w:rPr>
              <w:t>my major after that conversation. And then I had my principles one class, and I loved it. It was</w:t>
            </w:r>
            <w:r>
              <w:rPr>
                <w:spacing w:val="40"/>
                <w:sz w:val="20"/>
              </w:rPr>
              <w:t> </w:t>
            </w:r>
            <w:r>
              <w:rPr>
                <w:sz w:val="20"/>
              </w:rPr>
              <w:t>my favorite class. (P26)</w:t>
            </w:r>
          </w:p>
          <w:p>
            <w:pPr>
              <w:pStyle w:val="TableParagraph"/>
              <w:spacing w:before="3"/>
              <w:rPr>
                <w:b/>
                <w:sz w:val="20"/>
              </w:rPr>
            </w:pPr>
          </w:p>
          <w:p>
            <w:pPr>
              <w:pStyle w:val="TableParagraph"/>
              <w:spacing w:line="230" w:lineRule="auto"/>
              <w:ind w:left="215" w:right="415"/>
              <w:rPr>
                <w:sz w:val="20"/>
              </w:rPr>
            </w:pPr>
            <w:r>
              <w:rPr>
                <w:sz w:val="20"/>
              </w:rPr>
              <w:t>Especially</w:t>
            </w:r>
            <w:r>
              <w:rPr>
                <w:spacing w:val="-4"/>
                <w:sz w:val="20"/>
              </w:rPr>
              <w:t> </w:t>
            </w:r>
            <w:r>
              <w:rPr>
                <w:sz w:val="20"/>
              </w:rPr>
              <w:t>because</w:t>
            </w:r>
            <w:r>
              <w:rPr>
                <w:spacing w:val="-4"/>
                <w:sz w:val="20"/>
              </w:rPr>
              <w:t> </w:t>
            </w:r>
            <w:r>
              <w:rPr>
                <w:sz w:val="20"/>
              </w:rPr>
              <w:t>with</w:t>
            </w:r>
            <w:r>
              <w:rPr>
                <w:spacing w:val="-4"/>
                <w:sz w:val="20"/>
              </w:rPr>
              <w:t> </w:t>
            </w:r>
            <w:r>
              <w:rPr>
                <w:sz w:val="20"/>
              </w:rPr>
              <w:t>the</w:t>
            </w:r>
            <w:r>
              <w:rPr>
                <w:spacing w:val="-4"/>
                <w:sz w:val="20"/>
              </w:rPr>
              <w:t> </w:t>
            </w:r>
            <w:r>
              <w:rPr>
                <w:sz w:val="20"/>
              </w:rPr>
              <w:t>information</w:t>
            </w:r>
            <w:r>
              <w:rPr>
                <w:spacing w:val="-4"/>
                <w:sz w:val="20"/>
              </w:rPr>
              <w:t> </w:t>
            </w:r>
            <w:r>
              <w:rPr>
                <w:sz w:val="20"/>
              </w:rPr>
              <w:t>and</w:t>
            </w:r>
            <w:r>
              <w:rPr>
                <w:spacing w:val="-4"/>
                <w:sz w:val="20"/>
              </w:rPr>
              <w:t> </w:t>
            </w:r>
            <w:r>
              <w:rPr>
                <w:sz w:val="20"/>
              </w:rPr>
              <w:t>Beta</w:t>
            </w:r>
            <w:r>
              <w:rPr>
                <w:spacing w:val="-4"/>
                <w:sz w:val="20"/>
              </w:rPr>
              <w:t> </w:t>
            </w:r>
            <w:r>
              <w:rPr>
                <w:sz w:val="20"/>
              </w:rPr>
              <w:t>Alpha</w:t>
            </w:r>
            <w:r>
              <w:rPr>
                <w:spacing w:val="-4"/>
                <w:sz w:val="20"/>
              </w:rPr>
              <w:t> </w:t>
            </w:r>
            <w:r>
              <w:rPr>
                <w:sz w:val="20"/>
              </w:rPr>
              <w:t>Psi</w:t>
            </w:r>
            <w:r>
              <w:rPr>
                <w:spacing w:val="-4"/>
                <w:sz w:val="20"/>
              </w:rPr>
              <w:t> </w:t>
            </w:r>
            <w:r>
              <w:rPr>
                <w:sz w:val="20"/>
              </w:rPr>
              <w:t>…</w:t>
            </w:r>
            <w:r>
              <w:rPr>
                <w:spacing w:val="-4"/>
                <w:sz w:val="20"/>
              </w:rPr>
              <w:t> </w:t>
            </w:r>
            <w:r>
              <w:rPr>
                <w:sz w:val="20"/>
              </w:rPr>
              <w:t>it</w:t>
            </w:r>
            <w:r>
              <w:rPr>
                <w:spacing w:val="-4"/>
                <w:sz w:val="20"/>
              </w:rPr>
              <w:t> </w:t>
            </w:r>
            <w:r>
              <w:rPr>
                <w:sz w:val="20"/>
              </w:rPr>
              <w:t>definitely</w:t>
            </w:r>
            <w:r>
              <w:rPr>
                <w:spacing w:val="-4"/>
                <w:sz w:val="20"/>
              </w:rPr>
              <w:t> </w:t>
            </w:r>
            <w:r>
              <w:rPr>
                <w:sz w:val="20"/>
              </w:rPr>
              <w:t>just</w:t>
            </w:r>
            <w:r>
              <w:rPr>
                <w:spacing w:val="-4"/>
                <w:sz w:val="20"/>
              </w:rPr>
              <w:t> </w:t>
            </w:r>
            <w:r>
              <w:rPr>
                <w:sz w:val="20"/>
              </w:rPr>
              <w:t>reinforced that</w:t>
            </w:r>
            <w:r>
              <w:rPr>
                <w:spacing w:val="40"/>
                <w:sz w:val="20"/>
              </w:rPr>
              <w:t> </w:t>
            </w:r>
            <w:r>
              <w:rPr>
                <w:sz w:val="20"/>
              </w:rPr>
              <w:t>it's not just the academic part, but they also have, like, you know, networking and events and</w:t>
            </w:r>
            <w:r>
              <w:rPr>
                <w:spacing w:val="40"/>
                <w:sz w:val="20"/>
              </w:rPr>
              <w:t> </w:t>
            </w:r>
            <w:r>
              <w:rPr>
                <w:sz w:val="20"/>
              </w:rPr>
              <w:t>stuff. (P27)</w:t>
            </w:r>
          </w:p>
        </w:tc>
      </w:tr>
    </w:tbl>
    <w:p>
      <w:pPr>
        <w:pStyle w:val="BodyText"/>
        <w:spacing w:before="10" w:after="1"/>
        <w:rPr>
          <w:b/>
          <w:sz w:val="20"/>
        </w:rPr>
      </w:pPr>
    </w:p>
    <w:tbl>
      <w:tblPr>
        <w:tblW w:w="0" w:type="auto"/>
        <w:jc w:val="left"/>
        <w:tblInd w:w="1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40"/>
        <w:gridCol w:w="7920"/>
      </w:tblGrid>
      <w:tr>
        <w:trPr>
          <w:trHeight w:val="1599" w:hRule="atLeast"/>
        </w:trPr>
        <w:tc>
          <w:tcPr>
            <w:tcW w:w="1440" w:type="dxa"/>
          </w:tcPr>
          <w:p>
            <w:pPr>
              <w:pStyle w:val="TableParagraph"/>
              <w:rPr>
                <w:sz w:val="20"/>
              </w:rPr>
            </w:pPr>
          </w:p>
        </w:tc>
        <w:tc>
          <w:tcPr>
            <w:tcW w:w="7920" w:type="dxa"/>
          </w:tcPr>
          <w:p>
            <w:pPr>
              <w:pStyle w:val="TableParagraph"/>
              <w:spacing w:line="230" w:lineRule="auto" w:before="115"/>
              <w:ind w:left="215" w:right="78"/>
              <w:rPr>
                <w:sz w:val="20"/>
              </w:rPr>
            </w:pPr>
            <w:r>
              <w:rPr>
                <w:sz w:val="20"/>
              </w:rPr>
              <w:t>But</w:t>
            </w:r>
            <w:r>
              <w:rPr>
                <w:spacing w:val="-3"/>
                <w:sz w:val="20"/>
              </w:rPr>
              <w:t> </w:t>
            </w:r>
            <w:r>
              <w:rPr>
                <w:sz w:val="20"/>
              </w:rPr>
              <w:t>I</w:t>
            </w:r>
            <w:r>
              <w:rPr>
                <w:spacing w:val="-3"/>
                <w:sz w:val="20"/>
              </w:rPr>
              <w:t> </w:t>
            </w:r>
            <w:r>
              <w:rPr>
                <w:sz w:val="20"/>
              </w:rPr>
              <w:t>think</w:t>
            </w:r>
            <w:r>
              <w:rPr>
                <w:spacing w:val="-3"/>
                <w:sz w:val="20"/>
              </w:rPr>
              <w:t> </w:t>
            </w:r>
            <w:r>
              <w:rPr>
                <w:sz w:val="20"/>
              </w:rPr>
              <w:t>the</w:t>
            </w:r>
            <w:r>
              <w:rPr>
                <w:spacing w:val="-3"/>
                <w:sz w:val="20"/>
              </w:rPr>
              <w:t> </w:t>
            </w:r>
            <w:r>
              <w:rPr>
                <w:sz w:val="20"/>
              </w:rPr>
              <w:t>big</w:t>
            </w:r>
            <w:r>
              <w:rPr>
                <w:spacing w:val="-3"/>
                <w:sz w:val="20"/>
              </w:rPr>
              <w:t> </w:t>
            </w:r>
            <w:r>
              <w:rPr>
                <w:sz w:val="20"/>
              </w:rPr>
              <w:t>thing</w:t>
            </w:r>
            <w:r>
              <w:rPr>
                <w:spacing w:val="-3"/>
                <w:sz w:val="20"/>
              </w:rPr>
              <w:t> </w:t>
            </w:r>
            <w:r>
              <w:rPr>
                <w:sz w:val="20"/>
              </w:rPr>
              <w:t>for</w:t>
            </w:r>
            <w:r>
              <w:rPr>
                <w:spacing w:val="-3"/>
                <w:sz w:val="20"/>
              </w:rPr>
              <w:t> </w:t>
            </w:r>
            <w:r>
              <w:rPr>
                <w:sz w:val="20"/>
              </w:rPr>
              <w:t>me</w:t>
            </w:r>
            <w:r>
              <w:rPr>
                <w:spacing w:val="-3"/>
                <w:sz w:val="20"/>
              </w:rPr>
              <w:t> </w:t>
            </w:r>
            <w:r>
              <w:rPr>
                <w:sz w:val="20"/>
              </w:rPr>
              <w:t>is</w:t>
            </w:r>
            <w:r>
              <w:rPr>
                <w:spacing w:val="-3"/>
                <w:sz w:val="20"/>
              </w:rPr>
              <w:t> </w:t>
            </w:r>
            <w:r>
              <w:rPr>
                <w:sz w:val="20"/>
              </w:rPr>
              <w:t>that</w:t>
            </w:r>
            <w:r>
              <w:rPr>
                <w:spacing w:val="-3"/>
                <w:sz w:val="20"/>
              </w:rPr>
              <w:t> </w:t>
            </w:r>
            <w:r>
              <w:rPr>
                <w:sz w:val="20"/>
              </w:rPr>
              <w:t>the</w:t>
            </w:r>
            <w:r>
              <w:rPr>
                <w:spacing w:val="-3"/>
                <w:sz w:val="20"/>
              </w:rPr>
              <w:t> </w:t>
            </w:r>
            <w:r>
              <w:rPr>
                <w:sz w:val="20"/>
              </w:rPr>
              <w:t>department</w:t>
            </w:r>
            <w:r>
              <w:rPr>
                <w:spacing w:val="-3"/>
                <w:sz w:val="20"/>
              </w:rPr>
              <w:t> </w:t>
            </w:r>
            <w:r>
              <w:rPr>
                <w:sz w:val="20"/>
              </w:rPr>
              <w:t>is</w:t>
            </w:r>
            <w:r>
              <w:rPr>
                <w:spacing w:val="-3"/>
                <w:sz w:val="20"/>
              </w:rPr>
              <w:t> </w:t>
            </w:r>
            <w:r>
              <w:rPr>
                <w:sz w:val="20"/>
              </w:rPr>
              <w:t>really</w:t>
            </w:r>
            <w:r>
              <w:rPr>
                <w:spacing w:val="-3"/>
                <w:sz w:val="20"/>
              </w:rPr>
              <w:t> </w:t>
            </w:r>
            <w:r>
              <w:rPr>
                <w:sz w:val="20"/>
              </w:rPr>
              <w:t>resourceful</w:t>
            </w:r>
            <w:r>
              <w:rPr>
                <w:spacing w:val="-3"/>
                <w:sz w:val="20"/>
              </w:rPr>
              <w:t> </w:t>
            </w:r>
            <w:r>
              <w:rPr>
                <w:sz w:val="20"/>
              </w:rPr>
              <w:t>…</w:t>
            </w:r>
            <w:r>
              <w:rPr>
                <w:spacing w:val="-3"/>
                <w:sz w:val="20"/>
              </w:rPr>
              <w:t> </w:t>
            </w:r>
            <w:r>
              <w:rPr>
                <w:sz w:val="20"/>
              </w:rPr>
              <w:t>So</w:t>
            </w:r>
            <w:r>
              <w:rPr>
                <w:spacing w:val="-3"/>
                <w:sz w:val="20"/>
              </w:rPr>
              <w:t> </w:t>
            </w:r>
            <w:r>
              <w:rPr>
                <w:sz w:val="20"/>
              </w:rPr>
              <w:t>it's</w:t>
            </w:r>
            <w:r>
              <w:rPr>
                <w:spacing w:val="-3"/>
                <w:sz w:val="20"/>
              </w:rPr>
              <w:t> </w:t>
            </w:r>
            <w:r>
              <w:rPr>
                <w:sz w:val="20"/>
              </w:rPr>
              <w:t>nice</w:t>
            </w:r>
            <w:r>
              <w:rPr>
                <w:spacing w:val="-3"/>
                <w:sz w:val="20"/>
              </w:rPr>
              <w:t> </w:t>
            </w:r>
            <w:r>
              <w:rPr>
                <w:sz w:val="20"/>
              </w:rPr>
              <w:t>to</w:t>
            </w:r>
            <w:r>
              <w:rPr>
                <w:spacing w:val="-3"/>
                <w:sz w:val="20"/>
              </w:rPr>
              <w:t> </w:t>
            </w:r>
            <w:r>
              <w:rPr>
                <w:sz w:val="20"/>
              </w:rPr>
              <w:t>be able to meet so many people. I feel like in all the other majors I did, the network of people I was</w:t>
            </w:r>
            <w:r>
              <w:rPr>
                <w:spacing w:val="40"/>
                <w:sz w:val="20"/>
              </w:rPr>
              <w:t> </w:t>
            </w:r>
            <w:r>
              <w:rPr>
                <w:sz w:val="20"/>
              </w:rPr>
              <w:t>able to connect with was not as great as it is when I'm in accounting because I feel like I've</w:t>
            </w:r>
            <w:r>
              <w:rPr>
                <w:spacing w:val="40"/>
                <w:sz w:val="20"/>
              </w:rPr>
              <w:t> </w:t>
            </w:r>
            <w:r>
              <w:rPr>
                <w:sz w:val="20"/>
              </w:rPr>
              <w:t>talked to so many people from so many different firms that lived in so many different places.</w:t>
            </w:r>
            <w:r>
              <w:rPr>
                <w:spacing w:val="40"/>
                <w:sz w:val="20"/>
              </w:rPr>
              <w:t> </w:t>
            </w:r>
            <w:r>
              <w:rPr>
                <w:sz w:val="20"/>
              </w:rPr>
              <w:t>(P32)</w:t>
            </w:r>
          </w:p>
        </w:tc>
      </w:tr>
      <w:tr>
        <w:trPr>
          <w:trHeight w:val="5040" w:hRule="atLeast"/>
        </w:trPr>
        <w:tc>
          <w:tcPr>
            <w:tcW w:w="1440" w:type="dxa"/>
          </w:tcPr>
          <w:p>
            <w:pPr>
              <w:pStyle w:val="TableParagraph"/>
              <w:spacing w:before="115"/>
              <w:ind w:left="97" w:right="97"/>
              <w:jc w:val="center"/>
              <w:rPr>
                <w:sz w:val="20"/>
              </w:rPr>
            </w:pPr>
            <w:r>
              <w:rPr>
                <w:spacing w:val="-5"/>
                <w:sz w:val="20"/>
              </w:rPr>
              <w:t>2.1</w:t>
            </w:r>
          </w:p>
        </w:tc>
        <w:tc>
          <w:tcPr>
            <w:tcW w:w="7920" w:type="dxa"/>
          </w:tcPr>
          <w:p>
            <w:pPr>
              <w:pStyle w:val="TableParagraph"/>
              <w:spacing w:line="230" w:lineRule="auto" w:before="115"/>
              <w:ind w:left="215" w:right="289"/>
              <w:jc w:val="both"/>
              <w:rPr>
                <w:sz w:val="20"/>
              </w:rPr>
            </w:pPr>
            <w:r>
              <w:rPr>
                <w:sz w:val="20"/>
              </w:rPr>
              <w:t>I did not originally expect</w:t>
            </w:r>
            <w:r>
              <w:rPr>
                <w:spacing w:val="-2"/>
                <w:sz w:val="20"/>
              </w:rPr>
              <w:t> </w:t>
            </w:r>
            <w:r>
              <w:rPr>
                <w:sz w:val="20"/>
              </w:rPr>
              <w:t>to</w:t>
            </w:r>
            <w:r>
              <w:rPr>
                <w:spacing w:val="-2"/>
                <w:sz w:val="20"/>
              </w:rPr>
              <w:t> </w:t>
            </w:r>
            <w:r>
              <w:rPr>
                <w:sz w:val="20"/>
              </w:rPr>
              <w:t>be</w:t>
            </w:r>
            <w:r>
              <w:rPr>
                <w:spacing w:val="-2"/>
                <w:sz w:val="20"/>
              </w:rPr>
              <w:t> </w:t>
            </w:r>
            <w:r>
              <w:rPr>
                <w:sz w:val="20"/>
              </w:rPr>
              <w:t>invited</w:t>
            </w:r>
            <w:r>
              <w:rPr>
                <w:spacing w:val="-2"/>
                <w:sz w:val="20"/>
              </w:rPr>
              <w:t> </w:t>
            </w:r>
            <w:r>
              <w:rPr>
                <w:sz w:val="20"/>
              </w:rPr>
              <w:t>to</w:t>
            </w:r>
            <w:r>
              <w:rPr>
                <w:spacing w:val="-2"/>
                <w:sz w:val="20"/>
              </w:rPr>
              <w:t> </w:t>
            </w:r>
            <w:r>
              <w:rPr>
                <w:sz w:val="20"/>
              </w:rPr>
              <w:t>it,</w:t>
            </w:r>
            <w:r>
              <w:rPr>
                <w:spacing w:val="-2"/>
                <w:sz w:val="20"/>
              </w:rPr>
              <w:t> </w:t>
            </w:r>
            <w:r>
              <w:rPr>
                <w:sz w:val="20"/>
              </w:rPr>
              <w:t>but</w:t>
            </w:r>
            <w:r>
              <w:rPr>
                <w:spacing w:val="-2"/>
                <w:sz w:val="20"/>
              </w:rPr>
              <w:t> </w:t>
            </w:r>
            <w:r>
              <w:rPr>
                <w:sz w:val="20"/>
              </w:rPr>
              <w:t>I</w:t>
            </w:r>
            <w:r>
              <w:rPr>
                <w:spacing w:val="-2"/>
                <w:sz w:val="20"/>
              </w:rPr>
              <w:t> </w:t>
            </w:r>
            <w:r>
              <w:rPr>
                <w:sz w:val="20"/>
              </w:rPr>
              <w:t>really</w:t>
            </w:r>
            <w:r>
              <w:rPr>
                <w:spacing w:val="-2"/>
                <w:sz w:val="20"/>
              </w:rPr>
              <w:t> </w:t>
            </w:r>
            <w:r>
              <w:rPr>
                <w:sz w:val="20"/>
              </w:rPr>
              <w:t>enjoyed</w:t>
            </w:r>
            <w:r>
              <w:rPr>
                <w:spacing w:val="-2"/>
                <w:sz w:val="20"/>
              </w:rPr>
              <w:t> </w:t>
            </w:r>
            <w:r>
              <w:rPr>
                <w:sz w:val="20"/>
              </w:rPr>
              <w:t>the</w:t>
            </w:r>
            <w:r>
              <w:rPr>
                <w:spacing w:val="-2"/>
                <w:sz w:val="20"/>
              </w:rPr>
              <w:t> </w:t>
            </w:r>
            <w:r>
              <w:rPr>
                <w:sz w:val="20"/>
              </w:rPr>
              <w:t>class.</w:t>
            </w:r>
            <w:r>
              <w:rPr>
                <w:spacing w:val="-2"/>
                <w:sz w:val="20"/>
              </w:rPr>
              <w:t> </w:t>
            </w:r>
            <w:r>
              <w:rPr>
                <w:sz w:val="20"/>
              </w:rPr>
              <w:t>I</w:t>
            </w:r>
            <w:r>
              <w:rPr>
                <w:spacing w:val="-2"/>
                <w:sz w:val="20"/>
              </w:rPr>
              <w:t> </w:t>
            </w:r>
            <w:r>
              <w:rPr>
                <w:sz w:val="20"/>
              </w:rPr>
              <w:t>did</w:t>
            </w:r>
            <w:r>
              <w:rPr>
                <w:spacing w:val="-2"/>
                <w:sz w:val="20"/>
              </w:rPr>
              <w:t> </w:t>
            </w:r>
            <w:r>
              <w:rPr>
                <w:sz w:val="20"/>
              </w:rPr>
              <w:t>pretty</w:t>
            </w:r>
            <w:r>
              <w:rPr>
                <w:spacing w:val="-2"/>
                <w:sz w:val="20"/>
              </w:rPr>
              <w:t> </w:t>
            </w:r>
            <w:r>
              <w:rPr>
                <w:sz w:val="20"/>
              </w:rPr>
              <w:t>good in</w:t>
            </w:r>
            <w:r>
              <w:rPr>
                <w:spacing w:val="40"/>
                <w:sz w:val="20"/>
              </w:rPr>
              <w:t> </w:t>
            </w:r>
            <w:r>
              <w:rPr>
                <w:sz w:val="20"/>
              </w:rPr>
              <w:t>the class and I was one of the few people who participated in the class. So when I got invited I</w:t>
            </w:r>
            <w:r>
              <w:rPr>
                <w:spacing w:val="40"/>
                <w:sz w:val="20"/>
              </w:rPr>
              <w:t> </w:t>
            </w:r>
            <w:r>
              <w:rPr>
                <w:sz w:val="20"/>
              </w:rPr>
              <w:t>thought “Oh</w:t>
            </w:r>
            <w:r>
              <w:rPr>
                <w:spacing w:val="-2"/>
                <w:sz w:val="20"/>
              </w:rPr>
              <w:t> </w:t>
            </w:r>
            <w:r>
              <w:rPr>
                <w:sz w:val="20"/>
              </w:rPr>
              <w:t>my</w:t>
            </w:r>
            <w:r>
              <w:rPr>
                <w:spacing w:val="-2"/>
                <w:sz w:val="20"/>
              </w:rPr>
              <w:t> </w:t>
            </w:r>
            <w:r>
              <w:rPr>
                <w:sz w:val="20"/>
              </w:rPr>
              <w:t>god,</w:t>
            </w:r>
            <w:r>
              <w:rPr>
                <w:spacing w:val="-2"/>
                <w:sz w:val="20"/>
              </w:rPr>
              <w:t> </w:t>
            </w:r>
            <w:r>
              <w:rPr>
                <w:sz w:val="20"/>
              </w:rPr>
              <w:t>yeah,</w:t>
            </w:r>
            <w:r>
              <w:rPr>
                <w:spacing w:val="-2"/>
                <w:sz w:val="20"/>
              </w:rPr>
              <w:t> </w:t>
            </w:r>
            <w:r>
              <w:rPr>
                <w:sz w:val="20"/>
              </w:rPr>
              <w:t>of</w:t>
            </w:r>
            <w:r>
              <w:rPr>
                <w:spacing w:val="-2"/>
                <w:sz w:val="20"/>
              </w:rPr>
              <w:t> </w:t>
            </w:r>
            <w:r>
              <w:rPr>
                <w:sz w:val="20"/>
              </w:rPr>
              <w:t>course</w:t>
            </w:r>
            <w:r>
              <w:rPr>
                <w:spacing w:val="-2"/>
                <w:sz w:val="20"/>
              </w:rPr>
              <w:t> </w:t>
            </w:r>
            <w:r>
              <w:rPr>
                <w:sz w:val="20"/>
              </w:rPr>
              <w:t>I'm</w:t>
            </w:r>
            <w:r>
              <w:rPr>
                <w:spacing w:val="-2"/>
                <w:sz w:val="20"/>
              </w:rPr>
              <w:t> </w:t>
            </w:r>
            <w:r>
              <w:rPr>
                <w:sz w:val="20"/>
              </w:rPr>
              <w:t>going</w:t>
            </w:r>
            <w:r>
              <w:rPr>
                <w:spacing w:val="-2"/>
                <w:sz w:val="20"/>
              </w:rPr>
              <w:t> </w:t>
            </w:r>
            <w:r>
              <w:rPr>
                <w:sz w:val="20"/>
              </w:rPr>
              <w:t>to</w:t>
            </w:r>
            <w:r>
              <w:rPr>
                <w:spacing w:val="-2"/>
                <w:sz w:val="20"/>
              </w:rPr>
              <w:t> </w:t>
            </w:r>
            <w:r>
              <w:rPr>
                <w:sz w:val="20"/>
              </w:rPr>
              <w:t>go</w:t>
            </w:r>
            <w:r>
              <w:rPr>
                <w:spacing w:val="-2"/>
                <w:sz w:val="20"/>
              </w:rPr>
              <w:t> </w:t>
            </w:r>
            <w:r>
              <w:rPr>
                <w:sz w:val="20"/>
              </w:rPr>
              <w:t>and</w:t>
            </w:r>
            <w:r>
              <w:rPr>
                <w:spacing w:val="-2"/>
                <w:sz w:val="20"/>
              </w:rPr>
              <w:t> </w:t>
            </w:r>
            <w:r>
              <w:rPr>
                <w:sz w:val="20"/>
              </w:rPr>
              <w:t>make</w:t>
            </w:r>
            <w:r>
              <w:rPr>
                <w:spacing w:val="-2"/>
                <w:sz w:val="20"/>
              </w:rPr>
              <w:t> </w:t>
            </w:r>
            <w:r>
              <w:rPr>
                <w:sz w:val="20"/>
              </w:rPr>
              <w:t>connections,</w:t>
            </w:r>
            <w:r>
              <w:rPr>
                <w:spacing w:val="-2"/>
                <w:sz w:val="20"/>
              </w:rPr>
              <w:t> </w:t>
            </w:r>
            <w:r>
              <w:rPr>
                <w:sz w:val="20"/>
              </w:rPr>
              <w:t>meet people, and</w:t>
            </w:r>
            <w:r>
              <w:rPr>
                <w:spacing w:val="40"/>
                <w:sz w:val="20"/>
              </w:rPr>
              <w:t> </w:t>
            </w:r>
            <w:r>
              <w:rPr>
                <w:sz w:val="20"/>
              </w:rPr>
              <w:t>learn more about this.” (P14)</w:t>
            </w:r>
          </w:p>
          <w:p>
            <w:pPr>
              <w:pStyle w:val="TableParagraph"/>
              <w:spacing w:before="3"/>
              <w:rPr>
                <w:b/>
                <w:sz w:val="20"/>
              </w:rPr>
            </w:pPr>
          </w:p>
          <w:p>
            <w:pPr>
              <w:pStyle w:val="TableParagraph"/>
              <w:spacing w:line="230" w:lineRule="auto"/>
              <w:ind w:left="215" w:right="237"/>
              <w:rPr>
                <w:sz w:val="20"/>
              </w:rPr>
            </w:pPr>
            <w:r>
              <w:rPr>
                <w:sz w:val="20"/>
              </w:rPr>
              <w:t>I knew about finance and management, the general business ones, but I didn't know about accounting,</w:t>
            </w:r>
            <w:r>
              <w:rPr>
                <w:spacing w:val="-3"/>
                <w:sz w:val="20"/>
              </w:rPr>
              <w:t> </w:t>
            </w:r>
            <w:r>
              <w:rPr>
                <w:sz w:val="20"/>
              </w:rPr>
              <w:t>because</w:t>
            </w:r>
            <w:r>
              <w:rPr>
                <w:spacing w:val="-3"/>
                <w:sz w:val="20"/>
              </w:rPr>
              <w:t> </w:t>
            </w:r>
            <w:r>
              <w:rPr>
                <w:sz w:val="20"/>
              </w:rPr>
              <w:t>I</w:t>
            </w:r>
            <w:r>
              <w:rPr>
                <w:spacing w:val="-3"/>
                <w:sz w:val="20"/>
              </w:rPr>
              <w:t> </w:t>
            </w:r>
            <w:r>
              <w:rPr>
                <w:sz w:val="20"/>
              </w:rPr>
              <w:t>feel</w:t>
            </w:r>
            <w:r>
              <w:rPr>
                <w:spacing w:val="-3"/>
                <w:sz w:val="20"/>
              </w:rPr>
              <w:t> </w:t>
            </w:r>
            <w:r>
              <w:rPr>
                <w:sz w:val="20"/>
              </w:rPr>
              <w:t>like</w:t>
            </w:r>
            <w:r>
              <w:rPr>
                <w:spacing w:val="-3"/>
                <w:sz w:val="20"/>
              </w:rPr>
              <w:t> </w:t>
            </w:r>
            <w:r>
              <w:rPr>
                <w:sz w:val="20"/>
              </w:rPr>
              <w:t>accounting</w:t>
            </w:r>
            <w:r>
              <w:rPr>
                <w:spacing w:val="-3"/>
                <w:sz w:val="20"/>
              </w:rPr>
              <w:t> </w:t>
            </w:r>
            <w:r>
              <w:rPr>
                <w:sz w:val="20"/>
              </w:rPr>
              <w:t>slips</w:t>
            </w:r>
            <w:r>
              <w:rPr>
                <w:spacing w:val="-3"/>
                <w:sz w:val="20"/>
              </w:rPr>
              <w:t> </w:t>
            </w:r>
            <w:r>
              <w:rPr>
                <w:sz w:val="20"/>
              </w:rPr>
              <w:t>under</w:t>
            </w:r>
            <w:r>
              <w:rPr>
                <w:spacing w:val="-3"/>
                <w:sz w:val="20"/>
              </w:rPr>
              <w:t> </w:t>
            </w:r>
            <w:r>
              <w:rPr>
                <w:sz w:val="20"/>
              </w:rPr>
              <w:t>the</w:t>
            </w:r>
            <w:r>
              <w:rPr>
                <w:spacing w:val="-3"/>
                <w:sz w:val="20"/>
              </w:rPr>
              <w:t> </w:t>
            </w:r>
            <w:r>
              <w:rPr>
                <w:sz w:val="20"/>
              </w:rPr>
              <w:t>radar</w:t>
            </w:r>
            <w:r>
              <w:rPr>
                <w:spacing w:val="-3"/>
                <w:sz w:val="20"/>
              </w:rPr>
              <w:t> </w:t>
            </w:r>
            <w:r>
              <w:rPr>
                <w:sz w:val="20"/>
              </w:rPr>
              <w:t>until</w:t>
            </w:r>
            <w:r>
              <w:rPr>
                <w:spacing w:val="-3"/>
                <w:sz w:val="20"/>
              </w:rPr>
              <w:t> </w:t>
            </w:r>
            <w:r>
              <w:rPr>
                <w:sz w:val="20"/>
              </w:rPr>
              <w:t>at</w:t>
            </w:r>
            <w:r>
              <w:rPr>
                <w:spacing w:val="-3"/>
                <w:sz w:val="20"/>
              </w:rPr>
              <w:t> </w:t>
            </w:r>
            <w:r>
              <w:rPr>
                <w:sz w:val="20"/>
              </w:rPr>
              <w:t>least</w:t>
            </w:r>
            <w:r>
              <w:rPr>
                <w:spacing w:val="-3"/>
                <w:sz w:val="20"/>
              </w:rPr>
              <w:t> </w:t>
            </w:r>
            <w:r>
              <w:rPr>
                <w:sz w:val="20"/>
              </w:rPr>
              <w:t>college</w:t>
            </w:r>
            <w:r>
              <w:rPr>
                <w:spacing w:val="-3"/>
                <w:sz w:val="20"/>
              </w:rPr>
              <w:t> </w:t>
            </w:r>
            <w:r>
              <w:rPr>
                <w:sz w:val="20"/>
              </w:rPr>
              <w:t>for</w:t>
            </w:r>
            <w:r>
              <w:rPr>
                <w:spacing w:val="-3"/>
                <w:sz w:val="20"/>
              </w:rPr>
              <w:t> </w:t>
            </w:r>
            <w:r>
              <w:rPr>
                <w:sz w:val="20"/>
              </w:rPr>
              <w:t>most people, because you just don't hear about it. It's not something that's talked about outside of the</w:t>
            </w:r>
            <w:r>
              <w:rPr>
                <w:spacing w:val="40"/>
                <w:sz w:val="20"/>
              </w:rPr>
              <w:t> </w:t>
            </w:r>
            <w:r>
              <w:rPr>
                <w:sz w:val="20"/>
              </w:rPr>
              <w:t>business world much. (P24)</w:t>
            </w:r>
          </w:p>
          <w:p>
            <w:pPr>
              <w:pStyle w:val="TableParagraph"/>
              <w:spacing w:before="3"/>
              <w:rPr>
                <w:b/>
                <w:sz w:val="20"/>
              </w:rPr>
            </w:pPr>
          </w:p>
          <w:p>
            <w:pPr>
              <w:pStyle w:val="TableParagraph"/>
              <w:spacing w:line="230" w:lineRule="auto"/>
              <w:ind w:left="215" w:right="180"/>
              <w:rPr>
                <w:sz w:val="20"/>
              </w:rPr>
            </w:pPr>
            <w:r>
              <w:rPr>
                <w:sz w:val="20"/>
              </w:rPr>
              <w:t>I</w:t>
            </w:r>
            <w:r>
              <w:rPr>
                <w:spacing w:val="-3"/>
                <w:sz w:val="20"/>
              </w:rPr>
              <w:t> </w:t>
            </w:r>
            <w:r>
              <w:rPr>
                <w:sz w:val="20"/>
              </w:rPr>
              <w:t>think</w:t>
            </w:r>
            <w:r>
              <w:rPr>
                <w:spacing w:val="-3"/>
                <w:sz w:val="20"/>
              </w:rPr>
              <w:t> </w:t>
            </w:r>
            <w:r>
              <w:rPr>
                <w:sz w:val="20"/>
              </w:rPr>
              <w:t>I'm</w:t>
            </w:r>
            <w:r>
              <w:rPr>
                <w:spacing w:val="-3"/>
                <w:sz w:val="20"/>
              </w:rPr>
              <w:t> </w:t>
            </w:r>
            <w:r>
              <w:rPr>
                <w:sz w:val="20"/>
              </w:rPr>
              <w:t>hesitant</w:t>
            </w:r>
            <w:r>
              <w:rPr>
                <w:spacing w:val="-3"/>
                <w:sz w:val="20"/>
              </w:rPr>
              <w:t> </w:t>
            </w:r>
            <w:r>
              <w:rPr>
                <w:sz w:val="20"/>
              </w:rPr>
              <w:t>to</w:t>
            </w:r>
            <w:r>
              <w:rPr>
                <w:spacing w:val="-3"/>
                <w:sz w:val="20"/>
              </w:rPr>
              <w:t> </w:t>
            </w:r>
            <w:r>
              <w:rPr>
                <w:sz w:val="20"/>
              </w:rPr>
              <w:t>kind</w:t>
            </w:r>
            <w:r>
              <w:rPr>
                <w:spacing w:val="-3"/>
                <w:sz w:val="20"/>
              </w:rPr>
              <w:t> </w:t>
            </w:r>
            <w:r>
              <w:rPr>
                <w:sz w:val="20"/>
              </w:rPr>
              <w:t>of</w:t>
            </w:r>
            <w:r>
              <w:rPr>
                <w:spacing w:val="-3"/>
                <w:sz w:val="20"/>
              </w:rPr>
              <w:t> </w:t>
            </w:r>
            <w:r>
              <w:rPr>
                <w:sz w:val="20"/>
              </w:rPr>
              <w:t>disregard</w:t>
            </w:r>
            <w:r>
              <w:rPr>
                <w:spacing w:val="-3"/>
                <w:sz w:val="20"/>
              </w:rPr>
              <w:t> </w:t>
            </w:r>
            <w:r>
              <w:rPr>
                <w:sz w:val="20"/>
              </w:rPr>
              <w:t>it</w:t>
            </w:r>
            <w:r>
              <w:rPr>
                <w:spacing w:val="-3"/>
                <w:sz w:val="20"/>
              </w:rPr>
              <w:t> </w:t>
            </w:r>
            <w:r>
              <w:rPr>
                <w:sz w:val="20"/>
              </w:rPr>
              <w:t>[accounting</w:t>
            </w:r>
            <w:r>
              <w:rPr>
                <w:spacing w:val="-3"/>
                <w:sz w:val="20"/>
              </w:rPr>
              <w:t> </w:t>
            </w:r>
            <w:r>
              <w:rPr>
                <w:sz w:val="20"/>
              </w:rPr>
              <w:t>degree]</w:t>
            </w:r>
            <w:r>
              <w:rPr>
                <w:spacing w:val="-3"/>
                <w:sz w:val="20"/>
              </w:rPr>
              <w:t> </w:t>
            </w:r>
            <w:r>
              <w:rPr>
                <w:sz w:val="20"/>
              </w:rPr>
              <w:t>in</w:t>
            </w:r>
            <w:r>
              <w:rPr>
                <w:spacing w:val="-3"/>
                <w:sz w:val="20"/>
              </w:rPr>
              <w:t> </w:t>
            </w:r>
            <w:r>
              <w:rPr>
                <w:sz w:val="20"/>
              </w:rPr>
              <w:t>case</w:t>
            </w:r>
            <w:r>
              <w:rPr>
                <w:spacing w:val="-3"/>
                <w:sz w:val="20"/>
              </w:rPr>
              <w:t> </w:t>
            </w:r>
            <w:r>
              <w:rPr>
                <w:sz w:val="20"/>
              </w:rPr>
              <w:t>it</w:t>
            </w:r>
            <w:r>
              <w:rPr>
                <w:spacing w:val="-3"/>
                <w:sz w:val="20"/>
              </w:rPr>
              <w:t> </w:t>
            </w:r>
            <w:r>
              <w:rPr>
                <w:sz w:val="20"/>
              </w:rPr>
              <w:t>really</w:t>
            </w:r>
            <w:r>
              <w:rPr>
                <w:spacing w:val="-3"/>
                <w:sz w:val="20"/>
              </w:rPr>
              <w:t> </w:t>
            </w:r>
            <w:r>
              <w:rPr>
                <w:sz w:val="20"/>
              </w:rPr>
              <w:t>does</w:t>
            </w:r>
            <w:r>
              <w:rPr>
                <w:spacing w:val="-3"/>
                <w:sz w:val="20"/>
              </w:rPr>
              <w:t> </w:t>
            </w:r>
            <w:r>
              <w:rPr>
                <w:sz w:val="20"/>
              </w:rPr>
              <w:t>impact</w:t>
            </w:r>
            <w:r>
              <w:rPr>
                <w:spacing w:val="-3"/>
                <w:sz w:val="20"/>
              </w:rPr>
              <w:t> </w:t>
            </w:r>
            <w:r>
              <w:rPr>
                <w:sz w:val="20"/>
              </w:rPr>
              <w:t>me later in the future. I would rather have the technical skills of accounting and just not get a</w:t>
            </w:r>
            <w:r>
              <w:rPr>
                <w:sz w:val="20"/>
              </w:rPr>
              <w:t> CPA</w:t>
            </w:r>
            <w:r>
              <w:rPr>
                <w:spacing w:val="40"/>
                <w:sz w:val="20"/>
              </w:rPr>
              <w:t> </w:t>
            </w:r>
            <w:r>
              <w:rPr>
                <w:sz w:val="20"/>
              </w:rPr>
              <w:t>if I don’t have to rather than finance … I think what it would take is, like, I guess more research</w:t>
            </w:r>
            <w:r>
              <w:rPr>
                <w:spacing w:val="40"/>
                <w:sz w:val="20"/>
              </w:rPr>
              <w:t> </w:t>
            </w:r>
            <w:r>
              <w:rPr>
                <w:sz w:val="20"/>
              </w:rPr>
              <w:t>of jobs that would rather have accounting over finance, or me exploring accounting more and</w:t>
            </w:r>
            <w:r>
              <w:rPr>
                <w:spacing w:val="40"/>
                <w:sz w:val="20"/>
              </w:rPr>
              <w:t> </w:t>
            </w:r>
            <w:r>
              <w:rPr>
                <w:sz w:val="20"/>
              </w:rPr>
              <w:t>knowing you can have an accounting degree but still be in a team operations type of thing.</w:t>
            </w:r>
            <w:r>
              <w:rPr>
                <w:spacing w:val="40"/>
                <w:sz w:val="20"/>
              </w:rPr>
              <w:t> </w:t>
            </w:r>
            <w:r>
              <w:rPr>
                <w:sz w:val="20"/>
              </w:rPr>
              <w:t>(P28)</w:t>
            </w:r>
          </w:p>
          <w:p>
            <w:pPr>
              <w:pStyle w:val="TableParagraph"/>
              <w:spacing w:before="2"/>
              <w:rPr>
                <w:b/>
                <w:sz w:val="20"/>
              </w:rPr>
            </w:pPr>
          </w:p>
          <w:p>
            <w:pPr>
              <w:pStyle w:val="TableParagraph"/>
              <w:spacing w:line="230" w:lineRule="auto" w:before="1"/>
              <w:ind w:left="215" w:right="415"/>
              <w:rPr>
                <w:sz w:val="20"/>
              </w:rPr>
            </w:pPr>
            <w:r>
              <w:rPr>
                <w:sz w:val="20"/>
              </w:rPr>
              <w:t>And it feels like a lot of other majors, you know, you kind of learn some things … but it's really</w:t>
            </w:r>
            <w:r>
              <w:rPr>
                <w:spacing w:val="40"/>
                <w:sz w:val="20"/>
              </w:rPr>
              <w:t> </w:t>
            </w:r>
            <w:r>
              <w:rPr>
                <w:sz w:val="20"/>
              </w:rPr>
              <w:t>the degree that matters, like you need a bachelor's for this position or that position. But</w:t>
            </w:r>
            <w:r>
              <w:rPr>
                <w:spacing w:val="-3"/>
                <w:sz w:val="20"/>
              </w:rPr>
              <w:t> </w:t>
            </w:r>
            <w:r>
              <w:rPr>
                <w:sz w:val="20"/>
              </w:rPr>
              <w:t>I</w:t>
            </w:r>
            <w:r>
              <w:rPr>
                <w:spacing w:val="-3"/>
                <w:sz w:val="20"/>
              </w:rPr>
              <w:t> </w:t>
            </w:r>
            <w:r>
              <w:rPr>
                <w:sz w:val="20"/>
              </w:rPr>
              <w:t>feel</w:t>
            </w:r>
            <w:r>
              <w:rPr>
                <w:spacing w:val="40"/>
                <w:sz w:val="20"/>
              </w:rPr>
              <w:t> </w:t>
            </w:r>
            <w:r>
              <w:rPr>
                <w:sz w:val="20"/>
              </w:rPr>
              <w:t>like</w:t>
            </w:r>
            <w:r>
              <w:rPr>
                <w:spacing w:val="-3"/>
                <w:sz w:val="20"/>
              </w:rPr>
              <w:t> </w:t>
            </w:r>
            <w:r>
              <w:rPr>
                <w:sz w:val="20"/>
              </w:rPr>
              <w:t>the</w:t>
            </w:r>
            <w:r>
              <w:rPr>
                <w:spacing w:val="-3"/>
                <w:sz w:val="20"/>
              </w:rPr>
              <w:t> </w:t>
            </w:r>
            <w:r>
              <w:rPr>
                <w:sz w:val="20"/>
              </w:rPr>
              <w:t>information</w:t>
            </w:r>
            <w:r>
              <w:rPr>
                <w:spacing w:val="-3"/>
                <w:sz w:val="20"/>
              </w:rPr>
              <w:t> </w:t>
            </w:r>
            <w:r>
              <w:rPr>
                <w:sz w:val="20"/>
              </w:rPr>
              <w:t>you</w:t>
            </w:r>
            <w:r>
              <w:rPr>
                <w:spacing w:val="-3"/>
                <w:sz w:val="20"/>
              </w:rPr>
              <w:t> </w:t>
            </w:r>
            <w:r>
              <w:rPr>
                <w:sz w:val="20"/>
              </w:rPr>
              <w:t>learn</w:t>
            </w:r>
            <w:r>
              <w:rPr>
                <w:spacing w:val="-3"/>
                <w:sz w:val="20"/>
              </w:rPr>
              <w:t> </w:t>
            </w:r>
            <w:r>
              <w:rPr>
                <w:sz w:val="20"/>
              </w:rPr>
              <w:t>in</w:t>
            </w:r>
            <w:r>
              <w:rPr>
                <w:spacing w:val="-3"/>
                <w:sz w:val="20"/>
              </w:rPr>
              <w:t> </w:t>
            </w:r>
            <w:r>
              <w:rPr>
                <w:sz w:val="20"/>
              </w:rPr>
              <w:t>accounting</w:t>
            </w:r>
            <w:r>
              <w:rPr>
                <w:spacing w:val="-3"/>
                <w:sz w:val="20"/>
              </w:rPr>
              <w:t> </w:t>
            </w:r>
            <w:r>
              <w:rPr>
                <w:sz w:val="20"/>
              </w:rPr>
              <w:t>is</w:t>
            </w:r>
            <w:r>
              <w:rPr>
                <w:spacing w:val="-3"/>
                <w:sz w:val="20"/>
              </w:rPr>
              <w:t> </w:t>
            </w:r>
            <w:r>
              <w:rPr>
                <w:sz w:val="20"/>
              </w:rPr>
              <w:t>valuable,</w:t>
            </w:r>
            <w:r>
              <w:rPr>
                <w:spacing w:val="-3"/>
                <w:sz w:val="20"/>
              </w:rPr>
              <w:t> </w:t>
            </w:r>
            <w:r>
              <w:rPr>
                <w:sz w:val="20"/>
              </w:rPr>
              <w:t>and</w:t>
            </w:r>
            <w:r>
              <w:rPr>
                <w:spacing w:val="-3"/>
                <w:sz w:val="20"/>
              </w:rPr>
              <w:t> </w:t>
            </w:r>
            <w:r>
              <w:rPr>
                <w:sz w:val="20"/>
              </w:rPr>
              <w:t>also,</w:t>
            </w:r>
            <w:r>
              <w:rPr>
                <w:spacing w:val="-3"/>
                <w:sz w:val="20"/>
              </w:rPr>
              <w:t> </w:t>
            </w:r>
            <w:r>
              <w:rPr>
                <w:sz w:val="20"/>
              </w:rPr>
              <w:t>like</w:t>
            </w:r>
            <w:r>
              <w:rPr>
                <w:spacing w:val="-3"/>
                <w:sz w:val="20"/>
              </w:rPr>
              <w:t> </w:t>
            </w:r>
            <w:r>
              <w:rPr>
                <w:sz w:val="20"/>
              </w:rPr>
              <w:t>you</w:t>
            </w:r>
            <w:r>
              <w:rPr>
                <w:spacing w:val="-3"/>
                <w:sz w:val="20"/>
              </w:rPr>
              <w:t> </w:t>
            </w:r>
            <w:r>
              <w:rPr>
                <w:sz w:val="20"/>
              </w:rPr>
              <w:t>need the 120 credit</w:t>
            </w:r>
            <w:r>
              <w:rPr>
                <w:spacing w:val="40"/>
                <w:sz w:val="20"/>
              </w:rPr>
              <w:t> </w:t>
            </w:r>
            <w:r>
              <w:rPr>
                <w:sz w:val="20"/>
              </w:rPr>
              <w:t>hours to be a CPA. (P33)</w:t>
            </w:r>
          </w:p>
        </w:tc>
      </w:tr>
    </w:tbl>
    <w:p>
      <w:pPr>
        <w:pStyle w:val="TableParagraph"/>
        <w:spacing w:after="0" w:line="230" w:lineRule="auto"/>
        <w:rPr>
          <w:sz w:val="20"/>
        </w:rPr>
        <w:sectPr>
          <w:pgSz w:w="12240" w:h="15840"/>
          <w:pgMar w:header="0" w:footer="750" w:top="680" w:bottom="960" w:left="720" w:right="0"/>
        </w:sectPr>
      </w:pPr>
    </w:p>
    <w:tbl>
      <w:tblPr>
        <w:tblW w:w="0" w:type="auto"/>
        <w:jc w:val="left"/>
        <w:tblInd w:w="1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40"/>
        <w:gridCol w:w="7920"/>
      </w:tblGrid>
      <w:tr>
        <w:trPr>
          <w:trHeight w:val="3660" w:hRule="atLeast"/>
        </w:trPr>
        <w:tc>
          <w:tcPr>
            <w:tcW w:w="1440" w:type="dxa"/>
          </w:tcPr>
          <w:p>
            <w:pPr>
              <w:pStyle w:val="TableParagraph"/>
              <w:spacing w:before="100"/>
              <w:ind w:left="97" w:right="97"/>
              <w:jc w:val="center"/>
              <w:rPr>
                <w:sz w:val="20"/>
              </w:rPr>
            </w:pPr>
            <w:r>
              <w:rPr>
                <w:spacing w:val="-5"/>
                <w:sz w:val="20"/>
              </w:rPr>
              <w:t>2.2</w:t>
            </w:r>
          </w:p>
        </w:tc>
        <w:tc>
          <w:tcPr>
            <w:tcW w:w="7920" w:type="dxa"/>
          </w:tcPr>
          <w:p>
            <w:pPr>
              <w:pStyle w:val="TableParagraph"/>
              <w:spacing w:line="230" w:lineRule="auto" w:before="100"/>
              <w:ind w:left="215" w:right="415"/>
              <w:rPr>
                <w:sz w:val="20"/>
              </w:rPr>
            </w:pPr>
            <w:r>
              <w:rPr>
                <w:sz w:val="20"/>
              </w:rPr>
              <w:t>Honestly,</w:t>
            </w:r>
            <w:r>
              <w:rPr>
                <w:spacing w:val="-5"/>
                <w:sz w:val="20"/>
              </w:rPr>
              <w:t> </w:t>
            </w:r>
            <w:r>
              <w:rPr>
                <w:sz w:val="20"/>
              </w:rPr>
              <w:t>just</w:t>
            </w:r>
            <w:r>
              <w:rPr>
                <w:spacing w:val="-5"/>
                <w:sz w:val="20"/>
              </w:rPr>
              <w:t> </w:t>
            </w:r>
            <w:r>
              <w:rPr>
                <w:sz w:val="20"/>
              </w:rPr>
              <w:t>probably</w:t>
            </w:r>
            <w:r>
              <w:rPr>
                <w:spacing w:val="-5"/>
                <w:sz w:val="20"/>
              </w:rPr>
              <w:t> </w:t>
            </w:r>
            <w:r>
              <w:rPr>
                <w:sz w:val="20"/>
              </w:rPr>
              <w:t>the</w:t>
            </w:r>
            <w:r>
              <w:rPr>
                <w:spacing w:val="-5"/>
                <w:sz w:val="20"/>
              </w:rPr>
              <w:t> </w:t>
            </w:r>
            <w:r>
              <w:rPr>
                <w:sz w:val="20"/>
              </w:rPr>
              <w:t>amount</w:t>
            </w:r>
            <w:r>
              <w:rPr>
                <w:spacing w:val="-5"/>
                <w:sz w:val="20"/>
              </w:rPr>
              <w:t> </w:t>
            </w:r>
            <w:r>
              <w:rPr>
                <w:sz w:val="20"/>
              </w:rPr>
              <w:t>of</w:t>
            </w:r>
            <w:r>
              <w:rPr>
                <w:spacing w:val="-5"/>
                <w:sz w:val="20"/>
              </w:rPr>
              <w:t> </w:t>
            </w:r>
            <w:r>
              <w:rPr>
                <w:sz w:val="20"/>
              </w:rPr>
              <w:t>opportunities</w:t>
            </w:r>
            <w:r>
              <w:rPr>
                <w:spacing w:val="-5"/>
                <w:sz w:val="20"/>
              </w:rPr>
              <w:t> </w:t>
            </w:r>
            <w:r>
              <w:rPr>
                <w:sz w:val="20"/>
              </w:rPr>
              <w:t>with</w:t>
            </w:r>
            <w:r>
              <w:rPr>
                <w:spacing w:val="-5"/>
                <w:sz w:val="20"/>
              </w:rPr>
              <w:t> </w:t>
            </w:r>
            <w:r>
              <w:rPr>
                <w:sz w:val="20"/>
              </w:rPr>
              <w:t>internships</w:t>
            </w:r>
            <w:r>
              <w:rPr>
                <w:spacing w:val="-5"/>
                <w:sz w:val="20"/>
              </w:rPr>
              <w:t> </w:t>
            </w:r>
            <w:r>
              <w:rPr>
                <w:sz w:val="20"/>
              </w:rPr>
              <w:t>and</w:t>
            </w:r>
            <w:r>
              <w:rPr>
                <w:spacing w:val="-5"/>
                <w:sz w:val="20"/>
              </w:rPr>
              <w:t> </w:t>
            </w:r>
            <w:r>
              <w:rPr>
                <w:sz w:val="20"/>
              </w:rPr>
              <w:t>it</w:t>
            </w:r>
            <w:r>
              <w:rPr>
                <w:spacing w:val="-5"/>
                <w:sz w:val="20"/>
              </w:rPr>
              <w:t> </w:t>
            </w:r>
            <w:r>
              <w:rPr>
                <w:sz w:val="20"/>
              </w:rPr>
              <w:t>seems</w:t>
            </w:r>
            <w:r>
              <w:rPr>
                <w:spacing w:val="-5"/>
                <w:sz w:val="20"/>
              </w:rPr>
              <w:t> </w:t>
            </w:r>
            <w:r>
              <w:rPr>
                <w:sz w:val="20"/>
              </w:rPr>
              <w:t>like</w:t>
            </w:r>
            <w:r>
              <w:rPr>
                <w:spacing w:val="-5"/>
                <w:sz w:val="20"/>
              </w:rPr>
              <w:t> </w:t>
            </w:r>
            <w:r>
              <w:rPr>
                <w:sz w:val="20"/>
              </w:rPr>
              <w:t>a very</w:t>
            </w:r>
            <w:r>
              <w:rPr>
                <w:spacing w:val="40"/>
                <w:sz w:val="20"/>
              </w:rPr>
              <w:t> </w:t>
            </w:r>
            <w:r>
              <w:rPr>
                <w:sz w:val="20"/>
              </w:rPr>
              <w:t>secure job, which is what I was looking for especially out of college. (P1)</w:t>
            </w:r>
          </w:p>
          <w:p>
            <w:pPr>
              <w:pStyle w:val="TableParagraph"/>
              <w:spacing w:before="4"/>
              <w:rPr>
                <w:b/>
                <w:sz w:val="20"/>
              </w:rPr>
            </w:pPr>
          </w:p>
          <w:p>
            <w:pPr>
              <w:pStyle w:val="TableParagraph"/>
              <w:spacing w:line="230" w:lineRule="auto"/>
              <w:ind w:left="215" w:right="237"/>
              <w:rPr>
                <w:sz w:val="20"/>
              </w:rPr>
            </w:pPr>
            <w:r>
              <w:rPr>
                <w:sz w:val="20"/>
              </w:rPr>
              <w:t>The</w:t>
            </w:r>
            <w:r>
              <w:rPr>
                <w:spacing w:val="-3"/>
                <w:sz w:val="20"/>
              </w:rPr>
              <w:t> </w:t>
            </w:r>
            <w:r>
              <w:rPr>
                <w:sz w:val="20"/>
              </w:rPr>
              <w:t>job</w:t>
            </w:r>
            <w:r>
              <w:rPr>
                <w:spacing w:val="-3"/>
                <w:sz w:val="20"/>
              </w:rPr>
              <w:t> </w:t>
            </w:r>
            <w:r>
              <w:rPr>
                <w:sz w:val="20"/>
              </w:rPr>
              <w:t>security</w:t>
            </w:r>
            <w:r>
              <w:rPr>
                <w:spacing w:val="-3"/>
                <w:sz w:val="20"/>
              </w:rPr>
              <w:t> </w:t>
            </w:r>
            <w:r>
              <w:rPr>
                <w:sz w:val="20"/>
              </w:rPr>
              <w:t>and</w:t>
            </w:r>
            <w:r>
              <w:rPr>
                <w:spacing w:val="-3"/>
                <w:sz w:val="20"/>
              </w:rPr>
              <w:t> </w:t>
            </w:r>
            <w:r>
              <w:rPr>
                <w:sz w:val="20"/>
              </w:rPr>
              <w:t>everything</w:t>
            </w:r>
            <w:r>
              <w:rPr>
                <w:spacing w:val="-3"/>
                <w:sz w:val="20"/>
              </w:rPr>
              <w:t> </w:t>
            </w:r>
            <w:r>
              <w:rPr>
                <w:sz w:val="20"/>
              </w:rPr>
              <w:t>after</w:t>
            </w:r>
            <w:r>
              <w:rPr>
                <w:spacing w:val="-3"/>
                <w:sz w:val="20"/>
              </w:rPr>
              <w:t> </w:t>
            </w:r>
            <w:r>
              <w:rPr>
                <w:sz w:val="20"/>
              </w:rPr>
              <w:t>that</w:t>
            </w:r>
            <w:r>
              <w:rPr>
                <w:spacing w:val="-3"/>
                <w:sz w:val="20"/>
              </w:rPr>
              <w:t> </w:t>
            </w:r>
            <w:r>
              <w:rPr>
                <w:sz w:val="20"/>
              </w:rPr>
              <w:t>is</w:t>
            </w:r>
            <w:r>
              <w:rPr>
                <w:spacing w:val="-3"/>
                <w:sz w:val="20"/>
              </w:rPr>
              <w:t> </w:t>
            </w:r>
            <w:r>
              <w:rPr>
                <w:sz w:val="20"/>
              </w:rPr>
              <w:t>probably</w:t>
            </w:r>
            <w:r>
              <w:rPr>
                <w:spacing w:val="-3"/>
                <w:sz w:val="20"/>
              </w:rPr>
              <w:t> </w:t>
            </w:r>
            <w:r>
              <w:rPr>
                <w:sz w:val="20"/>
              </w:rPr>
              <w:t>a</w:t>
            </w:r>
            <w:r>
              <w:rPr>
                <w:spacing w:val="-3"/>
                <w:sz w:val="20"/>
              </w:rPr>
              <w:t> </w:t>
            </w:r>
            <w:r>
              <w:rPr>
                <w:sz w:val="20"/>
              </w:rPr>
              <w:t>great</w:t>
            </w:r>
            <w:r>
              <w:rPr>
                <w:spacing w:val="-3"/>
                <w:sz w:val="20"/>
              </w:rPr>
              <w:t> </w:t>
            </w:r>
            <w:r>
              <w:rPr>
                <w:sz w:val="20"/>
              </w:rPr>
              <w:t>driver</w:t>
            </w:r>
            <w:r>
              <w:rPr>
                <w:spacing w:val="-3"/>
                <w:sz w:val="20"/>
              </w:rPr>
              <w:t> </w:t>
            </w:r>
            <w:r>
              <w:rPr>
                <w:sz w:val="20"/>
              </w:rPr>
              <w:t>for</w:t>
            </w:r>
            <w:r>
              <w:rPr>
                <w:spacing w:val="-3"/>
                <w:sz w:val="20"/>
              </w:rPr>
              <w:t> </w:t>
            </w:r>
            <w:r>
              <w:rPr>
                <w:sz w:val="20"/>
              </w:rPr>
              <w:t>keeping</w:t>
            </w:r>
            <w:r>
              <w:rPr>
                <w:spacing w:val="-3"/>
                <w:sz w:val="20"/>
              </w:rPr>
              <w:t> </w:t>
            </w:r>
            <w:r>
              <w:rPr>
                <w:sz w:val="20"/>
              </w:rPr>
              <w:t>me</w:t>
            </w:r>
            <w:r>
              <w:rPr>
                <w:spacing w:val="-3"/>
                <w:sz w:val="20"/>
              </w:rPr>
              <w:t> </w:t>
            </w:r>
            <w:r>
              <w:rPr>
                <w:sz w:val="20"/>
              </w:rPr>
              <w:t>in</w:t>
            </w:r>
            <w:r>
              <w:rPr>
                <w:spacing w:val="-3"/>
                <w:sz w:val="20"/>
              </w:rPr>
              <w:t> </w:t>
            </w:r>
            <w:r>
              <w:rPr>
                <w:sz w:val="20"/>
              </w:rPr>
              <w:t>the major.</w:t>
            </w:r>
            <w:r>
              <w:rPr>
                <w:spacing w:val="40"/>
                <w:sz w:val="20"/>
              </w:rPr>
              <w:t> </w:t>
            </w:r>
            <w:r>
              <w:rPr>
                <w:sz w:val="20"/>
              </w:rPr>
              <w:t>(P2)</w:t>
            </w:r>
          </w:p>
          <w:p>
            <w:pPr>
              <w:pStyle w:val="TableParagraph"/>
              <w:spacing w:before="4"/>
              <w:rPr>
                <w:b/>
                <w:sz w:val="20"/>
              </w:rPr>
            </w:pPr>
          </w:p>
          <w:p>
            <w:pPr>
              <w:pStyle w:val="TableParagraph"/>
              <w:spacing w:line="230" w:lineRule="auto"/>
              <w:ind w:left="215" w:right="237"/>
              <w:rPr>
                <w:sz w:val="20"/>
              </w:rPr>
            </w:pPr>
            <w:r>
              <w:rPr>
                <w:sz w:val="20"/>
              </w:rPr>
              <w:t>My dad was probably a bigger influence in the idea that if you're going to do this, get your CPA</w:t>
            </w:r>
            <w:r>
              <w:rPr>
                <w:spacing w:val="40"/>
                <w:sz w:val="20"/>
              </w:rPr>
              <w:t> </w:t>
            </w:r>
            <w:r>
              <w:rPr>
                <w:sz w:val="20"/>
              </w:rPr>
              <w:t>and</w:t>
            </w:r>
            <w:r>
              <w:rPr>
                <w:spacing w:val="-4"/>
                <w:sz w:val="20"/>
              </w:rPr>
              <w:t> </w:t>
            </w:r>
            <w:r>
              <w:rPr>
                <w:sz w:val="20"/>
              </w:rPr>
              <w:t>work</w:t>
            </w:r>
            <w:r>
              <w:rPr>
                <w:spacing w:val="-4"/>
                <w:sz w:val="20"/>
              </w:rPr>
              <w:t> </w:t>
            </w:r>
            <w:r>
              <w:rPr>
                <w:sz w:val="20"/>
              </w:rPr>
              <w:t>in</w:t>
            </w:r>
            <w:r>
              <w:rPr>
                <w:spacing w:val="-4"/>
                <w:sz w:val="20"/>
              </w:rPr>
              <w:t> </w:t>
            </w:r>
            <w:r>
              <w:rPr>
                <w:sz w:val="20"/>
              </w:rPr>
              <w:t>public</w:t>
            </w:r>
            <w:r>
              <w:rPr>
                <w:spacing w:val="-4"/>
                <w:sz w:val="20"/>
              </w:rPr>
              <w:t> </w:t>
            </w:r>
            <w:r>
              <w:rPr>
                <w:sz w:val="20"/>
              </w:rPr>
              <w:t>accounting</w:t>
            </w:r>
            <w:r>
              <w:rPr>
                <w:spacing w:val="-4"/>
                <w:sz w:val="20"/>
              </w:rPr>
              <w:t> </w:t>
            </w:r>
            <w:r>
              <w:rPr>
                <w:sz w:val="20"/>
              </w:rPr>
              <w:t>…</w:t>
            </w:r>
            <w:r>
              <w:rPr>
                <w:spacing w:val="-4"/>
                <w:sz w:val="20"/>
              </w:rPr>
              <w:t> </w:t>
            </w:r>
            <w:r>
              <w:rPr>
                <w:sz w:val="20"/>
              </w:rPr>
              <w:t>but</w:t>
            </w:r>
            <w:r>
              <w:rPr>
                <w:spacing w:val="-4"/>
                <w:sz w:val="20"/>
              </w:rPr>
              <w:t> </w:t>
            </w:r>
            <w:r>
              <w:rPr>
                <w:sz w:val="20"/>
              </w:rPr>
              <w:t>I</w:t>
            </w:r>
            <w:r>
              <w:rPr>
                <w:spacing w:val="-4"/>
                <w:sz w:val="20"/>
              </w:rPr>
              <w:t> </w:t>
            </w:r>
            <w:r>
              <w:rPr>
                <w:sz w:val="20"/>
              </w:rPr>
              <w:t>wouldn't</w:t>
            </w:r>
            <w:r>
              <w:rPr>
                <w:spacing w:val="-4"/>
                <w:sz w:val="20"/>
              </w:rPr>
              <w:t> </w:t>
            </w:r>
            <w:r>
              <w:rPr>
                <w:sz w:val="20"/>
              </w:rPr>
              <w:t>say</w:t>
            </w:r>
            <w:r>
              <w:rPr>
                <w:spacing w:val="-4"/>
                <w:sz w:val="20"/>
              </w:rPr>
              <w:t> </w:t>
            </w:r>
            <w:r>
              <w:rPr>
                <w:sz w:val="20"/>
              </w:rPr>
              <w:t>he</w:t>
            </w:r>
            <w:r>
              <w:rPr>
                <w:spacing w:val="-4"/>
                <w:sz w:val="20"/>
              </w:rPr>
              <w:t> </w:t>
            </w:r>
            <w:r>
              <w:rPr>
                <w:sz w:val="20"/>
              </w:rPr>
              <w:t>told</w:t>
            </w:r>
            <w:r>
              <w:rPr>
                <w:spacing w:val="-4"/>
                <w:sz w:val="20"/>
              </w:rPr>
              <w:t> </w:t>
            </w:r>
            <w:r>
              <w:rPr>
                <w:sz w:val="20"/>
              </w:rPr>
              <w:t>me</w:t>
            </w:r>
            <w:r>
              <w:rPr>
                <w:spacing w:val="-4"/>
                <w:sz w:val="20"/>
              </w:rPr>
              <w:t> </w:t>
            </w:r>
            <w:r>
              <w:rPr>
                <w:sz w:val="20"/>
              </w:rPr>
              <w:t>to</w:t>
            </w:r>
            <w:r>
              <w:rPr>
                <w:spacing w:val="-4"/>
                <w:sz w:val="20"/>
              </w:rPr>
              <w:t> </w:t>
            </w:r>
            <w:r>
              <w:rPr>
                <w:sz w:val="20"/>
              </w:rPr>
              <w:t>major</w:t>
            </w:r>
            <w:r>
              <w:rPr>
                <w:spacing w:val="-4"/>
                <w:sz w:val="20"/>
              </w:rPr>
              <w:t> </w:t>
            </w:r>
            <w:r>
              <w:rPr>
                <w:sz w:val="20"/>
              </w:rPr>
              <w:t>in</w:t>
            </w:r>
            <w:r>
              <w:rPr>
                <w:spacing w:val="-4"/>
                <w:sz w:val="20"/>
              </w:rPr>
              <w:t> </w:t>
            </w:r>
            <w:r>
              <w:rPr>
                <w:sz w:val="20"/>
              </w:rPr>
              <w:t>accounting. But</w:t>
            </w:r>
            <w:r>
              <w:rPr>
                <w:spacing w:val="40"/>
                <w:sz w:val="20"/>
              </w:rPr>
              <w:t> </w:t>
            </w:r>
            <w:r>
              <w:rPr>
                <w:sz w:val="20"/>
              </w:rPr>
              <w:t>once I did, and as I was deciding to, it was kind of laid out for me. Do your four years, get your</w:t>
            </w:r>
            <w:r>
              <w:rPr>
                <w:spacing w:val="40"/>
                <w:sz w:val="20"/>
              </w:rPr>
              <w:t> </w:t>
            </w:r>
            <w:r>
              <w:rPr>
                <w:sz w:val="20"/>
              </w:rPr>
              <w:t>CPA as quick as you can, get a high enough GPA, whereas a top 10 firm could recruit you and</w:t>
            </w:r>
            <w:r>
              <w:rPr>
                <w:spacing w:val="40"/>
                <w:sz w:val="20"/>
              </w:rPr>
              <w:t> </w:t>
            </w:r>
            <w:r>
              <w:rPr>
                <w:sz w:val="20"/>
              </w:rPr>
              <w:t>the rest would, in theory, take care of itself. (P6)</w:t>
            </w:r>
          </w:p>
          <w:p>
            <w:pPr>
              <w:pStyle w:val="TableParagraph"/>
              <w:spacing w:before="3"/>
              <w:rPr>
                <w:b/>
                <w:sz w:val="20"/>
              </w:rPr>
            </w:pPr>
          </w:p>
          <w:p>
            <w:pPr>
              <w:pStyle w:val="TableParagraph"/>
              <w:spacing w:line="230" w:lineRule="auto"/>
              <w:ind w:left="215" w:right="415"/>
              <w:rPr>
                <w:sz w:val="20"/>
              </w:rPr>
            </w:pPr>
            <w:r>
              <w:rPr>
                <w:sz w:val="20"/>
              </w:rPr>
              <w:t>I knew I wanted to do accounting going into college, but I didn't really know all of the things</w:t>
            </w:r>
            <w:r>
              <w:rPr>
                <w:spacing w:val="40"/>
                <w:sz w:val="20"/>
              </w:rPr>
              <w:t> </w:t>
            </w:r>
            <w:r>
              <w:rPr>
                <w:sz w:val="20"/>
              </w:rPr>
              <w:t>that you can do with it. I didn't know how good of a degree it is because it shows that</w:t>
            </w:r>
            <w:r>
              <w:rPr>
                <w:spacing w:val="-3"/>
                <w:sz w:val="20"/>
              </w:rPr>
              <w:t> </w:t>
            </w:r>
            <w:r>
              <w:rPr>
                <w:sz w:val="20"/>
              </w:rPr>
              <w:t>you</w:t>
            </w:r>
            <w:r>
              <w:rPr>
                <w:spacing w:val="-3"/>
                <w:sz w:val="20"/>
              </w:rPr>
              <w:t> </w:t>
            </w:r>
            <w:r>
              <w:rPr>
                <w:sz w:val="20"/>
              </w:rPr>
              <w:t>can</w:t>
            </w:r>
            <w:r>
              <w:rPr>
                <w:spacing w:val="40"/>
                <w:sz w:val="20"/>
              </w:rPr>
              <w:t> </w:t>
            </w:r>
            <w:r>
              <w:rPr>
                <w:sz w:val="20"/>
              </w:rPr>
              <w:t>do</w:t>
            </w:r>
            <w:r>
              <w:rPr>
                <w:spacing w:val="-3"/>
                <w:sz w:val="20"/>
              </w:rPr>
              <w:t> </w:t>
            </w:r>
            <w:r>
              <w:rPr>
                <w:sz w:val="20"/>
              </w:rPr>
              <w:t>a</w:t>
            </w:r>
            <w:r>
              <w:rPr>
                <w:spacing w:val="-3"/>
                <w:sz w:val="20"/>
              </w:rPr>
              <w:t> </w:t>
            </w:r>
            <w:r>
              <w:rPr>
                <w:sz w:val="20"/>
              </w:rPr>
              <w:t>lot</w:t>
            </w:r>
            <w:r>
              <w:rPr>
                <w:spacing w:val="-3"/>
                <w:sz w:val="20"/>
              </w:rPr>
              <w:t> </w:t>
            </w:r>
            <w:r>
              <w:rPr>
                <w:sz w:val="20"/>
              </w:rPr>
              <w:t>of</w:t>
            </w:r>
            <w:r>
              <w:rPr>
                <w:spacing w:val="-3"/>
                <w:sz w:val="20"/>
              </w:rPr>
              <w:t> </w:t>
            </w:r>
            <w:r>
              <w:rPr>
                <w:sz w:val="20"/>
              </w:rPr>
              <w:t>different</w:t>
            </w:r>
            <w:r>
              <w:rPr>
                <w:spacing w:val="-3"/>
                <w:sz w:val="20"/>
              </w:rPr>
              <w:t> </w:t>
            </w:r>
            <w:r>
              <w:rPr>
                <w:sz w:val="20"/>
              </w:rPr>
              <w:t>things</w:t>
            </w:r>
            <w:r>
              <w:rPr>
                <w:spacing w:val="-3"/>
                <w:sz w:val="20"/>
              </w:rPr>
              <w:t> </w:t>
            </w:r>
            <w:r>
              <w:rPr>
                <w:sz w:val="20"/>
              </w:rPr>
              <w:t>and</w:t>
            </w:r>
            <w:r>
              <w:rPr>
                <w:spacing w:val="-3"/>
                <w:sz w:val="20"/>
              </w:rPr>
              <w:t> </w:t>
            </w:r>
            <w:r>
              <w:rPr>
                <w:sz w:val="20"/>
              </w:rPr>
              <w:t>you</w:t>
            </w:r>
            <w:r>
              <w:rPr>
                <w:spacing w:val="-3"/>
                <w:sz w:val="20"/>
              </w:rPr>
              <w:t> </w:t>
            </w:r>
            <w:r>
              <w:rPr>
                <w:sz w:val="20"/>
              </w:rPr>
              <w:t>can</w:t>
            </w:r>
            <w:r>
              <w:rPr>
                <w:spacing w:val="-3"/>
                <w:sz w:val="20"/>
              </w:rPr>
              <w:t> </w:t>
            </w:r>
            <w:r>
              <w:rPr>
                <w:sz w:val="20"/>
              </w:rPr>
              <w:t>go</w:t>
            </w:r>
            <w:r>
              <w:rPr>
                <w:spacing w:val="-3"/>
                <w:sz w:val="20"/>
              </w:rPr>
              <w:t> </w:t>
            </w:r>
            <w:r>
              <w:rPr>
                <w:sz w:val="20"/>
              </w:rPr>
              <w:t>into</w:t>
            </w:r>
            <w:r>
              <w:rPr>
                <w:spacing w:val="-3"/>
                <w:sz w:val="20"/>
              </w:rPr>
              <w:t> </w:t>
            </w:r>
            <w:r>
              <w:rPr>
                <w:sz w:val="20"/>
              </w:rPr>
              <w:t>a</w:t>
            </w:r>
            <w:r>
              <w:rPr>
                <w:spacing w:val="-3"/>
                <w:sz w:val="20"/>
              </w:rPr>
              <w:t> </w:t>
            </w:r>
            <w:r>
              <w:rPr>
                <w:sz w:val="20"/>
              </w:rPr>
              <w:t>lot</w:t>
            </w:r>
            <w:r>
              <w:rPr>
                <w:spacing w:val="-3"/>
                <w:sz w:val="20"/>
              </w:rPr>
              <w:t> </w:t>
            </w:r>
            <w:r>
              <w:rPr>
                <w:sz w:val="20"/>
              </w:rPr>
              <w:t>of</w:t>
            </w:r>
            <w:r>
              <w:rPr>
                <w:spacing w:val="-3"/>
                <w:sz w:val="20"/>
              </w:rPr>
              <w:t> </w:t>
            </w:r>
            <w:r>
              <w:rPr>
                <w:sz w:val="20"/>
              </w:rPr>
              <w:t>different</w:t>
            </w:r>
            <w:r>
              <w:rPr>
                <w:spacing w:val="-3"/>
                <w:sz w:val="20"/>
              </w:rPr>
              <w:t> </w:t>
            </w:r>
            <w:r>
              <w:rPr>
                <w:sz w:val="20"/>
              </w:rPr>
              <w:t>things.</w:t>
            </w:r>
            <w:r>
              <w:rPr>
                <w:spacing w:val="-3"/>
                <w:sz w:val="20"/>
              </w:rPr>
              <w:t> </w:t>
            </w:r>
            <w:r>
              <w:rPr>
                <w:sz w:val="20"/>
              </w:rPr>
              <w:t>(P7)</w:t>
            </w:r>
          </w:p>
        </w:tc>
      </w:tr>
      <w:tr>
        <w:trPr>
          <w:trHeight w:val="2519" w:hRule="atLeast"/>
        </w:trPr>
        <w:tc>
          <w:tcPr>
            <w:tcW w:w="1440" w:type="dxa"/>
          </w:tcPr>
          <w:p>
            <w:pPr>
              <w:pStyle w:val="TableParagraph"/>
              <w:spacing w:before="110"/>
              <w:ind w:left="97" w:right="97"/>
              <w:jc w:val="center"/>
              <w:rPr>
                <w:sz w:val="20"/>
              </w:rPr>
            </w:pPr>
            <w:r>
              <w:rPr>
                <w:spacing w:val="-5"/>
                <w:sz w:val="20"/>
              </w:rPr>
              <w:t>3.1</w:t>
            </w:r>
          </w:p>
        </w:tc>
        <w:tc>
          <w:tcPr>
            <w:tcW w:w="7920" w:type="dxa"/>
          </w:tcPr>
          <w:p>
            <w:pPr>
              <w:pStyle w:val="TableParagraph"/>
              <w:spacing w:line="230" w:lineRule="auto" w:before="110"/>
              <w:ind w:left="215" w:right="193"/>
              <w:rPr>
                <w:sz w:val="20"/>
              </w:rPr>
            </w:pPr>
            <w:r>
              <w:rPr>
                <w:sz w:val="20"/>
              </w:rPr>
              <w:t>I</w:t>
            </w:r>
            <w:r>
              <w:rPr>
                <w:spacing w:val="-5"/>
                <w:sz w:val="20"/>
              </w:rPr>
              <w:t> </w:t>
            </w:r>
            <w:r>
              <w:rPr>
                <w:sz w:val="20"/>
              </w:rPr>
              <w:t>was</w:t>
            </w:r>
            <w:r>
              <w:rPr>
                <w:spacing w:val="-5"/>
                <w:sz w:val="20"/>
              </w:rPr>
              <w:t> </w:t>
            </w:r>
            <w:r>
              <w:rPr>
                <w:sz w:val="20"/>
              </w:rPr>
              <w:t>very</w:t>
            </w:r>
            <w:r>
              <w:rPr>
                <w:spacing w:val="-5"/>
                <w:sz w:val="20"/>
              </w:rPr>
              <w:t> </w:t>
            </w:r>
            <w:r>
              <w:rPr>
                <w:sz w:val="20"/>
              </w:rPr>
              <w:t>passionate</w:t>
            </w:r>
            <w:r>
              <w:rPr>
                <w:spacing w:val="-5"/>
                <w:sz w:val="20"/>
              </w:rPr>
              <w:t> </w:t>
            </w:r>
            <w:r>
              <w:rPr>
                <w:sz w:val="20"/>
              </w:rPr>
              <w:t>about</w:t>
            </w:r>
            <w:r>
              <w:rPr>
                <w:spacing w:val="-5"/>
                <w:sz w:val="20"/>
              </w:rPr>
              <w:t> </w:t>
            </w:r>
            <w:r>
              <w:rPr>
                <w:sz w:val="20"/>
              </w:rPr>
              <w:t>sustainability,</w:t>
            </w:r>
            <w:r>
              <w:rPr>
                <w:spacing w:val="-5"/>
                <w:sz w:val="20"/>
              </w:rPr>
              <w:t> </w:t>
            </w:r>
            <w:r>
              <w:rPr>
                <w:sz w:val="20"/>
              </w:rPr>
              <w:t>it’s</w:t>
            </w:r>
            <w:r>
              <w:rPr>
                <w:spacing w:val="-5"/>
                <w:sz w:val="20"/>
              </w:rPr>
              <w:t> </w:t>
            </w:r>
            <w:r>
              <w:rPr>
                <w:sz w:val="20"/>
              </w:rPr>
              <w:t>just</w:t>
            </w:r>
            <w:r>
              <w:rPr>
                <w:spacing w:val="-5"/>
                <w:sz w:val="20"/>
              </w:rPr>
              <w:t> </w:t>
            </w:r>
            <w:r>
              <w:rPr>
                <w:sz w:val="20"/>
              </w:rPr>
              <w:t>something</w:t>
            </w:r>
            <w:r>
              <w:rPr>
                <w:spacing w:val="-5"/>
                <w:sz w:val="20"/>
              </w:rPr>
              <w:t> </w:t>
            </w:r>
            <w:r>
              <w:rPr>
                <w:sz w:val="20"/>
              </w:rPr>
              <w:t>that</w:t>
            </w:r>
            <w:r>
              <w:rPr>
                <w:spacing w:val="-5"/>
                <w:sz w:val="20"/>
              </w:rPr>
              <w:t> </w:t>
            </w:r>
            <w:r>
              <w:rPr>
                <w:sz w:val="20"/>
              </w:rPr>
              <w:t>has</w:t>
            </w:r>
            <w:r>
              <w:rPr>
                <w:spacing w:val="-5"/>
                <w:sz w:val="20"/>
              </w:rPr>
              <w:t> </w:t>
            </w:r>
            <w:r>
              <w:rPr>
                <w:sz w:val="20"/>
              </w:rPr>
              <w:t>always</w:t>
            </w:r>
            <w:r>
              <w:rPr>
                <w:spacing w:val="-5"/>
                <w:sz w:val="20"/>
              </w:rPr>
              <w:t> </w:t>
            </w:r>
            <w:r>
              <w:rPr>
                <w:sz w:val="20"/>
              </w:rPr>
              <w:t>really</w:t>
            </w:r>
            <w:r>
              <w:rPr>
                <w:spacing w:val="-5"/>
                <w:sz w:val="20"/>
              </w:rPr>
              <w:t> </w:t>
            </w:r>
            <w:r>
              <w:rPr>
                <w:sz w:val="20"/>
              </w:rPr>
              <w:t>interested me … After managerial accounting, I thought “Wait, that kind of is, like, right up my alley. I kind of enjoy that a lot more than I thought.” And I actually didn't even know that I could combine</w:t>
            </w:r>
            <w:r>
              <w:rPr>
                <w:spacing w:val="-3"/>
                <w:sz w:val="20"/>
              </w:rPr>
              <w:t> </w:t>
            </w:r>
            <w:r>
              <w:rPr>
                <w:sz w:val="20"/>
              </w:rPr>
              <w:t>the</w:t>
            </w:r>
            <w:r>
              <w:rPr>
                <w:spacing w:val="-3"/>
                <w:sz w:val="20"/>
              </w:rPr>
              <w:t> </w:t>
            </w:r>
            <w:r>
              <w:rPr>
                <w:sz w:val="20"/>
              </w:rPr>
              <w:t>two</w:t>
            </w:r>
            <w:r>
              <w:rPr>
                <w:spacing w:val="-3"/>
                <w:sz w:val="20"/>
              </w:rPr>
              <w:t> </w:t>
            </w:r>
            <w:r>
              <w:rPr>
                <w:sz w:val="20"/>
              </w:rPr>
              <w:t>[accounting</w:t>
            </w:r>
            <w:r>
              <w:rPr>
                <w:spacing w:val="-3"/>
                <w:sz w:val="20"/>
              </w:rPr>
              <w:t> </w:t>
            </w:r>
            <w:r>
              <w:rPr>
                <w:sz w:val="20"/>
              </w:rPr>
              <w:t>and</w:t>
            </w:r>
            <w:r>
              <w:rPr>
                <w:spacing w:val="-3"/>
                <w:sz w:val="20"/>
              </w:rPr>
              <w:t> </w:t>
            </w:r>
            <w:r>
              <w:rPr>
                <w:sz w:val="20"/>
              </w:rPr>
              <w:t>sustainability]</w:t>
            </w:r>
            <w:r>
              <w:rPr>
                <w:spacing w:val="-3"/>
                <w:sz w:val="20"/>
              </w:rPr>
              <w:t> </w:t>
            </w:r>
            <w:r>
              <w:rPr>
                <w:sz w:val="20"/>
              </w:rPr>
              <w:t>until</w:t>
            </w:r>
            <w:r>
              <w:rPr>
                <w:spacing w:val="-3"/>
                <w:sz w:val="20"/>
              </w:rPr>
              <w:t> </w:t>
            </w:r>
            <w:r>
              <w:rPr>
                <w:sz w:val="20"/>
              </w:rPr>
              <w:t>I</w:t>
            </w:r>
            <w:r>
              <w:rPr>
                <w:spacing w:val="-3"/>
                <w:sz w:val="20"/>
              </w:rPr>
              <w:t> </w:t>
            </w:r>
            <w:r>
              <w:rPr>
                <w:sz w:val="20"/>
              </w:rPr>
              <w:t>was</w:t>
            </w:r>
            <w:r>
              <w:rPr>
                <w:spacing w:val="-3"/>
                <w:sz w:val="20"/>
              </w:rPr>
              <w:t> </w:t>
            </w:r>
            <w:r>
              <w:rPr>
                <w:sz w:val="20"/>
              </w:rPr>
              <w:t>talking</w:t>
            </w:r>
            <w:r>
              <w:rPr>
                <w:spacing w:val="-3"/>
                <w:sz w:val="20"/>
              </w:rPr>
              <w:t> </w:t>
            </w:r>
            <w:r>
              <w:rPr>
                <w:sz w:val="20"/>
              </w:rPr>
              <w:t>with</w:t>
            </w:r>
            <w:r>
              <w:rPr>
                <w:spacing w:val="-3"/>
                <w:sz w:val="20"/>
              </w:rPr>
              <w:t> </w:t>
            </w:r>
            <w:r>
              <w:rPr>
                <w:sz w:val="20"/>
              </w:rPr>
              <w:t>one</w:t>
            </w:r>
            <w:r>
              <w:rPr>
                <w:spacing w:val="-3"/>
                <w:sz w:val="20"/>
              </w:rPr>
              <w:t> </w:t>
            </w:r>
            <w:r>
              <w:rPr>
                <w:sz w:val="20"/>
              </w:rPr>
              <w:t>of</w:t>
            </w:r>
            <w:r>
              <w:rPr>
                <w:spacing w:val="-3"/>
                <w:sz w:val="20"/>
              </w:rPr>
              <w:t> </w:t>
            </w:r>
            <w:r>
              <w:rPr>
                <w:sz w:val="20"/>
              </w:rPr>
              <w:t>the</w:t>
            </w:r>
            <w:r>
              <w:rPr>
                <w:spacing w:val="-3"/>
                <w:sz w:val="20"/>
              </w:rPr>
              <w:t> </w:t>
            </w:r>
            <w:r>
              <w:rPr>
                <w:sz w:val="20"/>
              </w:rPr>
              <w:t>professors at</w:t>
            </w:r>
            <w:r>
              <w:rPr>
                <w:spacing w:val="40"/>
                <w:sz w:val="20"/>
              </w:rPr>
              <w:t> </w:t>
            </w:r>
            <w:r>
              <w:rPr>
                <w:sz w:val="20"/>
              </w:rPr>
              <w:t>our school. (P20)</w:t>
            </w:r>
          </w:p>
          <w:p>
            <w:pPr>
              <w:pStyle w:val="TableParagraph"/>
              <w:spacing w:before="3"/>
              <w:rPr>
                <w:b/>
                <w:sz w:val="20"/>
              </w:rPr>
            </w:pPr>
          </w:p>
          <w:p>
            <w:pPr>
              <w:pStyle w:val="TableParagraph"/>
              <w:spacing w:line="230" w:lineRule="auto"/>
              <w:ind w:left="215" w:right="237" w:firstLine="15"/>
              <w:rPr>
                <w:sz w:val="20"/>
              </w:rPr>
            </w:pPr>
            <w:r>
              <w:rPr>
                <w:sz w:val="20"/>
              </w:rPr>
              <w:t>So</w:t>
            </w:r>
            <w:r>
              <w:rPr>
                <w:spacing w:val="-4"/>
                <w:sz w:val="20"/>
              </w:rPr>
              <w:t> </w:t>
            </w:r>
            <w:r>
              <w:rPr>
                <w:sz w:val="20"/>
              </w:rPr>
              <w:t>really,</w:t>
            </w:r>
            <w:r>
              <w:rPr>
                <w:spacing w:val="-4"/>
                <w:sz w:val="20"/>
              </w:rPr>
              <w:t> </w:t>
            </w:r>
            <w:r>
              <w:rPr>
                <w:sz w:val="20"/>
              </w:rPr>
              <w:t>I</w:t>
            </w:r>
            <w:r>
              <w:rPr>
                <w:spacing w:val="-4"/>
                <w:sz w:val="20"/>
              </w:rPr>
              <w:t> </w:t>
            </w:r>
            <w:r>
              <w:rPr>
                <w:sz w:val="20"/>
              </w:rPr>
              <w:t>think</w:t>
            </w:r>
            <w:r>
              <w:rPr>
                <w:spacing w:val="-4"/>
                <w:sz w:val="20"/>
              </w:rPr>
              <w:t> </w:t>
            </w:r>
            <w:r>
              <w:rPr>
                <w:sz w:val="20"/>
              </w:rPr>
              <w:t>that</w:t>
            </w:r>
            <w:r>
              <w:rPr>
                <w:spacing w:val="-4"/>
                <w:sz w:val="20"/>
              </w:rPr>
              <w:t> </w:t>
            </w:r>
            <w:r>
              <w:rPr>
                <w:sz w:val="20"/>
              </w:rPr>
              <w:t>accounting</w:t>
            </w:r>
            <w:r>
              <w:rPr>
                <w:spacing w:val="-4"/>
                <w:sz w:val="20"/>
              </w:rPr>
              <w:t> </w:t>
            </w:r>
            <w:r>
              <w:rPr>
                <w:sz w:val="20"/>
              </w:rPr>
              <w:t>can</w:t>
            </w:r>
            <w:r>
              <w:rPr>
                <w:spacing w:val="-4"/>
                <w:sz w:val="20"/>
              </w:rPr>
              <w:t> </w:t>
            </w:r>
            <w:r>
              <w:rPr>
                <w:sz w:val="20"/>
              </w:rPr>
              <w:t>touch</w:t>
            </w:r>
            <w:r>
              <w:rPr>
                <w:spacing w:val="-4"/>
                <w:sz w:val="20"/>
              </w:rPr>
              <w:t> </w:t>
            </w:r>
            <w:r>
              <w:rPr>
                <w:sz w:val="20"/>
              </w:rPr>
              <w:t>any</w:t>
            </w:r>
            <w:r>
              <w:rPr>
                <w:spacing w:val="-4"/>
                <w:sz w:val="20"/>
              </w:rPr>
              <w:t> </w:t>
            </w:r>
            <w:r>
              <w:rPr>
                <w:sz w:val="20"/>
              </w:rPr>
              <w:t>part</w:t>
            </w:r>
            <w:r>
              <w:rPr>
                <w:spacing w:val="-4"/>
                <w:sz w:val="20"/>
              </w:rPr>
              <w:t> </w:t>
            </w:r>
            <w:r>
              <w:rPr>
                <w:sz w:val="20"/>
              </w:rPr>
              <w:t>of</w:t>
            </w:r>
            <w:r>
              <w:rPr>
                <w:spacing w:val="-4"/>
                <w:sz w:val="20"/>
              </w:rPr>
              <w:t> </w:t>
            </w:r>
            <w:r>
              <w:rPr>
                <w:sz w:val="20"/>
              </w:rPr>
              <w:t>a</w:t>
            </w:r>
            <w:r>
              <w:rPr>
                <w:spacing w:val="-4"/>
                <w:sz w:val="20"/>
              </w:rPr>
              <w:t> </w:t>
            </w:r>
            <w:r>
              <w:rPr>
                <w:sz w:val="20"/>
              </w:rPr>
              <w:t>company,</w:t>
            </w:r>
            <w:r>
              <w:rPr>
                <w:spacing w:val="-4"/>
                <w:sz w:val="20"/>
              </w:rPr>
              <w:t> </w:t>
            </w:r>
            <w:r>
              <w:rPr>
                <w:sz w:val="20"/>
              </w:rPr>
              <w:t>and</w:t>
            </w:r>
            <w:r>
              <w:rPr>
                <w:spacing w:val="-4"/>
                <w:sz w:val="20"/>
              </w:rPr>
              <w:t> </w:t>
            </w:r>
            <w:r>
              <w:rPr>
                <w:sz w:val="20"/>
              </w:rPr>
              <w:t>if</w:t>
            </w:r>
            <w:r>
              <w:rPr>
                <w:spacing w:val="-4"/>
                <w:sz w:val="20"/>
              </w:rPr>
              <w:t> </w:t>
            </w:r>
            <w:r>
              <w:rPr>
                <w:sz w:val="20"/>
              </w:rPr>
              <w:t>that</w:t>
            </w:r>
            <w:r>
              <w:rPr>
                <w:spacing w:val="-4"/>
                <w:sz w:val="20"/>
              </w:rPr>
              <w:t> </w:t>
            </w:r>
            <w:r>
              <w:rPr>
                <w:sz w:val="20"/>
              </w:rPr>
              <w:t>company</w:t>
            </w:r>
            <w:r>
              <w:rPr>
                <w:spacing w:val="-4"/>
                <w:sz w:val="20"/>
              </w:rPr>
              <w:t> </w:t>
            </w:r>
            <w:r>
              <w:rPr>
                <w:sz w:val="20"/>
              </w:rPr>
              <w:t>is making sustainability, you know, in any way, not even just environmental, but making sustainability</w:t>
            </w:r>
            <w:r>
              <w:rPr>
                <w:spacing w:val="-1"/>
                <w:sz w:val="20"/>
              </w:rPr>
              <w:t> </w:t>
            </w:r>
            <w:r>
              <w:rPr>
                <w:sz w:val="20"/>
              </w:rPr>
              <w:t>important</w:t>
            </w:r>
            <w:r>
              <w:rPr>
                <w:spacing w:val="-1"/>
                <w:sz w:val="20"/>
              </w:rPr>
              <w:t> </w:t>
            </w:r>
            <w:r>
              <w:rPr>
                <w:sz w:val="20"/>
              </w:rPr>
              <w:t>and</w:t>
            </w:r>
            <w:r>
              <w:rPr>
                <w:spacing w:val="-1"/>
                <w:sz w:val="20"/>
              </w:rPr>
              <w:t> </w:t>
            </w:r>
            <w:r>
              <w:rPr>
                <w:sz w:val="20"/>
              </w:rPr>
              <w:t>a</w:t>
            </w:r>
            <w:r>
              <w:rPr>
                <w:spacing w:val="-1"/>
                <w:sz w:val="20"/>
              </w:rPr>
              <w:t> </w:t>
            </w:r>
            <w:r>
              <w:rPr>
                <w:sz w:val="20"/>
              </w:rPr>
              <w:t>value</w:t>
            </w:r>
            <w:r>
              <w:rPr>
                <w:spacing w:val="-1"/>
                <w:sz w:val="20"/>
              </w:rPr>
              <w:t> </w:t>
            </w:r>
            <w:r>
              <w:rPr>
                <w:sz w:val="20"/>
              </w:rPr>
              <w:t>to</w:t>
            </w:r>
            <w:r>
              <w:rPr>
                <w:spacing w:val="-1"/>
                <w:sz w:val="20"/>
              </w:rPr>
              <w:t> </w:t>
            </w:r>
            <w:r>
              <w:rPr>
                <w:sz w:val="20"/>
              </w:rPr>
              <w:t>them,</w:t>
            </w:r>
            <w:r>
              <w:rPr>
                <w:spacing w:val="-1"/>
                <w:sz w:val="20"/>
              </w:rPr>
              <w:t> </w:t>
            </w:r>
            <w:r>
              <w:rPr>
                <w:sz w:val="20"/>
              </w:rPr>
              <w:t>it's</w:t>
            </w:r>
            <w:r>
              <w:rPr>
                <w:spacing w:val="-1"/>
                <w:sz w:val="20"/>
              </w:rPr>
              <w:t> </w:t>
            </w:r>
            <w:r>
              <w:rPr>
                <w:sz w:val="20"/>
              </w:rPr>
              <w:t>going</w:t>
            </w:r>
            <w:r>
              <w:rPr>
                <w:spacing w:val="-1"/>
                <w:sz w:val="20"/>
              </w:rPr>
              <w:t> </w:t>
            </w:r>
            <w:r>
              <w:rPr>
                <w:sz w:val="20"/>
              </w:rPr>
              <w:t>to</w:t>
            </w:r>
            <w:r>
              <w:rPr>
                <w:spacing w:val="-1"/>
                <w:sz w:val="20"/>
              </w:rPr>
              <w:t> </w:t>
            </w:r>
            <w:r>
              <w:rPr>
                <w:sz w:val="20"/>
              </w:rPr>
              <w:t>have</w:t>
            </w:r>
            <w:r>
              <w:rPr>
                <w:spacing w:val="-1"/>
                <w:sz w:val="20"/>
              </w:rPr>
              <w:t> </w:t>
            </w:r>
            <w:r>
              <w:rPr>
                <w:sz w:val="20"/>
              </w:rPr>
              <w:t>to</w:t>
            </w:r>
            <w:r>
              <w:rPr>
                <w:spacing w:val="-1"/>
                <w:sz w:val="20"/>
              </w:rPr>
              <w:t> </w:t>
            </w:r>
            <w:r>
              <w:rPr>
                <w:sz w:val="20"/>
              </w:rPr>
              <w:t>connect</w:t>
            </w:r>
            <w:r>
              <w:rPr>
                <w:spacing w:val="-1"/>
                <w:sz w:val="20"/>
              </w:rPr>
              <w:t> </w:t>
            </w:r>
            <w:r>
              <w:rPr>
                <w:sz w:val="20"/>
              </w:rPr>
              <w:t>to</w:t>
            </w:r>
            <w:r>
              <w:rPr>
                <w:spacing w:val="-1"/>
                <w:sz w:val="20"/>
              </w:rPr>
              <w:t> </w:t>
            </w:r>
            <w:r>
              <w:rPr>
                <w:sz w:val="20"/>
              </w:rPr>
              <w:t>the</w:t>
            </w:r>
            <w:r>
              <w:rPr>
                <w:spacing w:val="-1"/>
                <w:sz w:val="20"/>
              </w:rPr>
              <w:t> </w:t>
            </w:r>
            <w:r>
              <w:rPr>
                <w:sz w:val="20"/>
              </w:rPr>
              <w:t>finances. </w:t>
            </w:r>
            <w:r>
              <w:rPr>
                <w:spacing w:val="-2"/>
                <w:sz w:val="20"/>
              </w:rPr>
              <w:t>(P20)</w:t>
            </w:r>
          </w:p>
        </w:tc>
      </w:tr>
    </w:tbl>
    <w:p>
      <w:pPr>
        <w:pStyle w:val="BodyText"/>
        <w:spacing w:before="10" w:after="1"/>
        <w:rPr>
          <w:b/>
          <w:sz w:val="20"/>
        </w:rPr>
      </w:pPr>
    </w:p>
    <w:tbl>
      <w:tblPr>
        <w:tblW w:w="0" w:type="auto"/>
        <w:jc w:val="left"/>
        <w:tblInd w:w="1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40"/>
        <w:gridCol w:w="7920"/>
      </w:tblGrid>
      <w:tr>
        <w:trPr>
          <w:trHeight w:val="1539" w:hRule="atLeast"/>
        </w:trPr>
        <w:tc>
          <w:tcPr>
            <w:tcW w:w="1440" w:type="dxa"/>
          </w:tcPr>
          <w:p>
            <w:pPr>
              <w:pStyle w:val="TableParagraph"/>
              <w:rPr>
                <w:sz w:val="20"/>
              </w:rPr>
            </w:pPr>
          </w:p>
        </w:tc>
        <w:tc>
          <w:tcPr>
            <w:tcW w:w="7920" w:type="dxa"/>
          </w:tcPr>
          <w:p>
            <w:pPr>
              <w:pStyle w:val="TableParagraph"/>
              <w:spacing w:line="264" w:lineRule="auto" w:before="110"/>
              <w:ind w:left="215" w:right="180"/>
              <w:rPr>
                <w:sz w:val="20"/>
              </w:rPr>
            </w:pPr>
            <w:r>
              <w:rPr>
                <w:sz w:val="20"/>
              </w:rPr>
              <w:t>I have a 10 year goal of starting a systems architecture firm. But as an auditor … I need to make</w:t>
            </w:r>
            <w:r>
              <w:rPr>
                <w:spacing w:val="40"/>
                <w:sz w:val="20"/>
              </w:rPr>
              <w:t> </w:t>
            </w:r>
            <w:r>
              <w:rPr>
                <w:sz w:val="20"/>
              </w:rPr>
              <w:t>sure people are doing their jobs, and people have access to, you know, things that are helping</w:t>
            </w:r>
            <w:r>
              <w:rPr>
                <w:spacing w:val="40"/>
                <w:sz w:val="20"/>
              </w:rPr>
              <w:t> </w:t>
            </w:r>
            <w:r>
              <w:rPr>
                <w:sz w:val="20"/>
              </w:rPr>
              <w:t>them make sure management is helping the employees and do all that. It feels like</w:t>
            </w:r>
            <w:r>
              <w:rPr>
                <w:spacing w:val="40"/>
                <w:sz w:val="20"/>
              </w:rPr>
              <w:t> </w:t>
            </w:r>
            <w:r>
              <w:rPr>
                <w:sz w:val="20"/>
              </w:rPr>
              <w:t>my</w:t>
            </w:r>
            <w:r>
              <w:rPr>
                <w:spacing w:val="-4"/>
                <w:sz w:val="20"/>
              </w:rPr>
              <w:t> </w:t>
            </w:r>
            <w:r>
              <w:rPr>
                <w:sz w:val="20"/>
              </w:rPr>
              <w:t>job</w:t>
            </w:r>
            <w:r>
              <w:rPr>
                <w:spacing w:val="-4"/>
                <w:sz w:val="20"/>
              </w:rPr>
              <w:t> </w:t>
            </w:r>
            <w:r>
              <w:rPr>
                <w:sz w:val="20"/>
              </w:rPr>
              <w:t>as</w:t>
            </w:r>
            <w:r>
              <w:rPr>
                <w:spacing w:val="-4"/>
                <w:sz w:val="20"/>
              </w:rPr>
              <w:t> </w:t>
            </w:r>
            <w:r>
              <w:rPr>
                <w:sz w:val="20"/>
              </w:rPr>
              <w:t>an</w:t>
            </w:r>
            <w:r>
              <w:rPr>
                <w:spacing w:val="40"/>
                <w:sz w:val="20"/>
              </w:rPr>
              <w:t> </w:t>
            </w:r>
            <w:r>
              <w:rPr>
                <w:sz w:val="20"/>
              </w:rPr>
              <w:t>accountant</w:t>
            </w:r>
            <w:r>
              <w:rPr>
                <w:spacing w:val="-4"/>
                <w:sz w:val="20"/>
              </w:rPr>
              <w:t> </w:t>
            </w:r>
            <w:r>
              <w:rPr>
                <w:sz w:val="20"/>
              </w:rPr>
              <w:t>would</w:t>
            </w:r>
            <w:r>
              <w:rPr>
                <w:spacing w:val="-4"/>
                <w:sz w:val="20"/>
              </w:rPr>
              <w:t> </w:t>
            </w:r>
            <w:r>
              <w:rPr>
                <w:sz w:val="20"/>
              </w:rPr>
              <w:t>just</w:t>
            </w:r>
            <w:r>
              <w:rPr>
                <w:spacing w:val="-4"/>
                <w:sz w:val="20"/>
              </w:rPr>
              <w:t> </w:t>
            </w:r>
            <w:r>
              <w:rPr>
                <w:sz w:val="20"/>
              </w:rPr>
              <w:t>be</w:t>
            </w:r>
            <w:r>
              <w:rPr>
                <w:spacing w:val="-4"/>
                <w:sz w:val="20"/>
              </w:rPr>
              <w:t> </w:t>
            </w:r>
            <w:r>
              <w:rPr>
                <w:sz w:val="20"/>
              </w:rPr>
              <w:t>to</w:t>
            </w:r>
            <w:r>
              <w:rPr>
                <w:spacing w:val="-4"/>
                <w:sz w:val="20"/>
              </w:rPr>
              <w:t> </w:t>
            </w:r>
            <w:r>
              <w:rPr>
                <w:sz w:val="20"/>
              </w:rPr>
              <w:t>make</w:t>
            </w:r>
            <w:r>
              <w:rPr>
                <w:spacing w:val="-4"/>
                <w:sz w:val="20"/>
              </w:rPr>
              <w:t> </w:t>
            </w:r>
            <w:r>
              <w:rPr>
                <w:sz w:val="20"/>
              </w:rPr>
              <w:t>sure</w:t>
            </w:r>
            <w:r>
              <w:rPr>
                <w:spacing w:val="-4"/>
                <w:sz w:val="20"/>
              </w:rPr>
              <w:t> </w:t>
            </w:r>
            <w:r>
              <w:rPr>
                <w:sz w:val="20"/>
              </w:rPr>
              <w:t>that</w:t>
            </w:r>
            <w:r>
              <w:rPr>
                <w:spacing w:val="-4"/>
                <w:sz w:val="20"/>
              </w:rPr>
              <w:t> </w:t>
            </w:r>
            <w:r>
              <w:rPr>
                <w:sz w:val="20"/>
              </w:rPr>
              <w:t>things</w:t>
            </w:r>
            <w:r>
              <w:rPr>
                <w:spacing w:val="-4"/>
                <w:sz w:val="20"/>
              </w:rPr>
              <w:t> </w:t>
            </w:r>
            <w:r>
              <w:rPr>
                <w:sz w:val="20"/>
              </w:rPr>
              <w:t>are</w:t>
            </w:r>
            <w:r>
              <w:rPr>
                <w:spacing w:val="-4"/>
                <w:sz w:val="20"/>
              </w:rPr>
              <w:t> </w:t>
            </w:r>
            <w:r>
              <w:rPr>
                <w:sz w:val="20"/>
              </w:rPr>
              <w:t>running</w:t>
            </w:r>
            <w:r>
              <w:rPr>
                <w:spacing w:val="-4"/>
                <w:sz w:val="20"/>
              </w:rPr>
              <w:t> </w:t>
            </w:r>
            <w:r>
              <w:rPr>
                <w:sz w:val="20"/>
              </w:rPr>
              <w:t>smoothly,</w:t>
            </w:r>
            <w:r>
              <w:rPr>
                <w:spacing w:val="-4"/>
                <w:sz w:val="20"/>
              </w:rPr>
              <w:t> </w:t>
            </w:r>
            <w:r>
              <w:rPr>
                <w:sz w:val="20"/>
              </w:rPr>
              <w:t>which</w:t>
            </w:r>
            <w:r>
              <w:rPr>
                <w:spacing w:val="-4"/>
                <w:sz w:val="20"/>
              </w:rPr>
              <w:t> </w:t>
            </w:r>
            <w:r>
              <w:rPr>
                <w:sz w:val="20"/>
              </w:rPr>
              <w:t>I think would be</w:t>
            </w:r>
            <w:r>
              <w:rPr>
                <w:spacing w:val="40"/>
                <w:sz w:val="20"/>
              </w:rPr>
              <w:t> </w:t>
            </w:r>
            <w:r>
              <w:rPr>
                <w:sz w:val="20"/>
              </w:rPr>
              <w:t>really awesome. (P33)</w:t>
            </w:r>
          </w:p>
        </w:tc>
      </w:tr>
      <w:tr>
        <w:trPr>
          <w:trHeight w:val="680" w:hRule="atLeast"/>
        </w:trPr>
        <w:tc>
          <w:tcPr>
            <w:tcW w:w="1440" w:type="dxa"/>
          </w:tcPr>
          <w:p>
            <w:pPr>
              <w:pStyle w:val="TableParagraph"/>
              <w:spacing w:before="110"/>
              <w:ind w:left="97" w:right="97"/>
              <w:jc w:val="center"/>
              <w:rPr>
                <w:sz w:val="20"/>
              </w:rPr>
            </w:pPr>
            <w:r>
              <w:rPr>
                <w:spacing w:val="-5"/>
                <w:sz w:val="20"/>
              </w:rPr>
              <w:t>3.2</w:t>
            </w:r>
          </w:p>
        </w:tc>
        <w:tc>
          <w:tcPr>
            <w:tcW w:w="7920" w:type="dxa"/>
          </w:tcPr>
          <w:p>
            <w:pPr>
              <w:pStyle w:val="TableParagraph"/>
              <w:spacing w:line="230" w:lineRule="auto" w:before="110"/>
              <w:ind w:left="215" w:right="556"/>
              <w:rPr>
                <w:sz w:val="20"/>
              </w:rPr>
            </w:pPr>
            <w:r>
              <w:rPr>
                <w:sz w:val="20"/>
              </w:rPr>
              <w:t>But within the United States, being able to help such a large Spanish speaking population,</w:t>
            </w:r>
            <w:r>
              <w:rPr>
                <w:spacing w:val="40"/>
                <w:sz w:val="20"/>
              </w:rPr>
              <w:t> </w:t>
            </w:r>
            <w:r>
              <w:rPr>
                <w:sz w:val="20"/>
              </w:rPr>
              <w:t>especially</w:t>
            </w:r>
            <w:r>
              <w:rPr>
                <w:spacing w:val="-3"/>
                <w:sz w:val="20"/>
              </w:rPr>
              <w:t> </w:t>
            </w:r>
            <w:r>
              <w:rPr>
                <w:sz w:val="20"/>
              </w:rPr>
              <w:t>in</w:t>
            </w:r>
            <w:r>
              <w:rPr>
                <w:spacing w:val="-3"/>
                <w:sz w:val="20"/>
              </w:rPr>
              <w:t> </w:t>
            </w:r>
            <w:r>
              <w:rPr>
                <w:sz w:val="20"/>
              </w:rPr>
              <w:t>the</w:t>
            </w:r>
            <w:r>
              <w:rPr>
                <w:spacing w:val="-3"/>
                <w:sz w:val="20"/>
              </w:rPr>
              <w:t> </w:t>
            </w:r>
            <w:r>
              <w:rPr>
                <w:sz w:val="20"/>
              </w:rPr>
              <w:t>southeast,</w:t>
            </w:r>
            <w:r>
              <w:rPr>
                <w:spacing w:val="-3"/>
                <w:sz w:val="20"/>
              </w:rPr>
              <w:t> </w:t>
            </w:r>
            <w:r>
              <w:rPr>
                <w:sz w:val="20"/>
              </w:rPr>
              <w:t>is</w:t>
            </w:r>
            <w:r>
              <w:rPr>
                <w:spacing w:val="-3"/>
                <w:sz w:val="20"/>
              </w:rPr>
              <w:t> </w:t>
            </w:r>
            <w:r>
              <w:rPr>
                <w:sz w:val="20"/>
              </w:rPr>
              <w:t>just</w:t>
            </w:r>
            <w:r>
              <w:rPr>
                <w:spacing w:val="-3"/>
                <w:sz w:val="20"/>
              </w:rPr>
              <w:t> </w:t>
            </w:r>
            <w:r>
              <w:rPr>
                <w:sz w:val="20"/>
              </w:rPr>
              <w:t>a</w:t>
            </w:r>
            <w:r>
              <w:rPr>
                <w:spacing w:val="-3"/>
                <w:sz w:val="20"/>
              </w:rPr>
              <w:t> </w:t>
            </w:r>
            <w:r>
              <w:rPr>
                <w:sz w:val="20"/>
              </w:rPr>
              <w:t>really</w:t>
            </w:r>
            <w:r>
              <w:rPr>
                <w:spacing w:val="-3"/>
                <w:sz w:val="20"/>
              </w:rPr>
              <w:t> </w:t>
            </w:r>
            <w:r>
              <w:rPr>
                <w:sz w:val="20"/>
              </w:rPr>
              <w:t>good</w:t>
            </w:r>
            <w:r>
              <w:rPr>
                <w:spacing w:val="-3"/>
                <w:sz w:val="20"/>
              </w:rPr>
              <w:t> </w:t>
            </w:r>
            <w:r>
              <w:rPr>
                <w:sz w:val="20"/>
              </w:rPr>
              <w:t>skill</w:t>
            </w:r>
            <w:r>
              <w:rPr>
                <w:spacing w:val="-3"/>
                <w:sz w:val="20"/>
              </w:rPr>
              <w:t> </w:t>
            </w:r>
            <w:r>
              <w:rPr>
                <w:sz w:val="20"/>
              </w:rPr>
              <w:t>to</w:t>
            </w:r>
            <w:r>
              <w:rPr>
                <w:spacing w:val="-3"/>
                <w:sz w:val="20"/>
              </w:rPr>
              <w:t> </w:t>
            </w:r>
            <w:r>
              <w:rPr>
                <w:sz w:val="20"/>
              </w:rPr>
              <w:t>have.</w:t>
            </w:r>
            <w:r>
              <w:rPr>
                <w:spacing w:val="-3"/>
                <w:sz w:val="20"/>
              </w:rPr>
              <w:t> </w:t>
            </w:r>
            <w:r>
              <w:rPr>
                <w:sz w:val="20"/>
              </w:rPr>
              <w:t>(P23)</w:t>
            </w:r>
          </w:p>
        </w:tc>
      </w:tr>
    </w:tbl>
    <w:p>
      <w:pPr>
        <w:pStyle w:val="TableParagraph"/>
        <w:spacing w:after="0" w:line="230" w:lineRule="auto"/>
        <w:rPr>
          <w:sz w:val="20"/>
        </w:rPr>
        <w:sectPr>
          <w:type w:val="continuous"/>
          <w:pgSz w:w="12240" w:h="15840"/>
          <w:pgMar w:header="0" w:footer="750" w:top="680" w:bottom="960" w:left="720" w:right="0"/>
        </w:sectPr>
      </w:pPr>
    </w:p>
    <w:p>
      <w:pPr>
        <w:pStyle w:val="Heading4"/>
        <w:spacing w:before="60"/>
        <w:ind w:left="3526" w:right="2135" w:hanging="1446"/>
      </w:pPr>
      <w:bookmarkStart w:name="The Use of AFS and Financial Satisfactio" w:id="103"/>
      <w:bookmarkEnd w:id="103"/>
      <w:r>
        <w:rPr>
          <w:b w:val="0"/>
        </w:rPr>
      </w:r>
      <w:r>
        <w:rPr/>
        <w:t>The</w:t>
      </w:r>
      <w:r>
        <w:rPr>
          <w:spacing w:val="-4"/>
        </w:rPr>
        <w:t> </w:t>
      </w:r>
      <w:r>
        <w:rPr/>
        <w:t>Use</w:t>
      </w:r>
      <w:r>
        <w:rPr>
          <w:spacing w:val="-4"/>
        </w:rPr>
        <w:t> </w:t>
      </w:r>
      <w:r>
        <w:rPr/>
        <w:t>of</w:t>
      </w:r>
      <w:r>
        <w:rPr>
          <w:spacing w:val="-4"/>
        </w:rPr>
        <w:t> </w:t>
      </w:r>
      <w:r>
        <w:rPr/>
        <w:t>AFS</w:t>
      </w:r>
      <w:r>
        <w:rPr>
          <w:spacing w:val="-4"/>
        </w:rPr>
        <w:t> </w:t>
      </w:r>
      <w:r>
        <w:rPr/>
        <w:t>and</w:t>
      </w:r>
      <w:r>
        <w:rPr>
          <w:spacing w:val="-4"/>
        </w:rPr>
        <w:t> </w:t>
      </w:r>
      <w:r>
        <w:rPr/>
        <w:t>Financial</w:t>
      </w:r>
      <w:r>
        <w:rPr>
          <w:spacing w:val="-4"/>
        </w:rPr>
        <w:t> </w:t>
      </w:r>
      <w:r>
        <w:rPr/>
        <w:t>Satisfaction:</w:t>
      </w:r>
      <w:r>
        <w:rPr>
          <w:spacing w:val="-4"/>
        </w:rPr>
        <w:t> </w:t>
      </w:r>
      <w:r>
        <w:rPr/>
        <w:t>The</w:t>
      </w:r>
      <w:r>
        <w:rPr>
          <w:spacing w:val="-4"/>
        </w:rPr>
        <w:t> </w:t>
      </w:r>
      <w:r>
        <w:rPr/>
        <w:t>Mediating</w:t>
      </w:r>
      <w:r>
        <w:rPr>
          <w:spacing w:val="-4"/>
        </w:rPr>
        <w:t> </w:t>
      </w:r>
      <w:r>
        <w:rPr/>
        <w:t>Role</w:t>
      </w:r>
      <w:r>
        <w:rPr>
          <w:spacing w:val="-4"/>
        </w:rPr>
        <w:t> </w:t>
      </w:r>
      <w:r>
        <w:rPr/>
        <w:t>of </w:t>
      </w:r>
      <w:bookmarkStart w:name="h.ck4uvv7j67x8" w:id="104"/>
      <w:bookmarkEnd w:id="104"/>
      <w:r>
        <w:rPr/>
        <w:t>Financial</w:t>
      </w:r>
      <w:r>
        <w:rPr/>
        <w:t> Anxiety Across Generations</w:t>
      </w:r>
    </w:p>
    <w:p>
      <w:pPr>
        <w:pStyle w:val="BodyText"/>
        <w:spacing w:before="15"/>
        <w:rPr>
          <w:b/>
        </w:rPr>
      </w:pPr>
    </w:p>
    <w:p>
      <w:pPr>
        <w:pStyle w:val="BodyText"/>
        <w:spacing w:before="1"/>
        <w:ind w:left="2837"/>
      </w:pPr>
      <w:r>
        <w:rPr/>
        <w:t>Olamide Olajide, Ichchha Pandey and Sabina </w:t>
      </w:r>
      <w:r>
        <w:rPr>
          <w:spacing w:val="-2"/>
        </w:rPr>
        <w:t>Pandey</w:t>
      </w:r>
    </w:p>
    <w:p>
      <w:pPr>
        <w:pStyle w:val="BodyText"/>
      </w:pPr>
    </w:p>
    <w:p>
      <w:pPr>
        <w:pStyle w:val="BodyText"/>
        <w:spacing w:before="67"/>
      </w:pPr>
    </w:p>
    <w:p>
      <w:pPr>
        <w:pStyle w:val="BodyText"/>
        <w:ind w:left="720" w:right="2248"/>
        <w:jc w:val="both"/>
      </w:pPr>
      <w:r>
        <w:rPr/>
        <w:t>Given rising economic uncertainty and financial anxiety among Americans, many individuals use Alternative Financial Services (AFS) to access credit faster. </w:t>
      </w:r>
      <w:r>
        <w:rPr/>
        <w:t>Although what</w:t>
      </w:r>
      <w:r>
        <w:rPr>
          <w:spacing w:val="40"/>
        </w:rPr>
        <w:t> </w:t>
      </w:r>
      <w:r>
        <w:rPr/>
        <w:t>seems like a convenience and easy</w:t>
      </w:r>
      <w:r>
        <w:rPr>
          <w:spacing w:val="-2"/>
        </w:rPr>
        <w:t> </w:t>
      </w:r>
      <w:r>
        <w:rPr/>
        <w:t>access</w:t>
      </w:r>
      <w:r>
        <w:rPr>
          <w:spacing w:val="-2"/>
        </w:rPr>
        <w:t> </w:t>
      </w:r>
      <w:r>
        <w:rPr/>
        <w:t>to</w:t>
      </w:r>
      <w:r>
        <w:rPr>
          <w:spacing w:val="-2"/>
        </w:rPr>
        <w:t> </w:t>
      </w:r>
      <w:r>
        <w:rPr/>
        <w:t>short-term</w:t>
      </w:r>
      <w:r>
        <w:rPr>
          <w:spacing w:val="-2"/>
        </w:rPr>
        <w:t> </w:t>
      </w:r>
      <w:r>
        <w:rPr/>
        <w:t>credit,</w:t>
      </w:r>
      <w:r>
        <w:rPr>
          <w:spacing w:val="-2"/>
        </w:rPr>
        <w:t> </w:t>
      </w:r>
      <w:r>
        <w:rPr/>
        <w:t>AFS</w:t>
      </w:r>
      <w:r>
        <w:rPr>
          <w:spacing w:val="-2"/>
        </w:rPr>
        <w:t> </w:t>
      </w:r>
      <w:r>
        <w:rPr>
          <w:i/>
        </w:rPr>
        <w:t>i.e.</w:t>
      </w:r>
      <w:r>
        <w:rPr>
          <w:i/>
          <w:spacing w:val="-2"/>
        </w:rPr>
        <w:t> </w:t>
      </w:r>
      <w:r>
        <w:rPr/>
        <w:t>taking</w:t>
      </w:r>
      <w:r>
        <w:rPr>
          <w:spacing w:val="-2"/>
        </w:rPr>
        <w:t> </w:t>
      </w:r>
      <w:r>
        <w:rPr/>
        <w:t>out an auto title</w:t>
      </w:r>
      <w:r>
        <w:rPr>
          <w:spacing w:val="80"/>
        </w:rPr>
        <w:t> </w:t>
      </w:r>
      <w:r>
        <w:rPr/>
        <w:t>loan or a payday loan, getting an advance on a tax refund, using a pawn shop, or using a rent-to own store, are designed to trap borrowers in unaffordable debt. This is because these types of</w:t>
      </w:r>
      <w:r>
        <w:rPr>
          <w:spacing w:val="40"/>
        </w:rPr>
        <w:t> </w:t>
      </w:r>
      <w:r>
        <w:rPr/>
        <w:t>loans come with high fees and often a single balloon payment. The users of AFS are already in</w:t>
      </w:r>
      <w:r>
        <w:rPr>
          <w:spacing w:val="40"/>
        </w:rPr>
        <w:t> </w:t>
      </w:r>
      <w:r>
        <w:rPr/>
        <w:t>financial distress if they are seeking such types of credit, so most likely they will be unable</w:t>
      </w:r>
      <w:r>
        <w:rPr>
          <w:spacing w:val="-2"/>
        </w:rPr>
        <w:t> </w:t>
      </w:r>
      <w:r>
        <w:rPr/>
        <w:t>to</w:t>
      </w:r>
      <w:r>
        <w:rPr>
          <w:spacing w:val="40"/>
        </w:rPr>
        <w:t> </w:t>
      </w:r>
      <w:r>
        <w:rPr/>
        <w:t>repay</w:t>
      </w:r>
      <w:r>
        <w:rPr>
          <w:spacing w:val="-2"/>
        </w:rPr>
        <w:t> </w:t>
      </w:r>
      <w:r>
        <w:rPr/>
        <w:t>the</w:t>
      </w:r>
      <w:r>
        <w:rPr>
          <w:spacing w:val="-2"/>
        </w:rPr>
        <w:t> </w:t>
      </w:r>
      <w:r>
        <w:rPr/>
        <w:t>loan</w:t>
      </w:r>
      <w:r>
        <w:rPr>
          <w:spacing w:val="-2"/>
        </w:rPr>
        <w:t> </w:t>
      </w:r>
      <w:r>
        <w:rPr/>
        <w:t>when</w:t>
      </w:r>
      <w:r>
        <w:rPr>
          <w:spacing w:val="-2"/>
        </w:rPr>
        <w:t> </w:t>
      </w:r>
      <w:r>
        <w:rPr/>
        <w:t>it</w:t>
      </w:r>
      <w:r>
        <w:rPr>
          <w:spacing w:val="-2"/>
        </w:rPr>
        <w:t> </w:t>
      </w:r>
      <w:r>
        <w:rPr/>
        <w:t>is</w:t>
      </w:r>
      <w:r>
        <w:rPr>
          <w:spacing w:val="-2"/>
        </w:rPr>
        <w:t> </w:t>
      </w:r>
      <w:r>
        <w:rPr/>
        <w:t>due.</w:t>
      </w:r>
      <w:r>
        <w:rPr>
          <w:spacing w:val="-2"/>
        </w:rPr>
        <w:t> </w:t>
      </w:r>
      <w:r>
        <w:rPr/>
        <w:t>As</w:t>
      </w:r>
      <w:r>
        <w:rPr>
          <w:spacing w:val="-2"/>
        </w:rPr>
        <w:t> </w:t>
      </w:r>
      <w:r>
        <w:rPr/>
        <w:t>a result, they will either roll over or renew</w:t>
      </w:r>
      <w:r>
        <w:rPr>
          <w:spacing w:val="-2"/>
        </w:rPr>
        <w:t> </w:t>
      </w:r>
      <w:r>
        <w:rPr/>
        <w:t>the</w:t>
      </w:r>
      <w:r>
        <w:rPr>
          <w:spacing w:val="-2"/>
        </w:rPr>
        <w:t> </w:t>
      </w:r>
      <w:r>
        <w:rPr/>
        <w:t>original</w:t>
      </w:r>
      <w:r>
        <w:rPr>
          <w:spacing w:val="-2"/>
        </w:rPr>
        <w:t> </w:t>
      </w:r>
      <w:r>
        <w:rPr/>
        <w:t>loan</w:t>
      </w:r>
      <w:r>
        <w:rPr>
          <w:spacing w:val="-2"/>
        </w:rPr>
        <w:t> </w:t>
      </w:r>
      <w:r>
        <w:rPr/>
        <w:t>and</w:t>
      </w:r>
      <w:r>
        <w:rPr>
          <w:spacing w:val="40"/>
        </w:rPr>
        <w:t> </w:t>
      </w:r>
      <w:r>
        <w:rPr/>
        <w:t>end</w:t>
      </w:r>
      <w:r>
        <w:rPr>
          <w:spacing w:val="-2"/>
        </w:rPr>
        <w:t> </w:t>
      </w:r>
      <w:r>
        <w:rPr/>
        <w:t>up</w:t>
      </w:r>
      <w:r>
        <w:rPr>
          <w:spacing w:val="-2"/>
        </w:rPr>
        <w:t> </w:t>
      </w:r>
      <w:r>
        <w:rPr/>
        <w:t>paying</w:t>
      </w:r>
      <w:r>
        <w:rPr>
          <w:spacing w:val="-2"/>
        </w:rPr>
        <w:t> </w:t>
      </w:r>
      <w:r>
        <w:rPr/>
        <w:t>additional interest, which will affect their financial satisfaction. With the presence</w:t>
      </w:r>
      <w:r>
        <w:rPr>
          <w:spacing w:val="40"/>
        </w:rPr>
        <w:t> </w:t>
      </w:r>
      <w:r>
        <w:rPr/>
        <w:t>of economic uncertainty, it is likely that it is going to affect the financial wellness of citizens. A</w:t>
      </w:r>
      <w:r>
        <w:rPr>
          <w:spacing w:val="40"/>
        </w:rPr>
        <w:t> </w:t>
      </w:r>
      <w:r>
        <w:rPr/>
        <w:t>report by Northwestern Mutual (2025) finds that 69% of Americans believe that their financial</w:t>
      </w:r>
      <w:r>
        <w:rPr>
          <w:spacing w:val="40"/>
        </w:rPr>
        <w:t> </w:t>
      </w:r>
      <w:r>
        <w:rPr/>
        <w:t>uncertainty has made them feel anxious and depressed. To complement this finding, a report by</w:t>
      </w:r>
      <w:r>
        <w:rPr>
          <w:spacing w:val="40"/>
        </w:rPr>
        <w:t> </w:t>
      </w:r>
      <w:r>
        <w:rPr/>
        <w:t>FINRA Investor Education Foundation (2025) shows a downward trend in the financial</w:t>
      </w:r>
      <w:r>
        <w:rPr>
          <w:spacing w:val="40"/>
        </w:rPr>
        <w:t> </w:t>
      </w:r>
      <w:r>
        <w:rPr/>
        <w:t>satisfaction of households.</w:t>
      </w:r>
    </w:p>
    <w:p>
      <w:pPr>
        <w:pStyle w:val="BodyText"/>
      </w:pPr>
    </w:p>
    <w:p>
      <w:pPr>
        <w:pStyle w:val="BodyText"/>
        <w:ind w:left="720" w:right="2265"/>
        <w:jc w:val="both"/>
      </w:pPr>
      <w:r>
        <w:rPr/>
        <w:t>This study explores the interrelationship between the use of AFS,</w:t>
      </w:r>
      <w:r>
        <w:rPr>
          <w:spacing w:val="-4"/>
        </w:rPr>
        <w:t> </w:t>
      </w:r>
      <w:r>
        <w:rPr/>
        <w:t>financial</w:t>
      </w:r>
      <w:r>
        <w:rPr>
          <w:spacing w:val="-4"/>
        </w:rPr>
        <w:t> </w:t>
      </w:r>
      <w:r>
        <w:rPr/>
        <w:t>anxiety,</w:t>
      </w:r>
      <w:r>
        <w:rPr>
          <w:spacing w:val="-4"/>
        </w:rPr>
        <w:t> </w:t>
      </w:r>
      <w:r>
        <w:rPr/>
        <w:t>and financial satisfaction, focusing on the mediating role of financial anxiety on the relationship</w:t>
      </w:r>
      <w:r>
        <w:rPr>
          <w:spacing w:val="80"/>
        </w:rPr>
        <w:t> </w:t>
      </w:r>
      <w:r>
        <w:rPr/>
        <w:t>between the use of AFS and financial satisfaction. Using data from the 2024 wave of the</w:t>
      </w:r>
      <w:r>
        <w:rPr>
          <w:spacing w:val="40"/>
        </w:rPr>
        <w:t> </w:t>
      </w:r>
      <w:r>
        <w:rPr/>
        <w:t>National Financial Capability Study (NFCS) and structural equation modeling, we first test these</w:t>
      </w:r>
      <w:r>
        <w:rPr>
          <w:spacing w:val="80"/>
        </w:rPr>
        <w:t> </w:t>
      </w:r>
      <w:r>
        <w:rPr/>
        <w:t>relationships for the full sample and then by generation. Our findings show that although AFS</w:t>
      </w:r>
      <w:r>
        <w:rPr>
          <w:spacing w:val="40"/>
        </w:rPr>
        <w:t> </w:t>
      </w:r>
      <w:r>
        <w:rPr/>
        <w:t>use is positively associated with financial satisfaction in</w:t>
      </w:r>
      <w:r>
        <w:rPr>
          <w:spacing w:val="-4"/>
        </w:rPr>
        <w:t> </w:t>
      </w:r>
      <w:r>
        <w:rPr/>
        <w:t>the</w:t>
      </w:r>
      <w:r>
        <w:rPr>
          <w:spacing w:val="-4"/>
        </w:rPr>
        <w:t> </w:t>
      </w:r>
      <w:r>
        <w:rPr/>
        <w:t>full</w:t>
      </w:r>
      <w:r>
        <w:rPr>
          <w:spacing w:val="-4"/>
        </w:rPr>
        <w:t> </w:t>
      </w:r>
      <w:r>
        <w:rPr/>
        <w:t>sample,</w:t>
      </w:r>
      <w:r>
        <w:rPr>
          <w:spacing w:val="-4"/>
        </w:rPr>
        <w:t> </w:t>
      </w:r>
      <w:r>
        <w:rPr/>
        <w:t>results</w:t>
      </w:r>
      <w:r>
        <w:rPr>
          <w:spacing w:val="-4"/>
        </w:rPr>
        <w:t> </w:t>
      </w:r>
      <w:r>
        <w:rPr/>
        <w:t>differ</w:t>
      </w:r>
      <w:r>
        <w:rPr>
          <w:spacing w:val="-4"/>
        </w:rPr>
        <w:t> </w:t>
      </w:r>
      <w:r>
        <w:rPr/>
        <w:t>across</w:t>
      </w:r>
      <w:r>
        <w:rPr>
          <w:spacing w:val="-4"/>
        </w:rPr>
        <w:t> </w:t>
      </w:r>
      <w:r>
        <w:rPr/>
        <w:t>generations,</w:t>
      </w:r>
      <w:r>
        <w:rPr>
          <w:spacing w:val="-4"/>
        </w:rPr>
        <w:t> </w:t>
      </w:r>
      <w:r>
        <w:rPr/>
        <w:t>even</w:t>
      </w:r>
      <w:r>
        <w:rPr>
          <w:spacing w:val="-4"/>
        </w:rPr>
        <w:t> </w:t>
      </w:r>
      <w:r>
        <w:rPr/>
        <w:t>after</w:t>
      </w:r>
      <w:r>
        <w:rPr>
          <w:spacing w:val="-4"/>
        </w:rPr>
        <w:t> </w:t>
      </w:r>
      <w:r>
        <w:rPr/>
        <w:t>controlling</w:t>
      </w:r>
      <w:r>
        <w:rPr>
          <w:spacing w:val="-4"/>
        </w:rPr>
        <w:t> </w:t>
      </w:r>
      <w:r>
        <w:rPr/>
        <w:t>for income and financial knowledge. Regardless, across all</w:t>
      </w:r>
      <w:r>
        <w:rPr>
          <w:spacing w:val="40"/>
        </w:rPr>
        <w:t> </w:t>
      </w:r>
      <w:r>
        <w:rPr/>
        <w:t>generations, financial anxiety negatively mediates the relationship between AFS use and</w:t>
      </w:r>
      <w:r>
        <w:rPr>
          <w:spacing w:val="40"/>
        </w:rPr>
        <w:t> </w:t>
      </w:r>
      <w:r>
        <w:rPr/>
        <w:t>financial satisfaction.</w:t>
      </w:r>
    </w:p>
    <w:p>
      <w:pPr>
        <w:pStyle w:val="BodyText"/>
      </w:pPr>
    </w:p>
    <w:p>
      <w:pPr>
        <w:pStyle w:val="BodyText"/>
        <w:ind w:left="720" w:right="2356"/>
        <w:jc w:val="both"/>
      </w:pPr>
      <w:r>
        <w:rPr/>
        <w:t>Hence, the study highlights the need for financial professionals to address </w:t>
      </w:r>
      <w:r>
        <w:rPr/>
        <w:t>the</w:t>
      </w:r>
      <w:r>
        <w:rPr>
          <w:spacing w:val="40"/>
        </w:rPr>
        <w:t> </w:t>
      </w:r>
      <w:r>
        <w:rPr/>
        <w:t>emotional</w:t>
      </w:r>
      <w:r>
        <w:rPr>
          <w:spacing w:val="40"/>
        </w:rPr>
        <w:t> </w:t>
      </w:r>
      <w:r>
        <w:rPr/>
        <w:t>factors driving AFS reliance on their clients to support their financial resilience, reduce anxiety,</w:t>
      </w:r>
      <w:r>
        <w:rPr>
          <w:spacing w:val="40"/>
        </w:rPr>
        <w:t> </w:t>
      </w:r>
      <w:r>
        <w:rPr/>
        <w:t>and improve well-being.</w:t>
      </w:r>
    </w:p>
    <w:p>
      <w:pPr>
        <w:pStyle w:val="BodyText"/>
        <w:spacing w:after="0"/>
        <w:jc w:val="both"/>
        <w:sectPr>
          <w:pgSz w:w="12240" w:h="15840"/>
          <w:pgMar w:header="0" w:footer="750" w:top="640" w:bottom="960" w:left="720" w:right="0"/>
        </w:sectPr>
      </w:pPr>
    </w:p>
    <w:p>
      <w:pPr>
        <w:pStyle w:val="Heading4"/>
        <w:spacing w:before="60"/>
        <w:ind w:left="2324" w:right="2952"/>
        <w:jc w:val="center"/>
      </w:pPr>
      <w:bookmarkStart w:name="From Feeds to Fragility: Social Media Us" w:id="105"/>
      <w:bookmarkEnd w:id="105"/>
      <w:r>
        <w:rPr>
          <w:b w:val="0"/>
        </w:rPr>
      </w:r>
      <w:r>
        <w:rPr/>
        <w:t>From</w:t>
      </w:r>
      <w:r>
        <w:rPr>
          <w:spacing w:val="-5"/>
        </w:rPr>
        <w:t> </w:t>
      </w:r>
      <w:r>
        <w:rPr/>
        <w:t>Feeds</w:t>
      </w:r>
      <w:r>
        <w:rPr>
          <w:spacing w:val="-5"/>
        </w:rPr>
        <w:t> </w:t>
      </w:r>
      <w:r>
        <w:rPr/>
        <w:t>to</w:t>
      </w:r>
      <w:r>
        <w:rPr>
          <w:spacing w:val="-5"/>
        </w:rPr>
        <w:t> </w:t>
      </w:r>
      <w:r>
        <w:rPr/>
        <w:t>Fragility:</w:t>
      </w:r>
      <w:r>
        <w:rPr>
          <w:spacing w:val="-5"/>
        </w:rPr>
        <w:t> </w:t>
      </w:r>
      <w:r>
        <w:rPr/>
        <w:t>Social</w:t>
      </w:r>
      <w:r>
        <w:rPr>
          <w:spacing w:val="-5"/>
        </w:rPr>
        <w:t> </w:t>
      </w:r>
      <w:r>
        <w:rPr/>
        <w:t>Media</w:t>
      </w:r>
      <w:r>
        <w:rPr>
          <w:spacing w:val="-5"/>
        </w:rPr>
        <w:t> </w:t>
      </w:r>
      <w:r>
        <w:rPr/>
        <w:t>Use</w:t>
      </w:r>
      <w:r>
        <w:rPr>
          <w:spacing w:val="-5"/>
        </w:rPr>
        <w:t> </w:t>
      </w:r>
      <w:r>
        <w:rPr/>
        <w:t>and</w:t>
      </w:r>
      <w:r>
        <w:rPr>
          <w:spacing w:val="-5"/>
        </w:rPr>
        <w:t> </w:t>
      </w:r>
      <w:r>
        <w:rPr/>
        <w:t>Investment</w:t>
      </w:r>
      <w:r>
        <w:rPr>
          <w:spacing w:val="-5"/>
        </w:rPr>
        <w:t> </w:t>
      </w:r>
      <w:r>
        <w:rPr/>
        <w:t>in </w:t>
      </w:r>
      <w:bookmarkStart w:name="h.ugs4kpob6ygd" w:id="106"/>
      <w:bookmarkEnd w:id="106"/>
      <w:r>
        <w:rPr/>
        <w:t>Speculative</w:t>
      </w:r>
      <w:r>
        <w:rPr/>
        <w:t> Financial Assets</w:t>
      </w:r>
    </w:p>
    <w:p>
      <w:pPr>
        <w:pStyle w:val="BodyText"/>
        <w:rPr>
          <w:b/>
        </w:rPr>
      </w:pPr>
    </w:p>
    <w:p>
      <w:pPr>
        <w:pStyle w:val="BodyText"/>
        <w:spacing w:before="1"/>
        <w:ind w:right="719"/>
        <w:jc w:val="center"/>
      </w:pPr>
      <w:r>
        <w:rPr/>
        <w:t>Sabina</w:t>
      </w:r>
      <w:r>
        <w:rPr>
          <w:spacing w:val="-3"/>
        </w:rPr>
        <w:t> </w:t>
      </w:r>
      <w:r>
        <w:rPr/>
        <w:t>Pandey,</w:t>
      </w:r>
      <w:r>
        <w:rPr>
          <w:spacing w:val="-3"/>
        </w:rPr>
        <w:t> </w:t>
      </w:r>
      <w:r>
        <w:rPr/>
        <w:t>Olamide</w:t>
      </w:r>
      <w:r>
        <w:rPr>
          <w:spacing w:val="-2"/>
        </w:rPr>
        <w:t> </w:t>
      </w:r>
      <w:r>
        <w:rPr/>
        <w:t>Olajide</w:t>
      </w:r>
      <w:r>
        <w:rPr>
          <w:spacing w:val="-3"/>
        </w:rPr>
        <w:t> </w:t>
      </w:r>
      <w:r>
        <w:rPr/>
        <w:t>and</w:t>
      </w:r>
      <w:r>
        <w:rPr>
          <w:spacing w:val="-3"/>
        </w:rPr>
        <w:t> </w:t>
      </w:r>
      <w:r>
        <w:rPr/>
        <w:t>Ichchha</w:t>
      </w:r>
      <w:r>
        <w:rPr>
          <w:spacing w:val="-2"/>
        </w:rPr>
        <w:t> Pandey</w:t>
      </w:r>
    </w:p>
    <w:p>
      <w:pPr>
        <w:pStyle w:val="BodyText"/>
        <w:spacing w:before="275"/>
      </w:pPr>
    </w:p>
    <w:p>
      <w:pPr>
        <w:pStyle w:val="Heading4"/>
        <w:ind w:left="720"/>
      </w:pPr>
      <w:r>
        <w:rPr>
          <w:spacing w:val="-2"/>
        </w:rPr>
        <w:t>Background:</w:t>
      </w:r>
    </w:p>
    <w:p>
      <w:pPr>
        <w:pStyle w:val="BodyText"/>
        <w:spacing w:line="276" w:lineRule="auto" w:before="1"/>
        <w:ind w:left="720" w:right="1440"/>
        <w:jc w:val="both"/>
      </w:pPr>
      <w:r>
        <w:rPr/>
        <w:t>Current literature on household finance highlights the growing role of social media as a</w:t>
      </w:r>
      <w:r>
        <w:rPr>
          <w:spacing w:val="40"/>
        </w:rPr>
        <w:t> </w:t>
      </w:r>
      <w:r>
        <w:rPr/>
        <w:t>source</w:t>
      </w:r>
      <w:r>
        <w:rPr>
          <w:spacing w:val="40"/>
        </w:rPr>
        <w:t> </w:t>
      </w:r>
      <w:r>
        <w:rPr/>
        <w:t>of investment related information. While it is not new knowledge that individuals</w:t>
      </w:r>
      <w:r>
        <w:rPr>
          <w:spacing w:val="40"/>
        </w:rPr>
        <w:t> </w:t>
      </w:r>
      <w:r>
        <w:rPr/>
        <w:t>increasingly rely on social media for financial information and that such</w:t>
      </w:r>
      <w:r>
        <w:rPr>
          <w:spacing w:val="-2"/>
        </w:rPr>
        <w:t> </w:t>
      </w:r>
      <w:r>
        <w:rPr/>
        <w:t>platforms</w:t>
      </w:r>
      <w:r>
        <w:rPr>
          <w:spacing w:val="-2"/>
        </w:rPr>
        <w:t> </w:t>
      </w:r>
      <w:r>
        <w:rPr/>
        <w:t>influence</w:t>
      </w:r>
      <w:r>
        <w:rPr>
          <w:spacing w:val="40"/>
        </w:rPr>
        <w:t> </w:t>
      </w:r>
      <w:r>
        <w:rPr/>
        <w:t>investment</w:t>
      </w:r>
      <w:r>
        <w:rPr>
          <w:spacing w:val="-2"/>
        </w:rPr>
        <w:t> </w:t>
      </w:r>
      <w:r>
        <w:rPr/>
        <w:t>and other financial decisions (Olajide et al., 2024), less is known about how</w:t>
      </w:r>
      <w:r>
        <w:rPr>
          <w:spacing w:val="40"/>
        </w:rPr>
        <w:t> </w:t>
      </w:r>
      <w:r>
        <w:rPr/>
        <w:t>investment decisions made by households based on the information they get on social media</w:t>
      </w:r>
      <w:r>
        <w:rPr>
          <w:spacing w:val="40"/>
        </w:rPr>
        <w:t> </w:t>
      </w:r>
      <w:r>
        <w:rPr/>
        <w:t>relates to households’ financial fragility. Investment decisions are a crucial component of any</w:t>
      </w:r>
      <w:r>
        <w:rPr>
          <w:spacing w:val="40"/>
        </w:rPr>
        <w:t> </w:t>
      </w:r>
      <w:r>
        <w:rPr/>
        <w:t>household’s financial decision making as it plays an important role in helping individuals</w:t>
      </w:r>
      <w:r>
        <w:rPr>
          <w:spacing w:val="40"/>
        </w:rPr>
        <w:t> </w:t>
      </w:r>
      <w:r>
        <w:rPr/>
        <w:t>achieve their long-term financial goals. As such, understanding how households receive their</w:t>
      </w:r>
      <w:r>
        <w:rPr>
          <w:spacing w:val="40"/>
        </w:rPr>
        <w:t> </w:t>
      </w:r>
      <w:r>
        <w:rPr/>
        <w:t>investment information</w:t>
      </w:r>
      <w:r>
        <w:rPr>
          <w:spacing w:val="40"/>
        </w:rPr>
        <w:t> </w:t>
      </w:r>
      <w:r>
        <w:rPr/>
        <w:t>and how their choice of financial assets are associated with financial</w:t>
      </w:r>
      <w:r>
        <w:rPr>
          <w:spacing w:val="40"/>
        </w:rPr>
        <w:t> </w:t>
      </w:r>
      <w:r>
        <w:rPr/>
        <w:t>fragility is of increasing </w:t>
      </w:r>
      <w:r>
        <w:rPr>
          <w:spacing w:val="-2"/>
        </w:rPr>
        <w:t>importance.</w:t>
      </w:r>
    </w:p>
    <w:p>
      <w:pPr>
        <w:pStyle w:val="BodyText"/>
        <w:spacing w:line="276" w:lineRule="auto" w:before="159"/>
        <w:ind w:left="720" w:right="1438"/>
        <w:jc w:val="both"/>
      </w:pPr>
      <w:r>
        <w:rPr/>
        <w:t>According to a 2025 report by the FINRA Investor Education Foundation, household</w:t>
      </w:r>
      <w:r>
        <w:rPr>
          <w:spacing w:val="40"/>
        </w:rPr>
        <w:t> </w:t>
      </w:r>
      <w:r>
        <w:rPr/>
        <w:t>financial resilience has been declining in recent years. In this context, it is important to explore if household investment choices and their information sources are the causing decline. Therefore, using data from the 2024 wave of the National Financial Capability Study (NFCS) this study examines the interrelationship between the use of social media for investment related information, exposure to speculative financial assets —including commodities, micro-cap equities, cryptocurrencies, margin-financed positions, and options—and financial fragility. Specifically, the study investigates whether the use of social media for investment related information is directly associated with financial fragility and whether this relationship operates indirectly through investment in speculative financial assets.</w:t>
      </w:r>
    </w:p>
    <w:p>
      <w:pPr>
        <w:pStyle w:val="Heading4"/>
        <w:spacing w:before="160"/>
        <w:ind w:left="720"/>
      </w:pPr>
      <w:r>
        <w:rPr/>
        <w:t>Theoretical</w:t>
      </w:r>
      <w:r>
        <w:rPr>
          <w:spacing w:val="-5"/>
        </w:rPr>
        <w:t> </w:t>
      </w:r>
      <w:r>
        <w:rPr>
          <w:spacing w:val="-2"/>
        </w:rPr>
        <w:t>Framework</w:t>
      </w:r>
    </w:p>
    <w:p>
      <w:pPr>
        <w:pStyle w:val="BodyText"/>
        <w:spacing w:line="276" w:lineRule="auto" w:before="202"/>
        <w:ind w:left="720" w:right="1440"/>
        <w:jc w:val="both"/>
      </w:pPr>
      <w:r>
        <w:rPr/>
        <w:t>To guide the analysis, this study draws on three complementary theoretical frameworks:</w:t>
      </w:r>
      <w:r>
        <w:rPr>
          <w:spacing w:val="40"/>
        </w:rPr>
        <w:t> </w:t>
      </w:r>
      <w:r>
        <w:rPr/>
        <w:t>(1) Hirshleifer’s (2020) concept of social transmission</w:t>
      </w:r>
      <w:r>
        <w:rPr>
          <w:spacing w:val="-3"/>
        </w:rPr>
        <w:t> </w:t>
      </w:r>
      <w:r>
        <w:rPr/>
        <w:t>bias</w:t>
      </w:r>
      <w:r>
        <w:rPr>
          <w:spacing w:val="-3"/>
        </w:rPr>
        <w:t> </w:t>
      </w:r>
      <w:r>
        <w:rPr/>
        <w:t>within</w:t>
      </w:r>
      <w:r>
        <w:rPr>
          <w:spacing w:val="-3"/>
        </w:rPr>
        <w:t> </w:t>
      </w:r>
      <w:r>
        <w:rPr/>
        <w:t>the</w:t>
      </w:r>
      <w:r>
        <w:rPr>
          <w:spacing w:val="-3"/>
        </w:rPr>
        <w:t> </w:t>
      </w:r>
      <w:r>
        <w:rPr/>
        <w:t>paradigm</w:t>
      </w:r>
      <w:r>
        <w:rPr>
          <w:spacing w:val="-3"/>
        </w:rPr>
        <w:t> </w:t>
      </w:r>
      <w:r>
        <w:rPr/>
        <w:t>of</w:t>
      </w:r>
      <w:r>
        <w:rPr>
          <w:spacing w:val="-3"/>
        </w:rPr>
        <w:t> </w:t>
      </w:r>
      <w:r>
        <w:rPr/>
        <w:t>social</w:t>
      </w:r>
      <w:r>
        <w:rPr>
          <w:spacing w:val="-3"/>
        </w:rPr>
        <w:t> </w:t>
      </w:r>
      <w:r>
        <w:rPr/>
        <w:t>economics and finance, (2) dual-process models of cognition (Tversky &amp; Kahneman, 1974;</w:t>
      </w:r>
      <w:r>
        <w:rPr>
          <w:spacing w:val="40"/>
        </w:rPr>
        <w:t> </w:t>
      </w:r>
      <w:r>
        <w:rPr/>
        <w:t>Stanovich &amp; West, 2000; Kahneman, 2011), and (3) noise trader theory (Shleifer &amp; Summers,</w:t>
      </w:r>
      <w:r>
        <w:rPr>
          <w:spacing w:val="40"/>
        </w:rPr>
        <w:t> </w:t>
      </w:r>
      <w:r>
        <w:rPr/>
        <w:t>1990).</w:t>
      </w:r>
    </w:p>
    <w:p>
      <w:pPr>
        <w:pStyle w:val="BodyText"/>
        <w:spacing w:line="276" w:lineRule="auto" w:before="160"/>
        <w:ind w:left="720" w:right="1438"/>
        <w:jc w:val="both"/>
      </w:pPr>
      <w:r>
        <w:rPr/>
        <w:t>The first pillar, social transmission bias, suggests that individuals form expectations not</w:t>
      </w:r>
      <w:r>
        <w:rPr>
          <w:spacing w:val="40"/>
        </w:rPr>
        <w:t> </w:t>
      </w:r>
      <w:r>
        <w:rPr/>
        <w:t>only from private information but also through social interactions, where information may be incomplete, biased, or strategically framed. Often social media amplifies narratives </w:t>
      </w:r>
      <w:r>
        <w:rPr/>
        <w:t>around speculative investments, and individuals relying on such information may develop distorted beliefs, increasing their vulnerability to financial shocks (Pedersen, 2022). The second pillar of this study is the combination of dual-process models of cognition and noise trader theory. Dual process models</w:t>
      </w:r>
      <w:r>
        <w:rPr>
          <w:spacing w:val="-3"/>
        </w:rPr>
        <w:t> </w:t>
      </w:r>
      <w:r>
        <w:rPr/>
        <w:t>and</w:t>
      </w:r>
      <w:r>
        <w:rPr>
          <w:spacing w:val="-3"/>
        </w:rPr>
        <w:t> </w:t>
      </w:r>
      <w:r>
        <w:rPr/>
        <w:t>noise</w:t>
      </w:r>
      <w:r>
        <w:rPr>
          <w:spacing w:val="-3"/>
        </w:rPr>
        <w:t> </w:t>
      </w:r>
      <w:r>
        <w:rPr/>
        <w:t>trader</w:t>
      </w:r>
      <w:r>
        <w:rPr>
          <w:spacing w:val="-3"/>
        </w:rPr>
        <w:t> </w:t>
      </w:r>
      <w:r>
        <w:rPr/>
        <w:t>theory</w:t>
      </w:r>
      <w:r>
        <w:rPr>
          <w:spacing w:val="-3"/>
        </w:rPr>
        <w:t> </w:t>
      </w:r>
      <w:r>
        <w:rPr/>
        <w:t>explain</w:t>
      </w:r>
      <w:r>
        <w:rPr>
          <w:spacing w:val="-3"/>
        </w:rPr>
        <w:t> </w:t>
      </w:r>
      <w:r>
        <w:rPr/>
        <w:t>how</w:t>
      </w:r>
      <w:r>
        <w:rPr>
          <w:spacing w:val="-3"/>
        </w:rPr>
        <w:t> </w:t>
      </w:r>
      <w:r>
        <w:rPr/>
        <w:t>individuals</w:t>
      </w:r>
      <w:r>
        <w:rPr>
          <w:spacing w:val="-3"/>
        </w:rPr>
        <w:t> </w:t>
      </w:r>
      <w:r>
        <w:rPr/>
        <w:t>rely</w:t>
      </w:r>
      <w:r>
        <w:rPr>
          <w:spacing w:val="-3"/>
        </w:rPr>
        <w:t> </w:t>
      </w:r>
      <w:r>
        <w:rPr/>
        <w:t>on</w:t>
      </w:r>
      <w:r>
        <w:rPr>
          <w:spacing w:val="-3"/>
        </w:rPr>
        <w:t> </w:t>
      </w:r>
      <w:r>
        <w:rPr/>
        <w:t>intuitive,</w:t>
      </w:r>
      <w:r>
        <w:rPr>
          <w:spacing w:val="-3"/>
        </w:rPr>
        <w:t> </w:t>
      </w:r>
      <w:r>
        <w:rPr/>
        <w:t>heuristic-driven decision-making under social influence, leading them to follow sentiment and non-fundamental cues, which increases risk-taking and exposure to financial instability. Building on these arguments, the relationship between social media use and financial fragility operates through both</w:t>
      </w:r>
      <w:r>
        <w:rPr>
          <w:spacing w:val="30"/>
        </w:rPr>
        <w:t> </w:t>
      </w:r>
      <w:r>
        <w:rPr/>
        <w:t>direct</w:t>
      </w:r>
      <w:r>
        <w:rPr>
          <w:spacing w:val="30"/>
        </w:rPr>
        <w:t> </w:t>
      </w:r>
      <w:r>
        <w:rPr/>
        <w:t>and</w:t>
      </w:r>
      <w:r>
        <w:rPr>
          <w:spacing w:val="30"/>
        </w:rPr>
        <w:t> </w:t>
      </w:r>
      <w:r>
        <w:rPr/>
        <w:t>indirect</w:t>
      </w:r>
      <w:r>
        <w:rPr>
          <w:spacing w:val="30"/>
        </w:rPr>
        <w:t> </w:t>
      </w:r>
      <w:r>
        <w:rPr/>
        <w:t>pathways,</w:t>
      </w:r>
      <w:r>
        <w:rPr>
          <w:spacing w:val="30"/>
        </w:rPr>
        <w:t> </w:t>
      </w:r>
      <w:r>
        <w:rPr/>
        <w:t>with</w:t>
      </w:r>
      <w:r>
        <w:rPr>
          <w:spacing w:val="30"/>
        </w:rPr>
        <w:t> </w:t>
      </w:r>
      <w:r>
        <w:rPr/>
        <w:t>investment</w:t>
      </w:r>
      <w:r>
        <w:rPr>
          <w:spacing w:val="30"/>
        </w:rPr>
        <w:t> </w:t>
      </w:r>
      <w:r>
        <w:rPr/>
        <w:t>in</w:t>
      </w:r>
      <w:r>
        <w:rPr>
          <w:spacing w:val="30"/>
        </w:rPr>
        <w:t> </w:t>
      </w:r>
      <w:r>
        <w:rPr/>
        <w:t>speculative</w:t>
      </w:r>
      <w:r>
        <w:rPr>
          <w:spacing w:val="30"/>
        </w:rPr>
        <w:t> </w:t>
      </w:r>
      <w:r>
        <w:rPr/>
        <w:t>financial</w:t>
      </w:r>
      <w:r>
        <w:rPr>
          <w:spacing w:val="30"/>
        </w:rPr>
        <w:t> </w:t>
      </w:r>
      <w:r>
        <w:rPr/>
        <w:t>assets</w:t>
      </w:r>
      <w:r>
        <w:rPr>
          <w:spacing w:val="30"/>
        </w:rPr>
        <w:t> </w:t>
      </w:r>
      <w:r>
        <w:rPr/>
        <w:t>serving</w:t>
      </w:r>
      <w:r>
        <w:rPr>
          <w:spacing w:val="30"/>
        </w:rPr>
        <w:t> </w:t>
      </w:r>
      <w:r>
        <w:rPr/>
        <w:t>as</w:t>
      </w:r>
      <w:r>
        <w:rPr>
          <w:spacing w:val="30"/>
        </w:rPr>
        <w:t> </w:t>
      </w:r>
      <w:r>
        <w:rPr>
          <w:spacing w:val="-10"/>
        </w:rPr>
        <w:t>a</w:t>
      </w:r>
    </w:p>
    <w:p>
      <w:pPr>
        <w:pStyle w:val="BodyText"/>
        <w:spacing w:after="0" w:line="276" w:lineRule="auto"/>
        <w:jc w:val="both"/>
        <w:sectPr>
          <w:pgSz w:w="12240" w:h="15840"/>
          <w:pgMar w:header="0" w:footer="750" w:top="640" w:bottom="960" w:left="720" w:right="0"/>
        </w:sectPr>
      </w:pPr>
    </w:p>
    <w:p>
      <w:pPr>
        <w:pStyle w:val="BodyText"/>
        <w:spacing w:line="276" w:lineRule="auto" w:before="60"/>
        <w:ind w:left="720" w:right="1191"/>
      </w:pPr>
      <w:r>
        <w:rPr/>
        <w:t>key</w:t>
      </w:r>
      <w:r>
        <w:rPr>
          <w:spacing w:val="40"/>
        </w:rPr>
        <w:t> </w:t>
      </w:r>
      <w:r>
        <w:rPr/>
        <w:t>mechanism,</w:t>
      </w:r>
      <w:r>
        <w:rPr>
          <w:spacing w:val="40"/>
        </w:rPr>
        <w:t> </w:t>
      </w:r>
      <w:r>
        <w:rPr/>
        <w:t>and</w:t>
      </w:r>
      <w:r>
        <w:rPr>
          <w:spacing w:val="40"/>
        </w:rPr>
        <w:t> </w:t>
      </w:r>
      <w:r>
        <w:rPr/>
        <w:t>this</w:t>
      </w:r>
      <w:r>
        <w:rPr>
          <w:spacing w:val="40"/>
        </w:rPr>
        <w:t> </w:t>
      </w:r>
      <w:r>
        <w:rPr/>
        <w:t>process</w:t>
      </w:r>
      <w:r>
        <w:rPr>
          <w:spacing w:val="40"/>
        </w:rPr>
        <w:t> </w:t>
      </w:r>
      <w:r>
        <w:rPr/>
        <w:t>may</w:t>
      </w:r>
      <w:r>
        <w:rPr>
          <w:spacing w:val="40"/>
        </w:rPr>
        <w:t> </w:t>
      </w:r>
      <w:r>
        <w:rPr/>
        <w:t>vary</w:t>
      </w:r>
      <w:r>
        <w:rPr>
          <w:spacing w:val="40"/>
        </w:rPr>
        <w:t> </w:t>
      </w:r>
      <w:r>
        <w:rPr/>
        <w:t>depending</w:t>
      </w:r>
      <w:r>
        <w:rPr>
          <w:spacing w:val="40"/>
        </w:rPr>
        <w:t> </w:t>
      </w:r>
      <w:r>
        <w:rPr/>
        <w:t>on</w:t>
      </w:r>
      <w:r>
        <w:rPr>
          <w:spacing w:val="40"/>
        </w:rPr>
        <w:t> </w:t>
      </w:r>
      <w:r>
        <w:rPr/>
        <w:t>individuals’</w:t>
      </w:r>
      <w:r>
        <w:rPr>
          <w:spacing w:val="40"/>
        </w:rPr>
        <w:t> </w:t>
      </w:r>
      <w:r>
        <w:rPr/>
        <w:t>susceptibility</w:t>
      </w:r>
      <w:r>
        <w:rPr>
          <w:spacing w:val="40"/>
        </w:rPr>
        <w:t> </w:t>
      </w:r>
      <w:r>
        <w:rPr/>
        <w:t>to</w:t>
      </w:r>
      <w:r>
        <w:rPr>
          <w:spacing w:val="40"/>
        </w:rPr>
        <w:t> </w:t>
      </w:r>
      <w:r>
        <w:rPr/>
        <w:t>peer influence. Thus, based on the above-mentioned framework, the study hypothesizes the </w:t>
      </w:r>
      <w:r>
        <w:rPr>
          <w:spacing w:val="-2"/>
        </w:rPr>
        <w:t>following:</w:t>
      </w:r>
    </w:p>
    <w:p>
      <w:pPr>
        <w:pStyle w:val="BodyText"/>
      </w:pPr>
    </w:p>
    <w:p>
      <w:pPr>
        <w:pStyle w:val="BodyText"/>
        <w:spacing w:before="86"/>
      </w:pPr>
    </w:p>
    <w:p>
      <w:pPr>
        <w:pStyle w:val="BodyText"/>
        <w:ind w:left="720"/>
      </w:pPr>
      <w:r>
        <w:rPr/>
        <w:t>H1:</w:t>
      </w:r>
      <w:r>
        <w:rPr>
          <w:spacing w:val="-2"/>
        </w:rPr>
        <w:t> </w:t>
      </w:r>
      <w:r>
        <w:rPr/>
        <w:t>Social media use for investment relates to financial </w:t>
      </w:r>
      <w:r>
        <w:rPr>
          <w:spacing w:val="-2"/>
        </w:rPr>
        <w:t>fragility.</w:t>
      </w:r>
    </w:p>
    <w:p>
      <w:pPr>
        <w:pStyle w:val="BodyText"/>
        <w:spacing w:line="415" w:lineRule="auto" w:before="201"/>
        <w:ind w:left="720" w:right="2135"/>
      </w:pPr>
      <w:r>
        <w:rPr/>
        <w:t>H2:</w:t>
      </w:r>
      <w:r>
        <w:rPr>
          <w:spacing w:val="-4"/>
        </w:rPr>
        <w:t> </w:t>
      </w:r>
      <w:r>
        <w:rPr/>
        <w:t>Social</w:t>
      </w:r>
      <w:r>
        <w:rPr>
          <w:spacing w:val="-4"/>
        </w:rPr>
        <w:t> </w:t>
      </w:r>
      <w:r>
        <w:rPr/>
        <w:t>media</w:t>
      </w:r>
      <w:r>
        <w:rPr>
          <w:spacing w:val="-4"/>
        </w:rPr>
        <w:t> </w:t>
      </w:r>
      <w:r>
        <w:rPr/>
        <w:t>use</w:t>
      </w:r>
      <w:r>
        <w:rPr>
          <w:spacing w:val="-4"/>
        </w:rPr>
        <w:t> </w:t>
      </w:r>
      <w:r>
        <w:rPr/>
        <w:t>for</w:t>
      </w:r>
      <w:r>
        <w:rPr>
          <w:spacing w:val="-4"/>
        </w:rPr>
        <w:t> </w:t>
      </w:r>
      <w:r>
        <w:rPr/>
        <w:t>investment</w:t>
      </w:r>
      <w:r>
        <w:rPr>
          <w:spacing w:val="-4"/>
        </w:rPr>
        <w:t> </w:t>
      </w:r>
      <w:r>
        <w:rPr/>
        <w:t>relates</w:t>
      </w:r>
      <w:r>
        <w:rPr>
          <w:spacing w:val="-4"/>
        </w:rPr>
        <w:t> </w:t>
      </w:r>
      <w:r>
        <w:rPr/>
        <w:t>to</w:t>
      </w:r>
      <w:r>
        <w:rPr>
          <w:spacing w:val="-4"/>
        </w:rPr>
        <w:t> </w:t>
      </w:r>
      <w:r>
        <w:rPr/>
        <w:t>investment</w:t>
      </w:r>
      <w:r>
        <w:rPr>
          <w:spacing w:val="-4"/>
        </w:rPr>
        <w:t> </w:t>
      </w:r>
      <w:r>
        <w:rPr/>
        <w:t>in</w:t>
      </w:r>
      <w:r>
        <w:rPr>
          <w:spacing w:val="-4"/>
        </w:rPr>
        <w:t> </w:t>
      </w:r>
      <w:r>
        <w:rPr/>
        <w:t>speculative</w:t>
      </w:r>
      <w:r>
        <w:rPr>
          <w:spacing w:val="-4"/>
        </w:rPr>
        <w:t> </w:t>
      </w:r>
      <w:r>
        <w:rPr/>
        <w:t>financial</w:t>
      </w:r>
      <w:r>
        <w:rPr>
          <w:spacing w:val="-4"/>
        </w:rPr>
        <w:t> </w:t>
      </w:r>
      <w:r>
        <w:rPr/>
        <w:t>assets. H3: Investment in speculative financial assets is positively related to financial fragility.</w:t>
      </w:r>
    </w:p>
    <w:p>
      <w:pPr>
        <w:pStyle w:val="BodyText"/>
        <w:spacing w:line="276" w:lineRule="auto"/>
        <w:ind w:left="720" w:right="1191"/>
      </w:pPr>
      <w:r>
        <w:rPr/>
        <w:t>H4:</w:t>
      </w:r>
      <w:r>
        <w:rPr>
          <w:spacing w:val="40"/>
        </w:rPr>
        <w:t> </w:t>
      </w:r>
      <w:r>
        <w:rPr/>
        <w:t>Investment</w:t>
      </w:r>
      <w:r>
        <w:rPr>
          <w:spacing w:val="40"/>
        </w:rPr>
        <w:t> </w:t>
      </w:r>
      <w:r>
        <w:rPr/>
        <w:t>in</w:t>
      </w:r>
      <w:r>
        <w:rPr>
          <w:spacing w:val="40"/>
        </w:rPr>
        <w:t> </w:t>
      </w:r>
      <w:r>
        <w:rPr/>
        <w:t>speculative</w:t>
      </w:r>
      <w:r>
        <w:rPr>
          <w:spacing w:val="40"/>
        </w:rPr>
        <w:t> </w:t>
      </w:r>
      <w:r>
        <w:rPr/>
        <w:t>financial</w:t>
      </w:r>
      <w:r>
        <w:rPr>
          <w:spacing w:val="40"/>
        </w:rPr>
        <w:t> </w:t>
      </w:r>
      <w:r>
        <w:rPr/>
        <w:t>assets</w:t>
      </w:r>
      <w:r>
        <w:rPr>
          <w:spacing w:val="40"/>
        </w:rPr>
        <w:t> </w:t>
      </w:r>
      <w:r>
        <w:rPr/>
        <w:t>mediates</w:t>
      </w:r>
      <w:r>
        <w:rPr>
          <w:spacing w:val="40"/>
        </w:rPr>
        <w:t> </w:t>
      </w:r>
      <w:r>
        <w:rPr/>
        <w:t>the</w:t>
      </w:r>
      <w:r>
        <w:rPr>
          <w:spacing w:val="40"/>
        </w:rPr>
        <w:t> </w:t>
      </w:r>
      <w:r>
        <w:rPr/>
        <w:t>relationship</w:t>
      </w:r>
      <w:r>
        <w:rPr>
          <w:spacing w:val="40"/>
        </w:rPr>
        <w:t> </w:t>
      </w:r>
      <w:r>
        <w:rPr/>
        <w:t>between</w:t>
      </w:r>
      <w:r>
        <w:rPr>
          <w:spacing w:val="40"/>
        </w:rPr>
        <w:t> </w:t>
      </w:r>
      <w:r>
        <w:rPr/>
        <w:t>relying</w:t>
      </w:r>
      <w:r>
        <w:rPr>
          <w:spacing w:val="40"/>
        </w:rPr>
        <w:t> </w:t>
      </w:r>
      <w:r>
        <w:rPr/>
        <w:t>on social media for investment advice and financial fragility.</w:t>
      </w:r>
    </w:p>
    <w:p>
      <w:pPr>
        <w:pStyle w:val="BodyText"/>
      </w:pPr>
    </w:p>
    <w:p>
      <w:pPr>
        <w:pStyle w:val="BodyText"/>
        <w:spacing w:before="85"/>
      </w:pPr>
    </w:p>
    <w:p>
      <w:pPr>
        <w:pStyle w:val="BodyText"/>
        <w:spacing w:line="276" w:lineRule="auto" w:before="1"/>
        <w:ind w:left="720" w:right="1381"/>
      </w:pPr>
      <w:r>
        <w:rPr/>
        <w:t>H5: The mediating role of alternative</w:t>
      </w:r>
      <w:r>
        <w:rPr>
          <w:spacing w:val="-3"/>
        </w:rPr>
        <w:t> </w:t>
      </w:r>
      <w:r>
        <w:rPr/>
        <w:t>investments</w:t>
      </w:r>
      <w:r>
        <w:rPr>
          <w:spacing w:val="-3"/>
        </w:rPr>
        <w:t> </w:t>
      </w:r>
      <w:r>
        <w:rPr/>
        <w:t>in</w:t>
      </w:r>
      <w:r>
        <w:rPr>
          <w:spacing w:val="-3"/>
        </w:rPr>
        <w:t> </w:t>
      </w:r>
      <w:r>
        <w:rPr/>
        <w:t>the</w:t>
      </w:r>
      <w:r>
        <w:rPr>
          <w:spacing w:val="-3"/>
        </w:rPr>
        <w:t> </w:t>
      </w:r>
      <w:r>
        <w:rPr/>
        <w:t>relationship</w:t>
      </w:r>
      <w:r>
        <w:rPr>
          <w:spacing w:val="-3"/>
        </w:rPr>
        <w:t> </w:t>
      </w:r>
      <w:r>
        <w:rPr/>
        <w:t>between</w:t>
      </w:r>
      <w:r>
        <w:rPr>
          <w:spacing w:val="-3"/>
        </w:rPr>
        <w:t> </w:t>
      </w:r>
      <w:r>
        <w:rPr/>
        <w:t>using</w:t>
      </w:r>
      <w:r>
        <w:rPr>
          <w:spacing w:val="-3"/>
        </w:rPr>
        <w:t> </w:t>
      </w:r>
      <w:r>
        <w:rPr/>
        <w:t>social</w:t>
      </w:r>
      <w:r>
        <w:rPr>
          <w:spacing w:val="-3"/>
        </w:rPr>
        <w:t> </w:t>
      </w:r>
      <w:r>
        <w:rPr/>
        <w:t>media and financial fragility differs based on peer influence.</w:t>
      </w:r>
    </w:p>
    <w:p>
      <w:pPr>
        <w:pStyle w:val="Heading4"/>
        <w:spacing w:before="160"/>
        <w:ind w:left="720"/>
      </w:pPr>
      <w:r>
        <w:rPr>
          <w:spacing w:val="-2"/>
        </w:rPr>
        <w:t>Findings</w:t>
      </w:r>
    </w:p>
    <w:p>
      <w:pPr>
        <w:pStyle w:val="BodyText"/>
        <w:spacing w:line="276" w:lineRule="auto" w:before="201"/>
        <w:ind w:left="720" w:right="1440"/>
        <w:jc w:val="both"/>
      </w:pPr>
      <w:r>
        <w:rPr/>
        <w:t>This study employs structural equation modeling to test these hypotheses. The results</w:t>
      </w:r>
      <w:r>
        <w:rPr>
          <w:spacing w:val="40"/>
        </w:rPr>
        <w:t> </w:t>
      </w:r>
      <w:r>
        <w:rPr/>
        <w:t>indicate that using social media for investment advice increases the likelihood of experiencing</w:t>
      </w:r>
      <w:r>
        <w:rPr>
          <w:spacing w:val="40"/>
        </w:rPr>
        <w:t> </w:t>
      </w:r>
      <w:r>
        <w:rPr/>
        <w:t>financial fragility, and using social media for investment advice increases the likelihood of</w:t>
      </w:r>
      <w:r>
        <w:rPr>
          <w:spacing w:val="40"/>
        </w:rPr>
        <w:t> </w:t>
      </w:r>
      <w:r>
        <w:rPr/>
        <w:t>investing in one or more speculative financial assets. Also, investing in one or more speculative</w:t>
      </w:r>
      <w:r>
        <w:rPr>
          <w:spacing w:val="40"/>
        </w:rPr>
        <w:t> </w:t>
      </w:r>
      <w:r>
        <w:rPr/>
        <w:t>financial assets increases the likelihood of experiencing financial fragility.</w:t>
      </w:r>
    </w:p>
    <w:p>
      <w:pPr>
        <w:pStyle w:val="BodyText"/>
        <w:spacing w:line="276" w:lineRule="auto" w:before="160"/>
        <w:ind w:left="720" w:right="1439"/>
        <w:jc w:val="both"/>
      </w:pPr>
      <w:r>
        <w:rPr/>
        <w:t>Regarding the mediating role of speculative financial assets on social media for investing</w:t>
      </w:r>
      <w:r>
        <w:rPr>
          <w:spacing w:val="40"/>
        </w:rPr>
        <w:t> </w:t>
      </w:r>
      <w:r>
        <w:rPr/>
        <w:t>and financial</w:t>
      </w:r>
      <w:r>
        <w:rPr>
          <w:spacing w:val="-4"/>
        </w:rPr>
        <w:t> </w:t>
      </w:r>
      <w:r>
        <w:rPr/>
        <w:t>fragility,</w:t>
      </w:r>
      <w:r>
        <w:rPr>
          <w:spacing w:val="-4"/>
        </w:rPr>
        <w:t> </w:t>
      </w:r>
      <w:r>
        <w:rPr/>
        <w:t>this</w:t>
      </w:r>
      <w:r>
        <w:rPr>
          <w:spacing w:val="-4"/>
        </w:rPr>
        <w:t> </w:t>
      </w:r>
      <w:r>
        <w:rPr/>
        <w:t>study</w:t>
      </w:r>
      <w:r>
        <w:rPr>
          <w:spacing w:val="-4"/>
        </w:rPr>
        <w:t> </w:t>
      </w:r>
      <w:r>
        <w:rPr/>
        <w:t>finds</w:t>
      </w:r>
      <w:r>
        <w:rPr>
          <w:spacing w:val="-4"/>
        </w:rPr>
        <w:t> </w:t>
      </w:r>
      <w:r>
        <w:rPr/>
        <w:t>that</w:t>
      </w:r>
      <w:r>
        <w:rPr>
          <w:spacing w:val="-4"/>
        </w:rPr>
        <w:t> </w:t>
      </w:r>
      <w:r>
        <w:rPr/>
        <w:t>using</w:t>
      </w:r>
      <w:r>
        <w:rPr>
          <w:spacing w:val="-4"/>
        </w:rPr>
        <w:t> </w:t>
      </w:r>
      <w:r>
        <w:rPr/>
        <w:t>social</w:t>
      </w:r>
      <w:r>
        <w:rPr>
          <w:spacing w:val="-4"/>
        </w:rPr>
        <w:t> </w:t>
      </w:r>
      <w:r>
        <w:rPr/>
        <w:t>media</w:t>
      </w:r>
      <w:r>
        <w:rPr>
          <w:spacing w:val="-4"/>
        </w:rPr>
        <w:t> </w:t>
      </w:r>
      <w:r>
        <w:rPr/>
        <w:t>for</w:t>
      </w:r>
      <w:r>
        <w:rPr>
          <w:spacing w:val="-4"/>
        </w:rPr>
        <w:t> </w:t>
      </w:r>
      <w:r>
        <w:rPr/>
        <w:t>investment</w:t>
      </w:r>
      <w:r>
        <w:rPr>
          <w:spacing w:val="-4"/>
        </w:rPr>
        <w:t> </w:t>
      </w:r>
      <w:r>
        <w:rPr/>
        <w:t>advice</w:t>
      </w:r>
      <w:r>
        <w:rPr>
          <w:spacing w:val="-4"/>
        </w:rPr>
        <w:t> </w:t>
      </w:r>
      <w:r>
        <w:rPr/>
        <w:t>is</w:t>
      </w:r>
      <w:r>
        <w:rPr>
          <w:spacing w:val="-4"/>
        </w:rPr>
        <w:t> </w:t>
      </w:r>
      <w:r>
        <w:rPr/>
        <w:t>also</w:t>
      </w:r>
      <w:r>
        <w:rPr>
          <w:spacing w:val="40"/>
        </w:rPr>
        <w:t> </w:t>
      </w:r>
      <w:r>
        <w:rPr/>
        <w:t>indirectly related to financial fragility through speculative financial assets. Specifically, investing</w:t>
      </w:r>
      <w:r>
        <w:rPr>
          <w:spacing w:val="40"/>
        </w:rPr>
        <w:t> </w:t>
      </w:r>
      <w:r>
        <w:rPr/>
        <w:t>in speculative financial assets mediates a positive association between relying on social media</w:t>
      </w:r>
      <w:r>
        <w:rPr>
          <w:spacing w:val="40"/>
        </w:rPr>
        <w:t> </w:t>
      </w:r>
      <w:r>
        <w:rPr/>
        <w:t>for investment assets and experiencing financial fragility.</w:t>
      </w:r>
    </w:p>
    <w:p>
      <w:pPr>
        <w:pStyle w:val="BodyText"/>
        <w:spacing w:line="276" w:lineRule="auto" w:before="160"/>
        <w:ind w:left="720" w:right="1439"/>
        <w:jc w:val="both"/>
      </w:pPr>
      <w:r>
        <w:rPr/>
        <w:t>Moreover, findings of the study also show that among respondents prone to peer</w:t>
      </w:r>
      <w:r>
        <w:rPr>
          <w:spacing w:val="40"/>
        </w:rPr>
        <w:t> </w:t>
      </w:r>
      <w:r>
        <w:rPr/>
        <w:t>influence, relying on social media for investment advice increases the likelihood of investment in speculative financial assets and financial fragility directly. Also, relying on social media for investment advice is associated indirectly with financial fragility through investment in speculative financial assets.</w:t>
      </w:r>
      <w:r>
        <w:rPr>
          <w:spacing w:val="-3"/>
        </w:rPr>
        <w:t> </w:t>
      </w:r>
      <w:r>
        <w:rPr/>
        <w:t>The</w:t>
      </w:r>
      <w:r>
        <w:rPr>
          <w:spacing w:val="-3"/>
        </w:rPr>
        <w:t> </w:t>
      </w:r>
      <w:r>
        <w:rPr/>
        <w:t>use</w:t>
      </w:r>
      <w:r>
        <w:rPr>
          <w:spacing w:val="-3"/>
        </w:rPr>
        <w:t> </w:t>
      </w:r>
      <w:r>
        <w:rPr/>
        <w:t>of</w:t>
      </w:r>
      <w:r>
        <w:rPr>
          <w:spacing w:val="-3"/>
        </w:rPr>
        <w:t> </w:t>
      </w:r>
      <w:r>
        <w:rPr/>
        <w:t>speculative</w:t>
      </w:r>
      <w:r>
        <w:rPr>
          <w:spacing w:val="-3"/>
        </w:rPr>
        <w:t> </w:t>
      </w:r>
      <w:r>
        <w:rPr/>
        <w:t>financial</w:t>
      </w:r>
      <w:r>
        <w:rPr>
          <w:spacing w:val="-3"/>
        </w:rPr>
        <w:t> </w:t>
      </w:r>
      <w:r>
        <w:rPr/>
        <w:t>assets</w:t>
      </w:r>
      <w:r>
        <w:rPr>
          <w:spacing w:val="-3"/>
        </w:rPr>
        <w:t> </w:t>
      </w:r>
      <w:r>
        <w:rPr/>
        <w:t>was</w:t>
      </w:r>
      <w:r>
        <w:rPr>
          <w:spacing w:val="-3"/>
        </w:rPr>
        <w:t> </w:t>
      </w:r>
      <w:r>
        <w:rPr/>
        <w:t>also</w:t>
      </w:r>
      <w:r>
        <w:rPr>
          <w:spacing w:val="-3"/>
        </w:rPr>
        <w:t> </w:t>
      </w:r>
      <w:r>
        <w:rPr/>
        <w:t>positively</w:t>
      </w:r>
      <w:r>
        <w:rPr>
          <w:spacing w:val="-3"/>
        </w:rPr>
        <w:t> </w:t>
      </w:r>
      <w:r>
        <w:rPr/>
        <w:t>associated with financial fragility for this group.</w:t>
      </w:r>
    </w:p>
    <w:p>
      <w:pPr>
        <w:pStyle w:val="BodyText"/>
        <w:spacing w:line="276" w:lineRule="auto" w:before="160"/>
        <w:ind w:left="720" w:right="1438"/>
        <w:jc w:val="both"/>
      </w:pPr>
      <w:r>
        <w:rPr/>
        <w:t>On the other hand, among those who are not prone to peer influence, we observe a</w:t>
      </w:r>
      <w:r>
        <w:rPr>
          <w:spacing w:val="40"/>
        </w:rPr>
        <w:t> </w:t>
      </w:r>
      <w:r>
        <w:rPr/>
        <w:t>slightly different result. Relying on social media for investment advice was positively associated</w:t>
      </w:r>
      <w:r>
        <w:rPr>
          <w:spacing w:val="40"/>
        </w:rPr>
        <w:t> </w:t>
      </w:r>
      <w:r>
        <w:rPr/>
        <w:t>with investment in speculative financial assets, and investment in speculative financial assets</w:t>
      </w:r>
      <w:r>
        <w:rPr>
          <w:spacing w:val="40"/>
        </w:rPr>
        <w:t> </w:t>
      </w:r>
      <w:r>
        <w:rPr/>
        <w:t>was positively associated with financial fragility. However, social media is only associated with financial fragility indirectly. Specifically, for respondents not prone to</w:t>
      </w:r>
      <w:r>
        <w:rPr>
          <w:spacing w:val="-5"/>
        </w:rPr>
        <w:t> </w:t>
      </w:r>
      <w:r>
        <w:rPr/>
        <w:t>peer</w:t>
      </w:r>
      <w:r>
        <w:rPr>
          <w:spacing w:val="-5"/>
        </w:rPr>
        <w:t> </w:t>
      </w:r>
      <w:r>
        <w:rPr/>
        <w:t>influence,</w:t>
      </w:r>
      <w:r>
        <w:rPr>
          <w:spacing w:val="-5"/>
        </w:rPr>
        <w:t> </w:t>
      </w:r>
      <w:r>
        <w:rPr/>
        <w:t>relying</w:t>
      </w:r>
      <w:r>
        <w:rPr>
          <w:spacing w:val="-5"/>
        </w:rPr>
        <w:t> </w:t>
      </w:r>
      <w:r>
        <w:rPr/>
        <w:t>on social media for investment advice is only related to financial fragility through investment in speculative financial assets.</w:t>
      </w:r>
    </w:p>
    <w:p>
      <w:pPr>
        <w:pStyle w:val="Heading4"/>
        <w:spacing w:before="160"/>
        <w:ind w:left="720"/>
      </w:pPr>
      <w:r>
        <w:rPr/>
        <w:t>Conclusion and </w:t>
      </w:r>
      <w:r>
        <w:rPr>
          <w:spacing w:val="-2"/>
        </w:rPr>
        <w:t>Implication</w:t>
      </w:r>
    </w:p>
    <w:p>
      <w:pPr>
        <w:pStyle w:val="BodyText"/>
        <w:spacing w:before="201"/>
        <w:ind w:left="720"/>
      </w:pPr>
      <w:r>
        <w:rPr/>
        <w:t>Overall, this study contributes to the growing area of literature on household finance </w:t>
      </w:r>
      <w:r>
        <w:rPr>
          <w:spacing w:val="-5"/>
        </w:rPr>
        <w:t>by</w:t>
      </w:r>
    </w:p>
    <w:p>
      <w:pPr>
        <w:pStyle w:val="BodyText"/>
        <w:spacing w:after="0"/>
        <w:sectPr>
          <w:pgSz w:w="12240" w:h="15840"/>
          <w:pgMar w:header="0" w:footer="750" w:top="640" w:bottom="960" w:left="720" w:right="0"/>
        </w:sectPr>
      </w:pPr>
    </w:p>
    <w:p>
      <w:pPr>
        <w:pStyle w:val="BodyText"/>
        <w:spacing w:before="60"/>
        <w:ind w:left="720" w:right="1500"/>
        <w:jc w:val="both"/>
      </w:pPr>
      <w:r>
        <w:rPr/>
        <w:t>highlighting</w:t>
      </w:r>
      <w:r>
        <w:rPr>
          <w:spacing w:val="-1"/>
        </w:rPr>
        <w:t> </w:t>
      </w:r>
      <w:r>
        <w:rPr/>
        <w:t>the</w:t>
      </w:r>
      <w:r>
        <w:rPr>
          <w:spacing w:val="-1"/>
        </w:rPr>
        <w:t> </w:t>
      </w:r>
      <w:r>
        <w:rPr/>
        <w:t>potential</w:t>
      </w:r>
      <w:r>
        <w:rPr>
          <w:spacing w:val="-1"/>
        </w:rPr>
        <w:t> </w:t>
      </w:r>
      <w:r>
        <w:rPr/>
        <w:t>risks</w:t>
      </w:r>
      <w:r>
        <w:rPr>
          <w:spacing w:val="-1"/>
        </w:rPr>
        <w:t> </w:t>
      </w:r>
      <w:r>
        <w:rPr/>
        <w:t>associated</w:t>
      </w:r>
      <w:r>
        <w:rPr>
          <w:spacing w:val="-1"/>
        </w:rPr>
        <w:t> </w:t>
      </w:r>
      <w:r>
        <w:rPr/>
        <w:t>with</w:t>
      </w:r>
      <w:r>
        <w:rPr>
          <w:spacing w:val="-1"/>
        </w:rPr>
        <w:t> </w:t>
      </w:r>
      <w:r>
        <w:rPr/>
        <w:t>relying</w:t>
      </w:r>
      <w:r>
        <w:rPr>
          <w:spacing w:val="-1"/>
        </w:rPr>
        <w:t> </w:t>
      </w:r>
      <w:r>
        <w:rPr/>
        <w:t>on</w:t>
      </w:r>
      <w:r>
        <w:rPr>
          <w:spacing w:val="-1"/>
        </w:rPr>
        <w:t> </w:t>
      </w:r>
      <w:r>
        <w:rPr/>
        <w:t>social</w:t>
      </w:r>
      <w:r>
        <w:rPr>
          <w:spacing w:val="-1"/>
        </w:rPr>
        <w:t> </w:t>
      </w:r>
      <w:r>
        <w:rPr/>
        <w:t>media</w:t>
      </w:r>
      <w:r>
        <w:rPr>
          <w:spacing w:val="-1"/>
        </w:rPr>
        <w:t> </w:t>
      </w:r>
      <w:r>
        <w:rPr/>
        <w:t>as</w:t>
      </w:r>
      <w:r>
        <w:rPr>
          <w:spacing w:val="-1"/>
        </w:rPr>
        <w:t> </w:t>
      </w:r>
      <w:r>
        <w:rPr/>
        <w:t>a</w:t>
      </w:r>
      <w:r>
        <w:rPr>
          <w:spacing w:val="-1"/>
        </w:rPr>
        <w:t> </w:t>
      </w:r>
      <w:r>
        <w:rPr/>
        <w:t>source</w:t>
      </w:r>
      <w:r>
        <w:rPr>
          <w:spacing w:val="-1"/>
        </w:rPr>
        <w:t> </w:t>
      </w:r>
      <w:r>
        <w:rPr/>
        <w:t>of</w:t>
      </w:r>
      <w:r>
        <w:rPr>
          <w:spacing w:val="-1"/>
        </w:rPr>
        <w:t> </w:t>
      </w:r>
      <w:r>
        <w:rPr/>
        <w:t>investment information.</w:t>
      </w:r>
      <w:r>
        <w:rPr>
          <w:spacing w:val="-3"/>
        </w:rPr>
        <w:t> </w:t>
      </w:r>
      <w:r>
        <w:rPr/>
        <w:t>Hence,</w:t>
      </w:r>
      <w:r>
        <w:rPr>
          <w:spacing w:val="-3"/>
        </w:rPr>
        <w:t> </w:t>
      </w:r>
      <w:r>
        <w:rPr/>
        <w:t>there</w:t>
      </w:r>
      <w:r>
        <w:rPr>
          <w:spacing w:val="-3"/>
        </w:rPr>
        <w:t> </w:t>
      </w:r>
      <w:r>
        <w:rPr/>
        <w:t>is</w:t>
      </w:r>
      <w:r>
        <w:rPr>
          <w:spacing w:val="-3"/>
        </w:rPr>
        <w:t> </w:t>
      </w:r>
      <w:r>
        <w:rPr/>
        <w:t>a</w:t>
      </w:r>
      <w:r>
        <w:rPr>
          <w:spacing w:val="-3"/>
        </w:rPr>
        <w:t> </w:t>
      </w:r>
      <w:r>
        <w:rPr/>
        <w:t>need</w:t>
      </w:r>
      <w:r>
        <w:rPr>
          <w:spacing w:val="-3"/>
        </w:rPr>
        <w:t> </w:t>
      </w:r>
      <w:r>
        <w:rPr/>
        <w:t>for</w:t>
      </w:r>
      <w:r>
        <w:rPr>
          <w:spacing w:val="-3"/>
        </w:rPr>
        <w:t> </w:t>
      </w:r>
      <w:r>
        <w:rPr/>
        <w:t>financial</w:t>
      </w:r>
      <w:r>
        <w:rPr>
          <w:spacing w:val="-3"/>
        </w:rPr>
        <w:t> </w:t>
      </w:r>
      <w:r>
        <w:rPr/>
        <w:t>professionals</w:t>
      </w:r>
      <w:r>
        <w:rPr>
          <w:spacing w:val="-3"/>
        </w:rPr>
        <w:t> </w:t>
      </w:r>
      <w:r>
        <w:rPr/>
        <w:t>and</w:t>
      </w:r>
      <w:r>
        <w:rPr>
          <w:spacing w:val="-3"/>
        </w:rPr>
        <w:t> </w:t>
      </w:r>
      <w:r>
        <w:rPr/>
        <w:t>educators</w:t>
      </w:r>
      <w:r>
        <w:rPr>
          <w:spacing w:val="-3"/>
        </w:rPr>
        <w:t> </w:t>
      </w:r>
      <w:r>
        <w:rPr/>
        <w:t>to</w:t>
      </w:r>
      <w:r>
        <w:rPr>
          <w:spacing w:val="-3"/>
        </w:rPr>
        <w:t> </w:t>
      </w:r>
      <w:r>
        <w:rPr/>
        <w:t>guide</w:t>
      </w:r>
      <w:r>
        <w:rPr>
          <w:spacing w:val="-3"/>
        </w:rPr>
        <w:t> </w:t>
      </w:r>
      <w:r>
        <w:rPr/>
        <w:t>households in the appropriate use of information sources when making their investment decisions.</w:t>
      </w:r>
    </w:p>
    <w:p>
      <w:pPr>
        <w:pStyle w:val="BodyText"/>
        <w:spacing w:before="1"/>
        <w:ind w:left="720" w:right="1573"/>
        <w:jc w:val="both"/>
      </w:pPr>
      <w:r>
        <w:rPr/>
        <w:t>Improving</w:t>
      </w:r>
      <w:r>
        <w:rPr>
          <w:spacing w:val="-4"/>
        </w:rPr>
        <w:t> </w:t>
      </w:r>
      <w:r>
        <w:rPr/>
        <w:t>individuals’</w:t>
      </w:r>
      <w:r>
        <w:rPr>
          <w:spacing w:val="-4"/>
        </w:rPr>
        <w:t> </w:t>
      </w:r>
      <w:r>
        <w:rPr/>
        <w:t>ability</w:t>
      </w:r>
      <w:r>
        <w:rPr>
          <w:spacing w:val="-4"/>
        </w:rPr>
        <w:t> </w:t>
      </w:r>
      <w:r>
        <w:rPr/>
        <w:t>to</w:t>
      </w:r>
      <w:r>
        <w:rPr>
          <w:spacing w:val="-4"/>
        </w:rPr>
        <w:t> </w:t>
      </w:r>
      <w:r>
        <w:rPr/>
        <w:t>critically</w:t>
      </w:r>
      <w:r>
        <w:rPr>
          <w:spacing w:val="-4"/>
        </w:rPr>
        <w:t> </w:t>
      </w:r>
      <w:r>
        <w:rPr/>
        <w:t>evaluate</w:t>
      </w:r>
      <w:r>
        <w:rPr>
          <w:spacing w:val="-4"/>
        </w:rPr>
        <w:t> </w:t>
      </w:r>
      <w:r>
        <w:rPr/>
        <w:t>investment</w:t>
      </w:r>
      <w:r>
        <w:rPr>
          <w:spacing w:val="-4"/>
        </w:rPr>
        <w:t> </w:t>
      </w:r>
      <w:r>
        <w:rPr/>
        <w:t>information</w:t>
      </w:r>
      <w:r>
        <w:rPr>
          <w:spacing w:val="-4"/>
        </w:rPr>
        <w:t> </w:t>
      </w:r>
      <w:r>
        <w:rPr/>
        <w:t>may</w:t>
      </w:r>
      <w:r>
        <w:rPr>
          <w:spacing w:val="-4"/>
        </w:rPr>
        <w:t> </w:t>
      </w:r>
      <w:r>
        <w:rPr/>
        <w:t>help</w:t>
      </w:r>
      <w:r>
        <w:rPr>
          <w:spacing w:val="-4"/>
        </w:rPr>
        <w:t> </w:t>
      </w:r>
      <w:r>
        <w:rPr/>
        <w:t>strengthen household financial resilience and support overall financial well-being.</w:t>
      </w:r>
    </w:p>
    <w:p>
      <w:pPr>
        <w:pStyle w:val="BodyText"/>
      </w:pPr>
    </w:p>
    <w:p>
      <w:pPr>
        <w:pStyle w:val="BodyText"/>
      </w:pPr>
    </w:p>
    <w:p>
      <w:pPr>
        <w:pStyle w:val="BodyText"/>
        <w:spacing w:before="53"/>
      </w:pPr>
    </w:p>
    <w:p>
      <w:pPr>
        <w:pStyle w:val="Heading4"/>
        <w:ind w:left="720"/>
      </w:pPr>
      <w:r>
        <w:rPr>
          <w:spacing w:val="-2"/>
        </w:rPr>
        <w:t>References</w:t>
      </w:r>
    </w:p>
    <w:p>
      <w:pPr>
        <w:pStyle w:val="BodyText"/>
        <w:rPr>
          <w:b/>
        </w:rPr>
      </w:pPr>
    </w:p>
    <w:p>
      <w:pPr>
        <w:pStyle w:val="BodyText"/>
        <w:ind w:left="1095"/>
      </w:pPr>
      <w:r>
        <w:rPr/>
        <w:t>De</w:t>
      </w:r>
      <w:r>
        <w:rPr>
          <w:spacing w:val="-3"/>
        </w:rPr>
        <w:t> </w:t>
      </w:r>
      <w:r>
        <w:rPr/>
        <w:t>Long,</w:t>
      </w:r>
      <w:r>
        <w:rPr>
          <w:spacing w:val="-2"/>
        </w:rPr>
        <w:t> </w:t>
      </w:r>
      <w:r>
        <w:rPr/>
        <w:t>J.</w:t>
      </w:r>
      <w:r>
        <w:rPr>
          <w:spacing w:val="-2"/>
        </w:rPr>
        <w:t> </w:t>
      </w:r>
      <w:r>
        <w:rPr/>
        <w:t>B.,</w:t>
      </w:r>
      <w:r>
        <w:rPr>
          <w:spacing w:val="-3"/>
        </w:rPr>
        <w:t> </w:t>
      </w:r>
      <w:r>
        <w:rPr/>
        <w:t>Shleifer,</w:t>
      </w:r>
      <w:r>
        <w:rPr>
          <w:spacing w:val="-2"/>
        </w:rPr>
        <w:t> </w:t>
      </w:r>
      <w:r>
        <w:rPr/>
        <w:t>A.,</w:t>
      </w:r>
      <w:r>
        <w:rPr>
          <w:spacing w:val="-2"/>
        </w:rPr>
        <w:t> </w:t>
      </w:r>
      <w:r>
        <w:rPr/>
        <w:t>Summers,</w:t>
      </w:r>
      <w:r>
        <w:rPr>
          <w:spacing w:val="-3"/>
        </w:rPr>
        <w:t> </w:t>
      </w:r>
      <w:r>
        <w:rPr/>
        <w:t>L.</w:t>
      </w:r>
      <w:r>
        <w:rPr>
          <w:spacing w:val="-2"/>
        </w:rPr>
        <w:t> </w:t>
      </w:r>
      <w:r>
        <w:rPr/>
        <w:t>H.,</w:t>
      </w:r>
      <w:r>
        <w:rPr>
          <w:spacing w:val="-2"/>
        </w:rPr>
        <w:t> </w:t>
      </w:r>
      <w:r>
        <w:rPr/>
        <w:t>&amp;</w:t>
      </w:r>
      <w:r>
        <w:rPr>
          <w:spacing w:val="-3"/>
        </w:rPr>
        <w:t> </w:t>
      </w:r>
      <w:r>
        <w:rPr/>
        <w:t>Waldmann,</w:t>
      </w:r>
      <w:r>
        <w:rPr>
          <w:spacing w:val="-2"/>
        </w:rPr>
        <w:t> </w:t>
      </w:r>
      <w:r>
        <w:rPr/>
        <w:t>R.</w:t>
      </w:r>
      <w:r>
        <w:rPr>
          <w:spacing w:val="-2"/>
        </w:rPr>
        <w:t> </w:t>
      </w:r>
      <w:r>
        <w:rPr/>
        <w:t>J.</w:t>
      </w:r>
      <w:r>
        <w:rPr>
          <w:spacing w:val="-2"/>
        </w:rPr>
        <w:t> (1990).</w:t>
      </w:r>
    </w:p>
    <w:p>
      <w:pPr>
        <w:spacing w:before="1"/>
        <w:ind w:left="1815" w:right="2590" w:firstLine="0"/>
        <w:jc w:val="left"/>
        <w:rPr>
          <w:sz w:val="24"/>
        </w:rPr>
      </w:pPr>
      <w:r>
        <w:rPr>
          <w:sz w:val="24"/>
        </w:rPr>
        <w:t>Noise</w:t>
      </w:r>
      <w:r>
        <w:rPr>
          <w:spacing w:val="-4"/>
          <w:sz w:val="24"/>
        </w:rPr>
        <w:t> </w:t>
      </w:r>
      <w:r>
        <w:rPr>
          <w:sz w:val="24"/>
        </w:rPr>
        <w:t>trader</w:t>
      </w:r>
      <w:r>
        <w:rPr>
          <w:spacing w:val="-4"/>
          <w:sz w:val="24"/>
        </w:rPr>
        <w:t> </w:t>
      </w:r>
      <w:r>
        <w:rPr>
          <w:sz w:val="24"/>
        </w:rPr>
        <w:t>risk</w:t>
      </w:r>
      <w:r>
        <w:rPr>
          <w:spacing w:val="-4"/>
          <w:sz w:val="24"/>
        </w:rPr>
        <w:t> </w:t>
      </w:r>
      <w:r>
        <w:rPr>
          <w:sz w:val="24"/>
        </w:rPr>
        <w:t>in</w:t>
      </w:r>
      <w:r>
        <w:rPr>
          <w:spacing w:val="-4"/>
          <w:sz w:val="24"/>
        </w:rPr>
        <w:t> </w:t>
      </w:r>
      <w:r>
        <w:rPr>
          <w:sz w:val="24"/>
        </w:rPr>
        <w:t>financial</w:t>
      </w:r>
      <w:r>
        <w:rPr>
          <w:spacing w:val="40"/>
          <w:sz w:val="24"/>
        </w:rPr>
        <w:t> </w:t>
      </w:r>
      <w:r>
        <w:rPr>
          <w:sz w:val="24"/>
        </w:rPr>
        <w:t>markets.</w:t>
      </w:r>
      <w:r>
        <w:rPr>
          <w:spacing w:val="-4"/>
          <w:sz w:val="24"/>
        </w:rPr>
        <w:t> </w:t>
      </w:r>
      <w:r>
        <w:rPr>
          <w:i/>
          <w:sz w:val="24"/>
        </w:rPr>
        <w:t>Journal</w:t>
      </w:r>
      <w:r>
        <w:rPr>
          <w:i/>
          <w:spacing w:val="-4"/>
          <w:sz w:val="24"/>
        </w:rPr>
        <w:t> </w:t>
      </w:r>
      <w:r>
        <w:rPr>
          <w:i/>
          <w:sz w:val="24"/>
        </w:rPr>
        <w:t>of</w:t>
      </w:r>
      <w:r>
        <w:rPr>
          <w:i/>
          <w:spacing w:val="-4"/>
          <w:sz w:val="24"/>
        </w:rPr>
        <w:t> </w:t>
      </w:r>
      <w:r>
        <w:rPr>
          <w:i/>
          <w:sz w:val="24"/>
        </w:rPr>
        <w:t>political</w:t>
      </w:r>
      <w:r>
        <w:rPr>
          <w:i/>
          <w:spacing w:val="-4"/>
          <w:sz w:val="24"/>
        </w:rPr>
        <w:t> </w:t>
      </w:r>
      <w:r>
        <w:rPr>
          <w:i/>
          <w:sz w:val="24"/>
        </w:rPr>
        <w:t>Economy</w:t>
      </w:r>
      <w:r>
        <w:rPr>
          <w:sz w:val="24"/>
        </w:rPr>
        <w:t>, </w:t>
      </w:r>
      <w:r>
        <w:rPr>
          <w:i/>
          <w:sz w:val="24"/>
        </w:rPr>
        <w:t>98</w:t>
      </w:r>
      <w:r>
        <w:rPr>
          <w:sz w:val="24"/>
        </w:rPr>
        <w:t>(4), 703-738.</w:t>
      </w:r>
    </w:p>
    <w:p>
      <w:pPr>
        <w:pStyle w:val="BodyText"/>
        <w:spacing w:before="26"/>
        <w:ind w:left="1800" w:right="3211" w:hanging="705"/>
      </w:pPr>
      <w:r>
        <w:rPr/>
        <w:t>Hirshleifer, D. (2020). Presidential address: Social transmission bias in economics and finance. </w:t>
      </w:r>
      <w:r>
        <w:rPr>
          <w:i/>
        </w:rPr>
        <w:t>The</w:t>
      </w:r>
      <w:r>
        <w:rPr>
          <w:i/>
          <w:spacing w:val="60"/>
        </w:rPr>
        <w:t> </w:t>
      </w:r>
      <w:r>
        <w:rPr>
          <w:i/>
        </w:rPr>
        <w:t>Journal of Finance</w:t>
      </w:r>
      <w:r>
        <w:rPr/>
        <w:t>, </w:t>
      </w:r>
      <w:r>
        <w:rPr>
          <w:i/>
        </w:rPr>
        <w:t>75</w:t>
      </w:r>
      <w:r>
        <w:rPr/>
        <w:t>(4), 1779-</w:t>
      </w:r>
      <w:r>
        <w:rPr>
          <w:spacing w:val="-2"/>
        </w:rPr>
        <w:t>1831.</w:t>
      </w:r>
    </w:p>
    <w:p>
      <w:pPr>
        <w:spacing w:before="26"/>
        <w:ind w:left="1095" w:right="0" w:firstLine="0"/>
        <w:jc w:val="left"/>
        <w:rPr>
          <w:sz w:val="24"/>
        </w:rPr>
      </w:pPr>
      <w:r>
        <w:rPr>
          <w:sz w:val="24"/>
        </w:rPr>
        <w:t>Kahneman,</w:t>
      </w:r>
      <w:r>
        <w:rPr>
          <w:spacing w:val="-8"/>
          <w:sz w:val="24"/>
        </w:rPr>
        <w:t> </w:t>
      </w:r>
      <w:r>
        <w:rPr>
          <w:sz w:val="24"/>
        </w:rPr>
        <w:t>D.</w:t>
      </w:r>
      <w:r>
        <w:rPr>
          <w:spacing w:val="-5"/>
          <w:sz w:val="24"/>
        </w:rPr>
        <w:t> </w:t>
      </w:r>
      <w:r>
        <w:rPr>
          <w:sz w:val="24"/>
        </w:rPr>
        <w:t>(2011).</w:t>
      </w:r>
      <w:r>
        <w:rPr>
          <w:spacing w:val="-5"/>
          <w:sz w:val="24"/>
        </w:rPr>
        <w:t> </w:t>
      </w:r>
      <w:r>
        <w:rPr>
          <w:sz w:val="24"/>
        </w:rPr>
        <w:t>Thinking,</w:t>
      </w:r>
      <w:r>
        <w:rPr>
          <w:spacing w:val="-5"/>
          <w:sz w:val="24"/>
        </w:rPr>
        <w:t> </w:t>
      </w:r>
      <w:r>
        <w:rPr>
          <w:sz w:val="24"/>
        </w:rPr>
        <w:t>fast</w:t>
      </w:r>
      <w:r>
        <w:rPr>
          <w:spacing w:val="-5"/>
          <w:sz w:val="24"/>
        </w:rPr>
        <w:t> </w:t>
      </w:r>
      <w:r>
        <w:rPr>
          <w:sz w:val="24"/>
        </w:rPr>
        <w:t>and</w:t>
      </w:r>
      <w:r>
        <w:rPr>
          <w:spacing w:val="-6"/>
          <w:sz w:val="24"/>
        </w:rPr>
        <w:t> </w:t>
      </w:r>
      <w:r>
        <w:rPr>
          <w:sz w:val="24"/>
        </w:rPr>
        <w:t>slow.</w:t>
      </w:r>
      <w:r>
        <w:rPr>
          <w:spacing w:val="-5"/>
          <w:sz w:val="24"/>
        </w:rPr>
        <w:t> </w:t>
      </w:r>
      <w:r>
        <w:rPr>
          <w:i/>
          <w:sz w:val="24"/>
        </w:rPr>
        <w:t>Farrar,</w:t>
      </w:r>
      <w:r>
        <w:rPr>
          <w:i/>
          <w:spacing w:val="-5"/>
          <w:sz w:val="24"/>
        </w:rPr>
        <w:t> </w:t>
      </w:r>
      <w:r>
        <w:rPr>
          <w:i/>
          <w:sz w:val="24"/>
        </w:rPr>
        <w:t>Straus</w:t>
      </w:r>
      <w:r>
        <w:rPr>
          <w:i/>
          <w:spacing w:val="-5"/>
          <w:sz w:val="24"/>
        </w:rPr>
        <w:t> </w:t>
      </w:r>
      <w:r>
        <w:rPr>
          <w:i/>
          <w:sz w:val="24"/>
        </w:rPr>
        <w:t>and</w:t>
      </w:r>
      <w:r>
        <w:rPr>
          <w:i/>
          <w:spacing w:val="-5"/>
          <w:sz w:val="24"/>
        </w:rPr>
        <w:t> </w:t>
      </w:r>
      <w:r>
        <w:rPr>
          <w:i/>
          <w:spacing w:val="-2"/>
          <w:sz w:val="24"/>
        </w:rPr>
        <w:t>Giroux</w:t>
      </w:r>
      <w:r>
        <w:rPr>
          <w:spacing w:val="-2"/>
          <w:sz w:val="24"/>
        </w:rPr>
        <w:t>.</w:t>
      </w:r>
    </w:p>
    <w:p>
      <w:pPr>
        <w:spacing w:before="124"/>
        <w:ind w:left="1800" w:right="2707" w:hanging="705"/>
        <w:jc w:val="left"/>
        <w:rPr>
          <w:sz w:val="24"/>
        </w:rPr>
      </w:pPr>
      <w:r>
        <w:rPr>
          <w:sz w:val="24"/>
        </w:rPr>
        <w:t>Lin,</w:t>
      </w:r>
      <w:r>
        <w:rPr>
          <w:spacing w:val="-8"/>
          <w:sz w:val="24"/>
        </w:rPr>
        <w:t> </w:t>
      </w:r>
      <w:r>
        <w:rPr>
          <w:sz w:val="24"/>
        </w:rPr>
        <w:t>J.</w:t>
      </w:r>
      <w:r>
        <w:rPr>
          <w:spacing w:val="-8"/>
          <w:sz w:val="24"/>
        </w:rPr>
        <w:t> </w:t>
      </w:r>
      <w:r>
        <w:rPr>
          <w:sz w:val="24"/>
        </w:rPr>
        <w:t>T.,</w:t>
      </w:r>
      <w:r>
        <w:rPr>
          <w:spacing w:val="-8"/>
          <w:sz w:val="24"/>
        </w:rPr>
        <w:t> </w:t>
      </w:r>
      <w:r>
        <w:rPr>
          <w:sz w:val="24"/>
        </w:rPr>
        <w:t>Bumcrot,</w:t>
      </w:r>
      <w:r>
        <w:rPr>
          <w:spacing w:val="-8"/>
          <w:sz w:val="24"/>
        </w:rPr>
        <w:t> </w:t>
      </w:r>
      <w:r>
        <w:rPr>
          <w:sz w:val="24"/>
        </w:rPr>
        <w:t>C.,</w:t>
      </w:r>
      <w:r>
        <w:rPr>
          <w:spacing w:val="-8"/>
          <w:sz w:val="24"/>
        </w:rPr>
        <w:t> </w:t>
      </w:r>
      <w:r>
        <w:rPr>
          <w:sz w:val="24"/>
        </w:rPr>
        <w:t>Lusardi,</w:t>
      </w:r>
      <w:r>
        <w:rPr>
          <w:spacing w:val="-8"/>
          <w:sz w:val="24"/>
        </w:rPr>
        <w:t> </w:t>
      </w:r>
      <w:r>
        <w:rPr>
          <w:sz w:val="24"/>
        </w:rPr>
        <w:t>A.,</w:t>
      </w:r>
      <w:r>
        <w:rPr>
          <w:spacing w:val="-8"/>
          <w:sz w:val="24"/>
        </w:rPr>
        <w:t> </w:t>
      </w:r>
      <w:r>
        <w:rPr>
          <w:sz w:val="24"/>
        </w:rPr>
        <w:t>Valdes,</w:t>
      </w:r>
      <w:r>
        <w:rPr>
          <w:spacing w:val="-8"/>
          <w:sz w:val="24"/>
        </w:rPr>
        <w:t> </w:t>
      </w:r>
      <w:r>
        <w:rPr>
          <w:sz w:val="24"/>
        </w:rPr>
        <w:t>O.,</w:t>
      </w:r>
      <w:r>
        <w:rPr>
          <w:spacing w:val="-8"/>
          <w:sz w:val="24"/>
        </w:rPr>
        <w:t> </w:t>
      </w:r>
      <w:r>
        <w:rPr>
          <w:sz w:val="24"/>
        </w:rPr>
        <w:t>Mottola,</w:t>
      </w:r>
      <w:r>
        <w:rPr>
          <w:spacing w:val="-8"/>
          <w:sz w:val="24"/>
        </w:rPr>
        <w:t> </w:t>
      </w:r>
      <w:r>
        <w:rPr>
          <w:sz w:val="24"/>
        </w:rPr>
        <w:t>G.,</w:t>
      </w:r>
      <w:r>
        <w:rPr>
          <w:spacing w:val="-8"/>
          <w:sz w:val="24"/>
        </w:rPr>
        <w:t> </w:t>
      </w:r>
      <w:r>
        <w:rPr>
          <w:sz w:val="24"/>
        </w:rPr>
        <w:t>Ganem,</w:t>
      </w:r>
      <w:r>
        <w:rPr>
          <w:spacing w:val="-8"/>
          <w:sz w:val="24"/>
        </w:rPr>
        <w:t> </w:t>
      </w:r>
      <w:r>
        <w:rPr>
          <w:sz w:val="24"/>
        </w:rPr>
        <w:t>R.,</w:t>
      </w:r>
      <w:r>
        <w:rPr>
          <w:spacing w:val="-8"/>
          <w:sz w:val="24"/>
        </w:rPr>
        <w:t> </w:t>
      </w:r>
      <w:r>
        <w:rPr>
          <w:sz w:val="24"/>
        </w:rPr>
        <w:t>Sarver, S., Kieffer, C.,</w:t>
      </w:r>
      <w:r>
        <w:rPr>
          <w:spacing w:val="40"/>
          <w:sz w:val="24"/>
        </w:rPr>
        <w:t> </w:t>
      </w:r>
      <w:r>
        <w:rPr>
          <w:sz w:val="24"/>
        </w:rPr>
        <w:t>McLaughlin, R., &amp; Walsh, G. (2025). </w:t>
      </w:r>
      <w:r>
        <w:rPr>
          <w:i/>
          <w:sz w:val="24"/>
        </w:rPr>
        <w:t>Financial</w:t>
      </w:r>
      <w:r>
        <w:rPr>
          <w:i/>
          <w:sz w:val="24"/>
        </w:rPr>
        <w:t> capability in the United States: Results from the</w:t>
      </w:r>
      <w:r>
        <w:rPr>
          <w:i/>
          <w:spacing w:val="40"/>
          <w:sz w:val="24"/>
        </w:rPr>
        <w:t> </w:t>
      </w:r>
      <w:r>
        <w:rPr>
          <w:i/>
          <w:sz w:val="24"/>
        </w:rPr>
        <w:t>FINRA Foundation’s National Financial Capability Study (6th ed.)</w:t>
      </w:r>
      <w:r>
        <w:rPr>
          <w:sz w:val="24"/>
        </w:rPr>
        <w:t>. FINRA Investor Education</w:t>
      </w:r>
      <w:r>
        <w:rPr>
          <w:spacing w:val="40"/>
          <w:sz w:val="24"/>
        </w:rPr>
        <w:t> </w:t>
      </w:r>
      <w:r>
        <w:rPr>
          <w:sz w:val="24"/>
        </w:rPr>
        <w:t>Foundation.</w:t>
      </w:r>
    </w:p>
    <w:p>
      <w:pPr>
        <w:spacing w:before="207"/>
        <w:ind w:left="1815" w:right="2878" w:hanging="720"/>
        <w:jc w:val="left"/>
        <w:rPr>
          <w:sz w:val="24"/>
        </w:rPr>
      </w:pPr>
      <w:r>
        <w:rPr>
          <w:sz w:val="24"/>
        </w:rPr>
        <w:t>Olajide, O., Pandey, S., &amp; Pandey, I. (2024). Social media for investment advice</w:t>
      </w:r>
      <w:r>
        <w:rPr>
          <w:spacing w:val="-5"/>
          <w:sz w:val="24"/>
        </w:rPr>
        <w:t> </w:t>
      </w:r>
      <w:r>
        <w:rPr>
          <w:sz w:val="24"/>
        </w:rPr>
        <w:t>and</w:t>
      </w:r>
      <w:r>
        <w:rPr>
          <w:spacing w:val="-5"/>
          <w:sz w:val="24"/>
        </w:rPr>
        <w:t> </w:t>
      </w:r>
      <w:r>
        <w:rPr>
          <w:sz w:val="24"/>
        </w:rPr>
        <w:t>financial</w:t>
      </w:r>
      <w:r>
        <w:rPr>
          <w:spacing w:val="40"/>
          <w:sz w:val="24"/>
        </w:rPr>
        <w:t> </w:t>
      </w:r>
      <w:r>
        <w:rPr>
          <w:sz w:val="24"/>
        </w:rPr>
        <w:t>satisfaction:</w:t>
      </w:r>
      <w:r>
        <w:rPr>
          <w:spacing w:val="-5"/>
          <w:sz w:val="24"/>
        </w:rPr>
        <w:t> </w:t>
      </w:r>
      <w:r>
        <w:rPr>
          <w:sz w:val="24"/>
        </w:rPr>
        <w:t>does</w:t>
      </w:r>
      <w:r>
        <w:rPr>
          <w:spacing w:val="-5"/>
          <w:sz w:val="24"/>
        </w:rPr>
        <w:t> </w:t>
      </w:r>
      <w:r>
        <w:rPr>
          <w:sz w:val="24"/>
        </w:rPr>
        <w:t>generation</w:t>
      </w:r>
      <w:r>
        <w:rPr>
          <w:spacing w:val="-5"/>
          <w:sz w:val="24"/>
        </w:rPr>
        <w:t> </w:t>
      </w:r>
      <w:r>
        <w:rPr>
          <w:sz w:val="24"/>
        </w:rPr>
        <w:t>matter?.</w:t>
      </w:r>
      <w:r>
        <w:rPr>
          <w:spacing w:val="-5"/>
          <w:sz w:val="24"/>
        </w:rPr>
        <w:t> </w:t>
      </w:r>
      <w:r>
        <w:rPr>
          <w:i/>
          <w:sz w:val="24"/>
        </w:rPr>
        <w:t>Journal</w:t>
      </w:r>
      <w:r>
        <w:rPr>
          <w:i/>
          <w:spacing w:val="-5"/>
          <w:sz w:val="24"/>
        </w:rPr>
        <w:t> </w:t>
      </w:r>
      <w:r>
        <w:rPr>
          <w:i/>
          <w:sz w:val="24"/>
        </w:rPr>
        <w:t>of</w:t>
      </w:r>
      <w:r>
        <w:rPr>
          <w:i/>
          <w:sz w:val="24"/>
        </w:rPr>
        <w:t> Risk and Financial Management</w:t>
      </w:r>
      <w:r>
        <w:rPr>
          <w:sz w:val="24"/>
        </w:rPr>
        <w:t>, </w:t>
      </w:r>
      <w:r>
        <w:rPr>
          <w:i/>
          <w:sz w:val="24"/>
        </w:rPr>
        <w:t>17</w:t>
      </w:r>
      <w:r>
        <w:rPr>
          <w:sz w:val="24"/>
        </w:rPr>
        <w:t>(9), 410.</w:t>
      </w:r>
    </w:p>
    <w:p>
      <w:pPr>
        <w:pStyle w:val="BodyText"/>
        <w:spacing w:before="35"/>
      </w:pPr>
    </w:p>
    <w:p>
      <w:pPr>
        <w:spacing w:before="0"/>
        <w:ind w:left="1830" w:right="2550" w:hanging="735"/>
        <w:jc w:val="left"/>
        <w:rPr>
          <w:sz w:val="24"/>
        </w:rPr>
      </w:pPr>
      <w:r>
        <w:rPr>
          <w:sz w:val="24"/>
        </w:rPr>
        <w:t>Pedersen,</w:t>
      </w:r>
      <w:r>
        <w:rPr>
          <w:spacing w:val="-4"/>
          <w:sz w:val="24"/>
        </w:rPr>
        <w:t> </w:t>
      </w:r>
      <w:r>
        <w:rPr>
          <w:sz w:val="24"/>
        </w:rPr>
        <w:t>L.</w:t>
      </w:r>
      <w:r>
        <w:rPr>
          <w:spacing w:val="-4"/>
          <w:sz w:val="24"/>
        </w:rPr>
        <w:t> </w:t>
      </w:r>
      <w:r>
        <w:rPr>
          <w:sz w:val="24"/>
        </w:rPr>
        <w:t>H.</w:t>
      </w:r>
      <w:r>
        <w:rPr>
          <w:spacing w:val="-4"/>
          <w:sz w:val="24"/>
        </w:rPr>
        <w:t> </w:t>
      </w:r>
      <w:r>
        <w:rPr>
          <w:sz w:val="24"/>
        </w:rPr>
        <w:t>(2022).</w:t>
      </w:r>
      <w:r>
        <w:rPr>
          <w:spacing w:val="-4"/>
          <w:sz w:val="24"/>
        </w:rPr>
        <w:t> </w:t>
      </w:r>
      <w:r>
        <w:rPr>
          <w:sz w:val="24"/>
        </w:rPr>
        <w:t>Game</w:t>
      </w:r>
      <w:r>
        <w:rPr>
          <w:spacing w:val="-4"/>
          <w:sz w:val="24"/>
        </w:rPr>
        <w:t> </w:t>
      </w:r>
      <w:r>
        <w:rPr>
          <w:sz w:val="24"/>
        </w:rPr>
        <w:t>on:</w:t>
      </w:r>
      <w:r>
        <w:rPr>
          <w:spacing w:val="-4"/>
          <w:sz w:val="24"/>
        </w:rPr>
        <w:t> </w:t>
      </w:r>
      <w:r>
        <w:rPr>
          <w:sz w:val="24"/>
        </w:rPr>
        <w:t>Social</w:t>
      </w:r>
      <w:r>
        <w:rPr>
          <w:spacing w:val="-4"/>
          <w:sz w:val="24"/>
        </w:rPr>
        <w:t> </w:t>
      </w:r>
      <w:r>
        <w:rPr>
          <w:sz w:val="24"/>
        </w:rPr>
        <w:t>networks</w:t>
      </w:r>
      <w:r>
        <w:rPr>
          <w:spacing w:val="-4"/>
          <w:sz w:val="24"/>
        </w:rPr>
        <w:t> </w:t>
      </w:r>
      <w:r>
        <w:rPr>
          <w:sz w:val="24"/>
        </w:rPr>
        <w:t>and</w:t>
      </w:r>
      <w:r>
        <w:rPr>
          <w:spacing w:val="-4"/>
          <w:sz w:val="24"/>
        </w:rPr>
        <w:t> </w:t>
      </w:r>
      <w:r>
        <w:rPr>
          <w:sz w:val="24"/>
        </w:rPr>
        <w:t>markets.</w:t>
      </w:r>
      <w:r>
        <w:rPr>
          <w:spacing w:val="-4"/>
          <w:sz w:val="24"/>
        </w:rPr>
        <w:t> </w:t>
      </w:r>
      <w:r>
        <w:rPr>
          <w:i/>
          <w:sz w:val="24"/>
        </w:rPr>
        <w:t>Journal</w:t>
      </w:r>
      <w:r>
        <w:rPr>
          <w:i/>
          <w:spacing w:val="-4"/>
          <w:sz w:val="24"/>
        </w:rPr>
        <w:t> </w:t>
      </w:r>
      <w:r>
        <w:rPr>
          <w:i/>
          <w:sz w:val="24"/>
        </w:rPr>
        <w:t>of</w:t>
      </w:r>
      <w:r>
        <w:rPr>
          <w:i/>
          <w:sz w:val="24"/>
        </w:rPr>
        <w:t> Financial Economics</w:t>
      </w:r>
      <w:r>
        <w:rPr>
          <w:sz w:val="24"/>
        </w:rPr>
        <w:t>, </w:t>
      </w:r>
      <w:r>
        <w:rPr>
          <w:i/>
          <w:sz w:val="24"/>
        </w:rPr>
        <w:t>146</w:t>
      </w:r>
      <w:r>
        <w:rPr>
          <w:sz w:val="24"/>
        </w:rPr>
        <w:t>(3),</w:t>
      </w:r>
      <w:r>
        <w:rPr>
          <w:spacing w:val="40"/>
          <w:sz w:val="24"/>
        </w:rPr>
        <w:t> </w:t>
      </w:r>
      <w:r>
        <w:rPr>
          <w:sz w:val="24"/>
        </w:rPr>
        <w:t>1097-1119.</w:t>
      </w:r>
    </w:p>
    <w:p>
      <w:pPr>
        <w:pStyle w:val="BodyText"/>
        <w:spacing w:before="31"/>
      </w:pPr>
    </w:p>
    <w:p>
      <w:pPr>
        <w:spacing w:before="0"/>
        <w:ind w:left="1800" w:right="3662" w:hanging="705"/>
        <w:jc w:val="left"/>
        <w:rPr>
          <w:sz w:val="24"/>
        </w:rPr>
      </w:pPr>
      <w:r>
        <w:rPr>
          <w:sz w:val="24"/>
        </w:rPr>
        <w:t>Stanovich,</w:t>
      </w:r>
      <w:r>
        <w:rPr>
          <w:spacing w:val="-8"/>
          <w:sz w:val="24"/>
        </w:rPr>
        <w:t> </w:t>
      </w:r>
      <w:r>
        <w:rPr>
          <w:sz w:val="24"/>
        </w:rPr>
        <w:t>K.</w:t>
      </w:r>
      <w:r>
        <w:rPr>
          <w:spacing w:val="-8"/>
          <w:sz w:val="24"/>
        </w:rPr>
        <w:t> </w:t>
      </w:r>
      <w:r>
        <w:rPr>
          <w:sz w:val="24"/>
        </w:rPr>
        <w:t>E.,</w:t>
      </w:r>
      <w:r>
        <w:rPr>
          <w:spacing w:val="-8"/>
          <w:sz w:val="24"/>
        </w:rPr>
        <w:t> </w:t>
      </w:r>
      <w:r>
        <w:rPr>
          <w:sz w:val="24"/>
        </w:rPr>
        <w:t>&amp;</w:t>
      </w:r>
      <w:r>
        <w:rPr>
          <w:spacing w:val="-8"/>
          <w:sz w:val="24"/>
        </w:rPr>
        <w:t> </w:t>
      </w:r>
      <w:r>
        <w:rPr>
          <w:sz w:val="24"/>
        </w:rPr>
        <w:t>West,</w:t>
      </w:r>
      <w:r>
        <w:rPr>
          <w:spacing w:val="-8"/>
          <w:sz w:val="24"/>
        </w:rPr>
        <w:t> </w:t>
      </w:r>
      <w:r>
        <w:rPr>
          <w:sz w:val="24"/>
        </w:rPr>
        <w:t>R.</w:t>
      </w:r>
      <w:r>
        <w:rPr>
          <w:spacing w:val="-8"/>
          <w:sz w:val="24"/>
        </w:rPr>
        <w:t> </w:t>
      </w:r>
      <w:r>
        <w:rPr>
          <w:sz w:val="24"/>
        </w:rPr>
        <w:t>F.</w:t>
      </w:r>
      <w:r>
        <w:rPr>
          <w:spacing w:val="-8"/>
          <w:sz w:val="24"/>
        </w:rPr>
        <w:t> </w:t>
      </w:r>
      <w:r>
        <w:rPr>
          <w:sz w:val="24"/>
        </w:rPr>
        <w:t>(2000).</w:t>
      </w:r>
      <w:r>
        <w:rPr>
          <w:spacing w:val="-8"/>
          <w:sz w:val="24"/>
        </w:rPr>
        <w:t> </w:t>
      </w:r>
      <w:r>
        <w:rPr>
          <w:sz w:val="24"/>
        </w:rPr>
        <w:t>Advancing</w:t>
      </w:r>
      <w:r>
        <w:rPr>
          <w:spacing w:val="-8"/>
          <w:sz w:val="24"/>
        </w:rPr>
        <w:t> </w:t>
      </w:r>
      <w:r>
        <w:rPr>
          <w:sz w:val="24"/>
        </w:rPr>
        <w:t>the</w:t>
      </w:r>
      <w:r>
        <w:rPr>
          <w:spacing w:val="-8"/>
          <w:sz w:val="24"/>
        </w:rPr>
        <w:t> </w:t>
      </w:r>
      <w:r>
        <w:rPr>
          <w:sz w:val="24"/>
        </w:rPr>
        <w:t>rationality debate. </w:t>
      </w:r>
      <w:r>
        <w:rPr>
          <w:i/>
          <w:sz w:val="24"/>
        </w:rPr>
        <w:t>Behavioral and brain</w:t>
      </w:r>
      <w:r>
        <w:rPr>
          <w:i/>
          <w:spacing w:val="40"/>
          <w:sz w:val="24"/>
        </w:rPr>
        <w:t> </w:t>
      </w:r>
      <w:r>
        <w:rPr>
          <w:i/>
          <w:sz w:val="24"/>
        </w:rPr>
        <w:t>sciences</w:t>
      </w:r>
      <w:r>
        <w:rPr>
          <w:sz w:val="24"/>
        </w:rPr>
        <w:t>, </w:t>
      </w:r>
      <w:r>
        <w:rPr>
          <w:i/>
          <w:sz w:val="24"/>
        </w:rPr>
        <w:t>23</w:t>
      </w:r>
      <w:r>
        <w:rPr>
          <w:sz w:val="24"/>
        </w:rPr>
        <w:t>(5), 701-717.</w:t>
      </w:r>
    </w:p>
    <w:p>
      <w:pPr>
        <w:pStyle w:val="BodyText"/>
        <w:spacing w:before="30"/>
      </w:pPr>
    </w:p>
    <w:p>
      <w:pPr>
        <w:pStyle w:val="BodyText"/>
        <w:ind w:left="1800" w:right="3579" w:hanging="705"/>
      </w:pPr>
      <w:r>
        <w:rPr/>
        <w:t>Tversky, A., &amp; Kahneman, D. (1974). Judgment under Uncertainty: Heuristics and Biases: Biases in</w:t>
      </w:r>
      <w:r>
        <w:rPr>
          <w:spacing w:val="40"/>
        </w:rPr>
        <w:t> </w:t>
      </w:r>
      <w:r>
        <w:rPr/>
        <w:t>judgments reveal some heuristics of thinking under uncertainty. </w:t>
      </w:r>
      <w:r>
        <w:rPr>
          <w:i/>
        </w:rPr>
        <w:t>science</w:t>
      </w:r>
      <w:r>
        <w:rPr/>
        <w:t>, </w:t>
      </w:r>
      <w:r>
        <w:rPr>
          <w:i/>
        </w:rPr>
        <w:t>185</w:t>
      </w:r>
      <w:r>
        <w:rPr/>
        <w:t>(4157), 1124-1131. Warkulat, S., &amp; Pelster, M. (2024). Social media attention and retail investor behavior: Evidence from r/wallstreetbets.</w:t>
      </w:r>
      <w:r>
        <w:rPr>
          <w:spacing w:val="-7"/>
        </w:rPr>
        <w:t> </w:t>
      </w:r>
      <w:r>
        <w:rPr>
          <w:i/>
        </w:rPr>
        <w:t>International</w:t>
      </w:r>
      <w:r>
        <w:rPr>
          <w:i/>
          <w:spacing w:val="-7"/>
        </w:rPr>
        <w:t> </w:t>
      </w:r>
      <w:r>
        <w:rPr>
          <w:i/>
        </w:rPr>
        <w:t>Review</w:t>
      </w:r>
      <w:r>
        <w:rPr>
          <w:i/>
          <w:spacing w:val="-7"/>
        </w:rPr>
        <w:t> </w:t>
      </w:r>
      <w:r>
        <w:rPr>
          <w:i/>
        </w:rPr>
        <w:t>of</w:t>
      </w:r>
      <w:r>
        <w:rPr>
          <w:i/>
          <w:spacing w:val="-7"/>
        </w:rPr>
        <w:t> </w:t>
      </w:r>
      <w:r>
        <w:rPr>
          <w:i/>
        </w:rPr>
        <w:t>Financial</w:t>
      </w:r>
      <w:r>
        <w:rPr>
          <w:i/>
          <w:spacing w:val="-7"/>
        </w:rPr>
        <w:t> </w:t>
      </w:r>
      <w:r>
        <w:rPr>
          <w:i/>
        </w:rPr>
        <w:t>Analysis</w:t>
      </w:r>
      <w:r>
        <w:rPr/>
        <w:t>,</w:t>
      </w:r>
      <w:r>
        <w:rPr>
          <w:spacing w:val="-7"/>
        </w:rPr>
        <w:t> </w:t>
      </w:r>
      <w:r>
        <w:rPr>
          <w:i/>
        </w:rPr>
        <w:t>96</w:t>
      </w:r>
      <w:r>
        <w:rPr/>
        <w:t>, </w:t>
      </w:r>
      <w:r>
        <w:rPr>
          <w:spacing w:val="-2"/>
        </w:rPr>
        <w:t>103721.</w:t>
      </w:r>
    </w:p>
    <w:p>
      <w:pPr>
        <w:pStyle w:val="BodyText"/>
        <w:spacing w:after="0"/>
        <w:sectPr>
          <w:pgSz w:w="12240" w:h="15840"/>
          <w:pgMar w:header="0" w:footer="750" w:top="640" w:bottom="960" w:left="720" w:right="0"/>
        </w:sectPr>
      </w:pPr>
    </w:p>
    <w:p>
      <w:pPr>
        <w:pStyle w:val="Heading3"/>
        <w:spacing w:line="206" w:lineRule="auto" w:before="108"/>
        <w:ind w:left="2749" w:hanging="1584"/>
        <w:jc w:val="left"/>
      </w:pPr>
      <w:bookmarkStart w:name="Beyond Compliance: Overcoming Resistance" w:id="107"/>
      <w:bookmarkEnd w:id="107"/>
      <w:r>
        <w:rPr>
          <w:b w:val="0"/>
        </w:rPr>
      </w:r>
      <w:bookmarkStart w:name="h.d98xnqe3iwg6" w:id="108"/>
      <w:bookmarkEnd w:id="108"/>
      <w:r>
        <w:rPr>
          <w:b w:val="0"/>
        </w:rPr>
      </w:r>
      <w:r>
        <w:rPr/>
        <w:t>Beyond</w:t>
      </w:r>
      <w:r>
        <w:rPr>
          <w:spacing w:val="-10"/>
        </w:rPr>
        <w:t> </w:t>
      </w:r>
      <w:r>
        <w:rPr/>
        <w:t>Compliance:</w:t>
      </w:r>
      <w:r>
        <w:rPr>
          <w:spacing w:val="-10"/>
        </w:rPr>
        <w:t> </w:t>
      </w:r>
      <w:r>
        <w:rPr/>
        <w:t>Overcoming</w:t>
      </w:r>
      <w:r>
        <w:rPr>
          <w:spacing w:val="-10"/>
        </w:rPr>
        <w:t> </w:t>
      </w:r>
      <w:r>
        <w:rPr/>
        <w:t>Resistance</w:t>
      </w:r>
      <w:r>
        <w:rPr>
          <w:spacing w:val="-10"/>
        </w:rPr>
        <w:t> </w:t>
      </w:r>
      <w:r>
        <w:rPr/>
        <w:t>in</w:t>
      </w:r>
      <w:r>
        <w:rPr>
          <w:spacing w:val="-10"/>
        </w:rPr>
        <w:t> </w:t>
      </w:r>
      <w:r>
        <w:rPr/>
        <w:t>Implementing Government</w:t>
      </w:r>
      <w:r>
        <w:rPr>
          <w:rFonts w:ascii="Segoe UI Symbol" w:hAnsi="Segoe UI Symbol"/>
          <w:b w:val="0"/>
        </w:rPr>
        <w:t>‑</w:t>
      </w:r>
      <w:r>
        <w:rPr/>
        <w:t>Mandated Technology</w:t>
      </w:r>
    </w:p>
    <w:p>
      <w:pPr>
        <w:pStyle w:val="BodyText"/>
        <w:spacing w:line="199" w:lineRule="auto" w:before="288"/>
        <w:ind w:left="4133" w:right="4296" w:hanging="222"/>
      </w:pPr>
      <w:r>
        <w:rPr/>
        <w:t>T.</w:t>
      </w:r>
      <w:r>
        <w:rPr>
          <w:spacing w:val="-11"/>
        </w:rPr>
        <w:t> </w:t>
      </w:r>
      <w:r>
        <w:rPr/>
        <w:t>Janel</w:t>
      </w:r>
      <w:r>
        <w:rPr>
          <w:spacing w:val="-11"/>
        </w:rPr>
        <w:t> </w:t>
      </w:r>
      <w:r>
        <w:rPr/>
        <w:t>M.</w:t>
      </w:r>
      <w:r>
        <w:rPr>
          <w:spacing w:val="-11"/>
        </w:rPr>
        <w:t> </w:t>
      </w:r>
      <w:r>
        <w:rPr/>
        <w:t>Paulk,</w:t>
      </w:r>
      <w:r>
        <w:rPr>
          <w:spacing w:val="-11"/>
        </w:rPr>
        <w:t> </w:t>
      </w:r>
      <w:r>
        <w:rPr/>
        <w:t>DBA,</w:t>
      </w:r>
      <w:r>
        <w:rPr>
          <w:spacing w:val="-11"/>
        </w:rPr>
        <w:t> </w:t>
      </w:r>
      <w:r>
        <w:rPr/>
        <w:t>MBA Department of Computing</w:t>
      </w:r>
    </w:p>
    <w:p>
      <w:pPr>
        <w:pStyle w:val="BodyText"/>
        <w:spacing w:line="199" w:lineRule="auto" w:before="2"/>
        <w:ind w:left="3512" w:right="4230"/>
        <w:jc w:val="center"/>
      </w:pPr>
      <w:r>
        <w:rPr/>
        <w:t>College</w:t>
      </w:r>
      <w:r>
        <w:rPr>
          <w:spacing w:val="-14"/>
        </w:rPr>
        <w:t> </w:t>
      </w:r>
      <w:r>
        <w:rPr/>
        <w:t>of</w:t>
      </w:r>
      <w:r>
        <w:rPr>
          <w:spacing w:val="-14"/>
        </w:rPr>
        <w:t> </w:t>
      </w:r>
      <w:r>
        <w:rPr/>
        <w:t>Business</w:t>
      </w:r>
      <w:r>
        <w:rPr>
          <w:spacing w:val="-14"/>
        </w:rPr>
        <w:t> </w:t>
      </w:r>
      <w:r>
        <w:rPr/>
        <w:t>and</w:t>
      </w:r>
      <w:r>
        <w:rPr>
          <w:spacing w:val="-14"/>
        </w:rPr>
        <w:t> </w:t>
      </w:r>
      <w:r>
        <w:rPr/>
        <w:t>Technology East Tennessee State University</w:t>
      </w:r>
    </w:p>
    <w:p>
      <w:pPr>
        <w:pStyle w:val="BodyText"/>
        <w:spacing w:line="217" w:lineRule="exact"/>
        <w:ind w:right="719"/>
        <w:jc w:val="center"/>
      </w:pPr>
      <w:r>
        <w:rPr/>
        <w:t>PO Box </w:t>
      </w:r>
      <w:r>
        <w:rPr>
          <w:spacing w:val="-2"/>
        </w:rPr>
        <w:t>70711</w:t>
      </w:r>
    </w:p>
    <w:p>
      <w:pPr>
        <w:pStyle w:val="BodyText"/>
        <w:spacing w:line="199" w:lineRule="auto" w:before="15"/>
        <w:ind w:left="3947" w:right="4665"/>
        <w:jc w:val="center"/>
      </w:pPr>
      <w:r>
        <w:rPr/>
        <w:t>Johnson</w:t>
      </w:r>
      <w:r>
        <w:rPr>
          <w:spacing w:val="-15"/>
        </w:rPr>
        <w:t> </w:t>
      </w:r>
      <w:r>
        <w:rPr/>
        <w:t>City,</w:t>
      </w:r>
      <w:r>
        <w:rPr>
          <w:spacing w:val="-15"/>
        </w:rPr>
        <w:t> </w:t>
      </w:r>
      <w:r>
        <w:rPr/>
        <w:t>TN</w:t>
      </w:r>
      <w:r>
        <w:rPr>
          <w:spacing w:val="-15"/>
        </w:rPr>
        <w:t> </w:t>
      </w:r>
      <w:r>
        <w:rPr/>
        <w:t>37614-</w:t>
      </w:r>
      <w:r>
        <w:rPr/>
        <w:t>1710 </w:t>
      </w:r>
      <w:hyperlink r:id="rId234">
        <w:r>
          <w:rPr>
            <w:spacing w:val="-2"/>
          </w:rPr>
          <w:t>paulktj@etsu.edu</w:t>
        </w:r>
      </w:hyperlink>
    </w:p>
    <w:p>
      <w:pPr>
        <w:pStyle w:val="BodyText"/>
        <w:spacing w:line="239" w:lineRule="exact"/>
        <w:ind w:right="719"/>
        <w:jc w:val="center"/>
      </w:pPr>
      <w:r>
        <w:rPr/>
        <w:t>423-439-5494 (Contact </w:t>
      </w:r>
      <w:r>
        <w:rPr>
          <w:spacing w:val="-2"/>
        </w:rPr>
        <w:t>Author)</w:t>
      </w:r>
    </w:p>
    <w:p>
      <w:pPr>
        <w:pStyle w:val="BodyText"/>
        <w:spacing w:before="267"/>
        <w:ind w:left="720" w:right="1619"/>
      </w:pPr>
      <w:r>
        <w:rPr/>
        <w:t>Keywords:</w:t>
      </w:r>
      <w:r>
        <w:rPr>
          <w:spacing w:val="-15"/>
        </w:rPr>
        <w:t> </w:t>
      </w:r>
      <w:r>
        <w:rPr/>
        <w:t>Government</w:t>
      </w:r>
      <w:r>
        <w:rPr>
          <w:spacing w:val="-15"/>
        </w:rPr>
        <w:t> </w:t>
      </w:r>
      <w:r>
        <w:rPr/>
        <w:t>Mandated</w:t>
      </w:r>
      <w:r>
        <w:rPr>
          <w:spacing w:val="-15"/>
        </w:rPr>
        <w:t> </w:t>
      </w:r>
      <w:r>
        <w:rPr/>
        <w:t>Technology,</w:t>
      </w:r>
      <w:r>
        <w:rPr>
          <w:spacing w:val="-15"/>
        </w:rPr>
        <w:t> </w:t>
      </w:r>
      <w:r>
        <w:rPr/>
        <w:t>Technology</w:t>
      </w:r>
      <w:r>
        <w:rPr>
          <w:spacing w:val="-15"/>
        </w:rPr>
        <w:t> </w:t>
      </w:r>
      <w:r>
        <w:rPr/>
        <w:t>Implementation,</w:t>
      </w:r>
      <w:r>
        <w:rPr>
          <w:spacing w:val="-15"/>
        </w:rPr>
        <w:t> </w:t>
      </w:r>
      <w:r>
        <w:rPr/>
        <w:t>End-</w:t>
      </w:r>
      <w:r>
        <w:rPr/>
        <w:t>User </w:t>
      </w:r>
      <w:r>
        <w:rPr>
          <w:spacing w:val="-2"/>
        </w:rPr>
        <w:t>Resistance</w:t>
      </w:r>
    </w:p>
    <w:p>
      <w:pPr>
        <w:pStyle w:val="BodyText"/>
      </w:pPr>
    </w:p>
    <w:p>
      <w:pPr>
        <w:pStyle w:val="Heading4"/>
        <w:ind w:left="352"/>
      </w:pPr>
      <w:r>
        <w:rPr>
          <w:spacing w:val="-2"/>
        </w:rPr>
        <w:t>Introduction</w:t>
      </w:r>
    </w:p>
    <w:p>
      <w:pPr>
        <w:pStyle w:val="BodyText"/>
        <w:spacing w:line="230" w:lineRule="auto" w:before="116"/>
        <w:ind w:left="367" w:right="1018"/>
        <w:jc w:val="both"/>
      </w:pPr>
      <w:r>
        <w:rPr/>
        <w:t>Organizations implementing government mandated technology (GMT) often encounter significant challenges extending beyond technical</w:t>
      </w:r>
      <w:r>
        <w:rPr>
          <w:spacing w:val="-5"/>
        </w:rPr>
        <w:t> </w:t>
      </w:r>
      <w:r>
        <w:rPr/>
        <w:t>deployment.</w:t>
      </w:r>
      <w:r>
        <w:rPr>
          <w:spacing w:val="-5"/>
        </w:rPr>
        <w:t> </w:t>
      </w:r>
      <w:r>
        <w:rPr/>
        <w:t>Despite</w:t>
      </w:r>
      <w:r>
        <w:rPr>
          <w:spacing w:val="-5"/>
        </w:rPr>
        <w:t> </w:t>
      </w:r>
      <w:r>
        <w:rPr/>
        <w:t>regulatory</w:t>
      </w:r>
      <w:r>
        <w:rPr>
          <w:spacing w:val="-5"/>
        </w:rPr>
        <w:t> </w:t>
      </w:r>
      <w:r>
        <w:rPr/>
        <w:t>pressure</w:t>
      </w:r>
      <w:r>
        <w:rPr>
          <w:spacing w:val="-5"/>
        </w:rPr>
        <w:t> </w:t>
      </w:r>
      <w:r>
        <w:rPr/>
        <w:t>to</w:t>
      </w:r>
      <w:r>
        <w:rPr>
          <w:spacing w:val="-5"/>
        </w:rPr>
        <w:t> </w:t>
      </w:r>
      <w:r>
        <w:rPr/>
        <w:t>comply,</w:t>
      </w:r>
      <w:r>
        <w:rPr>
          <w:spacing w:val="-5"/>
        </w:rPr>
        <w:t> </w:t>
      </w:r>
      <w:r>
        <w:rPr/>
        <w:t>organizations frequently struggle with end-user resistance (Miller, 2021). They are faced with balancing the management of workforce concerns and achieving meaningful system adoption over mere technical installation. Implementation challenges are compounded when mandates impose specific technological solutions without consideration for end-user resistance or workforce dynamics.</w:t>
      </w:r>
    </w:p>
    <w:p>
      <w:pPr>
        <w:pStyle w:val="BodyText"/>
        <w:spacing w:line="230" w:lineRule="auto" w:before="122"/>
        <w:ind w:left="367" w:right="1020"/>
        <w:jc w:val="both"/>
      </w:pPr>
      <w:r>
        <w:rPr/>
        <w:t>GMT implementation has been studied primarily from compliance and policy</w:t>
      </w:r>
      <w:r>
        <w:rPr>
          <w:spacing w:val="-3"/>
        </w:rPr>
        <w:t> </w:t>
      </w:r>
      <w:r>
        <w:rPr/>
        <w:t>perspectives,</w:t>
      </w:r>
      <w:r>
        <w:rPr>
          <w:spacing w:val="-3"/>
        </w:rPr>
        <w:t> </w:t>
      </w:r>
      <w:r>
        <w:rPr/>
        <w:t>with</w:t>
      </w:r>
      <w:r>
        <w:rPr>
          <w:spacing w:val="-3"/>
        </w:rPr>
        <w:t> </w:t>
      </w:r>
      <w:r>
        <w:rPr/>
        <w:t>limited empirical research examining how organizations successfully navigate end-user resistance to mandated implementation. This study focuses on mandates imposed by external governmental agencies upon organizations forced to comply or risk breaking laws, breaching governmental contracts, and facing financial penalties (Carugati, Fernandez, Mola, &amp; Rossignoli, 2018). Due to increasing GMT requirements across regulated industries, implementation strategies must be grounded in empirical evidence of</w:t>
      </w:r>
      <w:r>
        <w:rPr>
          <w:spacing w:val="40"/>
        </w:rPr>
        <w:t> </w:t>
      </w:r>
      <w:r>
        <w:rPr/>
        <w:t>organizational success rather than compliance-driven approaches alone. Motivated by the lack of studies</w:t>
      </w:r>
      <w:r>
        <w:rPr>
          <w:spacing w:val="80"/>
        </w:rPr>
        <w:t> </w:t>
      </w:r>
      <w:r>
        <w:rPr/>
        <w:t>explaining how organizations effectively overcome GMT implementation barriers in</w:t>
      </w:r>
      <w:r>
        <w:rPr>
          <w:spacing w:val="40"/>
        </w:rPr>
        <w:t> </w:t>
      </w:r>
      <w:r>
        <w:rPr/>
        <w:t>end-user resistance,</w:t>
      </w:r>
      <w:r>
        <w:rPr>
          <w:spacing w:val="40"/>
        </w:rPr>
        <w:t> </w:t>
      </w:r>
      <w:r>
        <w:rPr/>
        <w:t>this research investigates a Human Health Services organization (HHS Inc.) that achieved high utilization</w:t>
      </w:r>
      <w:r>
        <w:rPr>
          <w:spacing w:val="40"/>
        </w:rPr>
        <w:t> </w:t>
      </w:r>
      <w:r>
        <w:rPr/>
        <w:t>rates despite initial end-user resistance. We address: How did an organization overcome end-user</w:t>
      </w:r>
      <w:r>
        <w:rPr>
          <w:spacing w:val="40"/>
        </w:rPr>
        <w:t> </w:t>
      </w:r>
      <w:r>
        <w:rPr/>
        <w:t>resistance to implement GMT?</w:t>
      </w:r>
    </w:p>
    <w:p>
      <w:pPr>
        <w:pStyle w:val="BodyText"/>
        <w:spacing w:line="230" w:lineRule="auto" w:before="121"/>
        <w:ind w:left="352" w:right="954" w:firstLine="15"/>
      </w:pPr>
      <w:r>
        <w:rPr/>
        <w:t>This</w:t>
      </w:r>
      <w:r>
        <w:rPr>
          <w:spacing w:val="-4"/>
        </w:rPr>
        <w:t> </w:t>
      </w:r>
      <w:r>
        <w:rPr/>
        <w:t>retrospective</w:t>
      </w:r>
      <w:r>
        <w:rPr>
          <w:spacing w:val="-4"/>
        </w:rPr>
        <w:t> </w:t>
      </w:r>
      <w:r>
        <w:rPr/>
        <w:t>case</w:t>
      </w:r>
      <w:r>
        <w:rPr>
          <w:spacing w:val="-4"/>
        </w:rPr>
        <w:t> </w:t>
      </w:r>
      <w:r>
        <w:rPr/>
        <w:t>study</w:t>
      </w:r>
      <w:r>
        <w:rPr>
          <w:spacing w:val="-4"/>
        </w:rPr>
        <w:t> </w:t>
      </w:r>
      <w:r>
        <w:rPr/>
        <w:t>(Yin,</w:t>
      </w:r>
      <w:r>
        <w:rPr>
          <w:spacing w:val="-4"/>
        </w:rPr>
        <w:t> </w:t>
      </w:r>
      <w:r>
        <w:rPr/>
        <w:t>2018)</w:t>
      </w:r>
      <w:r>
        <w:rPr>
          <w:spacing w:val="-4"/>
        </w:rPr>
        <w:t> </w:t>
      </w:r>
      <w:r>
        <w:rPr/>
        <w:t>examined</w:t>
      </w:r>
      <w:r>
        <w:rPr>
          <w:spacing w:val="-4"/>
        </w:rPr>
        <w:t> </w:t>
      </w:r>
      <w:r>
        <w:rPr/>
        <w:t>HHS</w:t>
      </w:r>
      <w:r>
        <w:rPr>
          <w:spacing w:val="-4"/>
        </w:rPr>
        <w:t> </w:t>
      </w:r>
      <w:r>
        <w:rPr/>
        <w:t>Inc.'s</w:t>
      </w:r>
      <w:r>
        <w:rPr>
          <w:spacing w:val="-4"/>
        </w:rPr>
        <w:t> </w:t>
      </w:r>
      <w:r>
        <w:rPr/>
        <w:t>GMT</w:t>
      </w:r>
      <w:r>
        <w:rPr>
          <w:spacing w:val="-4"/>
        </w:rPr>
        <w:t> </w:t>
      </w:r>
      <w:r>
        <w:rPr/>
        <w:t>implementation</w:t>
      </w:r>
      <w:r>
        <w:rPr>
          <w:spacing w:val="-4"/>
        </w:rPr>
        <w:t> </w:t>
      </w:r>
      <w:r>
        <w:rPr/>
        <w:t>across</w:t>
      </w:r>
      <w:r>
        <w:rPr>
          <w:spacing w:val="-4"/>
        </w:rPr>
        <w:t> </w:t>
      </w:r>
      <w:r>
        <w:rPr/>
        <w:t>three</w:t>
      </w:r>
      <w:r>
        <w:rPr>
          <w:spacing w:val="-4"/>
        </w:rPr>
        <w:t> </w:t>
      </w:r>
      <w:r>
        <w:rPr/>
        <w:t>states using</w:t>
      </w:r>
      <w:r>
        <w:rPr>
          <w:spacing w:val="-7"/>
        </w:rPr>
        <w:t> </w:t>
      </w:r>
      <w:r>
        <w:rPr/>
        <w:t>an</w:t>
      </w:r>
      <w:r>
        <w:rPr>
          <w:spacing w:val="-7"/>
        </w:rPr>
        <w:t> </w:t>
      </w:r>
      <w:r>
        <w:rPr/>
        <w:t>engaged</w:t>
      </w:r>
      <w:r>
        <w:rPr>
          <w:spacing w:val="-7"/>
        </w:rPr>
        <w:t> </w:t>
      </w:r>
      <w:r>
        <w:rPr/>
        <w:t>scholarship</w:t>
      </w:r>
      <w:r>
        <w:rPr>
          <w:spacing w:val="-7"/>
        </w:rPr>
        <w:t> </w:t>
      </w:r>
      <w:r>
        <w:rPr/>
        <w:t>approach</w:t>
      </w:r>
      <w:r>
        <w:rPr>
          <w:spacing w:val="-7"/>
        </w:rPr>
        <w:t> </w:t>
      </w:r>
      <w:r>
        <w:rPr/>
        <w:t>(Van</w:t>
      </w:r>
      <w:r>
        <w:rPr>
          <w:spacing w:val="-7"/>
        </w:rPr>
        <w:t> </w:t>
      </w:r>
      <w:r>
        <w:rPr/>
        <w:t>de</w:t>
      </w:r>
      <w:r>
        <w:rPr>
          <w:spacing w:val="-7"/>
        </w:rPr>
        <w:t> </w:t>
      </w:r>
      <w:r>
        <w:rPr/>
        <w:t>Ven,</w:t>
      </w:r>
      <w:r>
        <w:rPr>
          <w:spacing w:val="-7"/>
        </w:rPr>
        <w:t> </w:t>
      </w:r>
      <w:r>
        <w:rPr/>
        <w:t>2007).</w:t>
      </w:r>
      <w:r>
        <w:rPr>
          <w:spacing w:val="-7"/>
        </w:rPr>
        <w:t> </w:t>
      </w:r>
      <w:r>
        <w:rPr/>
        <w:t>The</w:t>
      </w:r>
      <w:r>
        <w:rPr>
          <w:spacing w:val="-7"/>
        </w:rPr>
        <w:t> </w:t>
      </w:r>
      <w:r>
        <w:rPr/>
        <w:t>study</w:t>
      </w:r>
      <w:r>
        <w:rPr>
          <w:spacing w:val="-7"/>
        </w:rPr>
        <w:t> </w:t>
      </w:r>
      <w:r>
        <w:rPr/>
        <w:t>contributes</w:t>
      </w:r>
      <w:r>
        <w:rPr>
          <w:spacing w:val="-7"/>
        </w:rPr>
        <w:t> </w:t>
      </w:r>
      <w:r>
        <w:rPr/>
        <w:t>empirical</w:t>
      </w:r>
      <w:r>
        <w:rPr>
          <w:spacing w:val="-7"/>
        </w:rPr>
        <w:t> </w:t>
      </w:r>
      <w:r>
        <w:rPr/>
        <w:t>evidence</w:t>
      </w:r>
      <w:r>
        <w:rPr>
          <w:spacing w:val="-7"/>
        </w:rPr>
        <w:t> </w:t>
      </w:r>
      <w:r>
        <w:rPr/>
        <w:t>of effective implementation strategies, revealing how to overcome end-user resistance to mandated </w:t>
      </w:r>
      <w:r>
        <w:rPr>
          <w:spacing w:val="-2"/>
        </w:rPr>
        <w:t>technology.</w:t>
      </w:r>
    </w:p>
    <w:p>
      <w:pPr>
        <w:pStyle w:val="Heading4"/>
        <w:spacing w:before="244"/>
        <w:ind w:left="367"/>
      </w:pPr>
      <w:r>
        <w:rPr/>
        <w:t>Literature</w:t>
      </w:r>
      <w:r>
        <w:rPr>
          <w:spacing w:val="-5"/>
        </w:rPr>
        <w:t> </w:t>
      </w:r>
      <w:r>
        <w:rPr>
          <w:spacing w:val="-2"/>
        </w:rPr>
        <w:t>Review</w:t>
      </w:r>
    </w:p>
    <w:p>
      <w:pPr>
        <w:pStyle w:val="BodyText"/>
        <w:spacing w:line="230" w:lineRule="auto" w:before="236"/>
        <w:ind w:left="367" w:right="1020"/>
        <w:jc w:val="both"/>
      </w:pPr>
      <w:r>
        <w:rPr/>
        <w:t>Despite external mandates, organizations frequently encounter internal resistance that </w:t>
      </w:r>
      <w:r>
        <w:rPr/>
        <w:t>undermines implementation success. Employees may respond to mandated technology with non-compliance, avoidance behaviors, workarounds, or outright deviation from prescribed usage (Carugati et al., 2018). Technology</w:t>
      </w:r>
      <w:r>
        <w:rPr>
          <w:spacing w:val="-4"/>
        </w:rPr>
        <w:t> </w:t>
      </w:r>
      <w:r>
        <w:rPr/>
        <w:t>Frames</w:t>
      </w:r>
      <w:r>
        <w:rPr>
          <w:spacing w:val="-4"/>
        </w:rPr>
        <w:t> </w:t>
      </w:r>
      <w:r>
        <w:rPr/>
        <w:t>of</w:t>
      </w:r>
      <w:r>
        <w:rPr>
          <w:spacing w:val="-4"/>
        </w:rPr>
        <w:t> </w:t>
      </w:r>
      <w:r>
        <w:rPr/>
        <w:t>Reference</w:t>
      </w:r>
      <w:r>
        <w:rPr>
          <w:spacing w:val="-4"/>
        </w:rPr>
        <w:t> </w:t>
      </w:r>
      <w:r>
        <w:rPr/>
        <w:t>(TFR)</w:t>
      </w:r>
      <w:r>
        <w:rPr>
          <w:spacing w:val="-4"/>
        </w:rPr>
        <w:t> </w:t>
      </w:r>
      <w:r>
        <w:rPr/>
        <w:t>theory</w:t>
      </w:r>
      <w:r>
        <w:rPr>
          <w:spacing w:val="-4"/>
        </w:rPr>
        <w:t> </w:t>
      </w:r>
      <w:r>
        <w:rPr/>
        <w:t>provides</w:t>
      </w:r>
      <w:r>
        <w:rPr>
          <w:spacing w:val="-4"/>
        </w:rPr>
        <w:t> </w:t>
      </w:r>
      <w:r>
        <w:rPr/>
        <w:t>a</w:t>
      </w:r>
      <w:r>
        <w:rPr>
          <w:spacing w:val="-4"/>
        </w:rPr>
        <w:t> </w:t>
      </w:r>
      <w:r>
        <w:rPr/>
        <w:t>valuable</w:t>
      </w:r>
      <w:r>
        <w:rPr>
          <w:spacing w:val="-4"/>
        </w:rPr>
        <w:t> </w:t>
      </w:r>
      <w:r>
        <w:rPr/>
        <w:t>lens</w:t>
      </w:r>
      <w:r>
        <w:rPr>
          <w:spacing w:val="-4"/>
        </w:rPr>
        <w:t> </w:t>
      </w:r>
      <w:r>
        <w:rPr/>
        <w:t>for</w:t>
      </w:r>
      <w:r>
        <w:rPr>
          <w:spacing w:val="-4"/>
        </w:rPr>
        <w:t> </w:t>
      </w:r>
      <w:r>
        <w:rPr/>
        <w:t>understanding</w:t>
      </w:r>
      <w:r>
        <w:rPr>
          <w:spacing w:val="-4"/>
        </w:rPr>
        <w:t> </w:t>
      </w:r>
      <w:r>
        <w:rPr/>
        <w:t>this</w:t>
      </w:r>
      <w:r>
        <w:rPr>
          <w:spacing w:val="-4"/>
        </w:rPr>
        <w:t> </w:t>
      </w:r>
      <w:r>
        <w:rPr/>
        <w:t>resistance. Orlikowski and Gash (1994) proposed that organizational members develop shared interpretations of technology that shape their expectations, assumptions, and behaviors regarding new systems.</w:t>
      </w:r>
    </w:p>
    <w:p>
      <w:pPr>
        <w:pStyle w:val="BodyText"/>
        <w:spacing w:line="230" w:lineRule="auto" w:before="122"/>
        <w:ind w:left="352" w:right="1017" w:firstLine="15"/>
        <w:jc w:val="both"/>
      </w:pPr>
      <w:r>
        <w:rPr/>
        <w:t>Different stakeholder groups such as executives, IT staff, and end users, often hold incongruent </w:t>
      </w:r>
      <w:r>
        <w:rPr/>
        <w:t>TFRs based on their distinct roles, experiences, and concerns (Ghobadi &amp; Mathiassen, 2023). For GMT implementation, these incongruencies can be particularly pronounced such as management may frame mandated technology primarily as a compliance necessity, IT staff may focus on technical integration challenges, while end-users may</w:t>
      </w:r>
      <w:r>
        <w:rPr>
          <w:spacing w:val="-3"/>
        </w:rPr>
        <w:t> </w:t>
      </w:r>
      <w:r>
        <w:rPr/>
        <w:t>perceive</w:t>
      </w:r>
      <w:r>
        <w:rPr>
          <w:spacing w:val="-3"/>
        </w:rPr>
        <w:t> </w:t>
      </w:r>
      <w:r>
        <w:rPr/>
        <w:t>the</w:t>
      </w:r>
      <w:r>
        <w:rPr>
          <w:spacing w:val="-3"/>
        </w:rPr>
        <w:t> </w:t>
      </w:r>
      <w:r>
        <w:rPr/>
        <w:t>technology</w:t>
      </w:r>
      <w:r>
        <w:rPr>
          <w:spacing w:val="-3"/>
        </w:rPr>
        <w:t> </w:t>
      </w:r>
      <w:r>
        <w:rPr/>
        <w:t>as</w:t>
      </w:r>
      <w:r>
        <w:rPr>
          <w:spacing w:val="-3"/>
        </w:rPr>
        <w:t> </w:t>
      </w:r>
      <w:r>
        <w:rPr/>
        <w:t>a</w:t>
      </w:r>
      <w:r>
        <w:rPr>
          <w:spacing w:val="-3"/>
        </w:rPr>
        <w:t> </w:t>
      </w:r>
      <w:r>
        <w:rPr/>
        <w:t>surveillance</w:t>
      </w:r>
      <w:r>
        <w:rPr>
          <w:spacing w:val="-3"/>
        </w:rPr>
        <w:t> </w:t>
      </w:r>
      <w:r>
        <w:rPr/>
        <w:t>mechanism</w:t>
      </w:r>
      <w:r>
        <w:rPr>
          <w:spacing w:val="-3"/>
        </w:rPr>
        <w:t> </w:t>
      </w:r>
      <w:r>
        <w:rPr/>
        <w:t>or</w:t>
      </w:r>
      <w:r>
        <w:rPr>
          <w:spacing w:val="-3"/>
        </w:rPr>
        <w:t> </w:t>
      </w:r>
      <w:r>
        <w:rPr/>
        <w:t>as</w:t>
      </w:r>
      <w:r>
        <w:rPr>
          <w:spacing w:val="-3"/>
        </w:rPr>
        <w:t> </w:t>
      </w:r>
      <w:r>
        <w:rPr/>
        <w:t>an</w:t>
      </w:r>
      <w:r>
        <w:rPr>
          <w:spacing w:val="-3"/>
        </w:rPr>
        <w:t> </w:t>
      </w:r>
      <w:r>
        <w:rPr/>
        <w:t>additional administrative</w:t>
      </w:r>
      <w:r>
        <w:rPr>
          <w:spacing w:val="29"/>
        </w:rPr>
        <w:t> </w:t>
      </w:r>
      <w:r>
        <w:rPr/>
        <w:t>burden.</w:t>
      </w:r>
      <w:r>
        <w:rPr>
          <w:spacing w:val="29"/>
        </w:rPr>
        <w:t> </w:t>
      </w:r>
      <w:r>
        <w:rPr/>
        <w:t>When</w:t>
      </w:r>
      <w:r>
        <w:rPr>
          <w:spacing w:val="30"/>
        </w:rPr>
        <w:t> </w:t>
      </w:r>
      <w:r>
        <w:rPr/>
        <w:t>these</w:t>
      </w:r>
      <w:r>
        <w:rPr>
          <w:spacing w:val="14"/>
        </w:rPr>
        <w:t> </w:t>
      </w:r>
      <w:r>
        <w:rPr/>
        <w:t>frames</w:t>
      </w:r>
      <w:r>
        <w:rPr>
          <w:spacing w:val="15"/>
        </w:rPr>
        <w:t> </w:t>
      </w:r>
      <w:r>
        <w:rPr/>
        <w:t>are</w:t>
      </w:r>
      <w:r>
        <w:rPr>
          <w:spacing w:val="14"/>
        </w:rPr>
        <w:t> </w:t>
      </w:r>
      <w:r>
        <w:rPr/>
        <w:t>misaligned,</w:t>
      </w:r>
      <w:r>
        <w:rPr>
          <w:spacing w:val="15"/>
        </w:rPr>
        <w:t> </w:t>
      </w:r>
      <w:r>
        <w:rPr/>
        <w:t>organizations</w:t>
      </w:r>
      <w:r>
        <w:rPr>
          <w:spacing w:val="14"/>
        </w:rPr>
        <w:t> </w:t>
      </w:r>
      <w:r>
        <w:rPr/>
        <w:t>experience</w:t>
      </w:r>
      <w:r>
        <w:rPr>
          <w:spacing w:val="15"/>
        </w:rPr>
        <w:t> </w:t>
      </w:r>
      <w:r>
        <w:rPr/>
        <w:t>problems</w:t>
      </w:r>
      <w:r>
        <w:rPr>
          <w:spacing w:val="15"/>
        </w:rPr>
        <w:t> </w:t>
      </w:r>
      <w:r>
        <w:rPr>
          <w:spacing w:val="-2"/>
        </w:rPr>
        <w:t>including</w:t>
      </w:r>
    </w:p>
    <w:p>
      <w:pPr>
        <w:pStyle w:val="BodyText"/>
        <w:spacing w:after="0" w:line="230" w:lineRule="auto"/>
        <w:jc w:val="both"/>
        <w:sectPr>
          <w:pgSz w:w="12240" w:h="15840"/>
          <w:pgMar w:header="0" w:footer="750" w:top="620" w:bottom="940" w:left="720" w:right="0"/>
        </w:sectPr>
      </w:pPr>
    </w:p>
    <w:p>
      <w:pPr>
        <w:pStyle w:val="BodyText"/>
        <w:spacing w:line="230" w:lineRule="auto" w:before="80"/>
        <w:ind w:left="352" w:right="1024"/>
        <w:jc w:val="both"/>
      </w:pPr>
      <w:r>
        <w:rPr/>
        <w:t>contradictory actions, resource misappropriation, skepticism, and sustained resistance (Orlikowski </w:t>
      </w:r>
      <w:r>
        <w:rPr/>
        <w:t>&amp; Gash, 1994; Young, Mathiassen, &amp; Davidson, 2016). While existing literature provides valuable theoretical foundations, significant gaps remain in understanding GMT implementation at the organizational level. Most studies examine mandated adoption at the industry or network level,</w:t>
      </w:r>
      <w:r>
        <w:rPr>
          <w:spacing w:val="-3"/>
        </w:rPr>
        <w:t> </w:t>
      </w:r>
      <w:r>
        <w:rPr/>
        <w:t>offering limited guidance for individual organizations navigating specific implementation challenges. This study addresses the gap by investigating</w:t>
      </w:r>
      <w:r>
        <w:rPr>
          <w:spacing w:val="-3"/>
        </w:rPr>
        <w:t> </w:t>
      </w:r>
      <w:r>
        <w:rPr/>
        <w:t>how</w:t>
      </w:r>
      <w:r>
        <w:rPr>
          <w:spacing w:val="-3"/>
        </w:rPr>
        <w:t> </w:t>
      </w:r>
      <w:r>
        <w:rPr/>
        <w:t>one</w:t>
      </w:r>
      <w:r>
        <w:rPr>
          <w:spacing w:val="-3"/>
        </w:rPr>
        <w:t> </w:t>
      </w:r>
      <w:r>
        <w:rPr/>
        <w:t>organization</w:t>
      </w:r>
      <w:r>
        <w:rPr>
          <w:spacing w:val="-3"/>
        </w:rPr>
        <w:t> </w:t>
      </w:r>
      <w:r>
        <w:rPr/>
        <w:t>successfully</w:t>
      </w:r>
      <w:r>
        <w:rPr>
          <w:spacing w:val="-3"/>
        </w:rPr>
        <w:t> </w:t>
      </w:r>
      <w:r>
        <w:rPr/>
        <w:t>implemented</w:t>
      </w:r>
      <w:r>
        <w:rPr>
          <w:spacing w:val="-3"/>
        </w:rPr>
        <w:t> </w:t>
      </w:r>
      <w:r>
        <w:rPr/>
        <w:t>GMT</w:t>
      </w:r>
      <w:r>
        <w:rPr>
          <w:spacing w:val="-3"/>
        </w:rPr>
        <w:t> </w:t>
      </w:r>
      <w:r>
        <w:rPr/>
        <w:t>across</w:t>
      </w:r>
      <w:r>
        <w:rPr>
          <w:spacing w:val="-3"/>
        </w:rPr>
        <w:t> </w:t>
      </w:r>
      <w:r>
        <w:rPr/>
        <w:t>multiple state locations, achieving high utilization rates despite initial end-user resistance. By applying TFR analysis, this research provides a comprehensive understanding of effective GMT implementation in complex organizational settings.</w:t>
      </w:r>
    </w:p>
    <w:p>
      <w:pPr>
        <w:pStyle w:val="Heading4"/>
        <w:spacing w:before="240"/>
        <w:ind w:left="367"/>
        <w:jc w:val="both"/>
      </w:pPr>
      <w:r>
        <w:rPr/>
        <w:t>Research</w:t>
      </w:r>
      <w:r>
        <w:rPr>
          <w:spacing w:val="-5"/>
        </w:rPr>
        <w:t> </w:t>
      </w:r>
      <w:r>
        <w:rPr>
          <w:spacing w:val="-2"/>
        </w:rPr>
        <w:t>Methodology</w:t>
      </w:r>
    </w:p>
    <w:p>
      <w:pPr>
        <w:pStyle w:val="BodyText"/>
        <w:spacing w:line="230" w:lineRule="auto" w:before="235"/>
        <w:ind w:left="352" w:right="1018" w:firstLine="15"/>
        <w:jc w:val="both"/>
      </w:pPr>
      <w:r>
        <w:rPr/>
        <w:t>Data collection was facilitated by conducting semi-structured interviews and collecting supplemental</w:t>
      </w:r>
      <w:r>
        <w:rPr>
          <w:spacing w:val="40"/>
        </w:rPr>
        <w:t> </w:t>
      </w:r>
      <w:r>
        <w:rPr/>
        <w:t>data</w:t>
      </w:r>
      <w:r>
        <w:rPr>
          <w:spacing w:val="80"/>
        </w:rPr>
        <w:t> </w:t>
      </w:r>
      <w:r>
        <w:rPr/>
        <w:t>such as field observation notes, meeting notes, utilization data, and release notes. </w:t>
      </w:r>
      <w:r>
        <w:rPr/>
        <w:t>Interview questions</w:t>
      </w:r>
      <w:r>
        <w:rPr>
          <w:spacing w:val="80"/>
        </w:rPr>
        <w:t> </w:t>
      </w:r>
      <w:r>
        <w:rPr/>
        <w:t>followed a guide while allowing investigative probing to elicit comprehensive understanding of</w:t>
      </w:r>
      <w:r>
        <w:rPr>
          <w:spacing w:val="40"/>
        </w:rPr>
        <w:t> </w:t>
      </w:r>
      <w:r>
        <w:rPr/>
        <w:t>participant perspectives and experiences (Myers, 2019; Yin, 2018).</w:t>
      </w:r>
      <w:r>
        <w:rPr>
          <w:spacing w:val="-5"/>
        </w:rPr>
        <w:t> </w:t>
      </w:r>
      <w:r>
        <w:rPr/>
        <w:t>Twenty</w:t>
      </w:r>
      <w:r>
        <w:rPr>
          <w:spacing w:val="-5"/>
        </w:rPr>
        <w:t> </w:t>
      </w:r>
      <w:r>
        <w:rPr/>
        <w:t>employees</w:t>
      </w:r>
      <w:r>
        <w:rPr>
          <w:spacing w:val="-5"/>
        </w:rPr>
        <w:t> </w:t>
      </w:r>
      <w:r>
        <w:rPr/>
        <w:t>from</w:t>
      </w:r>
      <w:r>
        <w:rPr>
          <w:spacing w:val="-5"/>
        </w:rPr>
        <w:t> </w:t>
      </w:r>
      <w:r>
        <w:rPr/>
        <w:t>multiple organizational levels including corporate executives, regional managers, and local supervisors were interviewed. Participants were selected based on their implementation involvement and first-hand knowledge. Using snowball sampling, twenty-five individuals were contacted; twenty consented and participated. The sample size aligns with recommendations for qualitative organizational case studies (Creswell, 2013), ensuring adequate representation across levels, departments, and states.</w:t>
      </w:r>
      <w:r>
        <w:rPr>
          <w:spacing w:val="40"/>
        </w:rPr>
        <w:t> </w:t>
      </w:r>
      <w:r>
        <w:rPr/>
        <w:t>Representatives</w:t>
      </w:r>
      <w:r>
        <w:rPr>
          <w:spacing w:val="40"/>
        </w:rPr>
        <w:t> </w:t>
      </w:r>
      <w:r>
        <w:rPr/>
        <w:t>from each state and multiple departments (i.e. operations, management, quality, field services, and IT)</w:t>
      </w:r>
      <w:r>
        <w:rPr>
          <w:spacing w:val="40"/>
        </w:rPr>
        <w:t> </w:t>
      </w:r>
      <w:r>
        <w:rPr/>
        <w:t>participated. Theoretical saturation was achieved after eighteen interviews, with two additional interviews</w:t>
      </w:r>
      <w:r>
        <w:rPr>
          <w:spacing w:val="40"/>
        </w:rPr>
        <w:t> </w:t>
      </w:r>
      <w:r>
        <w:rPr/>
        <w:t>confirming no new themes emerged (Guest, Bunce, &amp; Johnson, 2006; Miles &amp; Huberman, 1994). See</w:t>
      </w:r>
      <w:r>
        <w:rPr>
          <w:spacing w:val="40"/>
        </w:rPr>
        <w:t> </w:t>
      </w:r>
      <w:r>
        <w:rPr/>
        <w:t>Table 1 for the data collection overview.</w:t>
      </w:r>
    </w:p>
    <w:p>
      <w:pPr>
        <w:pStyle w:val="BodyText"/>
        <w:rPr>
          <w:sz w:val="20"/>
        </w:rPr>
      </w:pPr>
    </w:p>
    <w:p>
      <w:pPr>
        <w:pStyle w:val="BodyText"/>
        <w:spacing w:before="31"/>
        <w:rPr>
          <w:sz w:val="20"/>
        </w:rPr>
      </w:pPr>
      <w:r>
        <w:rPr>
          <w:sz w:val="20"/>
        </w:rPr>
        <w:drawing>
          <wp:anchor distT="0" distB="0" distL="0" distR="0" allowOverlap="1" layoutInCell="1" locked="0" behindDoc="1" simplePos="0" relativeHeight="487603200">
            <wp:simplePos x="0" y="0"/>
            <wp:positionH relativeFrom="page">
              <wp:posOffset>731214</wp:posOffset>
            </wp:positionH>
            <wp:positionV relativeFrom="paragraph">
              <wp:posOffset>181240</wp:posOffset>
            </wp:positionV>
            <wp:extent cx="6358134" cy="3773614"/>
            <wp:effectExtent l="0" t="0" r="0" b="0"/>
            <wp:wrapTopAndBottom/>
            <wp:docPr id="62" name="Image 62"/>
            <wp:cNvGraphicFramePr>
              <a:graphicFrameLocks/>
            </wp:cNvGraphicFramePr>
            <a:graphic>
              <a:graphicData uri="http://schemas.openxmlformats.org/drawingml/2006/picture">
                <pic:pic>
                  <pic:nvPicPr>
                    <pic:cNvPr id="62" name="Image 62"/>
                    <pic:cNvPicPr/>
                  </pic:nvPicPr>
                  <pic:blipFill>
                    <a:blip r:embed="rId236" cstate="print"/>
                    <a:stretch>
                      <a:fillRect/>
                    </a:stretch>
                  </pic:blipFill>
                  <pic:spPr>
                    <a:xfrm>
                      <a:off x="0" y="0"/>
                      <a:ext cx="6358134" cy="3773614"/>
                    </a:xfrm>
                    <a:prstGeom prst="rect">
                      <a:avLst/>
                    </a:prstGeom>
                  </pic:spPr>
                </pic:pic>
              </a:graphicData>
            </a:graphic>
          </wp:anchor>
        </w:drawing>
      </w:r>
    </w:p>
    <w:p>
      <w:pPr>
        <w:pStyle w:val="BodyText"/>
        <w:spacing w:before="28"/>
        <w:ind w:left="3722"/>
      </w:pPr>
      <w:r>
        <w:rPr/>
        <w:t>Table</w:t>
      </w:r>
      <w:r>
        <w:rPr>
          <w:spacing w:val="-5"/>
        </w:rPr>
        <w:t> </w:t>
      </w:r>
      <w:r>
        <w:rPr/>
        <w:t>1.</w:t>
      </w:r>
      <w:r>
        <w:rPr>
          <w:spacing w:val="-4"/>
        </w:rPr>
        <w:t> </w:t>
      </w:r>
      <w:r>
        <w:rPr/>
        <w:t>Data</w:t>
      </w:r>
      <w:r>
        <w:rPr>
          <w:spacing w:val="-4"/>
        </w:rPr>
        <w:t> </w:t>
      </w:r>
      <w:r>
        <w:rPr/>
        <w:t>Collection</w:t>
      </w:r>
      <w:r>
        <w:rPr>
          <w:spacing w:val="-4"/>
        </w:rPr>
        <w:t> </w:t>
      </w:r>
      <w:r>
        <w:rPr>
          <w:spacing w:val="-2"/>
        </w:rPr>
        <w:t>Overview</w:t>
      </w:r>
    </w:p>
    <w:p>
      <w:pPr>
        <w:pStyle w:val="BodyText"/>
        <w:spacing w:line="230" w:lineRule="auto" w:before="226"/>
        <w:ind w:left="367" w:right="1191"/>
      </w:pPr>
      <w:r>
        <w:rPr/>
        <w:t>The</w:t>
      </w:r>
      <w:r>
        <w:rPr>
          <w:spacing w:val="-3"/>
        </w:rPr>
        <w:t> </w:t>
      </w:r>
      <w:r>
        <w:rPr/>
        <w:t>data</w:t>
      </w:r>
      <w:r>
        <w:rPr>
          <w:spacing w:val="-3"/>
        </w:rPr>
        <w:t> </w:t>
      </w:r>
      <w:r>
        <w:rPr/>
        <w:t>analysis</w:t>
      </w:r>
      <w:r>
        <w:rPr>
          <w:spacing w:val="-3"/>
        </w:rPr>
        <w:t> </w:t>
      </w:r>
      <w:r>
        <w:rPr/>
        <w:t>was</w:t>
      </w:r>
      <w:r>
        <w:rPr>
          <w:spacing w:val="-3"/>
        </w:rPr>
        <w:t> </w:t>
      </w:r>
      <w:r>
        <w:rPr/>
        <w:t>conducted</w:t>
      </w:r>
      <w:r>
        <w:rPr>
          <w:spacing w:val="-3"/>
        </w:rPr>
        <w:t> </w:t>
      </w:r>
      <w:r>
        <w:rPr/>
        <w:t>using</w:t>
      </w:r>
      <w:r>
        <w:rPr>
          <w:spacing w:val="-3"/>
        </w:rPr>
        <w:t> </w:t>
      </w:r>
      <w:r>
        <w:rPr/>
        <w:t>an</w:t>
      </w:r>
      <w:r>
        <w:rPr>
          <w:spacing w:val="-3"/>
        </w:rPr>
        <w:t> </w:t>
      </w:r>
      <w:r>
        <w:rPr/>
        <w:t>inductive</w:t>
      </w:r>
      <w:r>
        <w:rPr>
          <w:spacing w:val="-3"/>
        </w:rPr>
        <w:t> </w:t>
      </w:r>
      <w:r>
        <w:rPr/>
        <w:t>approach</w:t>
      </w:r>
      <w:r>
        <w:rPr>
          <w:spacing w:val="-3"/>
        </w:rPr>
        <w:t> </w:t>
      </w:r>
      <w:r>
        <w:rPr/>
        <w:t>segmented</w:t>
      </w:r>
      <w:r>
        <w:rPr>
          <w:spacing w:val="-3"/>
        </w:rPr>
        <w:t> </w:t>
      </w:r>
      <w:r>
        <w:rPr/>
        <w:t>into</w:t>
      </w:r>
      <w:r>
        <w:rPr>
          <w:spacing w:val="-3"/>
        </w:rPr>
        <w:t> </w:t>
      </w:r>
      <w:r>
        <w:rPr/>
        <w:t>five</w:t>
      </w:r>
      <w:r>
        <w:rPr>
          <w:spacing w:val="-3"/>
        </w:rPr>
        <w:t> </w:t>
      </w:r>
      <w:r>
        <w:rPr/>
        <w:t>steps</w:t>
      </w:r>
      <w:r>
        <w:rPr>
          <w:spacing w:val="-3"/>
        </w:rPr>
        <w:t> </w:t>
      </w:r>
      <w:r>
        <w:rPr/>
        <w:t>to</w:t>
      </w:r>
      <w:r>
        <w:rPr>
          <w:spacing w:val="-3"/>
        </w:rPr>
        <w:t> </w:t>
      </w:r>
      <w:r>
        <w:rPr/>
        <w:t>allow</w:t>
      </w:r>
      <w:r>
        <w:rPr>
          <w:spacing w:val="-3"/>
        </w:rPr>
        <w:t> </w:t>
      </w:r>
      <w:r>
        <w:rPr/>
        <w:t>for</w:t>
      </w:r>
      <w:r>
        <w:rPr>
          <w:spacing w:val="-3"/>
        </w:rPr>
        <w:t> </w:t>
      </w:r>
      <w:r>
        <w:rPr/>
        <w:t>the systematic extraction and interpretation of themes and patterns in the data.</w:t>
      </w:r>
    </w:p>
    <w:p>
      <w:pPr>
        <w:pStyle w:val="BodyText"/>
        <w:spacing w:after="0" w:line="230" w:lineRule="auto"/>
        <w:sectPr>
          <w:footerReference w:type="default" r:id="rId235"/>
          <w:pgSz w:w="12240" w:h="15840"/>
          <w:pgMar w:header="0" w:footer="761" w:top="620" w:bottom="960" w:left="720" w:right="0"/>
        </w:sectPr>
      </w:pPr>
    </w:p>
    <w:p>
      <w:pPr>
        <w:pStyle w:val="BodyText"/>
        <w:spacing w:line="230" w:lineRule="auto" w:before="80"/>
        <w:ind w:left="367" w:right="1024"/>
        <w:jc w:val="both"/>
      </w:pPr>
      <w:r>
        <w:rPr>
          <w:b/>
        </w:rPr>
        <w:t>Step 1: Chronological Timeline Construction </w:t>
      </w:r>
      <w:r>
        <w:rPr/>
        <w:t>- A comprehensive timeline of the project, detailing major</w:t>
      </w:r>
      <w:r>
        <w:rPr>
          <w:spacing w:val="40"/>
        </w:rPr>
        <w:t> </w:t>
      </w:r>
      <w:r>
        <w:rPr/>
        <w:t>events</w:t>
      </w:r>
      <w:r>
        <w:rPr>
          <w:spacing w:val="-3"/>
        </w:rPr>
        <w:t> </w:t>
      </w:r>
      <w:r>
        <w:rPr/>
        <w:t>and</w:t>
      </w:r>
      <w:r>
        <w:rPr>
          <w:spacing w:val="-3"/>
        </w:rPr>
        <w:t> </w:t>
      </w:r>
      <w:r>
        <w:rPr/>
        <w:t>releases</w:t>
      </w:r>
      <w:r>
        <w:rPr>
          <w:spacing w:val="-3"/>
        </w:rPr>
        <w:t> </w:t>
      </w:r>
      <w:r>
        <w:rPr/>
        <w:t>from</w:t>
      </w:r>
      <w:r>
        <w:rPr>
          <w:spacing w:val="-3"/>
        </w:rPr>
        <w:t> </w:t>
      </w:r>
      <w:r>
        <w:rPr/>
        <w:t>October</w:t>
      </w:r>
      <w:r>
        <w:rPr>
          <w:spacing w:val="-3"/>
        </w:rPr>
        <w:t> </w:t>
      </w:r>
      <w:r>
        <w:rPr/>
        <w:t>2021</w:t>
      </w:r>
      <w:r>
        <w:rPr>
          <w:spacing w:val="-3"/>
        </w:rPr>
        <w:t> </w:t>
      </w:r>
      <w:r>
        <w:rPr/>
        <w:t>to</w:t>
      </w:r>
      <w:r>
        <w:rPr>
          <w:spacing w:val="-3"/>
        </w:rPr>
        <w:t> </w:t>
      </w:r>
      <w:r>
        <w:rPr/>
        <w:t>April</w:t>
      </w:r>
      <w:r>
        <w:rPr>
          <w:spacing w:val="-3"/>
        </w:rPr>
        <w:t> </w:t>
      </w:r>
      <w:r>
        <w:rPr/>
        <w:t>2023,</w:t>
      </w:r>
      <w:r>
        <w:rPr>
          <w:spacing w:val="-3"/>
        </w:rPr>
        <w:t> </w:t>
      </w:r>
      <w:r>
        <w:rPr/>
        <w:t>was</w:t>
      </w:r>
      <w:r>
        <w:rPr>
          <w:spacing w:val="-3"/>
        </w:rPr>
        <w:t> </w:t>
      </w:r>
      <w:r>
        <w:rPr/>
        <w:t>constructed</w:t>
      </w:r>
      <w:r>
        <w:rPr>
          <w:spacing w:val="-3"/>
        </w:rPr>
        <w:t> </w:t>
      </w:r>
      <w:r>
        <w:rPr/>
        <w:t>to</w:t>
      </w:r>
      <w:r>
        <w:rPr>
          <w:spacing w:val="-3"/>
        </w:rPr>
        <w:t> </w:t>
      </w:r>
      <w:r>
        <w:rPr/>
        <w:t>establish</w:t>
      </w:r>
      <w:r>
        <w:rPr>
          <w:spacing w:val="-3"/>
        </w:rPr>
        <w:t> </w:t>
      </w:r>
      <w:r>
        <w:rPr/>
        <w:t>a</w:t>
      </w:r>
      <w:r>
        <w:rPr>
          <w:spacing w:val="-3"/>
        </w:rPr>
        <w:t> </w:t>
      </w:r>
      <w:r>
        <w:rPr/>
        <w:t>chronological context</w:t>
      </w:r>
      <w:r>
        <w:rPr>
          <w:spacing w:val="40"/>
        </w:rPr>
        <w:t> </w:t>
      </w:r>
      <w:r>
        <w:rPr/>
        <w:t>for the implementation and development of the mandated technology. The timeline served as a foundation</w:t>
      </w:r>
      <w:r>
        <w:rPr>
          <w:spacing w:val="40"/>
        </w:rPr>
        <w:t> </w:t>
      </w:r>
      <w:r>
        <w:rPr/>
        <w:t>for understanding the sequence and timing of significant milestones, enabling a more straightforward</w:t>
      </w:r>
      <w:r>
        <w:rPr>
          <w:spacing w:val="40"/>
        </w:rPr>
        <w:t> </w:t>
      </w:r>
      <w:r>
        <w:rPr/>
        <w:t>analysis of subsequent data.</w:t>
      </w:r>
    </w:p>
    <w:p>
      <w:pPr>
        <w:pStyle w:val="BodyText"/>
        <w:spacing w:line="230" w:lineRule="auto" w:before="123"/>
        <w:ind w:left="352" w:right="954" w:firstLine="15"/>
      </w:pPr>
      <w:r>
        <w:rPr>
          <w:b/>
        </w:rPr>
        <w:t>Step</w:t>
      </w:r>
      <w:r>
        <w:rPr>
          <w:b/>
          <w:spacing w:val="-3"/>
        </w:rPr>
        <w:t> </w:t>
      </w:r>
      <w:r>
        <w:rPr>
          <w:b/>
        </w:rPr>
        <w:t>2:</w:t>
      </w:r>
      <w:r>
        <w:rPr>
          <w:b/>
          <w:spacing w:val="-3"/>
        </w:rPr>
        <w:t> </w:t>
      </w:r>
      <w:r>
        <w:rPr>
          <w:b/>
        </w:rPr>
        <w:t>Utilization</w:t>
      </w:r>
      <w:r>
        <w:rPr>
          <w:b/>
          <w:spacing w:val="-3"/>
        </w:rPr>
        <w:t> </w:t>
      </w:r>
      <w:r>
        <w:rPr>
          <w:b/>
        </w:rPr>
        <w:t>Data</w:t>
      </w:r>
      <w:r>
        <w:rPr>
          <w:b/>
          <w:spacing w:val="-3"/>
        </w:rPr>
        <w:t> </w:t>
      </w:r>
      <w:r>
        <w:rPr>
          <w:b/>
        </w:rPr>
        <w:t>Analysis</w:t>
      </w:r>
      <w:r>
        <w:rPr>
          <w:b/>
          <w:spacing w:val="-3"/>
        </w:rPr>
        <w:t> </w:t>
      </w:r>
      <w:r>
        <w:rPr/>
        <w:t>-</w:t>
      </w:r>
      <w:r>
        <w:rPr>
          <w:spacing w:val="-3"/>
        </w:rPr>
        <w:t> </w:t>
      </w:r>
      <w:r>
        <w:rPr/>
        <w:t>The</w:t>
      </w:r>
      <w:r>
        <w:rPr>
          <w:spacing w:val="-3"/>
        </w:rPr>
        <w:t> </w:t>
      </w:r>
      <w:r>
        <w:rPr/>
        <w:t>second</w:t>
      </w:r>
      <w:r>
        <w:rPr>
          <w:spacing w:val="-3"/>
        </w:rPr>
        <w:t> </w:t>
      </w:r>
      <w:r>
        <w:rPr/>
        <w:t>step</w:t>
      </w:r>
      <w:r>
        <w:rPr>
          <w:spacing w:val="-3"/>
        </w:rPr>
        <w:t> </w:t>
      </w:r>
      <w:r>
        <w:rPr/>
        <w:t>focused</w:t>
      </w:r>
      <w:r>
        <w:rPr>
          <w:spacing w:val="-3"/>
        </w:rPr>
        <w:t> </w:t>
      </w:r>
      <w:r>
        <w:rPr/>
        <w:t>on</w:t>
      </w:r>
      <w:r>
        <w:rPr>
          <w:spacing w:val="-3"/>
        </w:rPr>
        <w:t> </w:t>
      </w:r>
      <w:r>
        <w:rPr/>
        <w:t>organizing</w:t>
      </w:r>
      <w:r>
        <w:rPr>
          <w:spacing w:val="-3"/>
        </w:rPr>
        <w:t> </w:t>
      </w:r>
      <w:r>
        <w:rPr/>
        <w:t>utilization</w:t>
      </w:r>
      <w:r>
        <w:rPr>
          <w:spacing w:val="-3"/>
        </w:rPr>
        <w:t> </w:t>
      </w:r>
      <w:r>
        <w:rPr/>
        <w:t>data</w:t>
      </w:r>
      <w:r>
        <w:rPr>
          <w:spacing w:val="-3"/>
        </w:rPr>
        <w:t> </w:t>
      </w:r>
      <w:r>
        <w:rPr/>
        <w:t>for</w:t>
      </w:r>
      <w:r>
        <w:rPr>
          <w:spacing w:val="-3"/>
        </w:rPr>
        <w:t> </w:t>
      </w:r>
      <w:r>
        <w:rPr/>
        <w:t>the</w:t>
      </w:r>
      <w:r>
        <w:rPr>
          <w:spacing w:val="-3"/>
        </w:rPr>
        <w:t> </w:t>
      </w:r>
      <w:r>
        <w:rPr/>
        <w:t>three states</w:t>
      </w:r>
      <w:r>
        <w:rPr>
          <w:spacing w:val="-3"/>
        </w:rPr>
        <w:t> </w:t>
      </w:r>
      <w:r>
        <w:rPr/>
        <w:t>where</w:t>
      </w:r>
      <w:r>
        <w:rPr>
          <w:spacing w:val="-3"/>
        </w:rPr>
        <w:t> </w:t>
      </w:r>
      <w:r>
        <w:rPr/>
        <w:t>the</w:t>
      </w:r>
      <w:r>
        <w:rPr>
          <w:spacing w:val="-3"/>
        </w:rPr>
        <w:t> </w:t>
      </w:r>
      <w:r>
        <w:rPr/>
        <w:t>mandatory</w:t>
      </w:r>
      <w:r>
        <w:rPr>
          <w:spacing w:val="-3"/>
        </w:rPr>
        <w:t> </w:t>
      </w:r>
      <w:r>
        <w:rPr/>
        <w:t>technology</w:t>
      </w:r>
      <w:r>
        <w:rPr>
          <w:spacing w:val="-3"/>
        </w:rPr>
        <w:t> </w:t>
      </w:r>
      <w:r>
        <w:rPr/>
        <w:t>was</w:t>
      </w:r>
      <w:r>
        <w:rPr>
          <w:spacing w:val="-3"/>
        </w:rPr>
        <w:t> </w:t>
      </w:r>
      <w:r>
        <w:rPr/>
        <w:t>implemented.</w:t>
      </w:r>
      <w:r>
        <w:rPr>
          <w:spacing w:val="-3"/>
        </w:rPr>
        <w:t> </w:t>
      </w:r>
      <w:r>
        <w:rPr/>
        <w:t>Utilization</w:t>
      </w:r>
      <w:r>
        <w:rPr>
          <w:spacing w:val="-3"/>
        </w:rPr>
        <w:t> </w:t>
      </w:r>
      <w:r>
        <w:rPr/>
        <w:t>is</w:t>
      </w:r>
      <w:r>
        <w:rPr>
          <w:spacing w:val="-3"/>
        </w:rPr>
        <w:t> </w:t>
      </w:r>
      <w:r>
        <w:rPr/>
        <w:t>defined</w:t>
      </w:r>
      <w:r>
        <w:rPr>
          <w:spacing w:val="-3"/>
        </w:rPr>
        <w:t> </w:t>
      </w:r>
      <w:r>
        <w:rPr/>
        <w:t>as</w:t>
      </w:r>
      <w:r>
        <w:rPr>
          <w:spacing w:val="-3"/>
        </w:rPr>
        <w:t> </w:t>
      </w:r>
      <w:r>
        <w:rPr/>
        <w:t>the</w:t>
      </w:r>
      <w:r>
        <w:rPr>
          <w:spacing w:val="-3"/>
        </w:rPr>
        <w:t> </w:t>
      </w:r>
      <w:r>
        <w:rPr/>
        <w:t>percentage</w:t>
      </w:r>
      <w:r>
        <w:rPr>
          <w:spacing w:val="-3"/>
        </w:rPr>
        <w:t> </w:t>
      </w:r>
      <w:r>
        <w:rPr/>
        <w:t>of</w:t>
      </w:r>
      <w:r>
        <w:rPr>
          <w:spacing w:val="-3"/>
        </w:rPr>
        <w:t> </w:t>
      </w:r>
      <w:r>
        <w:rPr/>
        <w:t>end users who successfully recorded at least one visit using the GMT within a given month, divided by the total number of active end-users in that state. This metric was calculated monthly from implementation launch through July 2023.</w:t>
      </w:r>
    </w:p>
    <w:p>
      <w:pPr>
        <w:pStyle w:val="BodyText"/>
        <w:spacing w:line="230" w:lineRule="auto" w:before="124"/>
        <w:ind w:left="367" w:right="1017"/>
        <w:jc w:val="both"/>
      </w:pPr>
      <w:r>
        <w:rPr>
          <w:b/>
        </w:rPr>
        <w:t>Step 3: NVivo® Coding of Interviews </w:t>
      </w:r>
      <w:r>
        <w:rPr/>
        <w:t>-Validated transcripts were loaded</w:t>
      </w:r>
      <w:r>
        <w:rPr>
          <w:spacing w:val="-5"/>
        </w:rPr>
        <w:t> </w:t>
      </w:r>
      <w:r>
        <w:rPr/>
        <w:t>into</w:t>
      </w:r>
      <w:r>
        <w:rPr>
          <w:spacing w:val="-5"/>
        </w:rPr>
        <w:t> </w:t>
      </w:r>
      <w:r>
        <w:rPr/>
        <w:t>NVivo®</w:t>
      </w:r>
      <w:r>
        <w:rPr>
          <w:spacing w:val="-5"/>
        </w:rPr>
        <w:t> </w:t>
      </w:r>
      <w:r>
        <w:rPr/>
        <w:t>qualitative</w:t>
      </w:r>
      <w:r>
        <w:rPr>
          <w:spacing w:val="-5"/>
        </w:rPr>
        <w:t> </w:t>
      </w:r>
      <w:r>
        <w:rPr/>
        <w:t>data analysis software to identify key themes, patterns, and insights. The researcher conducted three coding rounds: 1)</w:t>
      </w:r>
      <w:r>
        <w:rPr>
          <w:spacing w:val="-3"/>
        </w:rPr>
        <w:t> </w:t>
      </w:r>
      <w:r>
        <w:rPr/>
        <w:t>A</w:t>
      </w:r>
      <w:r>
        <w:rPr>
          <w:spacing w:val="-3"/>
        </w:rPr>
        <w:t> </w:t>
      </w:r>
      <w:r>
        <w:rPr/>
        <w:t>priori/open</w:t>
      </w:r>
      <w:r>
        <w:rPr>
          <w:spacing w:val="-3"/>
        </w:rPr>
        <w:t> </w:t>
      </w:r>
      <w:r>
        <w:rPr/>
        <w:t>coding:</w:t>
      </w:r>
      <w:r>
        <w:rPr>
          <w:spacing w:val="-3"/>
        </w:rPr>
        <w:t> </w:t>
      </w:r>
      <w:r>
        <w:rPr/>
        <w:t>Initial</w:t>
      </w:r>
      <w:r>
        <w:rPr>
          <w:spacing w:val="-3"/>
        </w:rPr>
        <w:t> </w:t>
      </w:r>
      <w:r>
        <w:rPr/>
        <w:t>identification</w:t>
      </w:r>
      <w:r>
        <w:rPr>
          <w:spacing w:val="-3"/>
        </w:rPr>
        <w:t> </w:t>
      </w:r>
      <w:r>
        <w:rPr/>
        <w:t>of</w:t>
      </w:r>
      <w:r>
        <w:rPr>
          <w:spacing w:val="-3"/>
        </w:rPr>
        <w:t> </w:t>
      </w:r>
      <w:r>
        <w:rPr/>
        <w:t>all</w:t>
      </w:r>
      <w:r>
        <w:rPr>
          <w:spacing w:val="-3"/>
        </w:rPr>
        <w:t> </w:t>
      </w:r>
      <w:r>
        <w:rPr/>
        <w:t>possible</w:t>
      </w:r>
      <w:r>
        <w:rPr>
          <w:spacing w:val="-3"/>
        </w:rPr>
        <w:t> </w:t>
      </w:r>
      <w:r>
        <w:rPr/>
        <w:t>themes</w:t>
      </w:r>
      <w:r>
        <w:rPr>
          <w:spacing w:val="-3"/>
        </w:rPr>
        <w:t> </w:t>
      </w:r>
      <w:r>
        <w:rPr/>
        <w:t>informed</w:t>
      </w:r>
      <w:r>
        <w:rPr>
          <w:spacing w:val="-3"/>
        </w:rPr>
        <w:t> </w:t>
      </w:r>
      <w:r>
        <w:rPr/>
        <w:t>by</w:t>
      </w:r>
      <w:r>
        <w:rPr>
          <w:spacing w:val="-3"/>
        </w:rPr>
        <w:t> </w:t>
      </w:r>
      <w:r>
        <w:rPr/>
        <w:t>literature</w:t>
      </w:r>
      <w:r>
        <w:rPr>
          <w:spacing w:val="-3"/>
        </w:rPr>
        <w:t> </w:t>
      </w:r>
      <w:r>
        <w:rPr/>
        <w:t>review (Miles &amp; Huberman, 1994), 2) Axial coding: Grouping themes into summaries or smaller categories (Miles &amp; Huberman, 1994), 3) Selective coding: Identifying illustrative quotes and noting frequencies (Miles, 2015). Internal validity was confirmed through pattern matching, explanation building, addressing</w:t>
      </w:r>
      <w:r>
        <w:rPr>
          <w:spacing w:val="40"/>
        </w:rPr>
        <w:t> </w:t>
      </w:r>
      <w:r>
        <w:rPr/>
        <w:t>rival explanations, logic models (Yin, 2018), and cross-state comparison.</w:t>
      </w:r>
    </w:p>
    <w:p>
      <w:pPr>
        <w:pStyle w:val="BodyText"/>
        <w:spacing w:line="230" w:lineRule="auto" w:before="122"/>
        <w:ind w:left="367" w:right="1019"/>
        <w:jc w:val="both"/>
      </w:pPr>
      <w:r>
        <w:rPr>
          <w:b/>
        </w:rPr>
        <w:t>Step 4: Integration and Coding of Additional Notes </w:t>
      </w:r>
      <w:r>
        <w:rPr/>
        <w:t>- The fourth step included importing meeting notes,</w:t>
      </w:r>
      <w:r>
        <w:rPr>
          <w:spacing w:val="40"/>
        </w:rPr>
        <w:t> </w:t>
      </w:r>
      <w:r>
        <w:rPr/>
        <w:t>conversation records, and field observation notes into NVivo® using</w:t>
      </w:r>
      <w:r>
        <w:rPr>
          <w:spacing w:val="-3"/>
        </w:rPr>
        <w:t> </w:t>
      </w:r>
      <w:r>
        <w:rPr/>
        <w:t>the</w:t>
      </w:r>
      <w:r>
        <w:rPr>
          <w:spacing w:val="-3"/>
        </w:rPr>
        <w:t> </w:t>
      </w:r>
      <w:r>
        <w:rPr/>
        <w:t>same</w:t>
      </w:r>
      <w:r>
        <w:rPr>
          <w:spacing w:val="-3"/>
        </w:rPr>
        <w:t> </w:t>
      </w:r>
      <w:r>
        <w:rPr/>
        <w:t>thematic</w:t>
      </w:r>
      <w:r>
        <w:rPr>
          <w:spacing w:val="-3"/>
        </w:rPr>
        <w:t> </w:t>
      </w:r>
      <w:r>
        <w:rPr/>
        <w:t>structure developed for the interview data. Integrating the notes facilitated the triangulation of the findings, ensuring</w:t>
      </w:r>
      <w:r>
        <w:rPr>
          <w:spacing w:val="80"/>
        </w:rPr>
        <w:t> </w:t>
      </w:r>
      <w:r>
        <w:rPr/>
        <w:t>that insights were corroborated and enriched by multiple data sources. The integration of diverse forms of</w:t>
      </w:r>
      <w:r>
        <w:rPr>
          <w:spacing w:val="40"/>
        </w:rPr>
        <w:t> </w:t>
      </w:r>
      <w:r>
        <w:rPr/>
        <w:t>data provided a more rounded and nuanced understanding of the themes, trends, and inter-relationships of</w:t>
      </w:r>
      <w:r>
        <w:rPr>
          <w:spacing w:val="40"/>
        </w:rPr>
        <w:t> </w:t>
      </w:r>
      <w:r>
        <w:rPr/>
        <w:t>the data.</w:t>
      </w:r>
    </w:p>
    <w:p>
      <w:pPr>
        <w:pStyle w:val="BodyText"/>
        <w:spacing w:line="230" w:lineRule="auto" w:before="123"/>
        <w:ind w:left="352" w:right="1021" w:firstLine="15"/>
        <w:jc w:val="both"/>
      </w:pPr>
      <w:r>
        <w:rPr>
          <w:b/>
        </w:rPr>
        <w:t>Step 5: Inductive Analysis for Pattern Identification </w:t>
      </w:r>
      <w:r>
        <w:rPr/>
        <w:t>- Finally, inductive reasoning was used to analyze</w:t>
      </w:r>
      <w:r>
        <w:rPr>
          <w:spacing w:val="40"/>
        </w:rPr>
        <w:t> </w:t>
      </w:r>
      <w:r>
        <w:rPr/>
        <w:t>the coded data from all sources, which required an in-depth examination of the</w:t>
      </w:r>
      <w:r>
        <w:rPr>
          <w:spacing w:val="-2"/>
        </w:rPr>
        <w:t> </w:t>
      </w:r>
      <w:r>
        <w:rPr/>
        <w:t>data</w:t>
      </w:r>
      <w:r>
        <w:rPr>
          <w:spacing w:val="-2"/>
        </w:rPr>
        <w:t> </w:t>
      </w:r>
      <w:r>
        <w:rPr/>
        <w:t>to</w:t>
      </w:r>
      <w:r>
        <w:rPr>
          <w:spacing w:val="-2"/>
        </w:rPr>
        <w:t> </w:t>
      </w:r>
      <w:r>
        <w:rPr/>
        <w:t>identify overarching</w:t>
      </w:r>
      <w:r>
        <w:rPr>
          <w:spacing w:val="40"/>
        </w:rPr>
        <w:t> </w:t>
      </w:r>
      <w:r>
        <w:rPr/>
        <w:t>patterns, trends, and</w:t>
      </w:r>
      <w:r>
        <w:rPr>
          <w:spacing w:val="-3"/>
        </w:rPr>
        <w:t> </w:t>
      </w:r>
      <w:r>
        <w:rPr/>
        <w:t>themes.</w:t>
      </w:r>
      <w:r>
        <w:rPr>
          <w:spacing w:val="-3"/>
        </w:rPr>
        <w:t> </w:t>
      </w:r>
      <w:r>
        <w:rPr/>
        <w:t>Through</w:t>
      </w:r>
      <w:r>
        <w:rPr>
          <w:spacing w:val="-3"/>
        </w:rPr>
        <w:t> </w:t>
      </w:r>
      <w:r>
        <w:rPr/>
        <w:t>this</w:t>
      </w:r>
      <w:r>
        <w:rPr>
          <w:spacing w:val="-3"/>
        </w:rPr>
        <w:t> </w:t>
      </w:r>
      <w:r>
        <w:rPr/>
        <w:t>process,</w:t>
      </w:r>
      <w:r>
        <w:rPr>
          <w:spacing w:val="-3"/>
        </w:rPr>
        <w:t> </w:t>
      </w:r>
      <w:r>
        <w:rPr/>
        <w:t>the</w:t>
      </w:r>
      <w:r>
        <w:rPr>
          <w:spacing w:val="-3"/>
        </w:rPr>
        <w:t> </w:t>
      </w:r>
      <w:r>
        <w:rPr/>
        <w:t>researcher</w:t>
      </w:r>
      <w:r>
        <w:rPr>
          <w:spacing w:val="-3"/>
        </w:rPr>
        <w:t> </w:t>
      </w:r>
      <w:r>
        <w:rPr/>
        <w:t>synthesized</w:t>
      </w:r>
      <w:r>
        <w:rPr>
          <w:spacing w:val="-3"/>
        </w:rPr>
        <w:t> </w:t>
      </w:r>
      <w:r>
        <w:rPr/>
        <w:t>findings</w:t>
      </w:r>
      <w:r>
        <w:rPr>
          <w:spacing w:val="-3"/>
        </w:rPr>
        <w:t> </w:t>
      </w:r>
      <w:r>
        <w:rPr/>
        <w:t>from the timeline,</w:t>
      </w:r>
      <w:r>
        <w:rPr>
          <w:spacing w:val="40"/>
        </w:rPr>
        <w:t> </w:t>
      </w:r>
      <w:r>
        <w:rPr/>
        <w:t>utilization graphs, and coded qualitative data, enabling the drawing of comprehensive conclusions about</w:t>
      </w:r>
      <w:r>
        <w:rPr>
          <w:spacing w:val="40"/>
        </w:rPr>
        <w:t> </w:t>
      </w:r>
      <w:r>
        <w:rPr/>
        <w:t>how the organization implemented the mandated</w:t>
      </w:r>
      <w:r>
        <w:rPr>
          <w:spacing w:val="-5"/>
        </w:rPr>
        <w:t> </w:t>
      </w:r>
      <w:r>
        <w:rPr/>
        <w:t>technology.</w:t>
      </w:r>
      <w:r>
        <w:rPr>
          <w:spacing w:val="-5"/>
        </w:rPr>
        <w:t> </w:t>
      </w:r>
      <w:r>
        <w:rPr/>
        <w:t>The</w:t>
      </w:r>
      <w:r>
        <w:rPr>
          <w:spacing w:val="-5"/>
        </w:rPr>
        <w:t> </w:t>
      </w:r>
      <w:r>
        <w:rPr/>
        <w:t>inductive</w:t>
      </w:r>
      <w:r>
        <w:rPr>
          <w:spacing w:val="-5"/>
        </w:rPr>
        <w:t> </w:t>
      </w:r>
      <w:r>
        <w:rPr/>
        <w:t>approach was pivotal</w:t>
      </w:r>
      <w:r>
        <w:rPr>
          <w:spacing w:val="-3"/>
        </w:rPr>
        <w:t> </w:t>
      </w:r>
      <w:r>
        <w:rPr/>
        <w:t>to</w:t>
      </w:r>
      <w:r>
        <w:rPr>
          <w:spacing w:val="40"/>
        </w:rPr>
        <w:t> </w:t>
      </w:r>
      <w:r>
        <w:rPr/>
        <w:t>allowing</w:t>
      </w:r>
      <w:r>
        <w:rPr>
          <w:spacing w:val="-3"/>
        </w:rPr>
        <w:t> </w:t>
      </w:r>
      <w:r>
        <w:rPr/>
        <w:t>themes</w:t>
      </w:r>
      <w:r>
        <w:rPr>
          <w:spacing w:val="-3"/>
        </w:rPr>
        <w:t> </w:t>
      </w:r>
      <w:r>
        <w:rPr/>
        <w:t>and</w:t>
      </w:r>
      <w:r>
        <w:rPr>
          <w:spacing w:val="-3"/>
        </w:rPr>
        <w:t> </w:t>
      </w:r>
      <w:r>
        <w:rPr/>
        <w:t>narratives</w:t>
      </w:r>
      <w:r>
        <w:rPr>
          <w:spacing w:val="-3"/>
        </w:rPr>
        <w:t> </w:t>
      </w:r>
      <w:r>
        <w:rPr/>
        <w:t>to</w:t>
      </w:r>
      <w:r>
        <w:rPr>
          <w:spacing w:val="-3"/>
        </w:rPr>
        <w:t> </w:t>
      </w:r>
      <w:r>
        <w:rPr/>
        <w:t>emerge</w:t>
      </w:r>
      <w:r>
        <w:rPr>
          <w:spacing w:val="-3"/>
        </w:rPr>
        <w:t> </w:t>
      </w:r>
      <w:r>
        <w:rPr/>
        <w:t>organically</w:t>
      </w:r>
      <w:r>
        <w:rPr>
          <w:spacing w:val="-3"/>
        </w:rPr>
        <w:t> </w:t>
      </w:r>
      <w:r>
        <w:rPr/>
        <w:t>from</w:t>
      </w:r>
      <w:r>
        <w:rPr>
          <w:spacing w:val="-3"/>
        </w:rPr>
        <w:t> </w:t>
      </w:r>
      <w:r>
        <w:rPr/>
        <w:t>the</w:t>
      </w:r>
      <w:r>
        <w:rPr>
          <w:spacing w:val="-3"/>
        </w:rPr>
        <w:t> </w:t>
      </w:r>
      <w:r>
        <w:rPr/>
        <w:t>data,</w:t>
      </w:r>
      <w:r>
        <w:rPr>
          <w:spacing w:val="-3"/>
        </w:rPr>
        <w:t> </w:t>
      </w:r>
      <w:r>
        <w:rPr/>
        <w:t>providing</w:t>
      </w:r>
      <w:r>
        <w:rPr>
          <w:spacing w:val="-3"/>
        </w:rPr>
        <w:t> </w:t>
      </w:r>
      <w:r>
        <w:rPr/>
        <w:t>a</w:t>
      </w:r>
      <w:r>
        <w:rPr>
          <w:spacing w:val="-3"/>
        </w:rPr>
        <w:t> </w:t>
      </w:r>
      <w:r>
        <w:rPr/>
        <w:t>grounded understanding</w:t>
      </w:r>
      <w:r>
        <w:rPr>
          <w:spacing w:val="40"/>
        </w:rPr>
        <w:t> </w:t>
      </w:r>
      <w:r>
        <w:rPr/>
        <w:t>of the implementation process.</w:t>
      </w:r>
    </w:p>
    <w:p>
      <w:pPr>
        <w:pStyle w:val="Heading4"/>
        <w:spacing w:before="242"/>
        <w:ind w:left="367"/>
      </w:pPr>
      <w:r>
        <w:rPr/>
        <w:t>Research</w:t>
      </w:r>
      <w:r>
        <w:rPr>
          <w:spacing w:val="-5"/>
        </w:rPr>
        <w:t> </w:t>
      </w:r>
      <w:r>
        <w:rPr>
          <w:spacing w:val="-2"/>
        </w:rPr>
        <w:t>Findings</w:t>
      </w:r>
    </w:p>
    <w:p>
      <w:pPr>
        <w:pStyle w:val="BodyText"/>
        <w:spacing w:line="230" w:lineRule="auto" w:before="236"/>
        <w:ind w:left="367" w:right="1022"/>
        <w:jc w:val="both"/>
      </w:pPr>
      <w:r>
        <w:rPr/>
        <w:t>The results offer insights into the implementation challenges and end-user resistance to GMT. Additionally, the results point to how the organization overcame the initial end-user resistance and </w:t>
      </w:r>
      <w:r>
        <w:rPr/>
        <w:t>the strategies used in implementing and co-creating the mandated technology with major stakeholders and end-users. This approach emerged as an essential strategy through empirical observation and the elevation of themes from the data, revealing that overcoming end-user resistance necessitated feedback mechanisms</w:t>
      </w:r>
      <w:r>
        <w:rPr>
          <w:spacing w:val="40"/>
        </w:rPr>
        <w:t> </w:t>
      </w:r>
      <w:r>
        <w:rPr/>
        <w:t>to modify and co-create the mandated technology during the implementation process.</w:t>
      </w:r>
    </w:p>
    <w:p>
      <w:pPr>
        <w:pStyle w:val="BodyText"/>
        <w:spacing w:line="230" w:lineRule="auto" w:before="123"/>
        <w:ind w:left="352" w:right="1019" w:firstLine="15"/>
        <w:jc w:val="both"/>
      </w:pPr>
      <w:r>
        <w:rPr/>
        <w:t>The process of implementing and</w:t>
      </w:r>
      <w:r>
        <w:rPr>
          <w:spacing w:val="-3"/>
        </w:rPr>
        <w:t> </w:t>
      </w:r>
      <w:r>
        <w:rPr/>
        <w:t>co-creating</w:t>
      </w:r>
      <w:r>
        <w:rPr>
          <w:spacing w:val="-3"/>
        </w:rPr>
        <w:t> </w:t>
      </w:r>
      <w:r>
        <w:rPr/>
        <w:t>mandated</w:t>
      </w:r>
      <w:r>
        <w:rPr>
          <w:spacing w:val="-3"/>
        </w:rPr>
        <w:t> </w:t>
      </w:r>
      <w:r>
        <w:rPr/>
        <w:t>technology</w:t>
      </w:r>
      <w:r>
        <w:rPr>
          <w:spacing w:val="-3"/>
        </w:rPr>
        <w:t> </w:t>
      </w:r>
      <w:r>
        <w:rPr/>
        <w:t>with</w:t>
      </w:r>
      <w:r>
        <w:rPr>
          <w:spacing w:val="-3"/>
        </w:rPr>
        <w:t> </w:t>
      </w:r>
      <w:r>
        <w:rPr/>
        <w:t>end</w:t>
      </w:r>
      <w:r>
        <w:rPr>
          <w:spacing w:val="-3"/>
        </w:rPr>
        <w:t> </w:t>
      </w:r>
      <w:r>
        <w:rPr/>
        <w:t>users</w:t>
      </w:r>
      <w:r>
        <w:rPr>
          <w:spacing w:val="-3"/>
        </w:rPr>
        <w:t> </w:t>
      </w:r>
      <w:r>
        <w:rPr/>
        <w:t>was</w:t>
      </w:r>
      <w:r>
        <w:rPr>
          <w:spacing w:val="-3"/>
        </w:rPr>
        <w:t> </w:t>
      </w:r>
      <w:r>
        <w:rPr/>
        <w:t>highly</w:t>
      </w:r>
      <w:r>
        <w:rPr>
          <w:spacing w:val="-3"/>
        </w:rPr>
        <w:t> </w:t>
      </w:r>
      <w:r>
        <w:rPr/>
        <w:t>dependent upon systematic feedback loops established by the organization. These feedback mechanisms served multiple critical functions such as</w:t>
      </w:r>
      <w:r>
        <w:rPr>
          <w:spacing w:val="-3"/>
        </w:rPr>
        <w:t> </w:t>
      </w:r>
      <w:r>
        <w:rPr/>
        <w:t>soliciting</w:t>
      </w:r>
      <w:r>
        <w:rPr>
          <w:spacing w:val="-3"/>
        </w:rPr>
        <w:t> </w:t>
      </w:r>
      <w:r>
        <w:rPr/>
        <w:t>input</w:t>
      </w:r>
      <w:r>
        <w:rPr>
          <w:spacing w:val="-3"/>
        </w:rPr>
        <w:t> </w:t>
      </w:r>
      <w:r>
        <w:rPr/>
        <w:t>to</w:t>
      </w:r>
      <w:r>
        <w:rPr>
          <w:spacing w:val="-3"/>
        </w:rPr>
        <w:t> </w:t>
      </w:r>
      <w:r>
        <w:rPr/>
        <w:t>identify</w:t>
      </w:r>
      <w:r>
        <w:rPr>
          <w:spacing w:val="-3"/>
        </w:rPr>
        <w:t> </w:t>
      </w:r>
      <w:r>
        <w:rPr/>
        <w:t>and</w:t>
      </w:r>
      <w:r>
        <w:rPr>
          <w:spacing w:val="-3"/>
        </w:rPr>
        <w:t> </w:t>
      </w:r>
      <w:r>
        <w:rPr/>
        <w:t>prioritize</w:t>
      </w:r>
      <w:r>
        <w:rPr>
          <w:spacing w:val="-3"/>
        </w:rPr>
        <w:t> </w:t>
      </w:r>
      <w:r>
        <w:rPr/>
        <w:t>customizations,</w:t>
      </w:r>
      <w:r>
        <w:rPr>
          <w:spacing w:val="-3"/>
        </w:rPr>
        <w:t> </w:t>
      </w:r>
      <w:r>
        <w:rPr/>
        <w:t>capturing</w:t>
      </w:r>
      <w:r>
        <w:rPr>
          <w:spacing w:val="-3"/>
        </w:rPr>
        <w:t> </w:t>
      </w:r>
      <w:r>
        <w:rPr/>
        <w:t>end user concerns, and enabling iterative technology refinement within mandated constraints.</w:t>
      </w:r>
    </w:p>
    <w:p>
      <w:pPr>
        <w:pStyle w:val="BodyText"/>
        <w:spacing w:line="230" w:lineRule="auto" w:before="124"/>
        <w:ind w:left="352" w:right="1017" w:firstLine="15"/>
        <w:jc w:val="both"/>
      </w:pPr>
      <w:r>
        <w:rPr/>
        <w:t>Usability studies emerged as a pivotal instrument in capturing observational and qualitative data from</w:t>
      </w:r>
      <w:r>
        <w:rPr>
          <w:spacing w:val="40"/>
        </w:rPr>
        <w:t> </w:t>
      </w:r>
      <w:r>
        <w:rPr/>
        <w:t>end</w:t>
      </w:r>
      <w:r>
        <w:rPr>
          <w:spacing w:val="40"/>
        </w:rPr>
        <w:t> </w:t>
      </w:r>
      <w:r>
        <w:rPr/>
        <w:t>users and were conducted three times during the observation period. Usability Studies </w:t>
      </w:r>
      <w:r>
        <w:rPr/>
        <w:t>employed formal</w:t>
      </w:r>
      <w:r>
        <w:rPr>
          <w:spacing w:val="40"/>
        </w:rPr>
        <w:t> </w:t>
      </w:r>
      <w:r>
        <w:rPr/>
        <w:t>qualitative research methods to test</w:t>
      </w:r>
      <w:r>
        <w:rPr>
          <w:spacing w:val="-2"/>
        </w:rPr>
        <w:t> </w:t>
      </w:r>
      <w:r>
        <w:rPr/>
        <w:t>technology</w:t>
      </w:r>
      <w:r>
        <w:rPr>
          <w:spacing w:val="-2"/>
        </w:rPr>
        <w:t> </w:t>
      </w:r>
      <w:r>
        <w:rPr/>
        <w:t>functionality</w:t>
      </w:r>
      <w:r>
        <w:rPr>
          <w:spacing w:val="-2"/>
        </w:rPr>
        <w:t> </w:t>
      </w:r>
      <w:r>
        <w:rPr/>
        <w:t>and</w:t>
      </w:r>
      <w:r>
        <w:rPr>
          <w:spacing w:val="-2"/>
        </w:rPr>
        <w:t> </w:t>
      </w:r>
      <w:r>
        <w:rPr/>
        <w:t>features</w:t>
      </w:r>
      <w:r>
        <w:rPr>
          <w:spacing w:val="-2"/>
        </w:rPr>
        <w:t> </w:t>
      </w:r>
      <w:r>
        <w:rPr/>
        <w:t>by</w:t>
      </w:r>
      <w:r>
        <w:rPr>
          <w:spacing w:val="-2"/>
        </w:rPr>
        <w:t> </w:t>
      </w:r>
      <w:r>
        <w:rPr/>
        <w:t>observing</w:t>
      </w:r>
      <w:r>
        <w:rPr>
          <w:spacing w:val="-2"/>
        </w:rPr>
        <w:t> </w:t>
      </w:r>
      <w:r>
        <w:rPr/>
        <w:t>end</w:t>
      </w:r>
      <w:r>
        <w:rPr>
          <w:spacing w:val="-2"/>
        </w:rPr>
        <w:t> </w:t>
      </w:r>
      <w:r>
        <w:rPr/>
        <w:t>users completing tasks. These studies captured critical input including end-user feedback,</w:t>
      </w:r>
      <w:r>
        <w:rPr>
          <w:spacing w:val="-3"/>
        </w:rPr>
        <w:t> </w:t>
      </w:r>
      <w:r>
        <w:rPr/>
        <w:t>onsite</w:t>
      </w:r>
      <w:r>
        <w:rPr>
          <w:spacing w:val="-3"/>
        </w:rPr>
        <w:t> </w:t>
      </w:r>
      <w:r>
        <w:rPr/>
        <w:t>observations, ease-of-use assessments, and feature validation. Usability studies proved essential for identifying user experience issues and making necessary adjustments to enhance technology alignment with work </w:t>
      </w:r>
      <w:r>
        <w:rPr>
          <w:spacing w:val="-2"/>
        </w:rPr>
        <w:t>practices.</w:t>
      </w:r>
    </w:p>
    <w:p>
      <w:pPr>
        <w:pStyle w:val="BodyText"/>
        <w:spacing w:after="0" w:line="230" w:lineRule="auto"/>
        <w:jc w:val="both"/>
        <w:sectPr>
          <w:pgSz w:w="12240" w:h="15840"/>
          <w:pgMar w:header="0" w:footer="761" w:top="620" w:bottom="960" w:left="720" w:right="0"/>
        </w:sectPr>
      </w:pPr>
    </w:p>
    <w:p>
      <w:pPr>
        <w:pStyle w:val="BodyText"/>
        <w:spacing w:line="230" w:lineRule="auto" w:before="80"/>
        <w:ind w:left="352" w:right="1020" w:firstLine="15"/>
        <w:jc w:val="both"/>
      </w:pPr>
      <w:r>
        <w:rPr/>
        <w:t>Stakeholder meetings proved critical for disseminating implementation progress updates and </w:t>
      </w:r>
      <w:r>
        <w:rPr/>
        <w:t>collecting prioritized enhancements from end-users. Stakeholder Meetings engaged organizational stakeholders to gather requirements and provide implementation status updates. These meetings facilitated communication, requirement articulation, end-user feedback aggregation, feature demonstrations, and release prioritization. Stakeholder meetings proved crucial for ensuring alignment across organizational levels and state contexts, facilitating smoother transitions and fostering shared ownership of the technology. The meetings also served as forums for navigating stakeholder politics and competing priorities inherent in complex organizations.</w:t>
      </w:r>
    </w:p>
    <w:p>
      <w:pPr>
        <w:pStyle w:val="BodyText"/>
        <w:spacing w:line="230" w:lineRule="auto" w:before="122"/>
        <w:ind w:left="367" w:right="1019"/>
        <w:jc w:val="both"/>
      </w:pPr>
      <w:r>
        <w:rPr/>
        <w:t>Release communications, including product demonstrations and confirmation of functional improvements, facilitated impactful information exchange and demonstrated responsiveness to end-user input. Release communication encompassed systematic dissemination of information regarding GMT functions and features. Effective release communication also included status updates, new feature announcements, and issue management communication. This mechanism ensured end-users remained well-informed about technology evolution, reducing confusion and resistance by </w:t>
      </w:r>
      <w:r>
        <w:rPr/>
        <w:t>demonstrating responsiveness to their concerns and validating their input in the co-creation process.</w:t>
      </w:r>
    </w:p>
    <w:p>
      <w:pPr>
        <w:pStyle w:val="BodyText"/>
        <w:spacing w:line="230" w:lineRule="auto" w:before="123"/>
        <w:ind w:left="367" w:right="1018"/>
        <w:jc w:val="both"/>
      </w:pPr>
      <w:r>
        <w:rPr/>
        <w:t>In the context of overcoming end-user resistance to GMT, the organization strategically </w:t>
      </w:r>
      <w:r>
        <w:rPr/>
        <w:t>harnessed feedback mechanisms to mitigate resistance. TFR theory provides a lens for navigating complexities inherent in technology implementation within organizations characterized by</w:t>
      </w:r>
      <w:r>
        <w:rPr>
          <w:spacing w:val="-3"/>
        </w:rPr>
        <w:t> </w:t>
      </w:r>
      <w:r>
        <w:rPr/>
        <w:t>diverse</w:t>
      </w:r>
      <w:r>
        <w:rPr>
          <w:spacing w:val="-3"/>
        </w:rPr>
        <w:t> </w:t>
      </w:r>
      <w:r>
        <w:rPr/>
        <w:t>stakeholder</w:t>
      </w:r>
      <w:r>
        <w:rPr>
          <w:spacing w:val="-3"/>
        </w:rPr>
        <w:t> </w:t>
      </w:r>
      <w:r>
        <w:rPr/>
        <w:t>groups (Murungi &amp; Káganer, 2023). The feedback mechanisms were strategically employed to align technological perceptions across stakeholders, enhancing communication frequency and clarity. TFR research suggests the necessity of early identification and articulation of frames to pinpoint potential incongruences and resistance (Davidson &amp; Pai, 2004; Ghobadi &amp; Mathiassen, 2023). Feedback mechanisms were pursued both prior to and during rollout phases across all three</w:t>
      </w:r>
      <w:r>
        <w:rPr>
          <w:spacing w:val="-2"/>
        </w:rPr>
        <w:t> </w:t>
      </w:r>
      <w:r>
        <w:rPr/>
        <w:t>state</w:t>
      </w:r>
      <w:r>
        <w:rPr>
          <w:spacing w:val="-2"/>
        </w:rPr>
        <w:t> </w:t>
      </w:r>
      <w:r>
        <w:rPr/>
        <w:t>implementations to preemptively and continuously address resistance, enabling the transformation of GMT from an imposed system into a co-created solution aligned with end-user needs. Table 2 provides a summary of the identified feedback mechanisms.</w:t>
      </w:r>
    </w:p>
    <w:p>
      <w:pPr>
        <w:pStyle w:val="BodyText"/>
        <w:spacing w:after="0" w:line="230" w:lineRule="auto"/>
        <w:jc w:val="both"/>
        <w:sectPr>
          <w:pgSz w:w="12240" w:h="15840"/>
          <w:pgMar w:header="0" w:footer="761" w:top="620" w:bottom="960" w:left="720" w:right="0"/>
        </w:sectPr>
      </w:pPr>
    </w:p>
    <w:p>
      <w:pPr>
        <w:spacing w:line="240" w:lineRule="auto"/>
        <w:ind w:left="770" w:right="0" w:firstLine="0"/>
        <w:rPr>
          <w:sz w:val="20"/>
        </w:rPr>
      </w:pPr>
      <w:r>
        <w:rPr>
          <w:sz w:val="20"/>
        </w:rPr>
        <w:drawing>
          <wp:inline distT="0" distB="0" distL="0" distR="0">
            <wp:extent cx="6139625" cy="5354193"/>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237" cstate="print"/>
                    <a:stretch>
                      <a:fillRect/>
                    </a:stretch>
                  </pic:blipFill>
                  <pic:spPr>
                    <a:xfrm>
                      <a:off x="0" y="0"/>
                      <a:ext cx="6139625" cy="5354193"/>
                    </a:xfrm>
                    <a:prstGeom prst="rect">
                      <a:avLst/>
                    </a:prstGeom>
                  </pic:spPr>
                </pic:pic>
              </a:graphicData>
            </a:graphic>
          </wp:inline>
        </w:drawing>
      </w:r>
      <w:r>
        <w:rPr>
          <w:sz w:val="20"/>
        </w:rPr>
      </w:r>
    </w:p>
    <w:p>
      <w:pPr>
        <w:pStyle w:val="BodyText"/>
        <w:ind w:right="724"/>
        <w:jc w:val="center"/>
      </w:pPr>
      <w:r>
        <w:rPr/>
        <w:t>Table</w:t>
      </w:r>
      <w:r>
        <w:rPr>
          <w:spacing w:val="-6"/>
        </w:rPr>
        <w:t> </w:t>
      </w:r>
      <w:r>
        <w:rPr/>
        <w:t>2.</w:t>
      </w:r>
      <w:r>
        <w:rPr>
          <w:spacing w:val="-6"/>
        </w:rPr>
        <w:t> </w:t>
      </w:r>
      <w:r>
        <w:rPr/>
        <w:t>Feedback</w:t>
      </w:r>
      <w:r>
        <w:rPr>
          <w:spacing w:val="-5"/>
        </w:rPr>
        <w:t> </w:t>
      </w:r>
      <w:r>
        <w:rPr>
          <w:spacing w:val="-2"/>
        </w:rPr>
        <w:t>Mechanisms</w:t>
      </w:r>
    </w:p>
    <w:p>
      <w:pPr>
        <w:pStyle w:val="Heading4"/>
        <w:spacing w:before="168"/>
        <w:ind w:left="367"/>
      </w:pPr>
      <w:r>
        <w:rPr>
          <w:spacing w:val="-2"/>
        </w:rPr>
        <w:t>Conclusion</w:t>
      </w:r>
    </w:p>
    <w:p>
      <w:pPr>
        <w:pStyle w:val="BodyText"/>
        <w:spacing w:line="230" w:lineRule="auto" w:before="236"/>
        <w:ind w:left="352" w:right="1018" w:firstLine="15"/>
        <w:jc w:val="both"/>
      </w:pPr>
      <w:r>
        <w:rPr/>
        <w:t>This research has practical implications for organizations seeking to overcome end-user resistance of GMT. The organization should embrace the following strategies: 1) Manage resistance </w:t>
      </w:r>
      <w:r>
        <w:rPr/>
        <w:t>through customization: To mitigate resistance to GMT, organizations should explore customization options and ancillary functionality that align with the mandate yet cater to the specific needs and contexts of organizational units or regions. 2) Balance compliance and flexibility: Organizations need to strike a balance between adhering to the GMT requirements and maintaining operational flexibility. The goal should be to understand the core requirements and specifications of the GMT and identify areas where flexibility is possible without compromising compliance.</w:t>
      </w:r>
    </w:p>
    <w:p>
      <w:pPr>
        <w:pStyle w:val="BodyText"/>
        <w:spacing w:line="230" w:lineRule="auto" w:before="122"/>
        <w:ind w:left="367" w:right="1021"/>
        <w:jc w:val="both"/>
      </w:pPr>
      <w:r>
        <w:rPr/>
        <w:t>The research has theoretical implications as the strategies employed to overcome end-user </w:t>
      </w:r>
      <w:r>
        <w:rPr/>
        <w:t>resistance were</w:t>
      </w:r>
      <w:r>
        <w:rPr>
          <w:spacing w:val="40"/>
        </w:rPr>
        <w:t> </w:t>
      </w:r>
      <w:r>
        <w:rPr/>
        <w:t>grounded in extant literature. Usability studies facilitated local customization and co-creation of GMT</w:t>
      </w:r>
      <w:r>
        <w:rPr>
          <w:spacing w:val="40"/>
        </w:rPr>
        <w:t> </w:t>
      </w:r>
      <w:r>
        <w:rPr/>
        <w:t>with stakeholders. Previous research indicates resistance can be lessened when technology is tailored to</w:t>
      </w:r>
      <w:r>
        <w:rPr>
          <w:spacing w:val="40"/>
        </w:rPr>
        <w:t> </w:t>
      </w:r>
      <w:r>
        <w:rPr/>
        <w:t>meet local needs, fostering ownership and acceptance (Carugati et al., 2018; Nielsen, Mathiassen, &amp; Newell, 2014). Stakeholder meetings and release communication aligned TFR among end-users by</w:t>
      </w:r>
      <w:r>
        <w:rPr>
          <w:spacing w:val="40"/>
        </w:rPr>
        <w:t> </w:t>
      </w:r>
      <w:r>
        <w:rPr/>
        <w:t>increasing communication and collaboration. Communication channels create shared understanding of</w:t>
      </w:r>
      <w:r>
        <w:rPr>
          <w:spacing w:val="40"/>
        </w:rPr>
        <w:t> </w:t>
      </w:r>
      <w:r>
        <w:rPr/>
        <w:t>technology's purpose and benefits, reducing stakeholder resistance (Ghobadi &amp; Mathiassen, 2023). These</w:t>
      </w:r>
      <w:r>
        <w:rPr>
          <w:spacing w:val="40"/>
        </w:rPr>
        <w:t> </w:t>
      </w:r>
      <w:r>
        <w:rPr/>
        <w:t>mechanisms collectively kept users informed and engaged, alleviating uncertainties and building trust.</w:t>
      </w:r>
    </w:p>
    <w:p>
      <w:pPr>
        <w:pStyle w:val="BodyText"/>
        <w:spacing w:after="0" w:line="230" w:lineRule="auto"/>
        <w:jc w:val="both"/>
        <w:sectPr>
          <w:pgSz w:w="12240" w:h="15840"/>
          <w:pgMar w:header="0" w:footer="761" w:top="700" w:bottom="960" w:left="720" w:right="0"/>
        </w:sectPr>
      </w:pPr>
    </w:p>
    <w:p>
      <w:pPr>
        <w:pStyle w:val="BodyText"/>
        <w:spacing w:line="230" w:lineRule="auto" w:before="80"/>
        <w:ind w:left="352" w:right="1018" w:firstLine="15"/>
        <w:jc w:val="both"/>
      </w:pPr>
      <w:r>
        <w:rPr/>
        <w:t>This research study has several limitations.</w:t>
      </w:r>
      <w:r>
        <w:rPr>
          <w:spacing w:val="-2"/>
        </w:rPr>
        <w:t> </w:t>
      </w:r>
      <w:r>
        <w:rPr/>
        <w:t>First,</w:t>
      </w:r>
      <w:r>
        <w:rPr>
          <w:spacing w:val="-2"/>
        </w:rPr>
        <w:t> </w:t>
      </w:r>
      <w:r>
        <w:rPr/>
        <w:t>focusing</w:t>
      </w:r>
      <w:r>
        <w:rPr>
          <w:spacing w:val="-2"/>
        </w:rPr>
        <w:t> </w:t>
      </w:r>
      <w:r>
        <w:rPr/>
        <w:t>on</w:t>
      </w:r>
      <w:r>
        <w:rPr>
          <w:spacing w:val="-2"/>
        </w:rPr>
        <w:t> </w:t>
      </w:r>
      <w:r>
        <w:rPr/>
        <w:t>a</w:t>
      </w:r>
      <w:r>
        <w:rPr>
          <w:spacing w:val="-2"/>
        </w:rPr>
        <w:t> </w:t>
      </w:r>
      <w:r>
        <w:rPr/>
        <w:t>single</w:t>
      </w:r>
      <w:r>
        <w:rPr>
          <w:spacing w:val="-2"/>
        </w:rPr>
        <w:t> </w:t>
      </w:r>
      <w:r>
        <w:rPr/>
        <w:t>organization</w:t>
      </w:r>
      <w:r>
        <w:rPr>
          <w:spacing w:val="-2"/>
        </w:rPr>
        <w:t> </w:t>
      </w:r>
      <w:r>
        <w:rPr/>
        <w:t>(HHS</w:t>
      </w:r>
      <w:r>
        <w:rPr>
          <w:spacing w:val="-2"/>
        </w:rPr>
        <w:t> </w:t>
      </w:r>
      <w:r>
        <w:rPr/>
        <w:t>Inc.)</w:t>
      </w:r>
      <w:r>
        <w:rPr>
          <w:spacing w:val="-2"/>
        </w:rPr>
        <w:t> </w:t>
      </w:r>
      <w:r>
        <w:rPr/>
        <w:t>may</w:t>
      </w:r>
      <w:r>
        <w:rPr>
          <w:spacing w:val="-2"/>
        </w:rPr>
        <w:t> </w:t>
      </w:r>
      <w:r>
        <w:rPr/>
        <w:t>limit generalizability to organizations with different structures, sizes, or resources. The unique characteristics inherent to case studies may constrain the applicability of insights to other contexts</w:t>
      </w:r>
      <w:r>
        <w:rPr>
          <w:spacing w:val="-2"/>
        </w:rPr>
        <w:t> </w:t>
      </w:r>
      <w:r>
        <w:rPr/>
        <w:t>facing</w:t>
      </w:r>
      <w:r>
        <w:rPr>
          <w:spacing w:val="-2"/>
        </w:rPr>
        <w:t> </w:t>
      </w:r>
      <w:r>
        <w:rPr/>
        <w:t>similar</w:t>
      </w:r>
      <w:r>
        <w:rPr>
          <w:spacing w:val="-2"/>
        </w:rPr>
        <w:t> </w:t>
      </w:r>
      <w:r>
        <w:rPr/>
        <w:t>GMT implementations. Second, the retrospective, qualitative design relies on historical data and participants' recollections, potentially introducing recall bias as participants might not accurately remember or may reinterpret past events and decisions. Third, the study covers GMT implementation spanning eighteen months of data collection. The organizational environment and technology landscape may evolve, potentially affecting the findings' long-term relevance or applicability. Fourth, while</w:t>
      </w:r>
      <w:r>
        <w:rPr>
          <w:spacing w:val="-4"/>
        </w:rPr>
        <w:t> </w:t>
      </w:r>
      <w:r>
        <w:rPr/>
        <w:t>the</w:t>
      </w:r>
      <w:r>
        <w:rPr>
          <w:spacing w:val="-4"/>
        </w:rPr>
        <w:t> </w:t>
      </w:r>
      <w:r>
        <w:rPr/>
        <w:t>study</w:t>
      </w:r>
      <w:r>
        <w:rPr>
          <w:spacing w:val="-4"/>
        </w:rPr>
        <w:t> </w:t>
      </w:r>
      <w:r>
        <w:rPr/>
        <w:t>examined how HHS Inc. overcame end-user resistance, focusing on the organization as the unit of analysis might underrepresent end-users’ actual experiences and viewpoints. Understanding resistance</w:t>
      </w:r>
      <w:r>
        <w:rPr>
          <w:spacing w:val="-3"/>
        </w:rPr>
        <w:t> </w:t>
      </w:r>
      <w:r>
        <w:rPr/>
        <w:t>nuances</w:t>
      </w:r>
      <w:r>
        <w:rPr>
          <w:spacing w:val="-3"/>
        </w:rPr>
        <w:t> </w:t>
      </w:r>
      <w:r>
        <w:rPr/>
        <w:t>requires multifaceted approaches not fully captured by organizational-level analysis.</w:t>
      </w:r>
    </w:p>
    <w:p>
      <w:pPr>
        <w:pStyle w:val="BodyText"/>
        <w:spacing w:line="230" w:lineRule="auto" w:before="121"/>
        <w:ind w:left="367" w:right="1019"/>
        <w:jc w:val="both"/>
      </w:pPr>
      <w:r>
        <w:rPr/>
        <w:t>These limitations suggest opportunities for future research. First, comparative case studies </w:t>
      </w:r>
      <w:r>
        <w:rPr/>
        <w:t>involving multiple organizations with varying characteristics (size, structure, geographic scope)</w:t>
      </w:r>
      <w:r>
        <w:rPr>
          <w:spacing w:val="-3"/>
        </w:rPr>
        <w:t> </w:t>
      </w:r>
      <w:r>
        <w:rPr/>
        <w:t>could</w:t>
      </w:r>
      <w:r>
        <w:rPr>
          <w:spacing w:val="-3"/>
        </w:rPr>
        <w:t> </w:t>
      </w:r>
      <w:r>
        <w:rPr/>
        <w:t>increase</w:t>
      </w:r>
      <w:r>
        <w:rPr>
          <w:spacing w:val="-3"/>
        </w:rPr>
        <w:t> </w:t>
      </w:r>
      <w:r>
        <w:rPr/>
        <w:t>the generalizability of the findings. Second, quantitative studies measuring end-user resistance to GMT</w:t>
      </w:r>
      <w:r>
        <w:rPr>
          <w:spacing w:val="40"/>
        </w:rPr>
        <w:t> </w:t>
      </w:r>
      <w:r>
        <w:rPr/>
        <w:t>could</w:t>
      </w:r>
      <w:r>
        <w:rPr>
          <w:spacing w:val="40"/>
        </w:rPr>
        <w:t> </w:t>
      </w:r>
      <w:r>
        <w:rPr/>
        <w:t>complement qualitative insights, with statistical analysis providing a broader perspective on implementation strategy effectiveness.</w:t>
      </w:r>
      <w:r>
        <w:rPr>
          <w:spacing w:val="-4"/>
        </w:rPr>
        <w:t> </w:t>
      </w:r>
      <w:r>
        <w:rPr/>
        <w:t>Third,</w:t>
      </w:r>
      <w:r>
        <w:rPr>
          <w:spacing w:val="-4"/>
        </w:rPr>
        <w:t> </w:t>
      </w:r>
      <w:r>
        <w:rPr/>
        <w:t>longitudinal</w:t>
      </w:r>
      <w:r>
        <w:rPr>
          <w:spacing w:val="-4"/>
        </w:rPr>
        <w:t> </w:t>
      </w:r>
      <w:r>
        <w:rPr/>
        <w:t>research</w:t>
      </w:r>
      <w:r>
        <w:rPr>
          <w:spacing w:val="-4"/>
        </w:rPr>
        <w:t> </w:t>
      </w:r>
      <w:r>
        <w:rPr/>
        <w:t>designs</w:t>
      </w:r>
      <w:r>
        <w:rPr>
          <w:spacing w:val="-4"/>
        </w:rPr>
        <w:t> </w:t>
      </w:r>
      <w:r>
        <w:rPr/>
        <w:t>tracking</w:t>
      </w:r>
      <w:r>
        <w:rPr>
          <w:spacing w:val="-4"/>
        </w:rPr>
        <w:t> </w:t>
      </w:r>
      <w:r>
        <w:rPr/>
        <w:t>GMT</w:t>
      </w:r>
      <w:r>
        <w:rPr>
          <w:spacing w:val="-4"/>
        </w:rPr>
        <w:t> </w:t>
      </w:r>
      <w:r>
        <w:rPr/>
        <w:t>evolution</w:t>
      </w:r>
      <w:r>
        <w:rPr>
          <w:spacing w:val="-4"/>
        </w:rPr>
        <w:t> </w:t>
      </w:r>
      <w:r>
        <w:rPr/>
        <w:t>over time could offer insights into the sustainability and long-term effects of the implementation strategies. These future research directions would further advance understanding of end-user resistance to GMT</w:t>
      </w:r>
      <w:r>
        <w:rPr>
          <w:spacing w:val="-3"/>
        </w:rPr>
        <w:t> </w:t>
      </w:r>
      <w:r>
        <w:rPr/>
        <w:t>in </w:t>
      </w:r>
      <w:r>
        <w:rPr>
          <w:spacing w:val="-2"/>
        </w:rPr>
        <w:t>organizations.</w:t>
      </w:r>
    </w:p>
    <w:p>
      <w:pPr>
        <w:pStyle w:val="Heading4"/>
        <w:spacing w:before="271"/>
        <w:ind w:left="367"/>
      </w:pPr>
      <w:r>
        <w:rPr>
          <w:spacing w:val="-2"/>
        </w:rPr>
        <w:t>References</w:t>
      </w:r>
    </w:p>
    <w:p>
      <w:pPr>
        <w:pStyle w:val="BodyText"/>
        <w:spacing w:line="230" w:lineRule="auto" w:before="116"/>
        <w:ind w:left="367" w:right="1381"/>
      </w:pPr>
      <w:r>
        <w:rPr/>
        <w:t>Carugati, A., Fernandez, W., Mola, L., &amp; Rossignoli, C. (2018). My choice, your problem? Mandating</w:t>
      </w:r>
      <w:r>
        <w:rPr>
          <w:spacing w:val="-5"/>
        </w:rPr>
        <w:t> </w:t>
      </w:r>
      <w:r>
        <w:rPr/>
        <w:t>IT</w:t>
      </w:r>
      <w:r>
        <w:rPr>
          <w:spacing w:val="-5"/>
        </w:rPr>
        <w:t> </w:t>
      </w:r>
      <w:r>
        <w:rPr/>
        <w:t>use</w:t>
      </w:r>
      <w:r>
        <w:rPr>
          <w:spacing w:val="-5"/>
        </w:rPr>
        <w:t> </w:t>
      </w:r>
      <w:r>
        <w:rPr/>
        <w:t>in</w:t>
      </w:r>
      <w:r>
        <w:rPr>
          <w:spacing w:val="-5"/>
        </w:rPr>
        <w:t> </w:t>
      </w:r>
      <w:r>
        <w:rPr/>
        <w:t>large</w:t>
      </w:r>
      <w:r>
        <w:rPr>
          <w:spacing w:val="-5"/>
        </w:rPr>
        <w:t> </w:t>
      </w:r>
      <w:r>
        <w:rPr/>
        <w:t>organisational</w:t>
      </w:r>
      <w:r>
        <w:rPr>
          <w:spacing w:val="-5"/>
        </w:rPr>
        <w:t> </w:t>
      </w:r>
      <w:r>
        <w:rPr/>
        <w:t>networks.</w:t>
      </w:r>
      <w:r>
        <w:rPr>
          <w:spacing w:val="-5"/>
        </w:rPr>
        <w:t> </w:t>
      </w:r>
      <w:r>
        <w:rPr>
          <w:i/>
        </w:rPr>
        <w:t>Information</w:t>
      </w:r>
      <w:r>
        <w:rPr>
          <w:i/>
          <w:spacing w:val="-5"/>
        </w:rPr>
        <w:t> </w:t>
      </w:r>
      <w:r>
        <w:rPr>
          <w:i/>
        </w:rPr>
        <w:t>Systems</w:t>
      </w:r>
      <w:r>
        <w:rPr>
          <w:i/>
          <w:spacing w:val="-5"/>
        </w:rPr>
        <w:t> </w:t>
      </w:r>
      <w:r>
        <w:rPr>
          <w:i/>
        </w:rPr>
        <w:t>Journal</w:t>
      </w:r>
      <w:r>
        <w:rPr/>
        <w:t>,</w:t>
      </w:r>
      <w:r>
        <w:rPr>
          <w:spacing w:val="-5"/>
        </w:rPr>
        <w:t> </w:t>
      </w:r>
      <w:r>
        <w:rPr>
          <w:i/>
        </w:rPr>
        <w:t>28</w:t>
      </w:r>
      <w:r>
        <w:rPr/>
        <w:t>(1),</w:t>
      </w:r>
      <w:r>
        <w:rPr>
          <w:spacing w:val="-5"/>
        </w:rPr>
        <w:t> </w:t>
      </w:r>
      <w:r>
        <w:rPr/>
        <w:t>6-</w:t>
      </w:r>
      <w:r>
        <w:rPr/>
        <w:t>47. </w:t>
      </w:r>
      <w:hyperlink r:id="rId238">
        <w:r>
          <w:rPr>
            <w:color w:val="0000FF"/>
            <w:spacing w:val="-2"/>
            <w:u w:val="thick" w:color="0000FF"/>
          </w:rPr>
          <w:t>https://doi.org/10.1111/isj.12120</w:t>
        </w:r>
      </w:hyperlink>
    </w:p>
    <w:p>
      <w:pPr>
        <w:pStyle w:val="BodyText"/>
        <w:spacing w:before="5"/>
      </w:pPr>
    </w:p>
    <w:p>
      <w:pPr>
        <w:pStyle w:val="BodyText"/>
        <w:ind w:left="367"/>
      </w:pPr>
      <w:r>
        <w:rPr/>
        <w:t>Creswell,</w:t>
      </w:r>
      <w:r>
        <w:rPr>
          <w:spacing w:val="-3"/>
        </w:rPr>
        <w:t> </w:t>
      </w:r>
      <w:r>
        <w:rPr/>
        <w:t>J.</w:t>
      </w:r>
      <w:r>
        <w:rPr>
          <w:spacing w:val="-2"/>
        </w:rPr>
        <w:t> </w:t>
      </w:r>
      <w:r>
        <w:rPr/>
        <w:t>W.</w:t>
      </w:r>
      <w:r>
        <w:rPr>
          <w:spacing w:val="-2"/>
        </w:rPr>
        <w:t> </w:t>
      </w:r>
      <w:r>
        <w:rPr/>
        <w:t>(2013).</w:t>
      </w:r>
      <w:r>
        <w:rPr>
          <w:spacing w:val="-2"/>
        </w:rPr>
        <w:t> </w:t>
      </w:r>
      <w:r>
        <w:rPr/>
        <w:t>Steps</w:t>
      </w:r>
      <w:r>
        <w:rPr>
          <w:spacing w:val="-2"/>
        </w:rPr>
        <w:t> </w:t>
      </w:r>
      <w:r>
        <w:rPr/>
        <w:t>in</w:t>
      </w:r>
      <w:r>
        <w:rPr>
          <w:spacing w:val="-2"/>
        </w:rPr>
        <w:t> </w:t>
      </w:r>
      <w:r>
        <w:rPr/>
        <w:t>conducting</w:t>
      </w:r>
      <w:r>
        <w:rPr>
          <w:spacing w:val="-2"/>
        </w:rPr>
        <w:t> </w:t>
      </w:r>
      <w:r>
        <w:rPr/>
        <w:t>a</w:t>
      </w:r>
      <w:r>
        <w:rPr>
          <w:spacing w:val="-2"/>
        </w:rPr>
        <w:t> </w:t>
      </w:r>
      <w:r>
        <w:rPr/>
        <w:t>scholarly</w:t>
      </w:r>
      <w:r>
        <w:rPr>
          <w:spacing w:val="-2"/>
        </w:rPr>
        <w:t> </w:t>
      </w:r>
      <w:r>
        <w:rPr/>
        <w:t>mixed</w:t>
      </w:r>
      <w:r>
        <w:rPr>
          <w:spacing w:val="-2"/>
        </w:rPr>
        <w:t> </w:t>
      </w:r>
      <w:r>
        <w:rPr/>
        <w:t>methods</w:t>
      </w:r>
      <w:r>
        <w:rPr>
          <w:spacing w:val="-2"/>
        </w:rPr>
        <w:t> study.</w:t>
      </w:r>
    </w:p>
    <w:p>
      <w:pPr>
        <w:pStyle w:val="BodyText"/>
        <w:spacing w:line="270" w:lineRule="exact" w:before="262"/>
        <w:ind w:left="367"/>
      </w:pPr>
      <w:r>
        <w:rPr/>
        <w:t>Davidson, E., &amp; Pai, D. (2004). Making sense of technological frames: Promise, progress, and </w:t>
      </w:r>
      <w:r>
        <w:rPr>
          <w:spacing w:val="-2"/>
        </w:rPr>
        <w:t>potential.</w:t>
      </w:r>
    </w:p>
    <w:p>
      <w:pPr>
        <w:spacing w:line="270" w:lineRule="exact" w:before="0"/>
        <w:ind w:left="352" w:right="0" w:firstLine="0"/>
        <w:jc w:val="left"/>
        <w:rPr>
          <w:sz w:val="24"/>
        </w:rPr>
      </w:pPr>
      <w:r>
        <w:rPr>
          <w:i/>
          <w:sz w:val="24"/>
        </w:rPr>
        <w:t>Information</w:t>
      </w:r>
      <w:r>
        <w:rPr>
          <w:i/>
          <w:spacing w:val="-3"/>
          <w:sz w:val="24"/>
        </w:rPr>
        <w:t> </w:t>
      </w:r>
      <w:r>
        <w:rPr>
          <w:i/>
          <w:sz w:val="24"/>
        </w:rPr>
        <w:t>systems</w:t>
      </w:r>
      <w:r>
        <w:rPr>
          <w:i/>
          <w:spacing w:val="-2"/>
          <w:sz w:val="24"/>
        </w:rPr>
        <w:t> </w:t>
      </w:r>
      <w:r>
        <w:rPr>
          <w:i/>
          <w:sz w:val="24"/>
        </w:rPr>
        <w:t>research:</w:t>
      </w:r>
      <w:r>
        <w:rPr>
          <w:i/>
          <w:spacing w:val="-2"/>
          <w:sz w:val="24"/>
        </w:rPr>
        <w:t> </w:t>
      </w:r>
      <w:r>
        <w:rPr>
          <w:i/>
          <w:sz w:val="24"/>
        </w:rPr>
        <w:t>Relevant</w:t>
      </w:r>
      <w:r>
        <w:rPr>
          <w:i/>
          <w:spacing w:val="-2"/>
          <w:sz w:val="24"/>
        </w:rPr>
        <w:t> </w:t>
      </w:r>
      <w:r>
        <w:rPr>
          <w:i/>
          <w:sz w:val="24"/>
        </w:rPr>
        <w:t>theory</w:t>
      </w:r>
      <w:r>
        <w:rPr>
          <w:i/>
          <w:spacing w:val="-3"/>
          <w:sz w:val="24"/>
        </w:rPr>
        <w:t> </w:t>
      </w:r>
      <w:r>
        <w:rPr>
          <w:i/>
          <w:sz w:val="24"/>
        </w:rPr>
        <w:t>and</w:t>
      </w:r>
      <w:r>
        <w:rPr>
          <w:i/>
          <w:spacing w:val="-2"/>
          <w:sz w:val="24"/>
        </w:rPr>
        <w:t> </w:t>
      </w:r>
      <w:r>
        <w:rPr>
          <w:i/>
          <w:sz w:val="24"/>
        </w:rPr>
        <w:t>informed</w:t>
      </w:r>
      <w:r>
        <w:rPr>
          <w:i/>
          <w:spacing w:val="-2"/>
          <w:sz w:val="24"/>
        </w:rPr>
        <w:t> </w:t>
      </w:r>
      <w:r>
        <w:rPr>
          <w:i/>
          <w:sz w:val="24"/>
        </w:rPr>
        <w:t>practice</w:t>
      </w:r>
      <w:r>
        <w:rPr>
          <w:sz w:val="24"/>
        </w:rPr>
        <w:t>,</w:t>
      </w:r>
      <w:r>
        <w:rPr>
          <w:spacing w:val="-2"/>
          <w:sz w:val="24"/>
        </w:rPr>
        <w:t> </w:t>
      </w:r>
      <w:r>
        <w:rPr>
          <w:sz w:val="24"/>
        </w:rPr>
        <w:t>473-</w:t>
      </w:r>
      <w:r>
        <w:rPr>
          <w:spacing w:val="-4"/>
          <w:sz w:val="24"/>
        </w:rPr>
        <w:t>491.</w:t>
      </w:r>
    </w:p>
    <w:p>
      <w:pPr>
        <w:pStyle w:val="BodyText"/>
        <w:spacing w:before="4"/>
      </w:pPr>
    </w:p>
    <w:p>
      <w:pPr>
        <w:spacing w:line="230" w:lineRule="auto" w:before="0"/>
        <w:ind w:left="367" w:right="954" w:firstLine="0"/>
        <w:jc w:val="left"/>
        <w:rPr>
          <w:sz w:val="24"/>
        </w:rPr>
      </w:pPr>
      <w:r>
        <w:rPr>
          <w:sz w:val="24"/>
        </w:rPr>
        <w:t>Ghobadi,</w:t>
      </w:r>
      <w:r>
        <w:rPr>
          <w:spacing w:val="-3"/>
          <w:sz w:val="24"/>
        </w:rPr>
        <w:t> </w:t>
      </w:r>
      <w:r>
        <w:rPr>
          <w:sz w:val="24"/>
        </w:rPr>
        <w:t>S.,</w:t>
      </w:r>
      <w:r>
        <w:rPr>
          <w:spacing w:val="-3"/>
          <w:sz w:val="24"/>
        </w:rPr>
        <w:t> </w:t>
      </w:r>
      <w:r>
        <w:rPr>
          <w:sz w:val="24"/>
        </w:rPr>
        <w:t>&amp;</w:t>
      </w:r>
      <w:r>
        <w:rPr>
          <w:spacing w:val="-3"/>
          <w:sz w:val="24"/>
        </w:rPr>
        <w:t> </w:t>
      </w:r>
      <w:r>
        <w:rPr>
          <w:sz w:val="24"/>
        </w:rPr>
        <w:t>Mathiassen,</w:t>
      </w:r>
      <w:r>
        <w:rPr>
          <w:spacing w:val="-3"/>
          <w:sz w:val="24"/>
        </w:rPr>
        <w:t> </w:t>
      </w:r>
      <w:r>
        <w:rPr>
          <w:sz w:val="24"/>
        </w:rPr>
        <w:t>L.</w:t>
      </w:r>
      <w:r>
        <w:rPr>
          <w:spacing w:val="-3"/>
          <w:sz w:val="24"/>
        </w:rPr>
        <w:t> </w:t>
      </w:r>
      <w:r>
        <w:rPr>
          <w:sz w:val="24"/>
        </w:rPr>
        <w:t>(2023).</w:t>
      </w:r>
      <w:r>
        <w:rPr>
          <w:spacing w:val="-3"/>
          <w:sz w:val="24"/>
        </w:rPr>
        <w:t> </w:t>
      </w:r>
      <w:r>
        <w:rPr>
          <w:sz w:val="24"/>
        </w:rPr>
        <w:t>A</w:t>
      </w:r>
      <w:r>
        <w:rPr>
          <w:spacing w:val="-3"/>
          <w:sz w:val="24"/>
        </w:rPr>
        <w:t> </w:t>
      </w:r>
      <w:r>
        <w:rPr>
          <w:sz w:val="24"/>
        </w:rPr>
        <w:t>cognitive</w:t>
      </w:r>
      <w:r>
        <w:rPr>
          <w:spacing w:val="-3"/>
          <w:sz w:val="24"/>
        </w:rPr>
        <w:t> </w:t>
      </w:r>
      <w:r>
        <w:rPr>
          <w:sz w:val="24"/>
        </w:rPr>
        <w:t>method</w:t>
      </w:r>
      <w:r>
        <w:rPr>
          <w:spacing w:val="-3"/>
          <w:sz w:val="24"/>
        </w:rPr>
        <w:t> </w:t>
      </w:r>
      <w:r>
        <w:rPr>
          <w:sz w:val="24"/>
        </w:rPr>
        <w:t>for</w:t>
      </w:r>
      <w:r>
        <w:rPr>
          <w:spacing w:val="-3"/>
          <w:sz w:val="24"/>
        </w:rPr>
        <w:t> </w:t>
      </w:r>
      <w:r>
        <w:rPr>
          <w:sz w:val="24"/>
        </w:rPr>
        <w:t>comparing</w:t>
      </w:r>
      <w:r>
        <w:rPr>
          <w:spacing w:val="-3"/>
          <w:sz w:val="24"/>
        </w:rPr>
        <w:t> </w:t>
      </w:r>
      <w:r>
        <w:rPr>
          <w:sz w:val="24"/>
        </w:rPr>
        <w:t>and</w:t>
      </w:r>
      <w:r>
        <w:rPr>
          <w:spacing w:val="-3"/>
          <w:sz w:val="24"/>
        </w:rPr>
        <w:t> </w:t>
      </w:r>
      <w:r>
        <w:rPr>
          <w:sz w:val="24"/>
        </w:rPr>
        <w:t>elaborating</w:t>
      </w:r>
      <w:r>
        <w:rPr>
          <w:spacing w:val="-3"/>
          <w:sz w:val="24"/>
        </w:rPr>
        <w:t> </w:t>
      </w:r>
      <w:r>
        <w:rPr>
          <w:sz w:val="24"/>
        </w:rPr>
        <w:t>on</w:t>
      </w:r>
      <w:r>
        <w:rPr>
          <w:spacing w:val="-3"/>
          <w:sz w:val="24"/>
        </w:rPr>
        <w:t> </w:t>
      </w:r>
      <w:r>
        <w:rPr>
          <w:sz w:val="24"/>
        </w:rPr>
        <w:t>technology frames. </w:t>
      </w:r>
      <w:r>
        <w:rPr>
          <w:i/>
          <w:sz w:val="24"/>
        </w:rPr>
        <w:t>British Journal of Management</w:t>
      </w:r>
      <w:r>
        <w:rPr>
          <w:sz w:val="24"/>
        </w:rPr>
        <w:t>.</w:t>
      </w:r>
    </w:p>
    <w:p>
      <w:pPr>
        <w:pStyle w:val="BodyText"/>
        <w:spacing w:before="5"/>
      </w:pPr>
    </w:p>
    <w:p>
      <w:pPr>
        <w:pStyle w:val="BodyText"/>
        <w:spacing w:line="230" w:lineRule="auto"/>
        <w:ind w:left="367" w:right="954"/>
      </w:pPr>
      <w:r>
        <w:rPr/>
        <w:t>Guest,</w:t>
      </w:r>
      <w:r>
        <w:rPr>
          <w:spacing w:val="-3"/>
        </w:rPr>
        <w:t> </w:t>
      </w:r>
      <w:r>
        <w:rPr/>
        <w:t>G.,</w:t>
      </w:r>
      <w:r>
        <w:rPr>
          <w:spacing w:val="-3"/>
        </w:rPr>
        <w:t> </w:t>
      </w:r>
      <w:r>
        <w:rPr/>
        <w:t>Bunce,</w:t>
      </w:r>
      <w:r>
        <w:rPr>
          <w:spacing w:val="-3"/>
        </w:rPr>
        <w:t> </w:t>
      </w:r>
      <w:r>
        <w:rPr/>
        <w:t>A.,</w:t>
      </w:r>
      <w:r>
        <w:rPr>
          <w:spacing w:val="-3"/>
        </w:rPr>
        <w:t> </w:t>
      </w:r>
      <w:r>
        <w:rPr/>
        <w:t>&amp;</w:t>
      </w:r>
      <w:r>
        <w:rPr>
          <w:spacing w:val="-3"/>
        </w:rPr>
        <w:t> </w:t>
      </w:r>
      <w:r>
        <w:rPr/>
        <w:t>Johnson,</w:t>
      </w:r>
      <w:r>
        <w:rPr>
          <w:spacing w:val="-3"/>
        </w:rPr>
        <w:t> </w:t>
      </w:r>
      <w:r>
        <w:rPr/>
        <w:t>L.</w:t>
      </w:r>
      <w:r>
        <w:rPr>
          <w:spacing w:val="-3"/>
        </w:rPr>
        <w:t> </w:t>
      </w:r>
      <w:r>
        <w:rPr/>
        <w:t>(2006).</w:t>
      </w:r>
      <w:r>
        <w:rPr>
          <w:spacing w:val="-3"/>
        </w:rPr>
        <w:t> </w:t>
      </w:r>
      <w:r>
        <w:rPr/>
        <w:t>How</w:t>
      </w:r>
      <w:r>
        <w:rPr>
          <w:spacing w:val="-3"/>
        </w:rPr>
        <w:t> </w:t>
      </w:r>
      <w:r>
        <w:rPr/>
        <w:t>many</w:t>
      </w:r>
      <w:r>
        <w:rPr>
          <w:spacing w:val="-3"/>
        </w:rPr>
        <w:t> </w:t>
      </w:r>
      <w:r>
        <w:rPr/>
        <w:t>interviews</w:t>
      </w:r>
      <w:r>
        <w:rPr>
          <w:spacing w:val="-3"/>
        </w:rPr>
        <w:t> </w:t>
      </w:r>
      <w:r>
        <w:rPr/>
        <w:t>are</w:t>
      </w:r>
      <w:r>
        <w:rPr>
          <w:spacing w:val="-3"/>
        </w:rPr>
        <w:t> </w:t>
      </w:r>
      <w:r>
        <w:rPr/>
        <w:t>enough?</w:t>
      </w:r>
      <w:r>
        <w:rPr>
          <w:spacing w:val="-3"/>
        </w:rPr>
        <w:t> </w:t>
      </w:r>
      <w:r>
        <w:rPr/>
        <w:t>An</w:t>
      </w:r>
      <w:r>
        <w:rPr>
          <w:spacing w:val="-3"/>
        </w:rPr>
        <w:t> </w:t>
      </w:r>
      <w:r>
        <w:rPr/>
        <w:t>experiment</w:t>
      </w:r>
      <w:r>
        <w:rPr>
          <w:spacing w:val="-3"/>
        </w:rPr>
        <w:t> </w:t>
      </w:r>
      <w:r>
        <w:rPr/>
        <w:t>with</w:t>
      </w:r>
      <w:r>
        <w:rPr>
          <w:spacing w:val="-3"/>
        </w:rPr>
        <w:t> </w:t>
      </w:r>
      <w:r>
        <w:rPr/>
        <w:t>data saturation and variability. </w:t>
      </w:r>
      <w:r>
        <w:rPr>
          <w:i/>
        </w:rPr>
        <w:t>Field methods</w:t>
      </w:r>
      <w:r>
        <w:rPr/>
        <w:t>, </w:t>
      </w:r>
      <w:r>
        <w:rPr>
          <w:i/>
        </w:rPr>
        <w:t>18</w:t>
      </w:r>
      <w:r>
        <w:rPr/>
        <w:t>(1), 59-82.</w:t>
      </w:r>
    </w:p>
    <w:p>
      <w:pPr>
        <w:spacing w:line="530" w:lineRule="atLeast" w:before="28"/>
        <w:ind w:left="367" w:right="1191" w:firstLine="0"/>
        <w:jc w:val="left"/>
        <w:rPr>
          <w:sz w:val="24"/>
        </w:rPr>
      </w:pPr>
      <w:r>
        <w:rPr>
          <w:sz w:val="24"/>
        </w:rPr>
        <w:t>Miles,</w:t>
      </w:r>
      <w:r>
        <w:rPr>
          <w:spacing w:val="-4"/>
          <w:sz w:val="24"/>
        </w:rPr>
        <w:t> </w:t>
      </w:r>
      <w:r>
        <w:rPr>
          <w:sz w:val="24"/>
        </w:rPr>
        <w:t>M.</w:t>
      </w:r>
      <w:r>
        <w:rPr>
          <w:spacing w:val="-4"/>
          <w:sz w:val="24"/>
        </w:rPr>
        <w:t> </w:t>
      </w:r>
      <w:r>
        <w:rPr>
          <w:sz w:val="24"/>
        </w:rPr>
        <w:t>B.,</w:t>
      </w:r>
      <w:r>
        <w:rPr>
          <w:spacing w:val="-4"/>
          <w:sz w:val="24"/>
        </w:rPr>
        <w:t> </w:t>
      </w:r>
      <w:r>
        <w:rPr>
          <w:sz w:val="24"/>
        </w:rPr>
        <w:t>&amp;</w:t>
      </w:r>
      <w:r>
        <w:rPr>
          <w:spacing w:val="-4"/>
          <w:sz w:val="24"/>
        </w:rPr>
        <w:t> </w:t>
      </w:r>
      <w:r>
        <w:rPr>
          <w:sz w:val="24"/>
        </w:rPr>
        <w:t>Huberman,</w:t>
      </w:r>
      <w:r>
        <w:rPr>
          <w:spacing w:val="-4"/>
          <w:sz w:val="24"/>
        </w:rPr>
        <w:t> </w:t>
      </w:r>
      <w:r>
        <w:rPr>
          <w:sz w:val="24"/>
        </w:rPr>
        <w:t>A.</w:t>
      </w:r>
      <w:r>
        <w:rPr>
          <w:spacing w:val="-4"/>
          <w:sz w:val="24"/>
        </w:rPr>
        <w:t> </w:t>
      </w:r>
      <w:r>
        <w:rPr>
          <w:sz w:val="24"/>
        </w:rPr>
        <w:t>M.</w:t>
      </w:r>
      <w:r>
        <w:rPr>
          <w:spacing w:val="-4"/>
          <w:sz w:val="24"/>
        </w:rPr>
        <w:t> </w:t>
      </w:r>
      <w:r>
        <w:rPr>
          <w:sz w:val="24"/>
        </w:rPr>
        <w:t>(1994).</w:t>
      </w:r>
      <w:r>
        <w:rPr>
          <w:spacing w:val="-4"/>
          <w:sz w:val="24"/>
        </w:rPr>
        <w:t> </w:t>
      </w:r>
      <w:r>
        <w:rPr>
          <w:i/>
          <w:sz w:val="24"/>
        </w:rPr>
        <w:t>Qualitative</w:t>
      </w:r>
      <w:r>
        <w:rPr>
          <w:i/>
          <w:spacing w:val="-4"/>
          <w:sz w:val="24"/>
        </w:rPr>
        <w:t> </w:t>
      </w:r>
      <w:r>
        <w:rPr>
          <w:i/>
          <w:sz w:val="24"/>
        </w:rPr>
        <w:t>data</w:t>
      </w:r>
      <w:r>
        <w:rPr>
          <w:i/>
          <w:spacing w:val="-4"/>
          <w:sz w:val="24"/>
        </w:rPr>
        <w:t> </w:t>
      </w:r>
      <w:r>
        <w:rPr>
          <w:i/>
          <w:sz w:val="24"/>
        </w:rPr>
        <w:t>analysis:</w:t>
      </w:r>
      <w:r>
        <w:rPr>
          <w:i/>
          <w:spacing w:val="-4"/>
          <w:sz w:val="24"/>
        </w:rPr>
        <w:t> </w:t>
      </w:r>
      <w:r>
        <w:rPr>
          <w:i/>
          <w:sz w:val="24"/>
        </w:rPr>
        <w:t>An</w:t>
      </w:r>
      <w:r>
        <w:rPr>
          <w:i/>
          <w:spacing w:val="-4"/>
          <w:sz w:val="24"/>
        </w:rPr>
        <w:t> </w:t>
      </w:r>
      <w:r>
        <w:rPr>
          <w:i/>
          <w:sz w:val="24"/>
        </w:rPr>
        <w:t>expanded</w:t>
      </w:r>
      <w:r>
        <w:rPr>
          <w:i/>
          <w:spacing w:val="-4"/>
          <w:sz w:val="24"/>
        </w:rPr>
        <w:t> </w:t>
      </w:r>
      <w:r>
        <w:rPr>
          <w:i/>
          <w:sz w:val="24"/>
        </w:rPr>
        <w:t>sourcebook</w:t>
      </w:r>
      <w:r>
        <w:rPr>
          <w:sz w:val="24"/>
        </w:rPr>
        <w:t>.</w:t>
      </w:r>
      <w:r>
        <w:rPr>
          <w:spacing w:val="-4"/>
          <w:sz w:val="24"/>
        </w:rPr>
        <w:t> </w:t>
      </w:r>
      <w:r>
        <w:rPr>
          <w:sz w:val="24"/>
        </w:rPr>
        <w:t>Sage. Miles, R. (2015). Complexity, representation and practice: Case study as method and methodology.</w:t>
      </w:r>
    </w:p>
    <w:p>
      <w:pPr>
        <w:spacing w:line="273" w:lineRule="exact" w:before="0"/>
        <w:ind w:left="352" w:right="0" w:firstLine="0"/>
        <w:jc w:val="left"/>
        <w:rPr>
          <w:sz w:val="24"/>
        </w:rPr>
      </w:pPr>
      <w:r>
        <w:rPr>
          <w:i/>
          <w:sz w:val="24"/>
        </w:rPr>
        <w:t>Issues</w:t>
      </w:r>
      <w:r>
        <w:rPr>
          <w:i/>
          <w:spacing w:val="-2"/>
          <w:sz w:val="24"/>
        </w:rPr>
        <w:t> </w:t>
      </w:r>
      <w:r>
        <w:rPr>
          <w:i/>
          <w:sz w:val="24"/>
        </w:rPr>
        <w:t>in</w:t>
      </w:r>
      <w:r>
        <w:rPr>
          <w:i/>
          <w:spacing w:val="-2"/>
          <w:sz w:val="24"/>
        </w:rPr>
        <w:t> </w:t>
      </w:r>
      <w:r>
        <w:rPr>
          <w:i/>
          <w:sz w:val="24"/>
        </w:rPr>
        <w:t>Educational</w:t>
      </w:r>
      <w:r>
        <w:rPr>
          <w:i/>
          <w:spacing w:val="-2"/>
          <w:sz w:val="24"/>
        </w:rPr>
        <w:t> </w:t>
      </w:r>
      <w:r>
        <w:rPr>
          <w:i/>
          <w:sz w:val="24"/>
        </w:rPr>
        <w:t>Research</w:t>
      </w:r>
      <w:r>
        <w:rPr>
          <w:sz w:val="24"/>
        </w:rPr>
        <w:t>,</w:t>
      </w:r>
      <w:r>
        <w:rPr>
          <w:spacing w:val="-2"/>
          <w:sz w:val="24"/>
        </w:rPr>
        <w:t> </w:t>
      </w:r>
      <w:r>
        <w:rPr>
          <w:i/>
          <w:sz w:val="24"/>
        </w:rPr>
        <w:t>25</w:t>
      </w:r>
      <w:r>
        <w:rPr>
          <w:sz w:val="24"/>
        </w:rPr>
        <w:t>(3),</w:t>
      </w:r>
      <w:r>
        <w:rPr>
          <w:spacing w:val="-1"/>
          <w:sz w:val="24"/>
        </w:rPr>
        <w:t> </w:t>
      </w:r>
      <w:r>
        <w:rPr>
          <w:sz w:val="24"/>
        </w:rPr>
        <w:t>309-</w:t>
      </w:r>
      <w:r>
        <w:rPr>
          <w:spacing w:val="-4"/>
          <w:sz w:val="24"/>
        </w:rPr>
        <w:t>318.</w:t>
      </w:r>
    </w:p>
    <w:p>
      <w:pPr>
        <w:pStyle w:val="BodyText"/>
        <w:spacing w:before="3"/>
      </w:pPr>
    </w:p>
    <w:p>
      <w:pPr>
        <w:spacing w:line="230" w:lineRule="auto" w:before="0"/>
        <w:ind w:left="352" w:right="996" w:firstLine="15"/>
        <w:jc w:val="left"/>
        <w:rPr>
          <w:sz w:val="24"/>
        </w:rPr>
      </w:pPr>
      <w:r>
        <w:rPr>
          <w:sz w:val="24"/>
        </w:rPr>
        <w:t>Miller, J. M. L. B., and Susan Chapman. (2021). </w:t>
      </w:r>
      <w:r>
        <w:rPr>
          <w:i/>
          <w:sz w:val="24"/>
        </w:rPr>
        <w:t>Impact of Electronic Visit Verification (EVV) on</w:t>
      </w:r>
      <w:r>
        <w:rPr>
          <w:i/>
          <w:sz w:val="24"/>
        </w:rPr>
        <w:t> Personal</w:t>
      </w:r>
      <w:r>
        <w:rPr>
          <w:i/>
          <w:spacing w:val="-3"/>
          <w:sz w:val="24"/>
        </w:rPr>
        <w:t> </w:t>
      </w:r>
      <w:r>
        <w:rPr>
          <w:i/>
          <w:sz w:val="24"/>
        </w:rPr>
        <w:t>Care</w:t>
      </w:r>
      <w:r>
        <w:rPr>
          <w:i/>
          <w:spacing w:val="-3"/>
          <w:sz w:val="24"/>
        </w:rPr>
        <w:t> </w:t>
      </w:r>
      <w:r>
        <w:rPr>
          <w:i/>
          <w:sz w:val="24"/>
        </w:rPr>
        <w:t>Services</w:t>
      </w:r>
      <w:r>
        <w:rPr>
          <w:i/>
          <w:spacing w:val="-3"/>
          <w:sz w:val="24"/>
        </w:rPr>
        <w:t> </w:t>
      </w:r>
      <w:r>
        <w:rPr>
          <w:i/>
          <w:sz w:val="24"/>
        </w:rPr>
        <w:t>Workers</w:t>
      </w:r>
      <w:r>
        <w:rPr>
          <w:i/>
          <w:spacing w:val="-3"/>
          <w:sz w:val="24"/>
        </w:rPr>
        <w:t> </w:t>
      </w:r>
      <w:r>
        <w:rPr>
          <w:i/>
          <w:sz w:val="24"/>
        </w:rPr>
        <w:t>and</w:t>
      </w:r>
      <w:r>
        <w:rPr>
          <w:i/>
          <w:spacing w:val="-3"/>
          <w:sz w:val="24"/>
        </w:rPr>
        <w:t> </w:t>
      </w:r>
      <w:r>
        <w:rPr>
          <w:i/>
          <w:sz w:val="24"/>
        </w:rPr>
        <w:t>Consumers</w:t>
      </w:r>
      <w:r>
        <w:rPr>
          <w:i/>
          <w:spacing w:val="-3"/>
          <w:sz w:val="24"/>
        </w:rPr>
        <w:t> </w:t>
      </w:r>
      <w:r>
        <w:rPr>
          <w:i/>
          <w:sz w:val="24"/>
        </w:rPr>
        <w:t>in</w:t>
      </w:r>
      <w:r>
        <w:rPr>
          <w:i/>
          <w:spacing w:val="-3"/>
          <w:sz w:val="24"/>
        </w:rPr>
        <w:t> </w:t>
      </w:r>
      <w:r>
        <w:rPr>
          <w:i/>
          <w:sz w:val="24"/>
        </w:rPr>
        <w:t>the</w:t>
      </w:r>
      <w:r>
        <w:rPr>
          <w:i/>
          <w:spacing w:val="-3"/>
          <w:sz w:val="24"/>
        </w:rPr>
        <w:t> </w:t>
      </w:r>
      <w:r>
        <w:rPr>
          <w:i/>
          <w:sz w:val="24"/>
        </w:rPr>
        <w:t>United</w:t>
      </w:r>
      <w:r>
        <w:rPr>
          <w:i/>
          <w:spacing w:val="-3"/>
          <w:sz w:val="24"/>
        </w:rPr>
        <w:t> </w:t>
      </w:r>
      <w:r>
        <w:rPr>
          <w:i/>
          <w:sz w:val="24"/>
        </w:rPr>
        <w:t>States</w:t>
      </w:r>
      <w:r>
        <w:rPr>
          <w:i/>
          <w:spacing w:val="-3"/>
          <w:sz w:val="24"/>
        </w:rPr>
        <w:t> </w:t>
      </w:r>
      <w:r>
        <w:rPr>
          <w:sz w:val="24"/>
        </w:rPr>
        <w:t>(UCSF</w:t>
      </w:r>
      <w:r>
        <w:rPr>
          <w:spacing w:val="-3"/>
          <w:sz w:val="24"/>
        </w:rPr>
        <w:t> </w:t>
      </w:r>
      <w:r>
        <w:rPr>
          <w:sz w:val="24"/>
        </w:rPr>
        <w:t>Health</w:t>
      </w:r>
      <w:r>
        <w:rPr>
          <w:spacing w:val="-3"/>
          <w:sz w:val="24"/>
        </w:rPr>
        <w:t> </w:t>
      </w:r>
      <w:r>
        <w:rPr>
          <w:sz w:val="24"/>
        </w:rPr>
        <w:t>Workforce</w:t>
      </w:r>
      <w:r>
        <w:rPr>
          <w:spacing w:val="-3"/>
          <w:sz w:val="24"/>
        </w:rPr>
        <w:t> </w:t>
      </w:r>
      <w:r>
        <w:rPr>
          <w:sz w:val="24"/>
        </w:rPr>
        <w:t>Research Center</w:t>
      </w:r>
      <w:r>
        <w:rPr>
          <w:spacing w:val="-8"/>
          <w:sz w:val="24"/>
        </w:rPr>
        <w:t> </w:t>
      </w:r>
      <w:r>
        <w:rPr>
          <w:sz w:val="24"/>
        </w:rPr>
        <w:t>on</w:t>
      </w:r>
      <w:r>
        <w:rPr>
          <w:spacing w:val="-7"/>
          <w:sz w:val="24"/>
        </w:rPr>
        <w:t> </w:t>
      </w:r>
      <w:r>
        <w:rPr>
          <w:sz w:val="24"/>
        </w:rPr>
        <w:t>Long-Term</w:t>
      </w:r>
      <w:r>
        <w:rPr>
          <w:spacing w:val="-8"/>
          <w:sz w:val="24"/>
        </w:rPr>
        <w:t> </w:t>
      </w:r>
      <w:r>
        <w:rPr>
          <w:sz w:val="24"/>
        </w:rPr>
        <w:t>Care,</w:t>
      </w:r>
      <w:r>
        <w:rPr>
          <w:spacing w:val="-7"/>
          <w:sz w:val="24"/>
        </w:rPr>
        <w:t> </w:t>
      </w:r>
      <w:r>
        <w:rPr>
          <w:sz w:val="24"/>
        </w:rPr>
        <w:t>Issue.</w:t>
      </w:r>
      <w:r>
        <w:rPr>
          <w:spacing w:val="-8"/>
          <w:sz w:val="24"/>
        </w:rPr>
        <w:t> </w:t>
      </w:r>
      <w:hyperlink r:id="rId239">
        <w:r>
          <w:rPr>
            <w:color w:val="0000FF"/>
            <w:sz w:val="24"/>
            <w:u w:val="thick" w:color="0000FF"/>
          </w:rPr>
          <w:t>https://dredf.org/wp-content/uploads/2021/08/EVV-Report</w:t>
        </w:r>
        <w:r>
          <w:rPr>
            <w:color w:val="0000FF"/>
            <w:spacing w:val="-7"/>
            <w:sz w:val="24"/>
            <w:u w:val="thick" w:color="0000FF"/>
          </w:rPr>
          <w:t> </w:t>
        </w:r>
        <w:r>
          <w:rPr>
            <w:color w:val="0000FF"/>
            <w:spacing w:val="-2"/>
            <w:sz w:val="24"/>
            <w:u w:val="thick" w:color="0000FF"/>
          </w:rPr>
          <w:t>210722.pdf</w:t>
        </w:r>
      </w:hyperlink>
    </w:p>
    <w:p>
      <w:pPr>
        <w:pStyle w:val="BodyText"/>
        <w:spacing w:before="4"/>
      </w:pPr>
    </w:p>
    <w:p>
      <w:pPr>
        <w:pStyle w:val="BodyText"/>
        <w:spacing w:line="230" w:lineRule="auto"/>
        <w:ind w:left="352" w:right="1219" w:firstLine="15"/>
        <w:jc w:val="both"/>
      </w:pPr>
      <w:r>
        <w:rPr/>
        <w:t>Murungi, D. M., &amp; Káganer, E.</w:t>
      </w:r>
      <w:r>
        <w:rPr>
          <w:spacing w:val="-4"/>
        </w:rPr>
        <w:t> </w:t>
      </w:r>
      <w:r>
        <w:rPr/>
        <w:t>(2023).</w:t>
      </w:r>
      <w:r>
        <w:rPr>
          <w:spacing w:val="-4"/>
        </w:rPr>
        <w:t> </w:t>
      </w:r>
      <w:r>
        <w:rPr/>
        <w:t>The</w:t>
      </w:r>
      <w:r>
        <w:rPr>
          <w:spacing w:val="-4"/>
        </w:rPr>
        <w:t> </w:t>
      </w:r>
      <w:r>
        <w:rPr/>
        <w:t>argumentative</w:t>
      </w:r>
      <w:r>
        <w:rPr>
          <w:spacing w:val="-4"/>
        </w:rPr>
        <w:t> </w:t>
      </w:r>
      <w:r>
        <w:rPr/>
        <w:t>salience</w:t>
      </w:r>
      <w:r>
        <w:rPr>
          <w:spacing w:val="-4"/>
        </w:rPr>
        <w:t> </w:t>
      </w:r>
      <w:r>
        <w:rPr/>
        <w:t>of</w:t>
      </w:r>
      <w:r>
        <w:rPr>
          <w:spacing w:val="-4"/>
        </w:rPr>
        <w:t> </w:t>
      </w:r>
      <w:r>
        <w:rPr/>
        <w:t>technology</w:t>
      </w:r>
      <w:r>
        <w:rPr>
          <w:spacing w:val="-4"/>
        </w:rPr>
        <w:t> </w:t>
      </w:r>
      <w:r>
        <w:rPr/>
        <w:t>frames</w:t>
      </w:r>
      <w:r>
        <w:rPr>
          <w:spacing w:val="-4"/>
        </w:rPr>
        <w:t> </w:t>
      </w:r>
      <w:r>
        <w:rPr/>
        <w:t>of</w:t>
      </w:r>
      <w:r>
        <w:rPr>
          <w:spacing w:val="-4"/>
        </w:rPr>
        <w:t> </w:t>
      </w:r>
      <w:r>
        <w:rPr/>
        <w:t>reference: An analysis of argumentative discourse</w:t>
      </w:r>
      <w:r>
        <w:rPr>
          <w:spacing w:val="-3"/>
        </w:rPr>
        <w:t> </w:t>
      </w:r>
      <w:r>
        <w:rPr/>
        <w:t>in</w:t>
      </w:r>
      <w:r>
        <w:rPr>
          <w:spacing w:val="-3"/>
        </w:rPr>
        <w:t> </w:t>
      </w:r>
      <w:r>
        <w:rPr/>
        <w:t>the</w:t>
      </w:r>
      <w:r>
        <w:rPr>
          <w:spacing w:val="-3"/>
        </w:rPr>
        <w:t> </w:t>
      </w:r>
      <w:r>
        <w:rPr/>
        <w:t>development</w:t>
      </w:r>
      <w:r>
        <w:rPr>
          <w:spacing w:val="-3"/>
        </w:rPr>
        <w:t> </w:t>
      </w:r>
      <w:r>
        <w:rPr/>
        <w:t>of</w:t>
      </w:r>
      <w:r>
        <w:rPr>
          <w:spacing w:val="-3"/>
        </w:rPr>
        <w:t> </w:t>
      </w:r>
      <w:r>
        <w:rPr/>
        <w:t>a</w:t>
      </w:r>
      <w:r>
        <w:rPr>
          <w:spacing w:val="-3"/>
        </w:rPr>
        <w:t> </w:t>
      </w:r>
      <w:r>
        <w:rPr/>
        <w:t>health</w:t>
      </w:r>
      <w:r>
        <w:rPr>
          <w:spacing w:val="-3"/>
        </w:rPr>
        <w:t> </w:t>
      </w:r>
      <w:r>
        <w:rPr/>
        <w:t>information</w:t>
      </w:r>
      <w:r>
        <w:rPr>
          <w:spacing w:val="-3"/>
        </w:rPr>
        <w:t> </w:t>
      </w:r>
      <w:r>
        <w:rPr/>
        <w:t>exchange</w:t>
      </w:r>
      <w:r>
        <w:rPr>
          <w:spacing w:val="-3"/>
        </w:rPr>
        <w:t> </w:t>
      </w:r>
      <w:r>
        <w:rPr/>
        <w:t>initiative. </w:t>
      </w:r>
      <w:r>
        <w:rPr>
          <w:i/>
        </w:rPr>
        <w:t>Information and Organization</w:t>
      </w:r>
      <w:r>
        <w:rPr/>
        <w:t>, </w:t>
      </w:r>
      <w:r>
        <w:rPr>
          <w:i/>
        </w:rPr>
        <w:t>33</w:t>
      </w:r>
      <w:r>
        <w:rPr/>
        <w:t>(2), 100465.</w:t>
      </w:r>
    </w:p>
    <w:p>
      <w:pPr>
        <w:pStyle w:val="BodyText"/>
        <w:spacing w:before="5"/>
      </w:pPr>
    </w:p>
    <w:p>
      <w:pPr>
        <w:spacing w:line="230" w:lineRule="auto" w:before="0"/>
        <w:ind w:left="367" w:right="1090" w:firstLine="0"/>
        <w:jc w:val="both"/>
        <w:rPr>
          <w:sz w:val="24"/>
        </w:rPr>
      </w:pPr>
      <w:r>
        <w:rPr>
          <w:sz w:val="24"/>
        </w:rPr>
        <w:t>Myers,</w:t>
      </w:r>
      <w:r>
        <w:rPr>
          <w:spacing w:val="-5"/>
          <w:sz w:val="24"/>
        </w:rPr>
        <w:t> </w:t>
      </w:r>
      <w:r>
        <w:rPr>
          <w:sz w:val="24"/>
        </w:rPr>
        <w:t>M.</w:t>
      </w:r>
      <w:r>
        <w:rPr>
          <w:spacing w:val="-5"/>
          <w:sz w:val="24"/>
        </w:rPr>
        <w:t> </w:t>
      </w:r>
      <w:r>
        <w:rPr>
          <w:sz w:val="24"/>
        </w:rPr>
        <w:t>D.</w:t>
      </w:r>
      <w:r>
        <w:rPr>
          <w:spacing w:val="-5"/>
          <w:sz w:val="24"/>
        </w:rPr>
        <w:t> </w:t>
      </w:r>
      <w:r>
        <w:rPr>
          <w:sz w:val="24"/>
        </w:rPr>
        <w:t>(2019).</w:t>
      </w:r>
      <w:r>
        <w:rPr>
          <w:spacing w:val="-5"/>
          <w:sz w:val="24"/>
        </w:rPr>
        <w:t> </w:t>
      </w:r>
      <w:r>
        <w:rPr>
          <w:sz w:val="24"/>
        </w:rPr>
        <w:t>Qualitative</w:t>
      </w:r>
      <w:r>
        <w:rPr>
          <w:spacing w:val="-5"/>
          <w:sz w:val="24"/>
        </w:rPr>
        <w:t> </w:t>
      </w:r>
      <w:r>
        <w:rPr>
          <w:sz w:val="24"/>
        </w:rPr>
        <w:t>research</w:t>
      </w:r>
      <w:r>
        <w:rPr>
          <w:spacing w:val="-5"/>
          <w:sz w:val="24"/>
        </w:rPr>
        <w:t> </w:t>
      </w:r>
      <w:r>
        <w:rPr>
          <w:sz w:val="24"/>
        </w:rPr>
        <w:t>in</w:t>
      </w:r>
      <w:r>
        <w:rPr>
          <w:spacing w:val="-5"/>
          <w:sz w:val="24"/>
        </w:rPr>
        <w:t> </w:t>
      </w:r>
      <w:r>
        <w:rPr>
          <w:sz w:val="24"/>
        </w:rPr>
        <w:t>business</w:t>
      </w:r>
      <w:r>
        <w:rPr>
          <w:spacing w:val="-5"/>
          <w:sz w:val="24"/>
        </w:rPr>
        <w:t> </w:t>
      </w:r>
      <w:r>
        <w:rPr>
          <w:sz w:val="24"/>
        </w:rPr>
        <w:t>and</w:t>
      </w:r>
      <w:r>
        <w:rPr>
          <w:spacing w:val="-5"/>
          <w:sz w:val="24"/>
        </w:rPr>
        <w:t> </w:t>
      </w:r>
      <w:r>
        <w:rPr>
          <w:sz w:val="24"/>
        </w:rPr>
        <w:t>management.</w:t>
      </w:r>
      <w:r>
        <w:rPr>
          <w:spacing w:val="-5"/>
          <w:sz w:val="24"/>
        </w:rPr>
        <w:t> </w:t>
      </w:r>
      <w:r>
        <w:rPr>
          <w:i/>
          <w:sz w:val="24"/>
        </w:rPr>
        <w:t>Qualitative</w:t>
      </w:r>
      <w:r>
        <w:rPr>
          <w:i/>
          <w:spacing w:val="-5"/>
          <w:sz w:val="24"/>
        </w:rPr>
        <w:t> </w:t>
      </w:r>
      <w:r>
        <w:rPr>
          <w:i/>
          <w:sz w:val="24"/>
        </w:rPr>
        <w:t>research</w:t>
      </w:r>
      <w:r>
        <w:rPr>
          <w:i/>
          <w:spacing w:val="-5"/>
          <w:sz w:val="24"/>
        </w:rPr>
        <w:t> </w:t>
      </w:r>
      <w:r>
        <w:rPr>
          <w:i/>
          <w:sz w:val="24"/>
        </w:rPr>
        <w:t>in</w:t>
      </w:r>
      <w:r>
        <w:rPr>
          <w:i/>
          <w:spacing w:val="-5"/>
          <w:sz w:val="24"/>
        </w:rPr>
        <w:t> </w:t>
      </w:r>
      <w:r>
        <w:rPr>
          <w:i/>
          <w:sz w:val="24"/>
        </w:rPr>
        <w:t>business</w:t>
      </w:r>
      <w:r>
        <w:rPr>
          <w:i/>
          <w:sz w:val="24"/>
        </w:rPr>
        <w:t> and management</w:t>
      </w:r>
      <w:r>
        <w:rPr>
          <w:sz w:val="24"/>
        </w:rPr>
        <w:t>, 1-364.</w:t>
      </w:r>
    </w:p>
    <w:p>
      <w:pPr>
        <w:spacing w:after="0" w:line="230" w:lineRule="auto"/>
        <w:jc w:val="both"/>
        <w:rPr>
          <w:sz w:val="24"/>
        </w:rPr>
        <w:sectPr>
          <w:pgSz w:w="12240" w:h="15840"/>
          <w:pgMar w:header="0" w:footer="761" w:top="620" w:bottom="960" w:left="720" w:right="0"/>
        </w:sectPr>
      </w:pPr>
    </w:p>
    <w:p>
      <w:pPr>
        <w:pStyle w:val="BodyText"/>
        <w:spacing w:line="230" w:lineRule="auto" w:before="80"/>
        <w:ind w:left="367" w:right="1191" w:hanging="15"/>
      </w:pPr>
      <w:r>
        <w:rPr>
          <w:color w:val="212121"/>
        </w:rPr>
        <w:t>Nielsen,</w:t>
      </w:r>
      <w:r>
        <w:rPr>
          <w:color w:val="212121"/>
          <w:spacing w:val="-3"/>
        </w:rPr>
        <w:t> </w:t>
      </w:r>
      <w:r>
        <w:rPr>
          <w:color w:val="212121"/>
        </w:rPr>
        <w:t>J.</w:t>
      </w:r>
      <w:r>
        <w:rPr>
          <w:color w:val="212121"/>
          <w:spacing w:val="-3"/>
        </w:rPr>
        <w:t> </w:t>
      </w:r>
      <w:r>
        <w:rPr>
          <w:color w:val="212121"/>
        </w:rPr>
        <w:t>A.,</w:t>
      </w:r>
      <w:r>
        <w:rPr>
          <w:color w:val="212121"/>
          <w:spacing w:val="-3"/>
        </w:rPr>
        <w:t> </w:t>
      </w:r>
      <w:r>
        <w:rPr>
          <w:color w:val="212121"/>
        </w:rPr>
        <w:t>Mathiassen,</w:t>
      </w:r>
      <w:r>
        <w:rPr>
          <w:color w:val="212121"/>
          <w:spacing w:val="-3"/>
        </w:rPr>
        <w:t> </w:t>
      </w:r>
      <w:r>
        <w:rPr>
          <w:color w:val="212121"/>
        </w:rPr>
        <w:t>L.,</w:t>
      </w:r>
      <w:r>
        <w:rPr>
          <w:color w:val="212121"/>
          <w:spacing w:val="-3"/>
        </w:rPr>
        <w:t> </w:t>
      </w:r>
      <w:r>
        <w:rPr>
          <w:color w:val="212121"/>
        </w:rPr>
        <w:t>&amp;</w:t>
      </w:r>
      <w:r>
        <w:rPr>
          <w:color w:val="212121"/>
          <w:spacing w:val="-3"/>
        </w:rPr>
        <w:t> </w:t>
      </w:r>
      <w:r>
        <w:rPr>
          <w:color w:val="212121"/>
        </w:rPr>
        <w:t>Newell,</w:t>
      </w:r>
      <w:r>
        <w:rPr>
          <w:color w:val="212121"/>
          <w:spacing w:val="-3"/>
        </w:rPr>
        <w:t> </w:t>
      </w:r>
      <w:r>
        <w:rPr>
          <w:color w:val="212121"/>
        </w:rPr>
        <w:t>S.</w:t>
      </w:r>
      <w:r>
        <w:rPr>
          <w:color w:val="212121"/>
          <w:spacing w:val="-3"/>
        </w:rPr>
        <w:t> </w:t>
      </w:r>
      <w:r>
        <w:rPr>
          <w:color w:val="212121"/>
        </w:rPr>
        <w:t>(2014).</w:t>
      </w:r>
      <w:r>
        <w:rPr>
          <w:color w:val="212121"/>
          <w:spacing w:val="-3"/>
        </w:rPr>
        <w:t> </w:t>
      </w:r>
      <w:r>
        <w:rPr>
          <w:color w:val="212121"/>
        </w:rPr>
        <w:t>Theorization</w:t>
      </w:r>
      <w:r>
        <w:rPr>
          <w:color w:val="212121"/>
          <w:spacing w:val="-3"/>
        </w:rPr>
        <w:t> </w:t>
      </w:r>
      <w:r>
        <w:rPr>
          <w:color w:val="212121"/>
        </w:rPr>
        <w:t>and</w:t>
      </w:r>
      <w:r>
        <w:rPr>
          <w:color w:val="212121"/>
          <w:spacing w:val="-3"/>
        </w:rPr>
        <w:t> </w:t>
      </w:r>
      <w:r>
        <w:rPr>
          <w:color w:val="212121"/>
        </w:rPr>
        <w:t>translation</w:t>
      </w:r>
      <w:r>
        <w:rPr>
          <w:color w:val="212121"/>
          <w:spacing w:val="-3"/>
        </w:rPr>
        <w:t> </w:t>
      </w:r>
      <w:r>
        <w:rPr>
          <w:color w:val="212121"/>
        </w:rPr>
        <w:t>in</w:t>
      </w:r>
      <w:r>
        <w:rPr>
          <w:color w:val="212121"/>
          <w:spacing w:val="-3"/>
        </w:rPr>
        <w:t> </w:t>
      </w:r>
      <w:r>
        <w:rPr>
          <w:color w:val="212121"/>
        </w:rPr>
        <w:t>information technology institutionalization: Evidence from Danish home care. </w:t>
      </w:r>
      <w:r>
        <w:rPr>
          <w:i/>
          <w:color w:val="212121"/>
        </w:rPr>
        <w:t>MIS Quarterly</w:t>
      </w:r>
      <w:r>
        <w:rPr>
          <w:color w:val="212121"/>
        </w:rPr>
        <w:t>, </w:t>
      </w:r>
      <w:r>
        <w:rPr>
          <w:i/>
          <w:color w:val="212121"/>
        </w:rPr>
        <w:t>38</w:t>
      </w:r>
      <w:r>
        <w:rPr>
          <w:color w:val="212121"/>
        </w:rPr>
        <w:t>(1),</w:t>
      </w:r>
    </w:p>
    <w:p>
      <w:pPr>
        <w:pStyle w:val="BodyText"/>
        <w:spacing w:line="266" w:lineRule="exact"/>
        <w:ind w:left="367"/>
      </w:pPr>
      <w:r>
        <w:rPr>
          <w:color w:val="212121"/>
        </w:rPr>
        <w:t>165-</w:t>
      </w:r>
      <w:r>
        <w:rPr>
          <w:color w:val="212121"/>
          <w:spacing w:val="-4"/>
        </w:rPr>
        <w:t>186.</w:t>
      </w:r>
    </w:p>
    <w:p>
      <w:pPr>
        <w:pStyle w:val="BodyText"/>
        <w:spacing w:before="4"/>
      </w:pPr>
    </w:p>
    <w:p>
      <w:pPr>
        <w:spacing w:line="230" w:lineRule="auto" w:before="0"/>
        <w:ind w:left="367" w:right="1076" w:firstLine="0"/>
        <w:jc w:val="left"/>
        <w:rPr>
          <w:sz w:val="24"/>
        </w:rPr>
      </w:pPr>
      <w:r>
        <w:rPr>
          <w:sz w:val="24"/>
        </w:rPr>
        <w:t>Orlikowski,</w:t>
      </w:r>
      <w:r>
        <w:rPr>
          <w:spacing w:val="-6"/>
          <w:sz w:val="24"/>
        </w:rPr>
        <w:t> </w:t>
      </w:r>
      <w:r>
        <w:rPr>
          <w:sz w:val="24"/>
        </w:rPr>
        <w:t>W.</w:t>
      </w:r>
      <w:r>
        <w:rPr>
          <w:spacing w:val="-6"/>
          <w:sz w:val="24"/>
        </w:rPr>
        <w:t> </w:t>
      </w:r>
      <w:r>
        <w:rPr>
          <w:sz w:val="24"/>
        </w:rPr>
        <w:t>J.,</w:t>
      </w:r>
      <w:r>
        <w:rPr>
          <w:spacing w:val="-6"/>
          <w:sz w:val="24"/>
        </w:rPr>
        <w:t> </w:t>
      </w:r>
      <w:r>
        <w:rPr>
          <w:sz w:val="24"/>
        </w:rPr>
        <w:t>&amp;</w:t>
      </w:r>
      <w:r>
        <w:rPr>
          <w:spacing w:val="-6"/>
          <w:sz w:val="24"/>
        </w:rPr>
        <w:t> </w:t>
      </w:r>
      <w:r>
        <w:rPr>
          <w:sz w:val="24"/>
        </w:rPr>
        <w:t>Gash,</w:t>
      </w:r>
      <w:r>
        <w:rPr>
          <w:spacing w:val="-6"/>
          <w:sz w:val="24"/>
        </w:rPr>
        <w:t> </w:t>
      </w:r>
      <w:r>
        <w:rPr>
          <w:sz w:val="24"/>
        </w:rPr>
        <w:t>D.</w:t>
      </w:r>
      <w:r>
        <w:rPr>
          <w:spacing w:val="-6"/>
          <w:sz w:val="24"/>
        </w:rPr>
        <w:t> </w:t>
      </w:r>
      <w:r>
        <w:rPr>
          <w:sz w:val="24"/>
        </w:rPr>
        <w:t>C.</w:t>
      </w:r>
      <w:r>
        <w:rPr>
          <w:spacing w:val="-6"/>
          <w:sz w:val="24"/>
        </w:rPr>
        <w:t> </w:t>
      </w:r>
      <w:r>
        <w:rPr>
          <w:sz w:val="24"/>
        </w:rPr>
        <w:t>(1994).</w:t>
      </w:r>
      <w:r>
        <w:rPr>
          <w:spacing w:val="-6"/>
          <w:sz w:val="24"/>
        </w:rPr>
        <w:t> </w:t>
      </w:r>
      <w:r>
        <w:rPr>
          <w:sz w:val="24"/>
        </w:rPr>
        <w:t>Technological</w:t>
      </w:r>
      <w:r>
        <w:rPr>
          <w:spacing w:val="-6"/>
          <w:sz w:val="24"/>
        </w:rPr>
        <w:t> </w:t>
      </w:r>
      <w:r>
        <w:rPr>
          <w:sz w:val="24"/>
        </w:rPr>
        <w:t>frames:</w:t>
      </w:r>
      <w:r>
        <w:rPr>
          <w:spacing w:val="-6"/>
          <w:sz w:val="24"/>
        </w:rPr>
        <w:t> </w:t>
      </w:r>
      <w:r>
        <w:rPr>
          <w:sz w:val="24"/>
        </w:rPr>
        <w:t>making</w:t>
      </w:r>
      <w:r>
        <w:rPr>
          <w:spacing w:val="-6"/>
          <w:sz w:val="24"/>
        </w:rPr>
        <w:t> </w:t>
      </w:r>
      <w:r>
        <w:rPr>
          <w:sz w:val="24"/>
        </w:rPr>
        <w:t>sense</w:t>
      </w:r>
      <w:r>
        <w:rPr>
          <w:spacing w:val="-6"/>
          <w:sz w:val="24"/>
        </w:rPr>
        <w:t> </w:t>
      </w:r>
      <w:r>
        <w:rPr>
          <w:sz w:val="24"/>
        </w:rPr>
        <w:t>of</w:t>
      </w:r>
      <w:r>
        <w:rPr>
          <w:spacing w:val="-6"/>
          <w:sz w:val="24"/>
        </w:rPr>
        <w:t> </w:t>
      </w:r>
      <w:r>
        <w:rPr>
          <w:sz w:val="24"/>
        </w:rPr>
        <w:t>information</w:t>
      </w:r>
      <w:r>
        <w:rPr>
          <w:spacing w:val="-6"/>
          <w:sz w:val="24"/>
        </w:rPr>
        <w:t> </w:t>
      </w:r>
      <w:r>
        <w:rPr>
          <w:sz w:val="24"/>
        </w:rPr>
        <w:t>technology in organizations. </w:t>
      </w:r>
      <w:r>
        <w:rPr>
          <w:i/>
          <w:sz w:val="24"/>
        </w:rPr>
        <w:t>ACM Transactions on Information Systems (TOIS)</w:t>
      </w:r>
      <w:r>
        <w:rPr>
          <w:sz w:val="24"/>
        </w:rPr>
        <w:t>, </w:t>
      </w:r>
      <w:r>
        <w:rPr>
          <w:i/>
          <w:sz w:val="24"/>
        </w:rPr>
        <w:t>12</w:t>
      </w:r>
      <w:r>
        <w:rPr>
          <w:sz w:val="24"/>
        </w:rPr>
        <w:t>(2), 174-207.</w:t>
      </w:r>
    </w:p>
    <w:p>
      <w:pPr>
        <w:pStyle w:val="BodyText"/>
        <w:spacing w:before="5"/>
      </w:pPr>
    </w:p>
    <w:p>
      <w:pPr>
        <w:spacing w:line="230" w:lineRule="auto" w:before="0"/>
        <w:ind w:left="367" w:right="954" w:firstLine="0"/>
        <w:jc w:val="left"/>
        <w:rPr>
          <w:sz w:val="24"/>
        </w:rPr>
      </w:pPr>
      <w:r>
        <w:rPr>
          <w:sz w:val="24"/>
        </w:rPr>
        <w:t>Van</w:t>
      </w:r>
      <w:r>
        <w:rPr>
          <w:spacing w:val="-8"/>
          <w:sz w:val="24"/>
        </w:rPr>
        <w:t> </w:t>
      </w:r>
      <w:r>
        <w:rPr>
          <w:sz w:val="24"/>
        </w:rPr>
        <w:t>de</w:t>
      </w:r>
      <w:r>
        <w:rPr>
          <w:spacing w:val="-8"/>
          <w:sz w:val="24"/>
        </w:rPr>
        <w:t> </w:t>
      </w:r>
      <w:r>
        <w:rPr>
          <w:sz w:val="24"/>
        </w:rPr>
        <w:t>Ven,</w:t>
      </w:r>
      <w:r>
        <w:rPr>
          <w:spacing w:val="-8"/>
          <w:sz w:val="24"/>
        </w:rPr>
        <w:t> </w:t>
      </w:r>
      <w:r>
        <w:rPr>
          <w:sz w:val="24"/>
        </w:rPr>
        <w:t>A.</w:t>
      </w:r>
      <w:r>
        <w:rPr>
          <w:spacing w:val="-8"/>
          <w:sz w:val="24"/>
        </w:rPr>
        <w:t> </w:t>
      </w:r>
      <w:r>
        <w:rPr>
          <w:sz w:val="24"/>
        </w:rPr>
        <w:t>H.</w:t>
      </w:r>
      <w:r>
        <w:rPr>
          <w:spacing w:val="-8"/>
          <w:sz w:val="24"/>
        </w:rPr>
        <w:t> </w:t>
      </w:r>
      <w:r>
        <w:rPr>
          <w:sz w:val="24"/>
        </w:rPr>
        <w:t>(2007).</w:t>
      </w:r>
      <w:r>
        <w:rPr>
          <w:spacing w:val="-8"/>
          <w:sz w:val="24"/>
        </w:rPr>
        <w:t> </w:t>
      </w:r>
      <w:r>
        <w:rPr>
          <w:i/>
          <w:sz w:val="24"/>
        </w:rPr>
        <w:t>Engaged</w:t>
      </w:r>
      <w:r>
        <w:rPr>
          <w:i/>
          <w:spacing w:val="-8"/>
          <w:sz w:val="24"/>
        </w:rPr>
        <w:t> </w:t>
      </w:r>
      <w:r>
        <w:rPr>
          <w:i/>
          <w:sz w:val="24"/>
        </w:rPr>
        <w:t>scholarship:</w:t>
      </w:r>
      <w:r>
        <w:rPr>
          <w:i/>
          <w:spacing w:val="-8"/>
          <w:sz w:val="24"/>
        </w:rPr>
        <w:t> </w:t>
      </w:r>
      <w:r>
        <w:rPr>
          <w:i/>
          <w:sz w:val="24"/>
        </w:rPr>
        <w:t>A</w:t>
      </w:r>
      <w:r>
        <w:rPr>
          <w:i/>
          <w:spacing w:val="-8"/>
          <w:sz w:val="24"/>
        </w:rPr>
        <w:t> </w:t>
      </w:r>
      <w:r>
        <w:rPr>
          <w:i/>
          <w:sz w:val="24"/>
        </w:rPr>
        <w:t>guide</w:t>
      </w:r>
      <w:r>
        <w:rPr>
          <w:i/>
          <w:spacing w:val="-8"/>
          <w:sz w:val="24"/>
        </w:rPr>
        <w:t> </w:t>
      </w:r>
      <w:r>
        <w:rPr>
          <w:i/>
          <w:sz w:val="24"/>
        </w:rPr>
        <w:t>for</w:t>
      </w:r>
      <w:r>
        <w:rPr>
          <w:i/>
          <w:spacing w:val="-8"/>
          <w:sz w:val="24"/>
        </w:rPr>
        <w:t> </w:t>
      </w:r>
      <w:r>
        <w:rPr>
          <w:i/>
          <w:sz w:val="24"/>
        </w:rPr>
        <w:t>organizational</w:t>
      </w:r>
      <w:r>
        <w:rPr>
          <w:i/>
          <w:spacing w:val="-8"/>
          <w:sz w:val="24"/>
        </w:rPr>
        <w:t> </w:t>
      </w:r>
      <w:r>
        <w:rPr>
          <w:i/>
          <w:sz w:val="24"/>
        </w:rPr>
        <w:t>and</w:t>
      </w:r>
      <w:r>
        <w:rPr>
          <w:i/>
          <w:spacing w:val="-8"/>
          <w:sz w:val="24"/>
        </w:rPr>
        <w:t> </w:t>
      </w:r>
      <w:r>
        <w:rPr>
          <w:i/>
          <w:sz w:val="24"/>
        </w:rPr>
        <w:t>social</w:t>
      </w:r>
      <w:r>
        <w:rPr>
          <w:i/>
          <w:spacing w:val="-8"/>
          <w:sz w:val="24"/>
        </w:rPr>
        <w:t> </w:t>
      </w:r>
      <w:r>
        <w:rPr>
          <w:i/>
          <w:sz w:val="24"/>
        </w:rPr>
        <w:t>research</w:t>
      </w:r>
      <w:r>
        <w:rPr>
          <w:sz w:val="24"/>
        </w:rPr>
        <w:t>.</w:t>
      </w:r>
      <w:r>
        <w:rPr>
          <w:spacing w:val="-8"/>
          <w:sz w:val="24"/>
        </w:rPr>
        <w:t> </w:t>
      </w:r>
      <w:r>
        <w:rPr>
          <w:sz w:val="24"/>
        </w:rPr>
        <w:t>Oxford University Press, USA.</w:t>
      </w:r>
    </w:p>
    <w:p>
      <w:pPr>
        <w:pStyle w:val="BodyText"/>
        <w:spacing w:before="5"/>
      </w:pPr>
    </w:p>
    <w:p>
      <w:pPr>
        <w:spacing w:before="0"/>
        <w:ind w:left="367" w:right="0" w:firstLine="0"/>
        <w:jc w:val="left"/>
        <w:rPr>
          <w:sz w:val="24"/>
        </w:rPr>
      </w:pPr>
      <w:r>
        <w:rPr>
          <w:sz w:val="24"/>
        </w:rPr>
        <w:t>Yin,</w:t>
      </w:r>
      <w:r>
        <w:rPr>
          <w:spacing w:val="-4"/>
          <w:sz w:val="24"/>
        </w:rPr>
        <w:t> </w:t>
      </w:r>
      <w:r>
        <w:rPr>
          <w:sz w:val="24"/>
        </w:rPr>
        <w:t>R.</w:t>
      </w:r>
      <w:r>
        <w:rPr>
          <w:spacing w:val="-4"/>
          <w:sz w:val="24"/>
        </w:rPr>
        <w:t> </w:t>
      </w:r>
      <w:r>
        <w:rPr>
          <w:sz w:val="24"/>
        </w:rPr>
        <w:t>K.</w:t>
      </w:r>
      <w:r>
        <w:rPr>
          <w:spacing w:val="-3"/>
          <w:sz w:val="24"/>
        </w:rPr>
        <w:t> </w:t>
      </w:r>
      <w:r>
        <w:rPr>
          <w:sz w:val="24"/>
        </w:rPr>
        <w:t>(2018).</w:t>
      </w:r>
      <w:r>
        <w:rPr>
          <w:spacing w:val="-4"/>
          <w:sz w:val="24"/>
        </w:rPr>
        <w:t> </w:t>
      </w:r>
      <w:r>
        <w:rPr>
          <w:i/>
          <w:sz w:val="24"/>
        </w:rPr>
        <w:t>Case</w:t>
      </w:r>
      <w:r>
        <w:rPr>
          <w:i/>
          <w:spacing w:val="-3"/>
          <w:sz w:val="24"/>
        </w:rPr>
        <w:t> </w:t>
      </w:r>
      <w:r>
        <w:rPr>
          <w:i/>
          <w:sz w:val="24"/>
        </w:rPr>
        <w:t>study</w:t>
      </w:r>
      <w:r>
        <w:rPr>
          <w:i/>
          <w:spacing w:val="-4"/>
          <w:sz w:val="24"/>
        </w:rPr>
        <w:t> </w:t>
      </w:r>
      <w:r>
        <w:rPr>
          <w:i/>
          <w:sz w:val="24"/>
        </w:rPr>
        <w:t>research</w:t>
      </w:r>
      <w:r>
        <w:rPr>
          <w:i/>
          <w:spacing w:val="-3"/>
          <w:sz w:val="24"/>
        </w:rPr>
        <w:t> </w:t>
      </w:r>
      <w:r>
        <w:rPr>
          <w:i/>
          <w:sz w:val="24"/>
        </w:rPr>
        <w:t>and</w:t>
      </w:r>
      <w:r>
        <w:rPr>
          <w:i/>
          <w:spacing w:val="-4"/>
          <w:sz w:val="24"/>
        </w:rPr>
        <w:t> </w:t>
      </w:r>
      <w:r>
        <w:rPr>
          <w:i/>
          <w:sz w:val="24"/>
        </w:rPr>
        <w:t>applications</w:t>
      </w:r>
      <w:r>
        <w:rPr>
          <w:sz w:val="24"/>
        </w:rPr>
        <w:t>.</w:t>
      </w:r>
      <w:r>
        <w:rPr>
          <w:spacing w:val="-3"/>
          <w:sz w:val="24"/>
        </w:rPr>
        <w:t> </w:t>
      </w:r>
      <w:r>
        <w:rPr>
          <w:spacing w:val="-2"/>
          <w:sz w:val="24"/>
        </w:rPr>
        <w:t>Sage.</w:t>
      </w:r>
    </w:p>
    <w:p>
      <w:pPr>
        <w:pStyle w:val="BodyText"/>
        <w:spacing w:before="6"/>
      </w:pPr>
    </w:p>
    <w:p>
      <w:pPr>
        <w:spacing w:before="0"/>
        <w:ind w:left="367" w:right="253" w:firstLine="0"/>
        <w:jc w:val="left"/>
        <w:rPr>
          <w:sz w:val="24"/>
        </w:rPr>
      </w:pPr>
      <w:r>
        <w:rPr>
          <w:sz w:val="24"/>
        </w:rPr>
        <w:t>Young,</w:t>
      </w:r>
      <w:r>
        <w:rPr>
          <w:spacing w:val="-6"/>
          <w:sz w:val="24"/>
        </w:rPr>
        <w:t> </w:t>
      </w:r>
      <w:r>
        <w:rPr>
          <w:sz w:val="24"/>
        </w:rPr>
        <w:t>B.</w:t>
      </w:r>
      <w:r>
        <w:rPr>
          <w:spacing w:val="-6"/>
          <w:sz w:val="24"/>
        </w:rPr>
        <w:t> </w:t>
      </w:r>
      <w:r>
        <w:rPr>
          <w:sz w:val="24"/>
        </w:rPr>
        <w:t>W.,</w:t>
      </w:r>
      <w:r>
        <w:rPr>
          <w:spacing w:val="-6"/>
          <w:sz w:val="24"/>
        </w:rPr>
        <w:t> </w:t>
      </w:r>
      <w:r>
        <w:rPr>
          <w:sz w:val="24"/>
        </w:rPr>
        <w:t>Mathiassen,</w:t>
      </w:r>
      <w:r>
        <w:rPr>
          <w:spacing w:val="-6"/>
          <w:sz w:val="24"/>
        </w:rPr>
        <w:t> </w:t>
      </w:r>
      <w:r>
        <w:rPr>
          <w:sz w:val="24"/>
        </w:rPr>
        <w:t>L.,</w:t>
      </w:r>
      <w:r>
        <w:rPr>
          <w:spacing w:val="-6"/>
          <w:sz w:val="24"/>
        </w:rPr>
        <w:t> </w:t>
      </w:r>
      <w:r>
        <w:rPr>
          <w:sz w:val="24"/>
        </w:rPr>
        <w:t>&amp;</w:t>
      </w:r>
      <w:r>
        <w:rPr>
          <w:spacing w:val="-6"/>
          <w:sz w:val="24"/>
        </w:rPr>
        <w:t> </w:t>
      </w:r>
      <w:r>
        <w:rPr>
          <w:sz w:val="24"/>
        </w:rPr>
        <w:t>Davidson,</w:t>
      </w:r>
      <w:r>
        <w:rPr>
          <w:spacing w:val="-6"/>
          <w:sz w:val="24"/>
        </w:rPr>
        <w:t> </w:t>
      </w:r>
      <w:r>
        <w:rPr>
          <w:sz w:val="24"/>
        </w:rPr>
        <w:t>E.</w:t>
      </w:r>
      <w:r>
        <w:rPr>
          <w:spacing w:val="-6"/>
          <w:sz w:val="24"/>
        </w:rPr>
        <w:t> </w:t>
      </w:r>
      <w:r>
        <w:rPr>
          <w:sz w:val="24"/>
        </w:rPr>
        <w:t>(2016).</w:t>
      </w:r>
      <w:r>
        <w:rPr>
          <w:spacing w:val="-6"/>
          <w:sz w:val="24"/>
        </w:rPr>
        <w:t> </w:t>
      </w:r>
      <w:r>
        <w:rPr>
          <w:sz w:val="24"/>
        </w:rPr>
        <w:t>Inconsistent</w:t>
      </w:r>
      <w:r>
        <w:rPr>
          <w:spacing w:val="-6"/>
          <w:sz w:val="24"/>
        </w:rPr>
        <w:t> </w:t>
      </w:r>
      <w:r>
        <w:rPr>
          <w:sz w:val="24"/>
        </w:rPr>
        <w:t>and</w:t>
      </w:r>
      <w:r>
        <w:rPr>
          <w:spacing w:val="-6"/>
          <w:sz w:val="24"/>
        </w:rPr>
        <w:t> </w:t>
      </w:r>
      <w:r>
        <w:rPr>
          <w:sz w:val="24"/>
        </w:rPr>
        <w:t>incongruent</w:t>
      </w:r>
      <w:r>
        <w:rPr>
          <w:spacing w:val="-6"/>
          <w:sz w:val="24"/>
        </w:rPr>
        <w:t> </w:t>
      </w:r>
      <w:r>
        <w:rPr>
          <w:sz w:val="24"/>
        </w:rPr>
        <w:t>frames</w:t>
      </w:r>
      <w:r>
        <w:rPr>
          <w:spacing w:val="-6"/>
          <w:sz w:val="24"/>
        </w:rPr>
        <w:t> </w:t>
      </w:r>
      <w:r>
        <w:rPr>
          <w:sz w:val="24"/>
        </w:rPr>
        <w:t>during</w:t>
      </w:r>
      <w:r>
        <w:rPr>
          <w:spacing w:val="-6"/>
          <w:sz w:val="24"/>
        </w:rPr>
        <w:t> </w:t>
      </w:r>
      <w:r>
        <w:rPr>
          <w:sz w:val="24"/>
        </w:rPr>
        <w:t>IT</w:t>
      </w:r>
      <w:r>
        <w:rPr>
          <w:spacing w:val="-6"/>
          <w:sz w:val="24"/>
        </w:rPr>
        <w:t> </w:t>
      </w:r>
      <w:r>
        <w:rPr>
          <w:sz w:val="24"/>
        </w:rPr>
        <w:t>enabled change: An action research study into sales process innovation. </w:t>
      </w:r>
      <w:r>
        <w:rPr>
          <w:i/>
          <w:sz w:val="24"/>
        </w:rPr>
        <w:t>Journal of the Association for</w:t>
      </w:r>
      <w:r>
        <w:rPr>
          <w:i/>
          <w:spacing w:val="40"/>
          <w:sz w:val="24"/>
        </w:rPr>
        <w:t> </w:t>
      </w:r>
      <w:r>
        <w:rPr>
          <w:i/>
          <w:sz w:val="24"/>
        </w:rPr>
        <w:t>Information</w:t>
      </w:r>
      <w:r>
        <w:rPr>
          <w:i/>
          <w:sz w:val="24"/>
        </w:rPr>
        <w:t> Systems</w:t>
      </w:r>
      <w:r>
        <w:rPr>
          <w:sz w:val="24"/>
        </w:rPr>
        <w:t>, </w:t>
      </w:r>
      <w:r>
        <w:rPr>
          <w:i/>
          <w:sz w:val="24"/>
        </w:rPr>
        <w:t>17</w:t>
      </w:r>
      <w:r>
        <w:rPr>
          <w:sz w:val="24"/>
        </w:rPr>
        <w:t>(7), 1.</w:t>
      </w:r>
    </w:p>
    <w:p>
      <w:pPr>
        <w:spacing w:after="0"/>
        <w:jc w:val="left"/>
        <w:rPr>
          <w:sz w:val="24"/>
        </w:rPr>
        <w:sectPr>
          <w:pgSz w:w="12240" w:h="15840"/>
          <w:pgMar w:header="0" w:footer="761" w:top="620" w:bottom="960" w:left="720" w:right="0"/>
        </w:sectPr>
      </w:pPr>
    </w:p>
    <w:p>
      <w:pPr>
        <w:pStyle w:val="Heading3"/>
        <w:spacing w:line="319" w:lineRule="auto"/>
        <w:ind w:left="1393" w:right="2103"/>
      </w:pPr>
      <w:bookmarkStart w:name="Developmental Divergence: Teen Pregnancy" w:id="109"/>
      <w:bookmarkEnd w:id="109"/>
      <w:r>
        <w:rPr>
          <w:b w:val="0"/>
        </w:rPr>
      </w:r>
      <w:r>
        <w:rPr/>
        <w:t>Developmental</w:t>
      </w:r>
      <w:r>
        <w:rPr>
          <w:spacing w:val="-18"/>
        </w:rPr>
        <w:t> </w:t>
      </w:r>
      <w:r>
        <w:rPr/>
        <w:t>Divergence:</w:t>
      </w:r>
      <w:r>
        <w:rPr>
          <w:spacing w:val="-17"/>
        </w:rPr>
        <w:t> </w:t>
      </w:r>
      <w:r>
        <w:rPr/>
        <w:t>Teen</w:t>
      </w:r>
      <w:r>
        <w:rPr>
          <w:spacing w:val="-18"/>
        </w:rPr>
        <w:t> </w:t>
      </w:r>
      <w:r>
        <w:rPr/>
        <w:t>Pregnancy,</w:t>
      </w:r>
      <w:r>
        <w:rPr>
          <w:spacing w:val="-17"/>
        </w:rPr>
        <w:t> </w:t>
      </w:r>
      <w:r>
        <w:rPr/>
        <w:t>Poverty,</w:t>
      </w:r>
      <w:r>
        <w:rPr>
          <w:spacing w:val="-18"/>
        </w:rPr>
        <w:t> </w:t>
      </w:r>
      <w:r>
        <w:rPr/>
        <w:t>and</w:t>
      </w:r>
      <w:r>
        <w:rPr>
          <w:spacing w:val="-17"/>
        </w:rPr>
        <w:t> </w:t>
      </w:r>
      <w:r>
        <w:rPr/>
        <w:t>Regional </w:t>
      </w:r>
      <w:bookmarkStart w:name="h.168iol3z052l" w:id="110"/>
      <w:bookmarkEnd w:id="110"/>
      <w:r>
        <w:rPr/>
        <w:t>I</w:t>
      </w:r>
      <w:r>
        <w:rPr/>
        <w:t>nequality—Evidence from Appalachian Kentucky</w:t>
      </w:r>
    </w:p>
    <w:p>
      <w:pPr>
        <w:pStyle w:val="BodyText"/>
        <w:spacing w:before="274"/>
        <w:ind w:left="113"/>
        <w:jc w:val="center"/>
      </w:pPr>
      <w:r>
        <w:rPr/>
        <w:t>Joseph </w:t>
      </w:r>
      <w:r>
        <w:rPr>
          <w:spacing w:val="-2"/>
        </w:rPr>
        <w:t>Pekaar</w:t>
      </w:r>
    </w:p>
    <w:p>
      <w:pPr>
        <w:pStyle w:val="BodyText"/>
        <w:spacing w:before="201"/>
      </w:pPr>
    </w:p>
    <w:p>
      <w:pPr>
        <w:pStyle w:val="BodyText"/>
        <w:ind w:left="679" w:right="1329"/>
        <w:jc w:val="center"/>
      </w:pPr>
      <w:r>
        <w:rPr>
          <w:b/>
        </w:rPr>
        <w:t>Keywords:</w:t>
      </w:r>
      <w:r>
        <w:rPr>
          <w:b/>
          <w:spacing w:val="-4"/>
        </w:rPr>
        <w:t> </w:t>
      </w:r>
      <w:r>
        <w:rPr/>
        <w:t>Teen</w:t>
      </w:r>
      <w:r>
        <w:rPr>
          <w:spacing w:val="-4"/>
        </w:rPr>
        <w:t> </w:t>
      </w:r>
      <w:r>
        <w:rPr/>
        <w:t>Births,</w:t>
      </w:r>
      <w:r>
        <w:rPr>
          <w:spacing w:val="-3"/>
        </w:rPr>
        <w:t> </w:t>
      </w:r>
      <w:r>
        <w:rPr/>
        <w:t>Child</w:t>
      </w:r>
      <w:r>
        <w:rPr>
          <w:spacing w:val="-4"/>
        </w:rPr>
        <w:t> </w:t>
      </w:r>
      <w:r>
        <w:rPr/>
        <w:t>Poverty,</w:t>
      </w:r>
      <w:r>
        <w:rPr>
          <w:spacing w:val="-4"/>
        </w:rPr>
        <w:t> </w:t>
      </w:r>
      <w:r>
        <w:rPr/>
        <w:t>Economic</w:t>
      </w:r>
      <w:r>
        <w:rPr>
          <w:spacing w:val="-3"/>
        </w:rPr>
        <w:t> </w:t>
      </w:r>
      <w:r>
        <w:rPr/>
        <w:t>Development,</w:t>
      </w:r>
      <w:r>
        <w:rPr>
          <w:spacing w:val="-4"/>
        </w:rPr>
        <w:t> </w:t>
      </w:r>
      <w:r>
        <w:rPr/>
        <w:t>Appalachia,</w:t>
      </w:r>
      <w:r>
        <w:rPr>
          <w:spacing w:val="-4"/>
        </w:rPr>
        <w:t> </w:t>
      </w:r>
      <w:r>
        <w:rPr/>
        <w:t>Regional</w:t>
      </w:r>
      <w:r>
        <w:rPr>
          <w:spacing w:val="-3"/>
        </w:rPr>
        <w:t> </w:t>
      </w:r>
      <w:r>
        <w:rPr>
          <w:spacing w:val="-2"/>
        </w:rPr>
        <w:t>Inequality</w:t>
      </w:r>
    </w:p>
    <w:p>
      <w:pPr>
        <w:pStyle w:val="BodyText"/>
        <w:spacing w:before="194"/>
      </w:pPr>
    </w:p>
    <w:p>
      <w:pPr>
        <w:pStyle w:val="BodyText"/>
        <w:spacing w:line="312" w:lineRule="auto"/>
        <w:ind w:left="727" w:right="1438"/>
        <w:jc w:val="both"/>
      </w:pPr>
      <w:r>
        <w:rPr/>
        <w:t>This study investigates how demographic shocks translate into economic</w:t>
      </w:r>
      <w:r>
        <w:rPr>
          <w:spacing w:val="-3"/>
        </w:rPr>
        <w:t> </w:t>
      </w:r>
      <w:r>
        <w:rPr/>
        <w:t>fragility</w:t>
      </w:r>
      <w:r>
        <w:rPr>
          <w:spacing w:val="-3"/>
        </w:rPr>
        <w:t> </w:t>
      </w:r>
      <w:r>
        <w:rPr/>
        <w:t>in</w:t>
      </w:r>
      <w:r>
        <w:rPr>
          <w:spacing w:val="-3"/>
        </w:rPr>
        <w:t> </w:t>
      </w:r>
      <w:r>
        <w:rPr/>
        <w:t>Appalachia by analyzing the relationship between teen birth rates and subsequent child poverty across Kentucky, and how</w:t>
      </w:r>
      <w:r>
        <w:rPr>
          <w:spacing w:val="-5"/>
        </w:rPr>
        <w:t> </w:t>
      </w:r>
      <w:r>
        <w:rPr/>
        <w:t>this</w:t>
      </w:r>
      <w:r>
        <w:rPr>
          <w:spacing w:val="-5"/>
        </w:rPr>
        <w:t> </w:t>
      </w:r>
      <w:r>
        <w:rPr/>
        <w:t>relationship</w:t>
      </w:r>
      <w:r>
        <w:rPr>
          <w:spacing w:val="-5"/>
        </w:rPr>
        <w:t> </w:t>
      </w:r>
      <w:r>
        <w:rPr/>
        <w:t>differs</w:t>
      </w:r>
      <w:r>
        <w:rPr>
          <w:spacing w:val="-5"/>
        </w:rPr>
        <w:t> </w:t>
      </w:r>
      <w:r>
        <w:rPr/>
        <w:t>between</w:t>
      </w:r>
      <w:r>
        <w:rPr>
          <w:spacing w:val="-5"/>
        </w:rPr>
        <w:t> </w:t>
      </w:r>
      <w:r>
        <w:rPr/>
        <w:t>Appalachian</w:t>
      </w:r>
      <w:r>
        <w:rPr>
          <w:spacing w:val="-5"/>
        </w:rPr>
        <w:t> </w:t>
      </w:r>
      <w:r>
        <w:rPr/>
        <w:t>and</w:t>
      </w:r>
      <w:r>
        <w:rPr>
          <w:spacing w:val="-5"/>
        </w:rPr>
        <w:t> </w:t>
      </w:r>
      <w:r>
        <w:rPr/>
        <w:t>non-Appalachian</w:t>
      </w:r>
      <w:r>
        <w:rPr>
          <w:spacing w:val="-5"/>
        </w:rPr>
        <w:t> </w:t>
      </w:r>
      <w:r>
        <w:rPr/>
        <w:t>counties. Using a county-level panel of all 120 Kentucky counties across 12 years along with socioeconomic data from 2008-2022, I utilize two-way fixed effects models linking lagged</w:t>
      </w:r>
      <w:r>
        <w:rPr>
          <w:spacing w:val="-3"/>
        </w:rPr>
        <w:t> </w:t>
      </w:r>
      <w:r>
        <w:rPr/>
        <w:t>teen birth rates to resulting child poverty outcomes. Results are compared between the 54 Appalachian counties</w:t>
      </w:r>
      <w:r>
        <w:rPr>
          <w:spacing w:val="-3"/>
        </w:rPr>
        <w:t> </w:t>
      </w:r>
      <w:r>
        <w:rPr/>
        <w:t>in</w:t>
      </w:r>
      <w:r>
        <w:rPr>
          <w:spacing w:val="-3"/>
        </w:rPr>
        <w:t> </w:t>
      </w:r>
      <w:r>
        <w:rPr/>
        <w:t>Kentucky</w:t>
      </w:r>
      <w:r>
        <w:rPr>
          <w:spacing w:val="-3"/>
        </w:rPr>
        <w:t> </w:t>
      </w:r>
      <w:r>
        <w:rPr/>
        <w:t>and</w:t>
      </w:r>
      <w:r>
        <w:rPr>
          <w:spacing w:val="-3"/>
        </w:rPr>
        <w:t> </w:t>
      </w:r>
      <w:r>
        <w:rPr/>
        <w:t>the</w:t>
      </w:r>
      <w:r>
        <w:rPr>
          <w:spacing w:val="-3"/>
        </w:rPr>
        <w:t> </w:t>
      </w:r>
      <w:r>
        <w:rPr/>
        <w:t>remaining</w:t>
      </w:r>
      <w:r>
        <w:rPr>
          <w:spacing w:val="-3"/>
        </w:rPr>
        <w:t> </w:t>
      </w:r>
      <w:r>
        <w:rPr/>
        <w:t>66</w:t>
      </w:r>
      <w:r>
        <w:rPr>
          <w:spacing w:val="-3"/>
        </w:rPr>
        <w:t> </w:t>
      </w:r>
      <w:r>
        <w:rPr/>
        <w:t>counties</w:t>
      </w:r>
      <w:r>
        <w:rPr>
          <w:spacing w:val="-3"/>
        </w:rPr>
        <w:t> </w:t>
      </w:r>
      <w:r>
        <w:rPr/>
        <w:t>falling</w:t>
      </w:r>
      <w:r>
        <w:rPr>
          <w:spacing w:val="-3"/>
        </w:rPr>
        <w:t> </w:t>
      </w:r>
      <w:r>
        <w:rPr/>
        <w:t>outside</w:t>
      </w:r>
      <w:r>
        <w:rPr>
          <w:spacing w:val="-3"/>
        </w:rPr>
        <w:t> </w:t>
      </w:r>
      <w:r>
        <w:rPr/>
        <w:t>the</w:t>
      </w:r>
      <w:r>
        <w:rPr>
          <w:spacing w:val="-3"/>
        </w:rPr>
        <w:t> </w:t>
      </w:r>
      <w:r>
        <w:rPr/>
        <w:t>Appalachian umbrella in an effort to isolate the magnitude of economic disadvantages unique to Appalachia.</w:t>
      </w:r>
    </w:p>
    <w:p>
      <w:pPr>
        <w:pStyle w:val="BodyText"/>
        <w:spacing w:before="255"/>
      </w:pPr>
    </w:p>
    <w:p>
      <w:pPr>
        <w:pStyle w:val="BodyText"/>
        <w:spacing w:line="314" w:lineRule="auto"/>
        <w:ind w:left="712" w:right="1506" w:firstLine="15"/>
      </w:pPr>
      <w:r>
        <w:rPr/>
        <w:t>Preliminary results suggest that higher teen birth rates are associated with increases in subsequent childhood poverty with Appalachian counties exhibiting a clear ”amplification effect,” whereby an equal change in teen pregnancy leads to a greater increase in childhood poverty. Additionally, Appalachia is shown to have a higher baseline child poverty rate than the rest</w:t>
      </w:r>
      <w:r>
        <w:rPr>
          <w:spacing w:val="-3"/>
        </w:rPr>
        <w:t> </w:t>
      </w:r>
      <w:r>
        <w:rPr/>
        <w:t>of</w:t>
      </w:r>
      <w:r>
        <w:rPr>
          <w:spacing w:val="-3"/>
        </w:rPr>
        <w:t> </w:t>
      </w:r>
      <w:r>
        <w:rPr/>
        <w:t>Kentucky</w:t>
      </w:r>
      <w:r>
        <w:rPr>
          <w:spacing w:val="-3"/>
        </w:rPr>
        <w:t> </w:t>
      </w:r>
      <w:r>
        <w:rPr/>
        <w:t>with</w:t>
      </w:r>
      <w:r>
        <w:rPr>
          <w:spacing w:val="-3"/>
        </w:rPr>
        <w:t> </w:t>
      </w:r>
      <w:r>
        <w:rPr/>
        <w:t>an</w:t>
      </w:r>
      <w:r>
        <w:rPr>
          <w:spacing w:val="-3"/>
        </w:rPr>
        <w:t> </w:t>
      </w:r>
      <w:r>
        <w:rPr/>
        <w:t>additional</w:t>
      </w:r>
      <w:r>
        <w:rPr>
          <w:spacing w:val="-3"/>
        </w:rPr>
        <w:t> </w:t>
      </w:r>
      <w:r>
        <w:rPr/>
        <w:t>80</w:t>
      </w:r>
      <w:r>
        <w:rPr>
          <w:spacing w:val="-3"/>
        </w:rPr>
        <w:t> </w:t>
      </w:r>
      <w:r>
        <w:rPr/>
        <w:t>children</w:t>
      </w:r>
      <w:r>
        <w:rPr>
          <w:spacing w:val="-3"/>
        </w:rPr>
        <w:t> </w:t>
      </w:r>
      <w:r>
        <w:rPr/>
        <w:t>in</w:t>
      </w:r>
      <w:r>
        <w:rPr>
          <w:spacing w:val="-3"/>
        </w:rPr>
        <w:t> </w:t>
      </w:r>
      <w:r>
        <w:rPr/>
        <w:t>poverty</w:t>
      </w:r>
      <w:r>
        <w:rPr>
          <w:spacing w:val="-3"/>
        </w:rPr>
        <w:t> </w:t>
      </w:r>
      <w:r>
        <w:rPr/>
        <w:t>per</w:t>
      </w:r>
      <w:r>
        <w:rPr>
          <w:spacing w:val="-3"/>
        </w:rPr>
        <w:t> </w:t>
      </w:r>
      <w:r>
        <w:rPr/>
        <w:t>10,000</w:t>
      </w:r>
      <w:r>
        <w:rPr>
          <w:spacing w:val="-3"/>
        </w:rPr>
        <w:t> </w:t>
      </w:r>
      <w:r>
        <w:rPr/>
        <w:t>citizens.</w:t>
      </w:r>
      <w:r>
        <w:rPr>
          <w:spacing w:val="-3"/>
        </w:rPr>
        <w:t> </w:t>
      </w:r>
      <w:r>
        <w:rPr/>
        <w:t>An</w:t>
      </w:r>
      <w:r>
        <w:rPr>
          <w:spacing w:val="-3"/>
        </w:rPr>
        <w:t> </w:t>
      </w:r>
      <w:r>
        <w:rPr/>
        <w:t>increase</w:t>
      </w:r>
      <w:r>
        <w:rPr>
          <w:spacing w:val="-3"/>
        </w:rPr>
        <w:t> </w:t>
      </w:r>
      <w:r>
        <w:rPr/>
        <w:t>of</w:t>
      </w:r>
      <w:r>
        <w:rPr>
          <w:spacing w:val="-3"/>
        </w:rPr>
        <w:t> </w:t>
      </w:r>
      <w:r>
        <w:rPr/>
        <w:t>10 teen births per 10,000 residents is associated with about 0.5 additional children in poverty per 10,000 residents statewide. In Appalachian counties, there are an additional 0.3 children in poverty per 10,000 Kentucky citizens due to an identical increase in teen births, displaying an amplification effect in Appalachia of roughly 60%. Results remain robust across specifications, including models controlling for county-specific traits and time-invariant characteristics.</w:t>
      </w:r>
    </w:p>
    <w:p>
      <w:pPr>
        <w:pStyle w:val="BodyText"/>
        <w:spacing w:before="246"/>
      </w:pPr>
    </w:p>
    <w:p>
      <w:pPr>
        <w:pStyle w:val="BodyText"/>
        <w:spacing w:line="312" w:lineRule="auto"/>
        <w:ind w:left="712" w:right="1439" w:firstLine="15"/>
        <w:jc w:val="both"/>
      </w:pPr>
      <w:r>
        <w:rPr/>
        <w:t>Findings imply economic inequities experienced in rural Appalachia may be growing over </w:t>
      </w:r>
      <w:r>
        <w:rPr/>
        <w:t>time rather than shrinking, translating into persistent economic hardships including a constrained</w:t>
      </w:r>
      <w:r>
        <w:rPr>
          <w:spacing w:val="40"/>
        </w:rPr>
        <w:t> </w:t>
      </w:r>
      <w:r>
        <w:rPr/>
        <w:t>labor supply, workforce instability, and reduced long-run business sustainability. Such consequences highlight the importance of targeted investment by local policymakers in reproductive health, education, and local economic opportunity as complements to a broader strategy of strengthening the business environment and economic resilience of rural Appalachia.</w:t>
      </w:r>
    </w:p>
    <w:p>
      <w:pPr>
        <w:pStyle w:val="BodyText"/>
        <w:spacing w:after="0" w:line="312" w:lineRule="auto"/>
        <w:jc w:val="both"/>
        <w:sectPr>
          <w:pgSz w:w="12240" w:h="15840"/>
          <w:pgMar w:header="0" w:footer="761" w:top="640" w:bottom="960" w:left="720" w:right="0"/>
        </w:sectPr>
      </w:pPr>
    </w:p>
    <w:p>
      <w:pPr>
        <w:pStyle w:val="Heading3"/>
        <w:spacing w:before="20"/>
        <w:ind w:left="1107" w:right="1726"/>
      </w:pPr>
      <w:bookmarkStart w:name="Using Artificial Intelligence to Evaluat" w:id="111"/>
      <w:bookmarkEnd w:id="111"/>
      <w:r>
        <w:rPr>
          <w:b w:val="0"/>
        </w:rPr>
      </w:r>
      <w:r>
        <w:rPr/>
        <w:t>Using</w:t>
      </w:r>
      <w:r>
        <w:rPr>
          <w:spacing w:val="-11"/>
        </w:rPr>
        <w:t> </w:t>
      </w:r>
      <w:r>
        <w:rPr/>
        <w:t>Artificial</w:t>
      </w:r>
      <w:r>
        <w:rPr>
          <w:spacing w:val="-11"/>
        </w:rPr>
        <w:t> </w:t>
      </w:r>
      <w:r>
        <w:rPr/>
        <w:t>Intelligence</w:t>
      </w:r>
      <w:r>
        <w:rPr>
          <w:spacing w:val="-11"/>
        </w:rPr>
        <w:t> </w:t>
      </w:r>
      <w:r>
        <w:rPr/>
        <w:t>to</w:t>
      </w:r>
      <w:r>
        <w:rPr>
          <w:spacing w:val="-11"/>
        </w:rPr>
        <w:t> </w:t>
      </w:r>
      <w:r>
        <w:rPr/>
        <w:t>Evaluate</w:t>
      </w:r>
      <w:r>
        <w:rPr>
          <w:spacing w:val="-11"/>
        </w:rPr>
        <w:t> </w:t>
      </w:r>
      <w:r>
        <w:rPr/>
        <w:t>and</w:t>
      </w:r>
      <w:r>
        <w:rPr>
          <w:spacing w:val="-11"/>
        </w:rPr>
        <w:t> </w:t>
      </w:r>
      <w:r>
        <w:rPr/>
        <w:t>Rank</w:t>
      </w:r>
      <w:r>
        <w:rPr>
          <w:spacing w:val="-11"/>
        </w:rPr>
        <w:t> </w:t>
      </w:r>
      <w:r>
        <w:rPr/>
        <w:t>E</w:t>
      </w:r>
      <w:r>
        <w:rPr>
          <w:rFonts w:ascii="Segoe UI Symbol" w:hAnsi="Segoe UI Symbol"/>
          <w:b w:val="0"/>
        </w:rPr>
        <w:t>‑</w:t>
      </w:r>
      <w:r>
        <w:rPr/>
        <w:t>Waste</w:t>
      </w:r>
      <w:r>
        <w:rPr>
          <w:spacing w:val="-11"/>
        </w:rPr>
        <w:t> </w:t>
      </w:r>
      <w:r>
        <w:rPr/>
        <w:t>Management </w:t>
      </w:r>
      <w:bookmarkStart w:name="h.tz4yz777s478" w:id="112"/>
      <w:bookmarkEnd w:id="112"/>
      <w:r>
        <w:rPr>
          <w:spacing w:val="-2"/>
        </w:rPr>
        <w:t>A</w:t>
      </w:r>
      <w:r>
        <w:rPr>
          <w:spacing w:val="-2"/>
        </w:rPr>
        <w:t>lternatives</w:t>
      </w:r>
    </w:p>
    <w:p>
      <w:pPr>
        <w:pStyle w:val="BodyText"/>
        <w:spacing w:before="303"/>
        <w:ind w:left="4057" w:right="4774"/>
        <w:jc w:val="center"/>
      </w:pPr>
      <w:r>
        <w:rPr/>
        <w:t>Polanah</w:t>
      </w:r>
      <w:r>
        <w:rPr>
          <w:spacing w:val="-15"/>
        </w:rPr>
        <w:t> </w:t>
      </w:r>
      <w:r>
        <w:rPr/>
        <w:t>Kehlenbeck,</w:t>
      </w:r>
      <w:r>
        <w:rPr>
          <w:spacing w:val="-15"/>
        </w:rPr>
        <w:t> </w:t>
      </w:r>
      <w:r>
        <w:rPr/>
        <w:t>Romy Department of Economics</w:t>
      </w:r>
    </w:p>
    <w:p>
      <w:pPr>
        <w:pStyle w:val="BodyText"/>
        <w:ind w:left="3367" w:right="4077"/>
        <w:jc w:val="center"/>
      </w:pPr>
      <w:r>
        <w:rPr/>
        <w:t>Davis</w:t>
      </w:r>
      <w:r>
        <w:rPr>
          <w:spacing w:val="-8"/>
        </w:rPr>
        <w:t> </w:t>
      </w:r>
      <w:r>
        <w:rPr/>
        <w:t>College</w:t>
      </w:r>
      <w:r>
        <w:rPr>
          <w:spacing w:val="-8"/>
        </w:rPr>
        <w:t> </w:t>
      </w:r>
      <w:r>
        <w:rPr/>
        <w:t>of</w:t>
      </w:r>
      <w:r>
        <w:rPr>
          <w:spacing w:val="-8"/>
        </w:rPr>
        <w:t> </w:t>
      </w:r>
      <w:r>
        <w:rPr/>
        <w:t>Business</w:t>
      </w:r>
      <w:r>
        <w:rPr>
          <w:spacing w:val="-8"/>
        </w:rPr>
        <w:t> </w:t>
      </w:r>
      <w:r>
        <w:rPr/>
        <w:t>and</w:t>
      </w:r>
      <w:r>
        <w:rPr>
          <w:spacing w:val="-8"/>
        </w:rPr>
        <w:t> </w:t>
      </w:r>
      <w:r>
        <w:rPr/>
        <w:t>Economics Radford University</w:t>
      </w:r>
    </w:p>
    <w:p>
      <w:pPr>
        <w:pStyle w:val="BodyText"/>
        <w:ind w:right="730"/>
        <w:jc w:val="center"/>
      </w:pPr>
      <w:r>
        <w:rPr/>
        <w:t>701</w:t>
      </w:r>
      <w:r>
        <w:rPr>
          <w:spacing w:val="-9"/>
        </w:rPr>
        <w:t> </w:t>
      </w:r>
      <w:r>
        <w:rPr/>
        <w:t>Tyler</w:t>
      </w:r>
      <w:r>
        <w:rPr>
          <w:spacing w:val="-8"/>
        </w:rPr>
        <w:t> </w:t>
      </w:r>
      <w:r>
        <w:rPr>
          <w:spacing w:val="-2"/>
        </w:rPr>
        <w:t>Avenue</w:t>
      </w:r>
    </w:p>
    <w:p>
      <w:pPr>
        <w:pStyle w:val="BodyText"/>
        <w:ind w:left="3877" w:right="4600" w:hanging="18"/>
        <w:jc w:val="center"/>
      </w:pPr>
      <w:r>
        <w:rPr/>
        <w:t>Radford, VA 24142 </w:t>
      </w:r>
      <w:hyperlink r:id="rId240">
        <w:r>
          <w:rPr>
            <w:spacing w:val="-2"/>
          </w:rPr>
          <w:t>rpolanahkehlenbe@radford.edu</w:t>
        </w:r>
      </w:hyperlink>
    </w:p>
    <w:p>
      <w:pPr>
        <w:pStyle w:val="BodyText"/>
        <w:spacing w:before="269"/>
      </w:pPr>
    </w:p>
    <w:p>
      <w:pPr>
        <w:pStyle w:val="BodyText"/>
        <w:ind w:left="4057" w:right="4754" w:hanging="30"/>
        <w:jc w:val="center"/>
      </w:pPr>
      <w:r>
        <w:rPr/>
        <w:t>Zachary A. Collier Department</w:t>
      </w:r>
      <w:r>
        <w:rPr>
          <w:spacing w:val="-15"/>
        </w:rPr>
        <w:t> </w:t>
      </w:r>
      <w:r>
        <w:rPr/>
        <w:t>of</w:t>
      </w:r>
      <w:r>
        <w:rPr>
          <w:spacing w:val="-15"/>
        </w:rPr>
        <w:t> </w:t>
      </w:r>
      <w:r>
        <w:rPr/>
        <w:t>Management</w:t>
      </w:r>
    </w:p>
    <w:p>
      <w:pPr>
        <w:pStyle w:val="BodyText"/>
        <w:ind w:left="3367" w:right="4077"/>
        <w:jc w:val="center"/>
      </w:pPr>
      <w:r>
        <w:rPr/>
        <w:t>Davis</w:t>
      </w:r>
      <w:r>
        <w:rPr>
          <w:spacing w:val="-8"/>
        </w:rPr>
        <w:t> </w:t>
      </w:r>
      <w:r>
        <w:rPr/>
        <w:t>College</w:t>
      </w:r>
      <w:r>
        <w:rPr>
          <w:spacing w:val="-8"/>
        </w:rPr>
        <w:t> </w:t>
      </w:r>
      <w:r>
        <w:rPr/>
        <w:t>of</w:t>
      </w:r>
      <w:r>
        <w:rPr>
          <w:spacing w:val="-8"/>
        </w:rPr>
        <w:t> </w:t>
      </w:r>
      <w:r>
        <w:rPr/>
        <w:t>Business</w:t>
      </w:r>
      <w:r>
        <w:rPr>
          <w:spacing w:val="-8"/>
        </w:rPr>
        <w:t> </w:t>
      </w:r>
      <w:r>
        <w:rPr/>
        <w:t>and</w:t>
      </w:r>
      <w:r>
        <w:rPr>
          <w:spacing w:val="-8"/>
        </w:rPr>
        <w:t> </w:t>
      </w:r>
      <w:r>
        <w:rPr/>
        <w:t>Economics Radford University</w:t>
      </w:r>
    </w:p>
    <w:p>
      <w:pPr>
        <w:pStyle w:val="BodyText"/>
        <w:ind w:right="730"/>
        <w:jc w:val="center"/>
      </w:pPr>
      <w:r>
        <w:rPr/>
        <w:t>701</w:t>
      </w:r>
      <w:r>
        <w:rPr>
          <w:spacing w:val="-9"/>
        </w:rPr>
        <w:t> </w:t>
      </w:r>
      <w:r>
        <w:rPr/>
        <w:t>Tyler</w:t>
      </w:r>
      <w:r>
        <w:rPr>
          <w:spacing w:val="-8"/>
        </w:rPr>
        <w:t> </w:t>
      </w:r>
      <w:r>
        <w:rPr>
          <w:spacing w:val="-2"/>
        </w:rPr>
        <w:t>Avenue</w:t>
      </w:r>
    </w:p>
    <w:p>
      <w:pPr>
        <w:pStyle w:val="BodyText"/>
        <w:ind w:left="3892" w:right="4598" w:hanging="35"/>
        <w:jc w:val="center"/>
      </w:pPr>
      <w:r>
        <w:rPr/>
        <w:t>Radford, VA 24142 </w:t>
      </w:r>
      <w:hyperlink r:id="rId53">
        <w:r>
          <w:rPr>
            <w:spacing w:val="-2"/>
          </w:rPr>
          <w:t>zcollier@radford.edu</w:t>
        </w:r>
      </w:hyperlink>
      <w:r>
        <w:rPr>
          <w:spacing w:val="-2"/>
        </w:rPr>
        <w:t> </w:t>
      </w:r>
      <w:r>
        <w:rPr/>
        <w:t>540.831.6732 (Contact </w:t>
      </w:r>
      <w:r>
        <w:rPr>
          <w:spacing w:val="-2"/>
        </w:rPr>
        <w:t>Author)</w:t>
      </w:r>
    </w:p>
    <w:p>
      <w:pPr>
        <w:pStyle w:val="BodyText"/>
      </w:pPr>
    </w:p>
    <w:p>
      <w:pPr>
        <w:pStyle w:val="BodyText"/>
        <w:ind w:left="727"/>
      </w:pPr>
      <w:r>
        <w:rPr/>
        <w:t>Key words (3-5): Generative AI, electronic waste, </w:t>
      </w:r>
      <w:r>
        <w:rPr>
          <w:spacing w:val="-2"/>
        </w:rPr>
        <w:t>sustainability</w:t>
      </w:r>
    </w:p>
    <w:p>
      <w:pPr>
        <w:pStyle w:val="BodyText"/>
        <w:tabs>
          <w:tab w:pos="1255" w:val="left" w:leader="none"/>
          <w:tab w:pos="1712" w:val="left" w:leader="none"/>
          <w:tab w:pos="2605" w:val="left" w:leader="none"/>
          <w:tab w:pos="3465" w:val="left" w:leader="none"/>
          <w:tab w:pos="4315" w:val="left" w:leader="none"/>
        </w:tabs>
        <w:spacing w:line="230" w:lineRule="auto" w:before="264"/>
        <w:ind w:left="712" w:right="1381" w:firstLine="15"/>
      </w:pPr>
      <w:r>
        <w:rPr/>
        <w:t>The rapid growth of the</w:t>
      </w:r>
      <w:r>
        <w:rPr>
          <w:spacing w:val="-2"/>
        </w:rPr>
        <w:t> </w:t>
      </w:r>
      <w:r>
        <w:rPr/>
        <w:t>use</w:t>
      </w:r>
      <w:r>
        <w:rPr>
          <w:spacing w:val="-2"/>
        </w:rPr>
        <w:t> </w:t>
      </w:r>
      <w:r>
        <w:rPr/>
        <w:t>of</w:t>
      </w:r>
      <w:r>
        <w:rPr>
          <w:spacing w:val="-2"/>
        </w:rPr>
        <w:t> </w:t>
      </w:r>
      <w:r>
        <w:rPr/>
        <w:t>electronics</w:t>
      </w:r>
      <w:r>
        <w:rPr>
          <w:spacing w:val="-2"/>
        </w:rPr>
        <w:t> </w:t>
      </w:r>
      <w:r>
        <w:rPr/>
        <w:t>across</w:t>
      </w:r>
      <w:r>
        <w:rPr>
          <w:spacing w:val="-2"/>
        </w:rPr>
        <w:t> </w:t>
      </w:r>
      <w:r>
        <w:rPr/>
        <w:t>all</w:t>
      </w:r>
      <w:r>
        <w:rPr>
          <w:spacing w:val="-2"/>
        </w:rPr>
        <w:t> </w:t>
      </w:r>
      <w:r>
        <w:rPr/>
        <w:t>economic</w:t>
      </w:r>
      <w:r>
        <w:rPr>
          <w:spacing w:val="-2"/>
        </w:rPr>
        <w:t> </w:t>
      </w:r>
      <w:r>
        <w:rPr/>
        <w:t>sectors</w:t>
      </w:r>
      <w:r>
        <w:rPr>
          <w:spacing w:val="-2"/>
        </w:rPr>
        <w:t> </w:t>
      </w:r>
      <w:r>
        <w:rPr/>
        <w:t>necessitates</w:t>
      </w:r>
      <w:r>
        <w:rPr>
          <w:spacing w:val="-2"/>
        </w:rPr>
        <w:t> </w:t>
      </w:r>
      <w:r>
        <w:rPr/>
        <w:t>the</w:t>
      </w:r>
      <w:r>
        <w:rPr>
          <w:spacing w:val="-2"/>
        </w:rPr>
        <w:t> </w:t>
      </w:r>
      <w:r>
        <w:rPr/>
        <w:t>production and</w:t>
      </w:r>
      <w:r>
        <w:rPr>
          <w:spacing w:val="40"/>
        </w:rPr>
        <w:t> </w:t>
      </w:r>
      <w:r>
        <w:rPr/>
        <w:t>use</w:t>
      </w:r>
      <w:r>
        <w:rPr>
          <w:spacing w:val="40"/>
        </w:rPr>
        <w:t> </w:t>
      </w:r>
      <w:r>
        <w:rPr/>
        <w:t>of</w:t>
      </w:r>
      <w:r>
        <w:rPr>
          <w:spacing w:val="40"/>
        </w:rPr>
        <w:t> </w:t>
      </w:r>
      <w:r>
        <w:rPr/>
        <w:t>electronic</w:t>
      </w:r>
      <w:r>
        <w:rPr>
          <w:spacing w:val="40"/>
        </w:rPr>
        <w:t> </w:t>
      </w:r>
      <w:r>
        <w:rPr/>
        <w:t>components</w:t>
      </w:r>
      <w:r>
        <w:rPr>
          <w:spacing w:val="40"/>
        </w:rPr>
        <w:t> </w:t>
      </w:r>
      <w:r>
        <w:rPr/>
        <w:t>that</w:t>
      </w:r>
      <w:r>
        <w:rPr>
          <w:spacing w:val="40"/>
        </w:rPr>
        <w:t> </w:t>
      </w:r>
      <w:r>
        <w:rPr/>
        <w:t>enable</w:t>
      </w:r>
      <w:r>
        <w:rPr>
          <w:spacing w:val="40"/>
        </w:rPr>
        <w:t> </w:t>
      </w:r>
      <w:r>
        <w:rPr/>
        <w:t>their</w:t>
      </w:r>
      <w:r>
        <w:rPr>
          <w:spacing w:val="40"/>
        </w:rPr>
        <w:t> </w:t>
      </w:r>
      <w:r>
        <w:rPr/>
        <w:t>functionality.</w:t>
      </w:r>
      <w:r>
        <w:rPr>
          <w:spacing w:val="40"/>
        </w:rPr>
        <w:t> </w:t>
      </w:r>
      <w:r>
        <w:rPr/>
        <w:t>The</w:t>
      </w:r>
      <w:r>
        <w:rPr>
          <w:spacing w:val="40"/>
        </w:rPr>
        <w:t> </w:t>
      </w:r>
      <w:r>
        <w:rPr/>
        <w:t>explosion</w:t>
      </w:r>
      <w:r>
        <w:rPr>
          <w:spacing w:val="40"/>
        </w:rPr>
        <w:t> </w:t>
      </w:r>
      <w:r>
        <w:rPr/>
        <w:t>of</w:t>
      </w:r>
      <w:r>
        <w:rPr>
          <w:spacing w:val="40"/>
        </w:rPr>
        <w:t> </w:t>
      </w:r>
      <w:r>
        <w:rPr/>
        <w:t>digitally enhanced</w:t>
      </w:r>
      <w:r>
        <w:rPr>
          <w:spacing w:val="40"/>
        </w:rPr>
        <w:t> </w:t>
      </w:r>
      <w:r>
        <w:rPr/>
        <w:t>goods</w:t>
      </w:r>
      <w:r>
        <w:rPr>
          <w:spacing w:val="40"/>
        </w:rPr>
        <w:t> </w:t>
      </w:r>
      <w:r>
        <w:rPr/>
        <w:t>and</w:t>
      </w:r>
      <w:r>
        <w:rPr>
          <w:spacing w:val="40"/>
        </w:rPr>
        <w:t> </w:t>
      </w:r>
      <w:r>
        <w:rPr/>
        <w:t>services</w:t>
      </w:r>
      <w:r>
        <w:rPr>
          <w:spacing w:val="40"/>
        </w:rPr>
        <w:t> </w:t>
      </w:r>
      <w:r>
        <w:rPr/>
        <w:t>has</w:t>
      </w:r>
      <w:r>
        <w:rPr>
          <w:spacing w:val="40"/>
        </w:rPr>
        <w:t> </w:t>
      </w:r>
      <w:r>
        <w:rPr/>
        <w:t>caused</w:t>
      </w:r>
      <w:r>
        <w:rPr>
          <w:spacing w:val="28"/>
        </w:rPr>
        <w:t> </w:t>
      </w:r>
      <w:r>
        <w:rPr/>
        <w:t>semiconductors</w:t>
      </w:r>
      <w:r>
        <w:rPr>
          <w:spacing w:val="28"/>
        </w:rPr>
        <w:t> </w:t>
      </w:r>
      <w:r>
        <w:rPr/>
        <w:t>to</w:t>
      </w:r>
      <w:r>
        <w:rPr>
          <w:spacing w:val="28"/>
        </w:rPr>
        <w:t> </w:t>
      </w:r>
      <w:r>
        <w:rPr/>
        <w:t>become</w:t>
      </w:r>
      <w:r>
        <w:rPr>
          <w:spacing w:val="28"/>
        </w:rPr>
        <w:t> </w:t>
      </w:r>
      <w:r>
        <w:rPr/>
        <w:t>the</w:t>
      </w:r>
      <w:r>
        <w:rPr>
          <w:spacing w:val="28"/>
        </w:rPr>
        <w:t> </w:t>
      </w:r>
      <w:r>
        <w:rPr/>
        <w:t>second</w:t>
      </w:r>
      <w:r>
        <w:rPr>
          <w:spacing w:val="28"/>
        </w:rPr>
        <w:t> </w:t>
      </w:r>
      <w:r>
        <w:rPr/>
        <w:t>most</w:t>
      </w:r>
      <w:r>
        <w:rPr>
          <w:spacing w:val="28"/>
        </w:rPr>
        <w:t> </w:t>
      </w:r>
      <w:r>
        <w:rPr/>
        <w:t>valuable commodity worldwide. A neglected phase of the electronic component’s lifecycle is the end-of life phase, in</w:t>
      </w:r>
      <w:r>
        <w:rPr>
          <w:spacing w:val="-2"/>
        </w:rPr>
        <w:t> </w:t>
      </w:r>
      <w:r>
        <w:rPr/>
        <w:t>which</w:t>
      </w:r>
      <w:r>
        <w:rPr>
          <w:spacing w:val="-2"/>
        </w:rPr>
        <w:t> </w:t>
      </w:r>
      <w:r>
        <w:rPr/>
        <w:t>components</w:t>
      </w:r>
      <w:r>
        <w:rPr>
          <w:spacing w:val="-2"/>
        </w:rPr>
        <w:t> </w:t>
      </w:r>
      <w:r>
        <w:rPr/>
        <w:t>that</w:t>
      </w:r>
      <w:r>
        <w:rPr>
          <w:spacing w:val="-2"/>
        </w:rPr>
        <w:t> </w:t>
      </w:r>
      <w:r>
        <w:rPr/>
        <w:t>are</w:t>
      </w:r>
      <w:r>
        <w:rPr>
          <w:spacing w:val="-2"/>
        </w:rPr>
        <w:t> </w:t>
      </w:r>
      <w:r>
        <w:rPr/>
        <w:t>not</w:t>
      </w:r>
      <w:r>
        <w:rPr>
          <w:spacing w:val="-2"/>
        </w:rPr>
        <w:t> </w:t>
      </w:r>
      <w:r>
        <w:rPr/>
        <w:t>recycled</w:t>
      </w:r>
      <w:r>
        <w:rPr>
          <w:spacing w:val="-2"/>
        </w:rPr>
        <w:t> </w:t>
      </w:r>
      <w:r>
        <w:rPr/>
        <w:t>become</w:t>
      </w:r>
      <w:r>
        <w:rPr>
          <w:spacing w:val="-2"/>
        </w:rPr>
        <w:t> </w:t>
      </w:r>
      <w:r>
        <w:rPr/>
        <w:t>electronic</w:t>
      </w:r>
      <w:r>
        <w:rPr>
          <w:spacing w:val="-2"/>
        </w:rPr>
        <w:t> </w:t>
      </w:r>
      <w:r>
        <w:rPr/>
        <w:t>waste</w:t>
      </w:r>
      <w:r>
        <w:rPr>
          <w:spacing w:val="-2"/>
        </w:rPr>
        <w:t> </w:t>
      </w:r>
      <w:r>
        <w:rPr/>
        <w:t>(e-waste).</w:t>
      </w:r>
      <w:r>
        <w:rPr>
          <w:spacing w:val="-2"/>
        </w:rPr>
        <w:t> </w:t>
      </w:r>
      <w:r>
        <w:rPr/>
        <w:t>E-waste poses environmental,</w:t>
      </w:r>
      <w:r>
        <w:rPr>
          <w:spacing w:val="-3"/>
        </w:rPr>
        <w:t> </w:t>
      </w:r>
      <w:r>
        <w:rPr/>
        <w:t>economic,</w:t>
      </w:r>
      <w:r>
        <w:rPr>
          <w:spacing w:val="-3"/>
        </w:rPr>
        <w:t> </w:t>
      </w:r>
      <w:r>
        <w:rPr/>
        <w:t>and</w:t>
      </w:r>
      <w:r>
        <w:rPr>
          <w:spacing w:val="-3"/>
        </w:rPr>
        <w:t> </w:t>
      </w:r>
      <w:r>
        <w:rPr/>
        <w:t>public</w:t>
      </w:r>
      <w:r>
        <w:rPr>
          <w:spacing w:val="-3"/>
        </w:rPr>
        <w:t> </w:t>
      </w:r>
      <w:r>
        <w:rPr/>
        <w:t>health</w:t>
      </w:r>
      <w:r>
        <w:rPr>
          <w:spacing w:val="-3"/>
        </w:rPr>
        <w:t> </w:t>
      </w:r>
      <w:r>
        <w:rPr/>
        <w:t>challenges</w:t>
      </w:r>
      <w:r>
        <w:rPr>
          <w:spacing w:val="-3"/>
        </w:rPr>
        <w:t> </w:t>
      </w:r>
      <w:r>
        <w:rPr/>
        <w:t>for</w:t>
      </w:r>
      <w:r>
        <w:rPr>
          <w:spacing w:val="-3"/>
        </w:rPr>
        <w:t> </w:t>
      </w:r>
      <w:r>
        <w:rPr/>
        <w:t>the</w:t>
      </w:r>
      <w:r>
        <w:rPr>
          <w:spacing w:val="-3"/>
        </w:rPr>
        <w:t> </w:t>
      </w:r>
      <w:r>
        <w:rPr/>
        <w:t>localities</w:t>
      </w:r>
      <w:r>
        <w:rPr>
          <w:spacing w:val="-3"/>
        </w:rPr>
        <w:t> </w:t>
      </w:r>
      <w:r>
        <w:rPr/>
        <w:t>in</w:t>
      </w:r>
      <w:r>
        <w:rPr>
          <w:spacing w:val="-3"/>
        </w:rPr>
        <w:t> </w:t>
      </w:r>
      <w:r>
        <w:rPr/>
        <w:t>which</w:t>
      </w:r>
      <w:r>
        <w:rPr>
          <w:spacing w:val="-3"/>
        </w:rPr>
        <w:t> </w:t>
      </w:r>
      <w:r>
        <w:rPr/>
        <w:t>e-waste</w:t>
      </w:r>
      <w:r>
        <w:rPr>
          <w:spacing w:val="-3"/>
        </w:rPr>
        <w:t> </w:t>
      </w:r>
      <w:r>
        <w:rPr/>
        <w:t>is disposed. The effective disposal of e-waste is constrained by limited formal recycling programs, especially</w:t>
      </w:r>
      <w:r>
        <w:rPr>
          <w:spacing w:val="27"/>
        </w:rPr>
        <w:t> </w:t>
      </w:r>
      <w:r>
        <w:rPr/>
        <w:t>in</w:t>
      </w:r>
      <w:r>
        <w:rPr>
          <w:spacing w:val="27"/>
        </w:rPr>
        <w:t> </w:t>
      </w:r>
      <w:r>
        <w:rPr/>
        <w:t>developing</w:t>
      </w:r>
      <w:r>
        <w:rPr>
          <w:spacing w:val="27"/>
        </w:rPr>
        <w:t> </w:t>
      </w:r>
      <w:r>
        <w:rPr/>
        <w:t>nations,</w:t>
      </w:r>
      <w:r>
        <w:rPr>
          <w:spacing w:val="27"/>
        </w:rPr>
        <w:t> </w:t>
      </w:r>
      <w:r>
        <w:rPr/>
        <w:t>where</w:t>
      </w:r>
      <w:r>
        <w:rPr>
          <w:spacing w:val="27"/>
        </w:rPr>
        <w:t> </w:t>
      </w:r>
      <w:r>
        <w:rPr/>
        <w:t>the</w:t>
      </w:r>
      <w:r>
        <w:rPr>
          <w:spacing w:val="27"/>
        </w:rPr>
        <w:t> </w:t>
      </w:r>
      <w:r>
        <w:rPr/>
        <w:t>up-front</w:t>
      </w:r>
      <w:r>
        <w:rPr>
          <w:spacing w:val="27"/>
        </w:rPr>
        <w:t> </w:t>
      </w:r>
      <w:r>
        <w:rPr/>
        <w:t>costs</w:t>
      </w:r>
      <w:r>
        <w:rPr>
          <w:spacing w:val="27"/>
        </w:rPr>
        <w:t> </w:t>
      </w:r>
      <w:r>
        <w:rPr/>
        <w:t>of</w:t>
      </w:r>
      <w:r>
        <w:rPr>
          <w:spacing w:val="27"/>
        </w:rPr>
        <w:t> </w:t>
      </w:r>
      <w:r>
        <w:rPr/>
        <w:t>implementing</w:t>
      </w:r>
      <w:r>
        <w:rPr>
          <w:spacing w:val="27"/>
        </w:rPr>
        <w:t> </w:t>
      </w:r>
      <w:r>
        <w:rPr/>
        <w:t>recycling programs </w:t>
      </w:r>
      <w:r>
        <w:rPr>
          <w:spacing w:val="-4"/>
        </w:rPr>
        <w:t>can</w:t>
      </w:r>
      <w:r>
        <w:rPr/>
        <w:tab/>
        <w:t>be</w:t>
      </w:r>
      <w:r>
        <w:rPr>
          <w:spacing w:val="40"/>
        </w:rPr>
        <w:t> </w:t>
      </w:r>
      <w:r>
        <w:rPr/>
        <w:t>prohibitive.</w:t>
      </w:r>
      <w:r>
        <w:rPr>
          <w:spacing w:val="40"/>
        </w:rPr>
        <w:t> </w:t>
      </w:r>
      <w:r>
        <w:rPr/>
        <w:t>However,</w:t>
      </w:r>
      <w:r>
        <w:rPr>
          <w:spacing w:val="40"/>
        </w:rPr>
        <w:t> </w:t>
      </w:r>
      <w:r>
        <w:rPr/>
        <w:t>current practices, such as open-air burning cause serious </w:t>
      </w:r>
      <w:r>
        <w:rPr/>
        <w:t>health</w:t>
      </w:r>
      <w:r>
        <w:rPr>
          <w:spacing w:val="40"/>
        </w:rPr>
        <w:t> </w:t>
      </w:r>
      <w:r>
        <w:rPr/>
        <w:t>risks</w:t>
      </w:r>
      <w:r>
        <w:rPr>
          <w:spacing w:val="40"/>
        </w:rPr>
        <w:t> </w:t>
      </w:r>
      <w:r>
        <w:rPr/>
        <w:t>to</w:t>
        <w:tab/>
        <w:t>the</w:t>
      </w:r>
      <w:r>
        <w:rPr>
          <w:spacing w:val="40"/>
        </w:rPr>
        <w:t> </w:t>
      </w:r>
      <w:r>
        <w:rPr/>
        <w:t>local</w:t>
      </w:r>
      <w:r>
        <w:rPr>
          <w:spacing w:val="40"/>
        </w:rPr>
        <w:t> </w:t>
      </w:r>
      <w:r>
        <w:rPr/>
        <w:t>community.</w:t>
      </w:r>
      <w:r>
        <w:rPr>
          <w:spacing w:val="40"/>
        </w:rPr>
        <w:t> </w:t>
      </w:r>
      <w:r>
        <w:rPr/>
        <w:t>Therefore,</w:t>
      </w:r>
      <w:r>
        <w:rPr>
          <w:spacing w:val="40"/>
        </w:rPr>
        <w:t> </w:t>
      </w:r>
      <w:r>
        <w:rPr/>
        <w:t>policymakers</w:t>
      </w:r>
      <w:r>
        <w:rPr>
          <w:spacing w:val="40"/>
        </w:rPr>
        <w:t> </w:t>
      </w:r>
      <w:r>
        <w:rPr/>
        <w:t>face</w:t>
      </w:r>
      <w:r>
        <w:rPr>
          <w:spacing w:val="40"/>
        </w:rPr>
        <w:t> </w:t>
      </w:r>
      <w:r>
        <w:rPr/>
        <w:t>cost</w:t>
      </w:r>
      <w:r>
        <w:rPr>
          <w:spacing w:val="40"/>
        </w:rPr>
        <w:t> </w:t>
      </w:r>
      <w:r>
        <w:rPr/>
        <w:t>and</w:t>
      </w:r>
      <w:r>
        <w:rPr>
          <w:spacing w:val="40"/>
        </w:rPr>
        <w:t> </w:t>
      </w:r>
      <w:r>
        <w:rPr/>
        <w:t>benefit</w:t>
      </w:r>
      <w:r>
        <w:rPr>
          <w:spacing w:val="40"/>
        </w:rPr>
        <w:t> </w:t>
      </w:r>
      <w:r>
        <w:rPr/>
        <w:t>tradeoffs</w:t>
      </w:r>
      <w:r>
        <w:rPr>
          <w:spacing w:val="40"/>
        </w:rPr>
        <w:t> </w:t>
      </w:r>
      <w:r>
        <w:rPr/>
        <w:t>when evaluating e-waste recycling alternatives. In this presentation, we explore this problem through</w:t>
      </w:r>
      <w:r>
        <w:rPr>
          <w:spacing w:val="80"/>
        </w:rPr>
        <w:t> </w:t>
      </w:r>
      <w:r>
        <w:rPr/>
        <w:t>the</w:t>
      </w:r>
      <w:r>
        <w:rPr>
          <w:spacing w:val="27"/>
        </w:rPr>
        <w:t> </w:t>
      </w:r>
      <w:r>
        <w:rPr/>
        <w:t>lens</w:t>
      </w:r>
      <w:r>
        <w:rPr>
          <w:spacing w:val="27"/>
        </w:rPr>
        <w:t> </w:t>
      </w:r>
      <w:r>
        <w:rPr/>
        <w:t>of</w:t>
      </w:r>
      <w:r>
        <w:rPr>
          <w:spacing w:val="80"/>
        </w:rPr>
        <w:t> </w:t>
      </w:r>
      <w:r>
        <w:rPr/>
        <w:t>different</w:t>
      </w:r>
      <w:r>
        <w:rPr>
          <w:spacing w:val="27"/>
        </w:rPr>
        <w:t> </w:t>
      </w:r>
      <w:r>
        <w:rPr/>
        <w:t>emerging artificial intelligence (AI) models. AI is rapidly becoming relied upon for a</w:t>
      </w:r>
      <w:r>
        <w:rPr>
          <w:spacing w:val="80"/>
        </w:rPr>
        <w:t> </w:t>
      </w:r>
      <w:r>
        <w:rPr/>
        <w:t>number</w:t>
      </w:r>
      <w:r>
        <w:rPr>
          <w:spacing w:val="-2"/>
        </w:rPr>
        <w:t> </w:t>
      </w:r>
      <w:r>
        <w:rPr/>
        <w:t>of</w:t>
      </w:r>
      <w:r>
        <w:rPr>
          <w:spacing w:val="-2"/>
        </w:rPr>
        <w:t> </w:t>
      </w:r>
      <w:r>
        <w:rPr/>
        <w:t>decision</w:t>
      </w:r>
      <w:r>
        <w:rPr>
          <w:spacing w:val="-2"/>
        </w:rPr>
        <w:t> </w:t>
      </w:r>
      <w:r>
        <w:rPr/>
        <w:t>making</w:t>
      </w:r>
      <w:r>
        <w:rPr>
          <w:spacing w:val="-2"/>
        </w:rPr>
        <w:t> </w:t>
      </w:r>
      <w:r>
        <w:rPr/>
        <w:t>tasks,</w:t>
      </w:r>
      <w:r>
        <w:rPr>
          <w:spacing w:val="-2"/>
        </w:rPr>
        <w:t> </w:t>
      </w:r>
      <w:r>
        <w:rPr/>
        <w:t>including</w:t>
      </w:r>
      <w:r>
        <w:rPr>
          <w:spacing w:val="-2"/>
        </w:rPr>
        <w:t> </w:t>
      </w:r>
      <w:r>
        <w:rPr/>
        <w:t>brainstorming</w:t>
      </w:r>
      <w:r>
        <w:rPr>
          <w:spacing w:val="-2"/>
        </w:rPr>
        <w:t> </w:t>
      </w:r>
      <w:r>
        <w:rPr/>
        <w:t>and</w:t>
      </w:r>
      <w:r>
        <w:rPr>
          <w:spacing w:val="-2"/>
        </w:rPr>
        <w:t> </w:t>
      </w:r>
      <w:r>
        <w:rPr/>
        <w:t>researching</w:t>
      </w:r>
      <w:r>
        <w:rPr>
          <w:spacing w:val="-2"/>
        </w:rPr>
        <w:t> </w:t>
      </w:r>
      <w:r>
        <w:rPr/>
        <w:t>alternative courses</w:t>
      </w:r>
      <w:r>
        <w:rPr>
          <w:spacing w:val="40"/>
        </w:rPr>
        <w:t> </w:t>
      </w:r>
      <w:r>
        <w:rPr/>
        <w:t>of</w:t>
      </w:r>
      <w:r>
        <w:rPr>
          <w:spacing w:val="80"/>
        </w:rPr>
        <w:t> </w:t>
      </w:r>
      <w:r>
        <w:rPr/>
        <w:t>action.</w:t>
      </w:r>
      <w:r>
        <w:rPr>
          <w:spacing w:val="26"/>
        </w:rPr>
        <w:t> </w:t>
      </w:r>
      <w:r>
        <w:rPr/>
        <w:t>However,</w:t>
      </w:r>
      <w:r>
        <w:rPr>
          <w:spacing w:val="26"/>
        </w:rPr>
        <w:t> </w:t>
      </w:r>
      <w:r>
        <w:rPr/>
        <w:t>while</w:t>
      </w:r>
      <w:r>
        <w:rPr>
          <w:spacing w:val="26"/>
        </w:rPr>
        <w:t> </w:t>
      </w:r>
      <w:r>
        <w:rPr/>
        <w:t>model</w:t>
      </w:r>
      <w:r>
        <w:rPr>
          <w:spacing w:val="26"/>
        </w:rPr>
        <w:t> </w:t>
      </w:r>
      <w:r>
        <w:rPr/>
        <w:t>performance</w:t>
      </w:r>
      <w:r>
        <w:rPr>
          <w:spacing w:val="26"/>
        </w:rPr>
        <w:t> </w:t>
      </w:r>
      <w:r>
        <w:rPr/>
        <w:t>continues</w:t>
      </w:r>
      <w:r>
        <w:rPr>
          <w:spacing w:val="26"/>
        </w:rPr>
        <w:t> </w:t>
      </w:r>
      <w:r>
        <w:rPr/>
        <w:t>to</w:t>
      </w:r>
      <w:r>
        <w:rPr>
          <w:spacing w:val="26"/>
        </w:rPr>
        <w:t> </w:t>
      </w:r>
      <w:r>
        <w:rPr/>
        <w:t>improve,</w:t>
      </w:r>
      <w:r>
        <w:rPr>
          <w:spacing w:val="26"/>
        </w:rPr>
        <w:t> </w:t>
      </w:r>
      <w:r>
        <w:rPr/>
        <w:t>generative</w:t>
      </w:r>
      <w:r>
        <w:rPr>
          <w:spacing w:val="26"/>
        </w:rPr>
        <w:t> </w:t>
      </w:r>
      <w:r>
        <w:rPr/>
        <w:t>AI</w:t>
      </w:r>
      <w:r>
        <w:rPr>
          <w:spacing w:val="26"/>
        </w:rPr>
        <w:t> </w:t>
      </w:r>
      <w:r>
        <w:rPr/>
        <w:t>is prone</w:t>
      </w:r>
      <w:r>
        <w:rPr>
          <w:spacing w:val="40"/>
        </w:rPr>
        <w:t> </w:t>
      </w:r>
      <w:r>
        <w:rPr/>
        <w:t>to</w:t>
      </w:r>
      <w:r>
        <w:rPr>
          <w:spacing w:val="40"/>
        </w:rPr>
        <w:t> </w:t>
      </w:r>
      <w:r>
        <w:rPr/>
        <w:t>several</w:t>
        <w:tab/>
        <w:t>issues</w:t>
      </w:r>
      <w:r>
        <w:rPr>
          <w:spacing w:val="40"/>
        </w:rPr>
        <w:t> </w:t>
      </w:r>
      <w:r>
        <w:rPr/>
        <w:t>including</w:t>
      </w:r>
      <w:r>
        <w:rPr>
          <w:spacing w:val="40"/>
        </w:rPr>
        <w:t> </w:t>
      </w:r>
      <w:r>
        <w:rPr/>
        <w:t>hallucinations</w:t>
      </w:r>
      <w:r>
        <w:rPr>
          <w:spacing w:val="40"/>
        </w:rPr>
        <w:t> </w:t>
      </w:r>
      <w:r>
        <w:rPr/>
        <w:t>and</w:t>
      </w:r>
      <w:r>
        <w:rPr>
          <w:spacing w:val="40"/>
        </w:rPr>
        <w:t> </w:t>
      </w:r>
      <w:r>
        <w:rPr/>
        <w:t>biases.</w:t>
      </w:r>
      <w:r>
        <w:rPr>
          <w:spacing w:val="40"/>
        </w:rPr>
        <w:t> </w:t>
      </w:r>
      <w:r>
        <w:rPr/>
        <w:t>The</w:t>
      </w:r>
      <w:r>
        <w:rPr>
          <w:spacing w:val="40"/>
        </w:rPr>
        <w:t> </w:t>
      </w:r>
      <w:r>
        <w:rPr/>
        <w:t>goal</w:t>
      </w:r>
      <w:r>
        <w:rPr>
          <w:spacing w:val="40"/>
        </w:rPr>
        <w:t> </w:t>
      </w:r>
      <w:r>
        <w:rPr/>
        <w:t>of</w:t>
      </w:r>
      <w:r>
        <w:rPr>
          <w:spacing w:val="40"/>
        </w:rPr>
        <w:t> </w:t>
      </w:r>
      <w:r>
        <w:rPr/>
        <w:t>our</w:t>
      </w:r>
      <w:r>
        <w:rPr>
          <w:spacing w:val="40"/>
        </w:rPr>
        <w:t> </w:t>
      </w:r>
      <w:r>
        <w:rPr/>
        <w:t>research</w:t>
      </w:r>
      <w:r>
        <w:rPr>
          <w:spacing w:val="40"/>
        </w:rPr>
        <w:t> </w:t>
      </w:r>
      <w:r>
        <w:rPr/>
        <w:t>is</w:t>
      </w:r>
      <w:r>
        <w:rPr>
          <w:spacing w:val="40"/>
        </w:rPr>
        <w:t> </w:t>
      </w:r>
      <w:r>
        <w:rPr/>
        <w:t>to investigate</w:t>
      </w:r>
      <w:r>
        <w:rPr>
          <w:spacing w:val="40"/>
        </w:rPr>
        <w:t> </w:t>
      </w:r>
      <w:r>
        <w:rPr/>
        <w:t>wow</w:t>
      </w:r>
      <w:r>
        <w:rPr>
          <w:spacing w:val="40"/>
        </w:rPr>
        <w:t> </w:t>
      </w:r>
      <w:r>
        <w:rPr/>
        <w:t>AI</w:t>
      </w:r>
      <w:r>
        <w:rPr>
          <w:spacing w:val="27"/>
        </w:rPr>
        <w:t> </w:t>
      </w:r>
      <w:r>
        <w:rPr/>
        <w:t>supported</w:t>
      </w:r>
      <w:r>
        <w:rPr>
          <w:spacing w:val="27"/>
        </w:rPr>
        <w:t> </w:t>
      </w:r>
      <w:r>
        <w:rPr/>
        <w:t>analysis</w:t>
      </w:r>
      <w:r>
        <w:rPr>
          <w:spacing w:val="27"/>
        </w:rPr>
        <w:t> </w:t>
      </w:r>
      <w:r>
        <w:rPr/>
        <w:t>can</w:t>
      </w:r>
      <w:r>
        <w:rPr>
          <w:spacing w:val="27"/>
        </w:rPr>
        <w:t> </w:t>
      </w:r>
      <w:r>
        <w:rPr/>
        <w:t>be</w:t>
      </w:r>
      <w:r>
        <w:rPr>
          <w:spacing w:val="27"/>
        </w:rPr>
        <w:t> </w:t>
      </w:r>
      <w:r>
        <w:rPr/>
        <w:t>used</w:t>
      </w:r>
      <w:r>
        <w:rPr>
          <w:spacing w:val="27"/>
        </w:rPr>
        <w:t> </w:t>
      </w:r>
      <w:r>
        <w:rPr/>
        <w:t>to</w:t>
      </w:r>
      <w:r>
        <w:rPr>
          <w:spacing w:val="27"/>
        </w:rPr>
        <w:t> </w:t>
      </w:r>
      <w:r>
        <w:rPr/>
        <w:t>compare</w:t>
      </w:r>
      <w:r>
        <w:rPr>
          <w:spacing w:val="27"/>
        </w:rPr>
        <w:t> </w:t>
      </w:r>
      <w:r>
        <w:rPr/>
        <w:t>and</w:t>
      </w:r>
      <w:r>
        <w:rPr>
          <w:spacing w:val="27"/>
        </w:rPr>
        <w:t> </w:t>
      </w:r>
      <w:r>
        <w:rPr/>
        <w:t>rank</w:t>
      </w:r>
      <w:r>
        <w:rPr>
          <w:spacing w:val="27"/>
        </w:rPr>
        <w:t> </w:t>
      </w:r>
      <w:r>
        <w:rPr/>
        <w:t>e-waste</w:t>
      </w:r>
      <w:r>
        <w:rPr>
          <w:spacing w:val="27"/>
        </w:rPr>
        <w:t> </w:t>
      </w:r>
      <w:r>
        <w:rPr/>
        <w:t>management alternatives in a West</w:t>
      </w:r>
      <w:r>
        <w:rPr>
          <w:spacing w:val="80"/>
        </w:rPr>
        <w:t> </w:t>
      </w:r>
      <w:r>
        <w:rPr/>
        <w:t>African context using cost–benefit,</w:t>
      </w:r>
      <w:r>
        <w:rPr>
          <w:spacing w:val="-4"/>
        </w:rPr>
        <w:t> </w:t>
      </w:r>
      <w:r>
        <w:rPr/>
        <w:t>environmental,</w:t>
      </w:r>
      <w:r>
        <w:rPr>
          <w:spacing w:val="-4"/>
        </w:rPr>
        <w:t> </w:t>
      </w:r>
      <w:r>
        <w:rPr/>
        <w:t>and</w:t>
      </w:r>
      <w:r>
        <w:rPr>
          <w:spacing w:val="-4"/>
        </w:rPr>
        <w:t> </w:t>
      </w:r>
      <w:r>
        <w:rPr/>
        <w:t>risk-based</w:t>
      </w:r>
      <w:r>
        <w:rPr>
          <w:spacing w:val="-4"/>
        </w:rPr>
        <w:t> </w:t>
      </w:r>
      <w:r>
        <w:rPr/>
        <w:t>criteria. First we identify a set of e-waste recycling alternatives. Next, we select a set of general purpose</w:t>
      </w:r>
      <w:r>
        <w:rPr>
          <w:spacing w:val="40"/>
        </w:rPr>
        <w:t> </w:t>
      </w:r>
      <w:r>
        <w:rPr/>
        <w:t>AI models that are</w:t>
      </w:r>
      <w:r>
        <w:rPr>
          <w:spacing w:val="-6"/>
        </w:rPr>
        <w:t> </w:t>
      </w:r>
      <w:r>
        <w:rPr/>
        <w:t>widely</w:t>
      </w:r>
      <w:r>
        <w:rPr>
          <w:spacing w:val="40"/>
        </w:rPr>
        <w:t> </w:t>
      </w:r>
      <w:r>
        <w:rPr/>
        <w:t>used</w:t>
      </w:r>
      <w:r>
        <w:rPr>
          <w:spacing w:val="-6"/>
        </w:rPr>
        <w:t> </w:t>
      </w:r>
      <w:r>
        <w:rPr/>
        <w:t>including</w:t>
      </w:r>
      <w:r>
        <w:rPr>
          <w:spacing w:val="-6"/>
        </w:rPr>
        <w:t> </w:t>
      </w:r>
      <w:r>
        <w:rPr/>
        <w:t>ChatGPT,</w:t>
      </w:r>
      <w:r>
        <w:rPr>
          <w:spacing w:val="-6"/>
        </w:rPr>
        <w:t> </w:t>
      </w:r>
      <w:r>
        <w:rPr/>
        <w:t>Claude,</w:t>
      </w:r>
      <w:r>
        <w:rPr>
          <w:spacing w:val="-6"/>
        </w:rPr>
        <w:t> </w:t>
      </w:r>
      <w:r>
        <w:rPr/>
        <w:t>Perplexity,</w:t>
      </w:r>
      <w:r>
        <w:rPr>
          <w:spacing w:val="-6"/>
        </w:rPr>
        <w:t> </w:t>
      </w:r>
      <w:r>
        <w:rPr/>
        <w:t>Gemini,</w:t>
      </w:r>
      <w:r>
        <w:rPr>
          <w:spacing w:val="-6"/>
        </w:rPr>
        <w:t> </w:t>
      </w:r>
      <w:r>
        <w:rPr/>
        <w:t>and</w:t>
      </w:r>
      <w:r>
        <w:rPr>
          <w:spacing w:val="-6"/>
        </w:rPr>
        <w:t> </w:t>
      </w:r>
      <w:r>
        <w:rPr/>
        <w:t>Copilot.</w:t>
      </w:r>
      <w:r>
        <w:rPr>
          <w:spacing w:val="-6"/>
        </w:rPr>
        <w:t> </w:t>
      </w:r>
      <w:r>
        <w:rPr/>
        <w:t>We prompted</w:t>
      </w:r>
      <w:r>
        <w:rPr>
          <w:spacing w:val="40"/>
        </w:rPr>
        <w:t> </w:t>
      </w:r>
      <w:r>
        <w:rPr/>
        <w:t>each</w:t>
      </w:r>
      <w:r>
        <w:rPr>
          <w:spacing w:val="40"/>
        </w:rPr>
        <w:t> </w:t>
      </w:r>
      <w:r>
        <w:rPr/>
        <w:t>AI</w:t>
      </w:r>
      <w:r>
        <w:rPr>
          <w:spacing w:val="40"/>
        </w:rPr>
        <w:t> </w:t>
      </w:r>
      <w:r>
        <w:rPr/>
        <w:t>model</w:t>
        <w:tab/>
        <w:t>to</w:t>
      </w:r>
      <w:r>
        <w:rPr>
          <w:spacing w:val="40"/>
        </w:rPr>
        <w:t> </w:t>
      </w:r>
      <w:r>
        <w:rPr/>
        <w:t>generate</w:t>
      </w:r>
      <w:r>
        <w:rPr>
          <w:spacing w:val="40"/>
        </w:rPr>
        <w:t> </w:t>
      </w:r>
      <w:r>
        <w:rPr/>
        <w:t>a</w:t>
      </w:r>
      <w:r>
        <w:rPr>
          <w:spacing w:val="40"/>
        </w:rPr>
        <w:t> </w:t>
      </w:r>
      <w:r>
        <w:rPr/>
        <w:t>ranked</w:t>
      </w:r>
      <w:r>
        <w:rPr>
          <w:spacing w:val="40"/>
        </w:rPr>
        <w:t> </w:t>
      </w:r>
      <w:r>
        <w:rPr/>
        <w:t>list</w:t>
      </w:r>
      <w:r>
        <w:rPr>
          <w:spacing w:val="40"/>
        </w:rPr>
        <w:t> </w:t>
      </w:r>
      <w:r>
        <w:rPr/>
        <w:t>of</w:t>
      </w:r>
      <w:r>
        <w:rPr>
          <w:spacing w:val="40"/>
        </w:rPr>
        <w:t> </w:t>
      </w:r>
      <w:r>
        <w:rPr/>
        <w:t>the</w:t>
      </w:r>
      <w:r>
        <w:rPr>
          <w:spacing w:val="40"/>
        </w:rPr>
        <w:t> </w:t>
      </w:r>
      <w:r>
        <w:rPr/>
        <w:t>e-waste</w:t>
      </w:r>
      <w:r>
        <w:rPr>
          <w:spacing w:val="40"/>
        </w:rPr>
        <w:t> </w:t>
      </w:r>
      <w:r>
        <w:rPr/>
        <w:t>recycling</w:t>
      </w:r>
      <w:r>
        <w:rPr>
          <w:spacing w:val="40"/>
        </w:rPr>
        <w:t> </w:t>
      </w:r>
      <w:r>
        <w:rPr/>
        <w:t>alternatives</w:t>
      </w:r>
      <w:r>
        <w:rPr>
          <w:spacing w:val="40"/>
        </w:rPr>
        <w:t> </w:t>
      </w:r>
      <w:r>
        <w:rPr/>
        <w:t>and provide</w:t>
      </w:r>
      <w:r>
        <w:rPr>
          <w:spacing w:val="-4"/>
        </w:rPr>
        <w:t> </w:t>
      </w:r>
      <w:r>
        <w:rPr/>
        <w:t>benefits</w:t>
      </w:r>
      <w:r>
        <w:rPr>
          <w:spacing w:val="-4"/>
        </w:rPr>
        <w:t> </w:t>
      </w:r>
      <w:r>
        <w:rPr/>
        <w:t>and</w:t>
      </w:r>
      <w:r>
        <w:rPr>
          <w:spacing w:val="-4"/>
        </w:rPr>
        <w:t> </w:t>
      </w:r>
      <w:r>
        <w:rPr/>
        <w:t>challenges</w:t>
      </w:r>
      <w:r>
        <w:rPr>
          <w:spacing w:val="40"/>
        </w:rPr>
        <w:t> </w:t>
      </w:r>
      <w:r>
        <w:rPr/>
        <w:t>associated</w:t>
      </w:r>
      <w:r>
        <w:rPr>
          <w:spacing w:val="-4"/>
        </w:rPr>
        <w:t> </w:t>
      </w:r>
      <w:r>
        <w:rPr/>
        <w:t>with</w:t>
      </w:r>
      <w:r>
        <w:rPr>
          <w:spacing w:val="-4"/>
        </w:rPr>
        <w:t> </w:t>
      </w:r>
      <w:r>
        <w:rPr/>
        <w:t>each</w:t>
      </w:r>
      <w:r>
        <w:rPr>
          <w:spacing w:val="-4"/>
        </w:rPr>
        <w:t> </w:t>
      </w:r>
      <w:r>
        <w:rPr/>
        <w:t>within</w:t>
      </w:r>
      <w:r>
        <w:rPr>
          <w:spacing w:val="-4"/>
        </w:rPr>
        <w:t> </w:t>
      </w:r>
      <w:r>
        <w:rPr/>
        <w:t>a</w:t>
      </w:r>
      <w:r>
        <w:rPr>
          <w:spacing w:val="-4"/>
        </w:rPr>
        <w:t> </w:t>
      </w:r>
      <w:r>
        <w:rPr/>
        <w:t>West</w:t>
      </w:r>
      <w:r>
        <w:rPr>
          <w:spacing w:val="-4"/>
        </w:rPr>
        <w:t> </w:t>
      </w:r>
      <w:r>
        <w:rPr/>
        <w:t>African</w:t>
      </w:r>
      <w:r>
        <w:rPr>
          <w:spacing w:val="-4"/>
        </w:rPr>
        <w:t> </w:t>
      </w:r>
      <w:r>
        <w:rPr/>
        <w:t>context.</w:t>
      </w:r>
      <w:r>
        <w:rPr>
          <w:spacing w:val="-4"/>
        </w:rPr>
        <w:t> </w:t>
      </w:r>
      <w:r>
        <w:rPr/>
        <w:t>Based</w:t>
      </w:r>
      <w:r>
        <w:rPr>
          <w:spacing w:val="-4"/>
        </w:rPr>
        <w:t> </w:t>
      </w:r>
      <w:r>
        <w:rPr/>
        <w:t>on</w:t>
      </w:r>
      <w:r>
        <w:rPr>
          <w:spacing w:val="-4"/>
        </w:rPr>
        <w:t> </w:t>
      </w:r>
      <w:r>
        <w:rPr/>
        <w:t>the results,</w:t>
      </w:r>
      <w:r>
        <w:rPr>
          <w:spacing w:val="40"/>
        </w:rPr>
        <w:t> </w:t>
      </w:r>
      <w:r>
        <w:rPr/>
        <w:t>we</w:t>
      </w:r>
      <w:r>
        <w:rPr>
          <w:spacing w:val="40"/>
        </w:rPr>
        <w:t> </w:t>
      </w:r>
      <w:r>
        <w:rPr/>
        <w:t>compare</w:t>
      </w:r>
      <w:r>
        <w:rPr>
          <w:spacing w:val="40"/>
        </w:rPr>
        <w:t> </w:t>
      </w:r>
      <w:r>
        <w:rPr/>
        <w:t>the</w:t>
      </w:r>
      <w:r>
        <w:rPr>
          <w:spacing w:val="40"/>
        </w:rPr>
        <w:t> </w:t>
      </w:r>
      <w:r>
        <w:rPr/>
        <w:t>outputs</w:t>
        <w:tab/>
        <w:t>and</w:t>
      </w:r>
      <w:r>
        <w:rPr>
          <w:spacing w:val="40"/>
        </w:rPr>
        <w:t> </w:t>
      </w:r>
      <w:r>
        <w:rPr/>
        <w:t>calculate</w:t>
      </w:r>
      <w:r>
        <w:rPr>
          <w:spacing w:val="40"/>
        </w:rPr>
        <w:t> </w:t>
      </w:r>
      <w:r>
        <w:rPr/>
        <w:t>the</w:t>
      </w:r>
      <w:r>
        <w:rPr>
          <w:spacing w:val="40"/>
        </w:rPr>
        <w:t> </w:t>
      </w:r>
      <w:r>
        <w:rPr/>
        <w:t>difference</w:t>
      </w:r>
      <w:r>
        <w:rPr>
          <w:spacing w:val="40"/>
        </w:rPr>
        <w:t> </w:t>
      </w:r>
      <w:r>
        <w:rPr/>
        <w:t>between</w:t>
      </w:r>
      <w:r>
        <w:rPr>
          <w:spacing w:val="40"/>
        </w:rPr>
        <w:t> </w:t>
      </w:r>
      <w:r>
        <w:rPr/>
        <w:t>the</w:t>
      </w:r>
      <w:r>
        <w:rPr>
          <w:spacing w:val="40"/>
        </w:rPr>
        <w:t> </w:t>
      </w:r>
      <w:r>
        <w:rPr/>
        <w:t>ranked</w:t>
      </w:r>
      <w:r>
        <w:rPr>
          <w:spacing w:val="40"/>
        </w:rPr>
        <w:t> </w:t>
      </w:r>
      <w:r>
        <w:rPr/>
        <w:t>lists</w:t>
      </w:r>
      <w:r>
        <w:rPr>
          <w:spacing w:val="40"/>
        </w:rPr>
        <w:t> </w:t>
      </w:r>
      <w:r>
        <w:rPr/>
        <w:t>of alternatives using statistical metrics.</w:t>
      </w:r>
      <w:r>
        <w:rPr>
          <w:spacing w:val="80"/>
        </w:rPr>
        <w:t> </w:t>
      </w:r>
      <w:r>
        <w:rPr/>
        <w:t>Additionally, the qualitative explanations provided by the</w:t>
      </w:r>
      <w:r>
        <w:rPr>
          <w:spacing w:val="40"/>
        </w:rPr>
        <w:t> </w:t>
      </w:r>
      <w:r>
        <w:rPr/>
        <w:t>AI</w:t>
      </w:r>
      <w:r>
        <w:rPr>
          <w:spacing w:val="28"/>
        </w:rPr>
        <w:t> </w:t>
      </w:r>
      <w:r>
        <w:rPr/>
        <w:t>models</w:t>
      </w:r>
      <w:r>
        <w:rPr>
          <w:spacing w:val="28"/>
        </w:rPr>
        <w:t> </w:t>
      </w:r>
      <w:r>
        <w:rPr/>
        <w:t>are</w:t>
      </w:r>
      <w:r>
        <w:rPr>
          <w:spacing w:val="28"/>
        </w:rPr>
        <w:t> </w:t>
      </w:r>
      <w:r>
        <w:rPr/>
        <w:t>evaluated</w:t>
      </w:r>
      <w:r>
        <w:rPr>
          <w:spacing w:val="28"/>
        </w:rPr>
        <w:t> </w:t>
      </w:r>
      <w:r>
        <w:rPr/>
        <w:t>for</w:t>
      </w:r>
      <w:r>
        <w:rPr>
          <w:spacing w:val="28"/>
        </w:rPr>
        <w:t> </w:t>
      </w:r>
      <w:r>
        <w:rPr/>
        <w:t>recurring</w:t>
      </w:r>
      <w:r>
        <w:rPr>
          <w:spacing w:val="80"/>
        </w:rPr>
        <w:t> </w:t>
      </w:r>
      <w:r>
        <w:rPr/>
        <w:t>themes.</w:t>
      </w:r>
      <w:r>
        <w:rPr>
          <w:spacing w:val="28"/>
        </w:rPr>
        <w:t> </w:t>
      </w:r>
      <w:r>
        <w:rPr/>
        <w:t>Implications</w:t>
      </w:r>
      <w:r>
        <w:rPr>
          <w:spacing w:val="28"/>
        </w:rPr>
        <w:t> </w:t>
      </w:r>
      <w:r>
        <w:rPr/>
        <w:t>for</w:t>
      </w:r>
      <w:r>
        <w:rPr>
          <w:spacing w:val="28"/>
        </w:rPr>
        <w:t> </w:t>
      </w:r>
      <w:r>
        <w:rPr/>
        <w:t>the</w:t>
      </w:r>
      <w:r>
        <w:rPr>
          <w:spacing w:val="28"/>
        </w:rPr>
        <w:t> </w:t>
      </w:r>
      <w:r>
        <w:rPr/>
        <w:t>use</w:t>
      </w:r>
      <w:r>
        <w:rPr>
          <w:spacing w:val="28"/>
        </w:rPr>
        <w:t> </w:t>
      </w:r>
      <w:r>
        <w:rPr/>
        <w:t>of AI in policymaking will be discussed.</w:t>
      </w:r>
    </w:p>
    <w:p>
      <w:pPr>
        <w:pStyle w:val="BodyText"/>
        <w:spacing w:after="0" w:line="230" w:lineRule="auto"/>
        <w:sectPr>
          <w:pgSz w:w="12240" w:h="15840"/>
          <w:pgMar w:header="0" w:footer="761" w:top="640" w:bottom="960" w:left="720" w:right="0"/>
        </w:sectPr>
      </w:pPr>
    </w:p>
    <w:p>
      <w:pPr>
        <w:pStyle w:val="Heading4"/>
        <w:spacing w:before="25"/>
        <w:ind w:left="113"/>
        <w:jc w:val="center"/>
      </w:pPr>
      <w:bookmarkStart w:name="_TOC_250001" w:id="113"/>
      <w:r>
        <w:rPr/>
        <w:t>Behavioral</w:t>
      </w:r>
      <w:r>
        <w:rPr>
          <w:spacing w:val="-6"/>
        </w:rPr>
        <w:t> </w:t>
      </w:r>
      <w:r>
        <w:rPr/>
        <w:t>Biases</w:t>
      </w:r>
      <w:r>
        <w:rPr>
          <w:spacing w:val="-6"/>
        </w:rPr>
        <w:t> </w:t>
      </w:r>
      <w:r>
        <w:rPr/>
        <w:t>in</w:t>
      </w:r>
      <w:r>
        <w:rPr>
          <w:spacing w:val="-6"/>
        </w:rPr>
        <w:t> </w:t>
      </w:r>
      <w:r>
        <w:rPr/>
        <w:t>Investment</w:t>
      </w:r>
      <w:r>
        <w:rPr>
          <w:spacing w:val="-5"/>
        </w:rPr>
        <w:t> </w:t>
      </w:r>
      <w:r>
        <w:rPr/>
        <w:t>Decision</w:t>
      </w:r>
      <w:r>
        <w:rPr>
          <w:rFonts w:ascii="Segoe UI Symbol" w:hAnsi="Segoe UI Symbol"/>
          <w:b w:val="0"/>
        </w:rPr>
        <w:t>‑</w:t>
      </w:r>
      <w:r>
        <w:rPr/>
        <w:t>Making:</w:t>
      </w:r>
      <w:r>
        <w:rPr>
          <w:spacing w:val="-6"/>
        </w:rPr>
        <w:t> </w:t>
      </w:r>
      <w:r>
        <w:rPr/>
        <w:t>A</w:t>
      </w:r>
      <w:r>
        <w:rPr>
          <w:spacing w:val="-6"/>
        </w:rPr>
        <w:t> </w:t>
      </w:r>
      <w:r>
        <w:rPr/>
        <w:t>Meta</w:t>
      </w:r>
      <w:r>
        <w:rPr>
          <w:rFonts w:ascii="Segoe UI Symbol" w:hAnsi="Segoe UI Symbol"/>
          <w:b w:val="0"/>
        </w:rPr>
        <w:t>‑</w:t>
      </w:r>
      <w:r>
        <w:rPr/>
        <w:t>Synthesis</w:t>
      </w:r>
      <w:r>
        <w:rPr>
          <w:spacing w:val="-5"/>
        </w:rPr>
        <w:t> </w:t>
      </w:r>
      <w:r>
        <w:rPr/>
        <w:t>Across</w:t>
      </w:r>
      <w:r>
        <w:rPr>
          <w:spacing w:val="-6"/>
        </w:rPr>
        <w:t> </w:t>
      </w:r>
      <w:r>
        <w:rPr/>
        <w:t>Demographic</w:t>
      </w:r>
      <w:r>
        <w:rPr>
          <w:spacing w:val="-6"/>
        </w:rPr>
        <w:t> </w:t>
      </w:r>
      <w:bookmarkEnd w:id="113"/>
      <w:r>
        <w:rPr>
          <w:spacing w:val="-2"/>
        </w:rPr>
        <w:t>Groups</w:t>
      </w:r>
    </w:p>
    <w:p>
      <w:pPr>
        <w:pStyle w:val="BodyText"/>
        <w:spacing w:before="48"/>
        <w:rPr>
          <w:b/>
        </w:rPr>
      </w:pPr>
    </w:p>
    <w:p>
      <w:pPr>
        <w:pStyle w:val="BodyText"/>
        <w:spacing w:before="1"/>
        <w:ind w:left="113"/>
        <w:jc w:val="center"/>
      </w:pPr>
      <w:r>
        <w:rPr/>
        <w:t>Ella Pruitt and Santosh </w:t>
      </w:r>
      <w:r>
        <w:rPr>
          <w:spacing w:val="-2"/>
        </w:rPr>
        <w:t>Nandi</w:t>
      </w:r>
    </w:p>
    <w:p>
      <w:pPr>
        <w:pStyle w:val="BodyText"/>
        <w:spacing w:before="29"/>
      </w:pPr>
    </w:p>
    <w:p>
      <w:pPr>
        <w:pStyle w:val="BodyText"/>
        <w:spacing w:line="230" w:lineRule="auto"/>
        <w:ind w:left="712" w:right="933" w:firstLine="15"/>
        <w:jc w:val="both"/>
      </w:pPr>
      <w:r>
        <w:rPr/>
        <w:t>Key</w:t>
      </w:r>
      <w:r>
        <w:rPr>
          <w:spacing w:val="-4"/>
        </w:rPr>
        <w:t> </w:t>
      </w:r>
      <w:r>
        <w:rPr/>
        <w:t>words</w:t>
      </w:r>
      <w:r>
        <w:rPr>
          <w:spacing w:val="-4"/>
        </w:rPr>
        <w:t> </w:t>
      </w:r>
      <w:r>
        <w:rPr/>
        <w:t>(3-5):</w:t>
      </w:r>
      <w:r>
        <w:rPr>
          <w:spacing w:val="-4"/>
        </w:rPr>
        <w:t> </w:t>
      </w:r>
      <w:r>
        <w:rPr/>
        <w:t>Behavioral</w:t>
      </w:r>
      <w:r>
        <w:rPr>
          <w:spacing w:val="-4"/>
        </w:rPr>
        <w:t> </w:t>
      </w:r>
      <w:r>
        <w:rPr/>
        <w:t>finance,</w:t>
      </w:r>
      <w:r>
        <w:rPr>
          <w:spacing w:val="-4"/>
        </w:rPr>
        <w:t> </w:t>
      </w:r>
      <w:r>
        <w:rPr/>
        <w:t>investor</w:t>
      </w:r>
      <w:r>
        <w:rPr>
          <w:spacing w:val="-4"/>
        </w:rPr>
        <w:t> </w:t>
      </w:r>
      <w:r>
        <w:rPr/>
        <w:t>demographics,</w:t>
      </w:r>
      <w:r>
        <w:rPr>
          <w:spacing w:val="-4"/>
        </w:rPr>
        <w:t> </w:t>
      </w:r>
      <w:r>
        <w:rPr/>
        <w:t>investment</w:t>
      </w:r>
      <w:r>
        <w:rPr>
          <w:spacing w:val="-4"/>
        </w:rPr>
        <w:t> </w:t>
      </w:r>
      <w:r>
        <w:rPr/>
        <w:t>decision-making,</w:t>
      </w:r>
      <w:r>
        <w:rPr>
          <w:spacing w:val="40"/>
        </w:rPr>
        <w:t> </w:t>
      </w:r>
      <w:r>
        <w:rPr/>
        <w:t>behavioral biases, financial literacy</w:t>
      </w:r>
    </w:p>
    <w:p>
      <w:pPr>
        <w:pStyle w:val="BodyText"/>
        <w:spacing w:before="75"/>
      </w:pPr>
    </w:p>
    <w:p>
      <w:pPr>
        <w:pStyle w:val="BodyText"/>
        <w:spacing w:before="1"/>
        <w:ind w:left="712" w:right="867" w:firstLine="15"/>
        <w:jc w:val="both"/>
      </w:pPr>
      <w:r>
        <w:rPr/>
        <w:t>Behavioral factors constitute a key component of investor decision-making, often </w:t>
      </w:r>
      <w:r>
        <w:rPr/>
        <w:t>influencing investment choices in ways that diverge from traditional financial fundamentals. Research in</w:t>
      </w:r>
      <w:r>
        <w:rPr>
          <w:spacing w:val="40"/>
        </w:rPr>
        <w:t> </w:t>
      </w:r>
      <w:r>
        <w:rPr/>
        <w:t>behavioral finance further shows that investment patterns differ substantially among investors,</w:t>
      </w:r>
      <w:r>
        <w:rPr>
          <w:spacing w:val="40"/>
        </w:rPr>
        <w:t> </w:t>
      </w:r>
      <w:r>
        <w:rPr/>
        <w:t>who frequently depart from the assumptions of purely rational decision-making. Yet the</w:t>
      </w:r>
      <w:r>
        <w:rPr>
          <w:spacing w:val="40"/>
        </w:rPr>
        <w:t> </w:t>
      </w:r>
      <w:r>
        <w:rPr/>
        <w:t>literature</w:t>
      </w:r>
      <w:r>
        <w:rPr>
          <w:spacing w:val="-4"/>
        </w:rPr>
        <w:t> </w:t>
      </w:r>
      <w:r>
        <w:rPr/>
        <w:t>remains fragmented in its examination of behavioral biases across different investor</w:t>
      </w:r>
      <w:r>
        <w:rPr>
          <w:spacing w:val="40"/>
        </w:rPr>
        <w:t> </w:t>
      </w:r>
      <w:r>
        <w:rPr/>
        <w:t>groups.</w:t>
      </w:r>
      <w:r>
        <w:rPr>
          <w:spacing w:val="-3"/>
        </w:rPr>
        <w:t> </w:t>
      </w:r>
      <w:r>
        <w:rPr/>
        <w:t>Empirical</w:t>
      </w:r>
      <w:r>
        <w:rPr>
          <w:spacing w:val="-3"/>
        </w:rPr>
        <w:t> </w:t>
      </w:r>
      <w:r>
        <w:rPr/>
        <w:t>studies frequently isolate individual biases, while experimental approaches do</w:t>
      </w:r>
      <w:r>
        <w:rPr>
          <w:spacing w:val="40"/>
        </w:rPr>
        <w:t> </w:t>
      </w:r>
      <w:r>
        <w:rPr/>
        <w:t>not consistently integrate demographic variation. As a result, understanding</w:t>
      </w:r>
      <w:r>
        <w:rPr>
          <w:spacing w:val="-2"/>
        </w:rPr>
        <w:t> </w:t>
      </w:r>
      <w:r>
        <w:rPr/>
        <w:t>of</w:t>
      </w:r>
      <w:r>
        <w:rPr>
          <w:spacing w:val="-2"/>
        </w:rPr>
        <w:t> </w:t>
      </w:r>
      <w:r>
        <w:rPr/>
        <w:t>how</w:t>
      </w:r>
      <w:r>
        <w:rPr>
          <w:spacing w:val="-2"/>
        </w:rPr>
        <w:t> </w:t>
      </w:r>
      <w:r>
        <w:rPr/>
        <w:t>behavioral</w:t>
      </w:r>
      <w:r>
        <w:rPr>
          <w:spacing w:val="40"/>
        </w:rPr>
        <w:t> </w:t>
      </w:r>
      <w:r>
        <w:rPr/>
        <w:t>biases</w:t>
      </w:r>
      <w:r>
        <w:rPr>
          <w:spacing w:val="-2"/>
        </w:rPr>
        <w:t> </w:t>
      </w:r>
      <w:r>
        <w:rPr/>
        <w:t>vary</w:t>
      </w:r>
      <w:r>
        <w:rPr>
          <w:spacing w:val="-2"/>
        </w:rPr>
        <w:t> </w:t>
      </w:r>
      <w:r>
        <w:rPr/>
        <w:t>across</w:t>
      </w:r>
      <w:r>
        <w:rPr>
          <w:spacing w:val="-2"/>
        </w:rPr>
        <w:t> </w:t>
      </w:r>
      <w:r>
        <w:rPr/>
        <w:t>investor</w:t>
      </w:r>
      <w:r>
        <w:rPr>
          <w:spacing w:val="-2"/>
        </w:rPr>
        <w:t> </w:t>
      </w:r>
      <w:r>
        <w:rPr/>
        <w:t>types remains incomplete.</w:t>
      </w:r>
    </w:p>
    <w:p>
      <w:pPr>
        <w:pStyle w:val="BodyText"/>
      </w:pPr>
    </w:p>
    <w:p>
      <w:pPr>
        <w:pStyle w:val="BodyText"/>
        <w:ind w:left="712" w:right="869" w:firstLine="15"/>
        <w:jc w:val="both"/>
      </w:pPr>
      <w:r>
        <w:rPr/>
        <w:t>These inconsistencies and methodological gaps limit the practical relevance of current findings</w:t>
      </w:r>
      <w:r>
        <w:rPr>
          <w:spacing w:val="40"/>
        </w:rPr>
        <w:t> </w:t>
      </w:r>
      <w:r>
        <w:rPr/>
        <w:t>for real-world financial contexts. Existing results often fail to reflect how investors behave</w:t>
      </w:r>
      <w:r>
        <w:rPr>
          <w:spacing w:val="40"/>
        </w:rPr>
        <w:t> </w:t>
      </w:r>
      <w:r>
        <w:rPr/>
        <w:t>outside controlled settings. A more integrated and comprehensive perspective is therefore</w:t>
      </w:r>
      <w:r>
        <w:rPr>
          <w:spacing w:val="40"/>
        </w:rPr>
        <w:t> </w:t>
      </w:r>
      <w:r>
        <w:rPr/>
        <w:t>required to clarify how behavioral biases shape investment decisions across diverse investor</w:t>
      </w:r>
      <w:r>
        <w:rPr>
          <w:spacing w:val="40"/>
        </w:rPr>
        <w:t> </w:t>
      </w:r>
      <w:r>
        <w:rPr/>
        <w:t>groups. Such a</w:t>
      </w:r>
      <w:r>
        <w:rPr>
          <w:spacing w:val="-2"/>
        </w:rPr>
        <w:t> </w:t>
      </w:r>
      <w:r>
        <w:rPr/>
        <w:t>perspective can be achieved through a systematic meta-synthesis of published</w:t>
      </w:r>
      <w:r>
        <w:rPr>
          <w:spacing w:val="40"/>
        </w:rPr>
        <w:t> </w:t>
      </w:r>
      <w:r>
        <w:rPr/>
        <w:t>research capable of identifying trends, resolving inconsistencies, and revealing gaps in the</w:t>
      </w:r>
      <w:r>
        <w:rPr>
          <w:spacing w:val="40"/>
        </w:rPr>
        <w:t> </w:t>
      </w:r>
      <w:r>
        <w:rPr/>
        <w:t>current body of evidence.</w:t>
      </w:r>
    </w:p>
    <w:p>
      <w:pPr>
        <w:pStyle w:val="BodyText"/>
        <w:spacing w:before="276"/>
        <w:ind w:left="712" w:right="869" w:firstLine="15"/>
        <w:jc w:val="both"/>
      </w:pPr>
      <w:r>
        <w:rPr/>
        <w:t>The study aims to apply a meta-synthesis approach to integrate and interpret existing research </w:t>
      </w:r>
      <w:r>
        <w:rPr/>
        <w:t>on investor behavior. Relevant peer-reviewed academic studies will be identified through</w:t>
      </w:r>
      <w:r>
        <w:rPr>
          <w:spacing w:val="40"/>
        </w:rPr>
        <w:t> </w:t>
      </w:r>
      <w:r>
        <w:rPr/>
        <w:t>systematic searches</w:t>
      </w:r>
      <w:r>
        <w:rPr>
          <w:spacing w:val="-3"/>
        </w:rPr>
        <w:t> </w:t>
      </w:r>
      <w:r>
        <w:rPr/>
        <w:t>across</w:t>
      </w:r>
      <w:r>
        <w:rPr>
          <w:spacing w:val="-3"/>
        </w:rPr>
        <w:t> </w:t>
      </w:r>
      <w:r>
        <w:rPr/>
        <w:t>major</w:t>
      </w:r>
      <w:r>
        <w:rPr>
          <w:spacing w:val="-3"/>
        </w:rPr>
        <w:t> </w:t>
      </w:r>
      <w:r>
        <w:rPr/>
        <w:t>academic</w:t>
      </w:r>
      <w:r>
        <w:rPr>
          <w:spacing w:val="-3"/>
        </w:rPr>
        <w:t> </w:t>
      </w:r>
      <w:r>
        <w:rPr/>
        <w:t>databases.</w:t>
      </w:r>
      <w:r>
        <w:rPr>
          <w:spacing w:val="-3"/>
        </w:rPr>
        <w:t> </w:t>
      </w:r>
      <w:r>
        <w:rPr/>
        <w:t>These</w:t>
      </w:r>
      <w:r>
        <w:rPr>
          <w:spacing w:val="-3"/>
        </w:rPr>
        <w:t> </w:t>
      </w:r>
      <w:r>
        <w:rPr/>
        <w:t>studies</w:t>
      </w:r>
      <w:r>
        <w:rPr>
          <w:spacing w:val="-3"/>
        </w:rPr>
        <w:t> </w:t>
      </w:r>
      <w:r>
        <w:rPr/>
        <w:t>will</w:t>
      </w:r>
      <w:r>
        <w:rPr>
          <w:spacing w:val="-3"/>
        </w:rPr>
        <w:t> </w:t>
      </w:r>
      <w:r>
        <w:rPr/>
        <w:t>be</w:t>
      </w:r>
      <w:r>
        <w:rPr>
          <w:spacing w:val="-3"/>
        </w:rPr>
        <w:t> </w:t>
      </w:r>
      <w:r>
        <w:rPr/>
        <w:t>assessed</w:t>
      </w:r>
      <w:r>
        <w:rPr>
          <w:spacing w:val="-3"/>
        </w:rPr>
        <w:t> </w:t>
      </w:r>
      <w:r>
        <w:rPr/>
        <w:t>and</w:t>
      </w:r>
      <w:r>
        <w:rPr>
          <w:spacing w:val="40"/>
        </w:rPr>
        <w:t> </w:t>
      </w:r>
      <w:r>
        <w:rPr/>
        <w:t>categorized</w:t>
      </w:r>
      <w:r>
        <w:rPr>
          <w:spacing w:val="-3"/>
        </w:rPr>
        <w:t> </w:t>
      </w:r>
      <w:r>
        <w:rPr/>
        <w:t>according</w:t>
      </w:r>
      <w:r>
        <w:rPr>
          <w:spacing w:val="-3"/>
        </w:rPr>
        <w:t> </w:t>
      </w:r>
      <w:r>
        <w:rPr/>
        <w:t>to the methodological techniques they employ, the demographic variables</w:t>
      </w:r>
      <w:r>
        <w:rPr>
          <w:spacing w:val="40"/>
        </w:rPr>
        <w:t> </w:t>
      </w:r>
      <w:r>
        <w:rPr/>
        <w:t>they consider, and the behavioral biases they examine. Through the meta-synthesis process,</w:t>
      </w:r>
      <w:r>
        <w:rPr>
          <w:spacing w:val="40"/>
        </w:rPr>
        <w:t> </w:t>
      </w:r>
      <w:r>
        <w:rPr/>
        <w:t>findings</w:t>
      </w:r>
      <w:r>
        <w:rPr>
          <w:spacing w:val="-3"/>
        </w:rPr>
        <w:t> </w:t>
      </w:r>
      <w:r>
        <w:rPr/>
        <w:t>from</w:t>
      </w:r>
      <w:r>
        <w:rPr>
          <w:spacing w:val="-3"/>
        </w:rPr>
        <w:t> </w:t>
      </w:r>
      <w:r>
        <w:rPr/>
        <w:t>individual</w:t>
      </w:r>
      <w:r>
        <w:rPr>
          <w:spacing w:val="-3"/>
        </w:rPr>
        <w:t> </w:t>
      </w:r>
      <w:r>
        <w:rPr/>
        <w:t>studies will be compared and combined to uncover recurrent themes,</w:t>
      </w:r>
      <w:r>
        <w:rPr>
          <w:spacing w:val="40"/>
        </w:rPr>
        <w:t> </w:t>
      </w:r>
      <w:r>
        <w:rPr/>
        <w:t>expose</w:t>
      </w:r>
      <w:r>
        <w:rPr>
          <w:spacing w:val="-2"/>
        </w:rPr>
        <w:t> </w:t>
      </w:r>
      <w:r>
        <w:rPr/>
        <w:t>methodological</w:t>
      </w:r>
      <w:r>
        <w:rPr>
          <w:spacing w:val="-2"/>
        </w:rPr>
        <w:t> </w:t>
      </w:r>
      <w:r>
        <w:rPr/>
        <w:t>limitations,</w:t>
      </w:r>
      <w:r>
        <w:rPr>
          <w:spacing w:val="-2"/>
        </w:rPr>
        <w:t> </w:t>
      </w:r>
      <w:r>
        <w:rPr/>
        <w:t>and highlight investor groups that remain understudied.</w:t>
      </w:r>
    </w:p>
    <w:p>
      <w:pPr>
        <w:pStyle w:val="BodyText"/>
        <w:spacing w:before="276"/>
        <w:ind w:left="712" w:right="870" w:firstLine="15"/>
        <w:jc w:val="both"/>
      </w:pPr>
      <w:r>
        <w:rPr/>
        <w:t>The findings will be relevant for scholars in behavioral finance, financial</w:t>
      </w:r>
      <w:r>
        <w:rPr>
          <w:spacing w:val="-3"/>
        </w:rPr>
        <w:t> </w:t>
      </w:r>
      <w:r>
        <w:rPr/>
        <w:t>educators,</w:t>
      </w:r>
      <w:r>
        <w:rPr>
          <w:spacing w:val="-3"/>
        </w:rPr>
        <w:t> </w:t>
      </w:r>
      <w:r>
        <w:rPr/>
        <w:t>and</w:t>
      </w:r>
      <w:r>
        <w:rPr>
          <w:spacing w:val="40"/>
        </w:rPr>
        <w:t> </w:t>
      </w:r>
      <w:r>
        <w:rPr/>
        <w:t>practitioners seeking a</w:t>
      </w:r>
      <w:r>
        <w:rPr>
          <w:spacing w:val="-3"/>
        </w:rPr>
        <w:t> </w:t>
      </w:r>
      <w:r>
        <w:rPr/>
        <w:t>clearer</w:t>
      </w:r>
      <w:r>
        <w:rPr>
          <w:spacing w:val="-3"/>
        </w:rPr>
        <w:t> </w:t>
      </w:r>
      <w:r>
        <w:rPr/>
        <w:t>understanding</w:t>
      </w:r>
      <w:r>
        <w:rPr>
          <w:spacing w:val="-3"/>
        </w:rPr>
        <w:t> </w:t>
      </w:r>
      <w:r>
        <w:rPr/>
        <w:t>of</w:t>
      </w:r>
      <w:r>
        <w:rPr>
          <w:spacing w:val="-3"/>
        </w:rPr>
        <w:t> </w:t>
      </w:r>
      <w:r>
        <w:rPr/>
        <w:t>how</w:t>
      </w:r>
      <w:r>
        <w:rPr>
          <w:spacing w:val="-3"/>
        </w:rPr>
        <w:t> </w:t>
      </w:r>
      <w:r>
        <w:rPr/>
        <w:t>investor</w:t>
      </w:r>
      <w:r>
        <w:rPr>
          <w:spacing w:val="-3"/>
        </w:rPr>
        <w:t> </w:t>
      </w:r>
      <w:r>
        <w:rPr/>
        <w:t>demographics</w:t>
      </w:r>
      <w:r>
        <w:rPr>
          <w:spacing w:val="-3"/>
        </w:rPr>
        <w:t> </w:t>
      </w:r>
      <w:r>
        <w:rPr/>
        <w:t>are</w:t>
      </w:r>
      <w:r>
        <w:rPr>
          <w:spacing w:val="-3"/>
        </w:rPr>
        <w:t> </w:t>
      </w:r>
      <w:r>
        <w:rPr/>
        <w:t>reflected</w:t>
      </w:r>
      <w:r>
        <w:rPr>
          <w:spacing w:val="-3"/>
        </w:rPr>
        <w:t> </w:t>
      </w:r>
      <w:r>
        <w:rPr/>
        <w:t>and</w:t>
      </w:r>
      <w:r>
        <w:rPr>
          <w:spacing w:val="40"/>
        </w:rPr>
        <w:t> </w:t>
      </w:r>
      <w:r>
        <w:rPr/>
        <w:t>how</w:t>
      </w:r>
      <w:r>
        <w:rPr>
          <w:spacing w:val="-3"/>
        </w:rPr>
        <w:t> </w:t>
      </w:r>
      <w:r>
        <w:rPr/>
        <w:t>behavioral</w:t>
      </w:r>
      <w:r>
        <w:rPr>
          <w:spacing w:val="-3"/>
        </w:rPr>
        <w:t> </w:t>
      </w:r>
      <w:r>
        <w:rPr/>
        <w:t>biases are addressed within the existing literature. These findings may also</w:t>
      </w:r>
      <w:r>
        <w:rPr>
          <w:spacing w:val="40"/>
        </w:rPr>
        <w:t> </w:t>
      </w:r>
      <w:r>
        <w:rPr/>
        <w:t>inform</w:t>
      </w:r>
      <w:r>
        <w:rPr>
          <w:spacing w:val="-2"/>
        </w:rPr>
        <w:t> </w:t>
      </w:r>
      <w:r>
        <w:rPr/>
        <w:t>future</w:t>
      </w:r>
      <w:r>
        <w:rPr>
          <w:spacing w:val="-2"/>
        </w:rPr>
        <w:t> </w:t>
      </w:r>
      <w:r>
        <w:rPr/>
        <w:t>empirical</w:t>
      </w:r>
      <w:r>
        <w:rPr>
          <w:spacing w:val="-2"/>
        </w:rPr>
        <w:t> </w:t>
      </w:r>
      <w:r>
        <w:rPr/>
        <w:t>research and support the development of more targeted financial</w:t>
      </w:r>
      <w:r>
        <w:rPr>
          <w:spacing w:val="40"/>
        </w:rPr>
        <w:t> </w:t>
      </w:r>
      <w:r>
        <w:rPr/>
        <w:t>education programs and advisory services.</w:t>
      </w:r>
    </w:p>
    <w:p>
      <w:pPr>
        <w:pStyle w:val="BodyText"/>
        <w:spacing w:after="0"/>
        <w:jc w:val="both"/>
        <w:sectPr>
          <w:pgSz w:w="12240" w:h="15840"/>
          <w:pgMar w:header="0" w:footer="761" w:top="640" w:bottom="960" w:left="720" w:right="0"/>
        </w:sectPr>
      </w:pPr>
    </w:p>
    <w:p>
      <w:pPr>
        <w:pStyle w:val="Heading3"/>
        <w:spacing w:before="20"/>
        <w:ind w:right="1767"/>
      </w:pPr>
      <w:bookmarkStart w:name="Sonic Misfortune: A Cognitive‑Evolutiona" w:id="114"/>
      <w:bookmarkEnd w:id="114"/>
      <w:r>
        <w:rPr>
          <w:b w:val="0"/>
        </w:rPr>
      </w:r>
      <w:bookmarkStart w:name="h.3znl1zq0l9s4" w:id="115"/>
      <w:bookmarkEnd w:id="115"/>
      <w:r>
        <w:rPr>
          <w:b w:val="0"/>
        </w:rPr>
      </w:r>
      <w:r>
        <w:rPr/>
        <w:t>Sonic</w:t>
      </w:r>
      <w:r>
        <w:rPr>
          <w:spacing w:val="-13"/>
        </w:rPr>
        <w:t> </w:t>
      </w:r>
      <w:r>
        <w:rPr/>
        <w:t>Misfortune:</w:t>
      </w:r>
      <w:r>
        <w:rPr>
          <w:spacing w:val="-12"/>
        </w:rPr>
        <w:t> </w:t>
      </w:r>
      <w:r>
        <w:rPr/>
        <w:t>A</w:t>
      </w:r>
      <w:r>
        <w:rPr>
          <w:spacing w:val="-12"/>
        </w:rPr>
        <w:t> </w:t>
      </w:r>
      <w:r>
        <w:rPr/>
        <w:t>Cognitive</w:t>
      </w:r>
      <w:r>
        <w:rPr>
          <w:rFonts w:ascii="Segoe UI Symbol" w:hAnsi="Segoe UI Symbol"/>
          <w:b w:val="0"/>
        </w:rPr>
        <w:t>‑</w:t>
      </w:r>
      <w:r>
        <w:rPr/>
        <w:t>Evolutionary</w:t>
      </w:r>
      <w:r>
        <w:rPr>
          <w:spacing w:val="-13"/>
        </w:rPr>
        <w:t> </w:t>
      </w:r>
      <w:r>
        <w:rPr/>
        <w:t>Analysis</w:t>
      </w:r>
      <w:r>
        <w:rPr>
          <w:spacing w:val="-12"/>
        </w:rPr>
        <w:t> </w:t>
      </w:r>
      <w:r>
        <w:rPr/>
        <w:t>of</w:t>
      </w:r>
      <w:r>
        <w:rPr>
          <w:spacing w:val="-12"/>
        </w:rPr>
        <w:t> </w:t>
      </w:r>
      <w:r>
        <w:rPr>
          <w:spacing w:val="-2"/>
        </w:rPr>
        <w:t>Taboo</w:t>
      </w:r>
    </w:p>
    <w:p>
      <w:pPr>
        <w:spacing w:before="1"/>
        <w:ind w:left="0" w:right="998" w:firstLine="0"/>
        <w:jc w:val="center"/>
        <w:rPr>
          <w:b/>
          <w:sz w:val="28"/>
        </w:rPr>
      </w:pPr>
      <w:bookmarkStart w:name="           in Death Metal " w:id="116"/>
      <w:bookmarkEnd w:id="116"/>
      <w:r>
        <w:rPr/>
      </w:r>
      <w:r>
        <w:rPr>
          <w:b/>
          <w:sz w:val="28"/>
        </w:rPr>
        <w:t>in</w:t>
      </w:r>
      <w:r>
        <w:rPr>
          <w:b/>
          <w:spacing w:val="-4"/>
          <w:sz w:val="28"/>
        </w:rPr>
        <w:t> </w:t>
      </w:r>
      <w:r>
        <w:rPr>
          <w:b/>
          <w:sz w:val="28"/>
        </w:rPr>
        <w:t>Death</w:t>
      </w:r>
      <w:r>
        <w:rPr>
          <w:b/>
          <w:spacing w:val="-3"/>
          <w:sz w:val="28"/>
        </w:rPr>
        <w:t> </w:t>
      </w:r>
      <w:r>
        <w:rPr>
          <w:b/>
          <w:spacing w:val="-2"/>
          <w:sz w:val="28"/>
        </w:rPr>
        <w:t>Metal</w:t>
      </w:r>
    </w:p>
    <w:p>
      <w:pPr>
        <w:pStyle w:val="BodyText"/>
        <w:spacing w:line="267" w:lineRule="exact" w:before="264"/>
        <w:ind w:right="719"/>
        <w:jc w:val="center"/>
      </w:pPr>
      <w:r>
        <w:rPr/>
        <w:t>Scott</w:t>
      </w:r>
      <w:r>
        <w:rPr>
          <w:spacing w:val="-5"/>
        </w:rPr>
        <w:t> </w:t>
      </w:r>
      <w:r>
        <w:rPr/>
        <w:t>Rader,</w:t>
      </w:r>
      <w:r>
        <w:rPr>
          <w:spacing w:val="-5"/>
        </w:rPr>
        <w:t> </w:t>
      </w:r>
      <w:r>
        <w:rPr>
          <w:spacing w:val="-2"/>
        </w:rPr>
        <w:t>Ph.D.</w:t>
      </w:r>
    </w:p>
    <w:p>
      <w:pPr>
        <w:pStyle w:val="BodyText"/>
        <w:spacing w:line="230" w:lineRule="auto"/>
        <w:ind w:left="736" w:right="1454"/>
        <w:jc w:val="center"/>
      </w:pPr>
      <w:r>
        <w:rPr/>
        <w:t>School</w:t>
      </w:r>
      <w:r>
        <w:rPr>
          <w:spacing w:val="-6"/>
        </w:rPr>
        <w:t> </w:t>
      </w:r>
      <w:r>
        <w:rPr/>
        <w:t>of</w:t>
      </w:r>
      <w:r>
        <w:rPr>
          <w:spacing w:val="-6"/>
        </w:rPr>
        <w:t> </w:t>
      </w:r>
      <w:r>
        <w:rPr/>
        <w:t>Marketing,</w:t>
      </w:r>
      <w:r>
        <w:rPr>
          <w:spacing w:val="-6"/>
        </w:rPr>
        <w:t> </w:t>
      </w:r>
      <w:r>
        <w:rPr/>
        <w:t>Entrepreneurship,</w:t>
      </w:r>
      <w:r>
        <w:rPr>
          <w:spacing w:val="-6"/>
        </w:rPr>
        <w:t> </w:t>
      </w:r>
      <w:r>
        <w:rPr/>
        <w:t>Sport</w:t>
      </w:r>
      <w:r>
        <w:rPr>
          <w:spacing w:val="-6"/>
        </w:rPr>
        <w:t> </w:t>
      </w:r>
      <w:r>
        <w:rPr/>
        <w:t>Management,</w:t>
      </w:r>
      <w:r>
        <w:rPr>
          <w:spacing w:val="-6"/>
        </w:rPr>
        <w:t> </w:t>
      </w:r>
      <w:r>
        <w:rPr/>
        <w:t>and</w:t>
      </w:r>
      <w:r>
        <w:rPr>
          <w:spacing w:val="-6"/>
        </w:rPr>
        <w:t> </w:t>
      </w:r>
      <w:r>
        <w:rPr/>
        <w:t>Hospitality</w:t>
      </w:r>
      <w:r>
        <w:rPr>
          <w:spacing w:val="-6"/>
        </w:rPr>
        <w:t> </w:t>
      </w:r>
      <w:r>
        <w:rPr/>
        <w:t>&amp;</w:t>
      </w:r>
      <w:r>
        <w:rPr>
          <w:spacing w:val="-6"/>
        </w:rPr>
        <w:t> </w:t>
      </w:r>
      <w:r>
        <w:rPr/>
        <w:t>Tourism</w:t>
      </w:r>
      <w:r>
        <w:rPr>
          <w:spacing w:val="-6"/>
        </w:rPr>
        <w:t> </w:t>
      </w:r>
      <w:r>
        <w:rPr/>
        <w:t>College of Business</w:t>
      </w:r>
    </w:p>
    <w:p>
      <w:pPr>
        <w:pStyle w:val="BodyText"/>
        <w:spacing w:line="199" w:lineRule="auto" w:before="6"/>
        <w:ind w:left="4030" w:right="4748"/>
        <w:jc w:val="center"/>
      </w:pPr>
      <w:r>
        <w:rPr/>
        <w:t>Western</w:t>
      </w:r>
      <w:r>
        <w:rPr>
          <w:spacing w:val="-15"/>
        </w:rPr>
        <w:t> </w:t>
      </w:r>
      <w:r>
        <w:rPr/>
        <w:t>Carolina</w:t>
      </w:r>
      <w:r>
        <w:rPr>
          <w:spacing w:val="-15"/>
        </w:rPr>
        <w:t> </w:t>
      </w:r>
      <w:r>
        <w:rPr/>
        <w:t>University 1 University Way</w:t>
      </w:r>
    </w:p>
    <w:p>
      <w:pPr>
        <w:pStyle w:val="BodyText"/>
        <w:spacing w:line="199" w:lineRule="auto" w:before="1"/>
        <w:ind w:left="4323" w:right="5041"/>
        <w:jc w:val="center"/>
      </w:pPr>
      <w:r>
        <w:rPr/>
        <w:t>Cullowhee,</w:t>
      </w:r>
      <w:r>
        <w:rPr>
          <w:spacing w:val="-15"/>
        </w:rPr>
        <w:t> </w:t>
      </w:r>
      <w:r>
        <w:rPr/>
        <w:t>NC</w:t>
      </w:r>
      <w:r>
        <w:rPr>
          <w:spacing w:val="-15"/>
        </w:rPr>
        <w:t> </w:t>
      </w:r>
      <w:r>
        <w:rPr/>
        <w:t>28723 </w:t>
      </w:r>
      <w:hyperlink r:id="rId242">
        <w:r>
          <w:rPr>
            <w:spacing w:val="-2"/>
          </w:rPr>
          <w:t>srader@wcu.edu</w:t>
        </w:r>
      </w:hyperlink>
    </w:p>
    <w:p>
      <w:pPr>
        <w:pStyle w:val="BodyText"/>
        <w:spacing w:line="239" w:lineRule="exact"/>
        <w:ind w:right="719"/>
        <w:jc w:val="center"/>
      </w:pPr>
      <w:r>
        <w:rPr/>
        <w:t>865.789.4999 (Contact </w:t>
      </w:r>
      <w:r>
        <w:rPr>
          <w:spacing w:val="-2"/>
        </w:rPr>
        <w:t>Author)</w:t>
      </w:r>
    </w:p>
    <w:p>
      <w:pPr>
        <w:pStyle w:val="BodyText"/>
        <w:spacing w:line="199" w:lineRule="auto" w:before="264"/>
        <w:ind w:left="4051" w:right="4769"/>
        <w:jc w:val="center"/>
      </w:pPr>
      <w:r>
        <w:rPr/>
        <w:t>Clinton</w:t>
      </w:r>
      <w:r>
        <w:rPr>
          <w:spacing w:val="-15"/>
        </w:rPr>
        <w:t> </w:t>
      </w:r>
      <w:r>
        <w:rPr/>
        <w:t>D.</w:t>
      </w:r>
      <w:r>
        <w:rPr>
          <w:spacing w:val="-15"/>
        </w:rPr>
        <w:t> </w:t>
      </w:r>
      <w:r>
        <w:rPr/>
        <w:t>Lanier,</w:t>
      </w:r>
      <w:r>
        <w:rPr>
          <w:spacing w:val="-15"/>
        </w:rPr>
        <w:t> </w:t>
      </w:r>
      <w:r>
        <w:rPr/>
        <w:t>Jr.,</w:t>
      </w:r>
      <w:r>
        <w:rPr>
          <w:spacing w:val="-15"/>
        </w:rPr>
        <w:t> </w:t>
      </w:r>
      <w:r>
        <w:rPr/>
        <w:t>Ph.D. Department of Marketing Opus College of Business University of St. Thomas 2115 Summit Ave</w:t>
      </w:r>
    </w:p>
    <w:p>
      <w:pPr>
        <w:pStyle w:val="BodyText"/>
        <w:spacing w:line="219" w:lineRule="exact"/>
        <w:ind w:right="718"/>
        <w:jc w:val="center"/>
      </w:pPr>
      <w:r>
        <w:rPr/>
        <w:t>St. Paul, MN </w:t>
      </w:r>
      <w:r>
        <w:rPr>
          <w:spacing w:val="-2"/>
        </w:rPr>
        <w:t>55105</w:t>
      </w:r>
    </w:p>
    <w:p>
      <w:pPr>
        <w:pStyle w:val="BodyText"/>
        <w:spacing w:line="199" w:lineRule="auto" w:before="15"/>
        <w:ind w:left="4239" w:right="4957"/>
        <w:jc w:val="center"/>
      </w:pPr>
      <w:hyperlink r:id="rId243">
        <w:r>
          <w:rPr>
            <w:spacing w:val="-2"/>
          </w:rPr>
          <w:t>lani1820@stthomas.edu</w:t>
        </w:r>
      </w:hyperlink>
      <w:r>
        <w:rPr>
          <w:spacing w:val="-2"/>
        </w:rPr>
        <w:t> 651.962.5887</w:t>
      </w:r>
    </w:p>
    <w:p>
      <w:pPr>
        <w:pStyle w:val="BodyText"/>
        <w:spacing w:line="199" w:lineRule="auto" w:before="274"/>
        <w:ind w:left="4046" w:right="4764"/>
        <w:jc w:val="center"/>
      </w:pPr>
      <w:r>
        <w:rPr/>
        <w:t>Aubrey</w:t>
      </w:r>
      <w:r>
        <w:rPr>
          <w:spacing w:val="-10"/>
        </w:rPr>
        <w:t> </w:t>
      </w:r>
      <w:r>
        <w:rPr/>
        <w:t>R.</w:t>
      </w:r>
      <w:r>
        <w:rPr>
          <w:spacing w:val="-10"/>
        </w:rPr>
        <w:t> </w:t>
      </w:r>
      <w:r>
        <w:rPr/>
        <w:t>Fowler</w:t>
      </w:r>
      <w:r>
        <w:rPr>
          <w:spacing w:val="-10"/>
        </w:rPr>
        <w:t> </w:t>
      </w:r>
      <w:r>
        <w:rPr/>
        <w:t>III,</w:t>
      </w:r>
      <w:r>
        <w:rPr>
          <w:spacing w:val="-10"/>
        </w:rPr>
        <w:t> </w:t>
      </w:r>
      <w:r>
        <w:rPr/>
        <w:t>Ph.D. Valdosta, GA </w:t>
      </w:r>
      <w:r>
        <w:rPr>
          <w:spacing w:val="-2"/>
        </w:rPr>
        <w:t>229.460.12172</w:t>
      </w:r>
    </w:p>
    <w:p>
      <w:pPr>
        <w:pStyle w:val="BodyText"/>
        <w:spacing w:before="43"/>
      </w:pPr>
    </w:p>
    <w:p>
      <w:pPr>
        <w:pStyle w:val="BodyText"/>
        <w:spacing w:line="276" w:lineRule="auto"/>
        <w:ind w:left="720" w:right="1191"/>
      </w:pPr>
      <w:r>
        <w:rPr/>
        <w:t>Key</w:t>
      </w:r>
      <w:r>
        <w:rPr>
          <w:spacing w:val="-7"/>
        </w:rPr>
        <w:t> </w:t>
      </w:r>
      <w:r>
        <w:rPr/>
        <w:t>words</w:t>
      </w:r>
      <w:r>
        <w:rPr>
          <w:spacing w:val="-7"/>
        </w:rPr>
        <w:t> </w:t>
      </w:r>
      <w:r>
        <w:rPr/>
        <w:t>(3-5):</w:t>
      </w:r>
      <w:r>
        <w:rPr>
          <w:spacing w:val="-7"/>
        </w:rPr>
        <w:t> </w:t>
      </w:r>
      <w:r>
        <w:rPr/>
        <w:t>Death</w:t>
      </w:r>
      <w:r>
        <w:rPr>
          <w:spacing w:val="-7"/>
        </w:rPr>
        <w:t> </w:t>
      </w:r>
      <w:r>
        <w:rPr/>
        <w:t>Metal,</w:t>
      </w:r>
      <w:r>
        <w:rPr>
          <w:spacing w:val="-7"/>
        </w:rPr>
        <w:t> </w:t>
      </w:r>
      <w:r>
        <w:rPr/>
        <w:t>Taboo,</w:t>
      </w:r>
      <w:r>
        <w:rPr>
          <w:spacing w:val="-7"/>
        </w:rPr>
        <w:t> </w:t>
      </w:r>
      <w:r>
        <w:rPr/>
        <w:t>Cultural</w:t>
      </w:r>
      <w:r>
        <w:rPr>
          <w:spacing w:val="-7"/>
        </w:rPr>
        <w:t> </w:t>
      </w:r>
      <w:r>
        <w:rPr/>
        <w:t>Evolution,</w:t>
      </w:r>
      <w:r>
        <w:rPr>
          <w:spacing w:val="-7"/>
        </w:rPr>
        <w:t> </w:t>
      </w:r>
      <w:r>
        <w:rPr/>
        <w:t>Evolutionary</w:t>
      </w:r>
      <w:r>
        <w:rPr>
          <w:spacing w:val="-7"/>
        </w:rPr>
        <w:t> </w:t>
      </w:r>
      <w:r>
        <w:rPr/>
        <w:t>Psychology,</w:t>
      </w:r>
      <w:r>
        <w:rPr>
          <w:spacing w:val="-7"/>
        </w:rPr>
        <w:t> </w:t>
      </w:r>
      <w:r>
        <w:rPr/>
        <w:t>Cannibal </w:t>
      </w:r>
      <w:r>
        <w:rPr>
          <w:spacing w:val="-2"/>
        </w:rPr>
        <w:t>Corpse</w:t>
      </w:r>
    </w:p>
    <w:p>
      <w:pPr>
        <w:pStyle w:val="BodyText"/>
      </w:pPr>
    </w:p>
    <w:p>
      <w:pPr>
        <w:pStyle w:val="BodyText"/>
        <w:ind w:left="352" w:right="1440"/>
        <w:jc w:val="both"/>
      </w:pPr>
      <w:r>
        <w:rPr>
          <w:i/>
        </w:rPr>
        <w:t>Warning &amp; Disclaimer</w:t>
      </w:r>
      <w:r>
        <w:rPr/>
        <w:t>: The empirical context and exemplars used in this research and </w:t>
      </w:r>
      <w:r>
        <w:rPr/>
        <w:t>presented here contain graphic descriptions of extreme violence, rape, and mutilation. Though fictional,</w:t>
      </w:r>
      <w:r>
        <w:rPr>
          <w:spacing w:val="40"/>
        </w:rPr>
        <w:t> </w:t>
      </w:r>
      <w:r>
        <w:rPr/>
        <w:t>this content is intense and may be disturbing. Reader discretion is advised.</w:t>
      </w:r>
    </w:p>
    <w:p>
      <w:pPr>
        <w:pStyle w:val="BodyText"/>
      </w:pPr>
    </w:p>
    <w:p>
      <w:pPr>
        <w:pStyle w:val="BodyText"/>
        <w:spacing w:before="225"/>
      </w:pPr>
    </w:p>
    <w:p>
      <w:pPr>
        <w:pStyle w:val="Heading4"/>
        <w:spacing w:before="1"/>
        <w:ind w:left="727"/>
      </w:pPr>
      <w:r>
        <w:rPr>
          <w:spacing w:val="-2"/>
        </w:rPr>
        <w:t>Introduction</w:t>
      </w:r>
    </w:p>
    <w:p>
      <w:pPr>
        <w:pStyle w:val="BodyText"/>
        <w:spacing w:before="234"/>
        <w:ind w:left="712" w:right="1379" w:firstLine="15"/>
        <w:jc w:val="both"/>
      </w:pPr>
      <w:r>
        <w:rPr/>
        <w:t>The rebellious and subversive nature of death metal has long been studied through </w:t>
      </w:r>
      <w:r>
        <w:rPr/>
        <w:t>sociological lenses, often viewing it as a deliberate rejection of socio-cultural structures (Binder 1993; Kahn Harris 2003, 2007; Halnon 2004, 2006; Henry and Caldwell 2007). While previous</w:t>
      </w:r>
      <w:r>
        <w:rPr>
          <w:spacing w:val="40"/>
        </w:rPr>
        <w:t> </w:t>
      </w:r>
      <w:r>
        <w:rPr/>
        <w:t>interpretations</w:t>
      </w:r>
      <w:r>
        <w:rPr>
          <w:spacing w:val="40"/>
        </w:rPr>
        <w:t> </w:t>
      </w:r>
      <w:r>
        <w:rPr/>
        <w:t>(Fowler, Lanier, and Rader 2013) have further extended death metal research by leveraging</w:t>
      </w:r>
      <w:r>
        <w:rPr>
          <w:spacing w:val="40"/>
        </w:rPr>
        <w:t> </w:t>
      </w:r>
      <w:r>
        <w:rPr/>
        <w:t>Bakhtin’s theory of the carnivalesque to explain this genre as a "dark carnival" that exposes the</w:t>
      </w:r>
      <w:r>
        <w:rPr>
          <w:spacing w:val="40"/>
        </w:rPr>
        <w:t> </w:t>
      </w:r>
      <w:r>
        <w:rPr/>
        <w:t>meaningless abyss of existence (Bakhtin 1984), this framework serves largely as a descriptive</w:t>
      </w:r>
      <w:r>
        <w:rPr>
          <w:spacing w:val="40"/>
        </w:rPr>
        <w:t> </w:t>
      </w:r>
      <w:r>
        <w:rPr/>
        <w:t>metaphor rather than an</w:t>
      </w:r>
      <w:r>
        <w:rPr>
          <w:spacing w:val="-3"/>
        </w:rPr>
        <w:t> </w:t>
      </w:r>
      <w:r>
        <w:rPr/>
        <w:t>explanatory</w:t>
      </w:r>
      <w:r>
        <w:rPr>
          <w:spacing w:val="-3"/>
        </w:rPr>
        <w:t> </w:t>
      </w:r>
      <w:r>
        <w:rPr/>
        <w:t>mechanism.</w:t>
      </w:r>
      <w:r>
        <w:rPr>
          <w:spacing w:val="-3"/>
        </w:rPr>
        <w:t> </w:t>
      </w:r>
      <w:r>
        <w:rPr/>
        <w:t>By</w:t>
      </w:r>
      <w:r>
        <w:rPr>
          <w:spacing w:val="-3"/>
        </w:rPr>
        <w:t> </w:t>
      </w:r>
      <w:r>
        <w:rPr/>
        <w:t>integrating</w:t>
      </w:r>
      <w:r>
        <w:rPr>
          <w:spacing w:val="-3"/>
        </w:rPr>
        <w:t> </w:t>
      </w:r>
      <w:r>
        <w:rPr/>
        <w:t>recent</w:t>
      </w:r>
      <w:r>
        <w:rPr>
          <w:spacing w:val="-3"/>
        </w:rPr>
        <w:t> </w:t>
      </w:r>
      <w:r>
        <w:rPr/>
        <w:t>developments in the</w:t>
      </w:r>
      <w:r>
        <w:rPr>
          <w:spacing w:val="40"/>
        </w:rPr>
        <w:t> </w:t>
      </w:r>
      <w:r>
        <w:rPr/>
        <w:t>cognitive science of cultural evolution, specifically the theories regarding the origin and transmission of taboos (Hong 2024), we propose a more robust theoretical foundation for understanding death metal consumption. We argue that death metal does not merely transgress boundaries for the sake of rebellion; rather, it actively simulates the "misfortunes" and "causal attributions" that generate human taboos in the first place. Through an analysis of what is recognized as the most popular death metal band, Cannibal Corpse, we demonstrate that death metal functions as a ritualized confrontation with the visceral origins of prohibition, stripping away</w:t>
      </w:r>
      <w:r>
        <w:rPr>
          <w:spacing w:val="40"/>
        </w:rPr>
        <w:t> </w:t>
      </w:r>
      <w:r>
        <w:rPr/>
        <w:t>the "imperfect transmission" of cultural norms to reveal the raw, deterministic fears that necessitate</w:t>
      </w:r>
      <w:r>
        <w:rPr>
          <w:spacing w:val="40"/>
        </w:rPr>
        <w:t> </w:t>
      </w:r>
      <w:r>
        <w:rPr/>
        <w:t>them.</w:t>
      </w:r>
    </w:p>
    <w:p>
      <w:pPr>
        <w:pStyle w:val="BodyText"/>
        <w:spacing w:after="0"/>
        <w:jc w:val="both"/>
        <w:sectPr>
          <w:footerReference w:type="default" r:id="rId241"/>
          <w:pgSz w:w="12240" w:h="15840"/>
          <w:pgMar w:header="0" w:footer="776" w:top="640" w:bottom="960" w:left="720" w:right="0"/>
        </w:sectPr>
      </w:pPr>
    </w:p>
    <w:p>
      <w:pPr>
        <w:pStyle w:val="Heading4"/>
        <w:spacing w:before="60"/>
        <w:ind w:left="727"/>
        <w:jc w:val="both"/>
      </w:pPr>
      <w:r>
        <w:rPr/>
        <w:t>The Cognitive Origins of </w:t>
      </w:r>
      <w:r>
        <w:rPr>
          <w:spacing w:val="-2"/>
        </w:rPr>
        <w:t>Prohibition</w:t>
      </w:r>
    </w:p>
    <w:p>
      <w:pPr>
        <w:pStyle w:val="BodyText"/>
        <w:spacing w:before="237"/>
        <w:ind w:left="712" w:right="1381" w:firstLine="15"/>
        <w:jc w:val="both"/>
      </w:pPr>
      <w:r>
        <w:rPr/>
        <w:t>To understand the transgressive power of death metal, the nature of the boundaries it crosses </w:t>
      </w:r>
      <w:r>
        <w:rPr/>
        <w:t>– viz.</w:t>
      </w:r>
      <w:r>
        <w:rPr>
          <w:spacing w:val="40"/>
        </w:rPr>
        <w:t> </w:t>
      </w:r>
      <w:r>
        <w:rPr/>
        <w:t>“taboos” -- must be explained. Taboos are not merely arbitrary social controls or sites of repressed</w:t>
      </w:r>
      <w:r>
        <w:rPr>
          <w:spacing w:val="80"/>
        </w:rPr>
        <w:t> </w:t>
      </w:r>
      <w:r>
        <w:rPr/>
        <w:t>desire. Rather, they are often the result of a fundamental psychological tendency to seek</w:t>
      </w:r>
      <w:r>
        <w:rPr>
          <w:spacing w:val="40"/>
        </w:rPr>
        <w:t> </w:t>
      </w:r>
      <w:r>
        <w:rPr/>
        <w:t>explanations for misfortunes</w:t>
      </w:r>
      <w:r>
        <w:rPr>
          <w:spacing w:val="-3"/>
        </w:rPr>
        <w:t> </w:t>
      </w:r>
      <w:r>
        <w:rPr/>
        <w:t>(Hong</w:t>
      </w:r>
      <w:r>
        <w:rPr>
          <w:spacing w:val="-3"/>
        </w:rPr>
        <w:t> </w:t>
      </w:r>
      <w:r>
        <w:rPr/>
        <w:t>2024).</w:t>
      </w:r>
      <w:r>
        <w:rPr>
          <w:spacing w:val="-3"/>
        </w:rPr>
        <w:t> </w:t>
      </w:r>
      <w:r>
        <w:rPr/>
        <w:t>As</w:t>
      </w:r>
      <w:r>
        <w:rPr>
          <w:spacing w:val="-3"/>
        </w:rPr>
        <w:t> </w:t>
      </w:r>
      <w:r>
        <w:rPr/>
        <w:t>Hong</w:t>
      </w:r>
      <w:r>
        <w:rPr>
          <w:spacing w:val="-3"/>
        </w:rPr>
        <w:t> </w:t>
      </w:r>
      <w:r>
        <w:rPr/>
        <w:t>(2024)</w:t>
      </w:r>
      <w:r>
        <w:rPr>
          <w:spacing w:val="-3"/>
        </w:rPr>
        <w:t> </w:t>
      </w:r>
      <w:r>
        <w:rPr/>
        <w:t>argues,</w:t>
      </w:r>
      <w:r>
        <w:rPr>
          <w:spacing w:val="-3"/>
        </w:rPr>
        <w:t> </w:t>
      </w:r>
      <w:r>
        <w:rPr/>
        <w:t>humans</w:t>
      </w:r>
      <w:r>
        <w:rPr>
          <w:spacing w:val="-3"/>
        </w:rPr>
        <w:t> </w:t>
      </w:r>
      <w:r>
        <w:rPr/>
        <w:t>operate</w:t>
      </w:r>
      <w:r>
        <w:rPr>
          <w:spacing w:val="-3"/>
        </w:rPr>
        <w:t> </w:t>
      </w:r>
      <w:r>
        <w:rPr/>
        <w:t>under</w:t>
      </w:r>
      <w:r>
        <w:rPr>
          <w:spacing w:val="-3"/>
        </w:rPr>
        <w:t> </w:t>
      </w:r>
      <w:r>
        <w:rPr/>
        <w:t>a deterministic worldview where "there are no accidents." When a community encounters a misfortune like an infant death or a natural disaster, they proceed with "retrospective causal attribution," identifying a specific behavior as the cause. Over time, the avoidance of this undesirable behavior coalesces into a taboo. Crucially, the original rationale often fades due to "imperfect transmission," leaving behind a rigid, unquestioned cultural prohibition where the specific consequences of violation are lost or vague (Hong 2024).</w:t>
      </w:r>
    </w:p>
    <w:p>
      <w:pPr>
        <w:pStyle w:val="BodyText"/>
        <w:spacing w:before="245"/>
        <w:ind w:left="712" w:right="1377" w:firstLine="15"/>
        <w:jc w:val="both"/>
      </w:pPr>
      <w:r>
        <w:rPr/>
        <w:t>Death metal operates by reversing this process. If taboos are created to prevent specific, often forgotten misfortunes, death metal lyrically and sonically reconstructs those misfortunes </w:t>
      </w:r>
      <w:r>
        <w:rPr/>
        <w:t>in explicit, high-fidelity detail. It rejects the "cognitive inertia" that allows taboos to persist as unquestioned habits and forces the listener to confront the specific graphic horrors like evisceration, contamination, and death</w:t>
      </w:r>
      <w:r>
        <w:rPr>
          <w:spacing w:val="-3"/>
        </w:rPr>
        <w:t> </w:t>
      </w:r>
      <w:r>
        <w:rPr/>
        <w:t>that</w:t>
      </w:r>
      <w:r>
        <w:rPr>
          <w:spacing w:val="-3"/>
        </w:rPr>
        <w:t> </w:t>
      </w:r>
      <w:r>
        <w:rPr/>
        <w:t>early</w:t>
      </w:r>
      <w:r>
        <w:rPr>
          <w:spacing w:val="-3"/>
        </w:rPr>
        <w:t> </w:t>
      </w:r>
      <w:r>
        <w:rPr/>
        <w:t>cultural</w:t>
      </w:r>
      <w:r>
        <w:rPr>
          <w:spacing w:val="-3"/>
        </w:rPr>
        <w:t> </w:t>
      </w:r>
      <w:r>
        <w:rPr/>
        <w:t>prohibitions</w:t>
      </w:r>
      <w:r>
        <w:rPr>
          <w:spacing w:val="-3"/>
        </w:rPr>
        <w:t> </w:t>
      </w:r>
      <w:r>
        <w:rPr/>
        <w:t>were</w:t>
      </w:r>
      <w:r>
        <w:rPr>
          <w:spacing w:val="-3"/>
        </w:rPr>
        <w:t> </w:t>
      </w:r>
      <w:r>
        <w:rPr/>
        <w:t>theoretically</w:t>
      </w:r>
      <w:r>
        <w:rPr>
          <w:spacing w:val="-3"/>
        </w:rPr>
        <w:t> </w:t>
      </w:r>
      <w:r>
        <w:rPr/>
        <w:t>designed to keep at bay.</w:t>
      </w:r>
    </w:p>
    <w:p>
      <w:pPr>
        <w:pStyle w:val="BodyText"/>
      </w:pPr>
    </w:p>
    <w:p>
      <w:pPr>
        <w:pStyle w:val="Heading4"/>
        <w:ind w:left="727"/>
      </w:pPr>
      <w:r>
        <w:rPr>
          <w:spacing w:val="-2"/>
        </w:rPr>
        <w:t>Methodology</w:t>
      </w:r>
    </w:p>
    <w:p>
      <w:pPr>
        <w:pStyle w:val="BodyText"/>
        <w:spacing w:before="236"/>
        <w:ind w:left="727" w:right="1380"/>
        <w:jc w:val="both"/>
      </w:pPr>
      <w:r>
        <w:rPr/>
        <w:t>This research employs Classical Grounded Theory (CGT), following the Glaserian </w:t>
      </w:r>
      <w:r>
        <w:rPr/>
        <w:t>paradigm (Glaser and Strauss 1967), to explore the substantive area of death metal consumption and its intersection with taboo. Unlike traditional qualitative methods that seek to verify pre-existing hypotheses, CGT is an inductive, "bottom-up" methodology designed to discover emergent conceptualizations and integrated patterns directly from data. Central to this approach is the Constant Comparative Method, wherein data collection, coding, and analysis occur simultaneously</w:t>
      </w:r>
      <w:r>
        <w:rPr>
          <w:spacing w:val="40"/>
        </w:rPr>
        <w:t> </w:t>
      </w:r>
      <w:r>
        <w:rPr/>
        <w:t>to foster the emergence of a core variable and its associated properties.</w:t>
      </w:r>
    </w:p>
    <w:p>
      <w:pPr>
        <w:spacing w:before="246"/>
        <w:ind w:left="742" w:right="0" w:firstLine="0"/>
        <w:jc w:val="left"/>
        <w:rPr>
          <w:i/>
          <w:sz w:val="24"/>
        </w:rPr>
      </w:pPr>
      <w:r>
        <w:rPr>
          <w:i/>
          <w:sz w:val="24"/>
        </w:rPr>
        <w:t>Use of Secondary Data as "Empirical </w:t>
      </w:r>
      <w:r>
        <w:rPr>
          <w:i/>
          <w:spacing w:val="-2"/>
          <w:sz w:val="24"/>
        </w:rPr>
        <w:t>Indicators"</w:t>
      </w:r>
    </w:p>
    <w:p>
      <w:pPr>
        <w:pStyle w:val="BodyText"/>
        <w:spacing w:before="236"/>
        <w:ind w:left="727" w:right="1377"/>
        <w:jc w:val="both"/>
      </w:pPr>
      <w:r>
        <w:rPr/>
        <w:t>The music of Cannibal Corpse serves as a primary case study for this research. In keeping </w:t>
      </w:r>
      <w:r>
        <w:rPr/>
        <w:t>with Glaser’s (1978) dictum that "all is data,"</w:t>
      </w:r>
      <w:r>
        <w:rPr>
          <w:spacing w:val="-3"/>
        </w:rPr>
        <w:t> </w:t>
      </w:r>
      <w:r>
        <w:rPr/>
        <w:t>this</w:t>
      </w:r>
      <w:r>
        <w:rPr>
          <w:spacing w:val="-3"/>
        </w:rPr>
        <w:t> </w:t>
      </w:r>
      <w:r>
        <w:rPr/>
        <w:t>study</w:t>
      </w:r>
      <w:r>
        <w:rPr>
          <w:spacing w:val="-3"/>
        </w:rPr>
        <w:t> </w:t>
      </w:r>
      <w:r>
        <w:rPr/>
        <w:t>treats</w:t>
      </w:r>
      <w:r>
        <w:rPr>
          <w:spacing w:val="-3"/>
        </w:rPr>
        <w:t> </w:t>
      </w:r>
      <w:r>
        <w:rPr/>
        <w:t>related</w:t>
      </w:r>
      <w:r>
        <w:rPr>
          <w:spacing w:val="-3"/>
        </w:rPr>
        <w:t> </w:t>
      </w:r>
      <w:r>
        <w:rPr/>
        <w:t>secondary</w:t>
      </w:r>
      <w:r>
        <w:rPr>
          <w:spacing w:val="-3"/>
        </w:rPr>
        <w:t> </w:t>
      </w:r>
      <w:r>
        <w:rPr/>
        <w:t>sources</w:t>
      </w:r>
      <w:r>
        <w:rPr>
          <w:spacing w:val="-3"/>
        </w:rPr>
        <w:t> </w:t>
      </w:r>
      <w:r>
        <w:rPr/>
        <w:t>not</w:t>
      </w:r>
      <w:r>
        <w:rPr>
          <w:spacing w:val="-3"/>
        </w:rPr>
        <w:t> </w:t>
      </w:r>
      <w:r>
        <w:rPr/>
        <w:t>merely</w:t>
      </w:r>
      <w:r>
        <w:rPr>
          <w:spacing w:val="-3"/>
        </w:rPr>
        <w:t> </w:t>
      </w:r>
      <w:r>
        <w:rPr/>
        <w:t>as literature, but as primary "slices of data" that yield empirical indicators for theory development (Andrews, Andrews and Lalor 2012). This paradigm acknowledges that conceptual patterns are found across various forms of social discourse, and by comparing diverse incidents from secondary</w:t>
      </w:r>
      <w:r>
        <w:rPr>
          <w:spacing w:val="40"/>
        </w:rPr>
        <w:t> </w:t>
      </w:r>
      <w:r>
        <w:rPr/>
        <w:t>sources, the researcher can achieve the theoretical density required for a robust substantive theory.</w:t>
      </w:r>
    </w:p>
    <w:p>
      <w:pPr>
        <w:pStyle w:val="BodyText"/>
        <w:spacing w:before="246"/>
        <w:ind w:left="727" w:right="1386"/>
        <w:jc w:val="both"/>
      </w:pPr>
      <w:r>
        <w:rPr/>
        <w:t>To support the emerging theory relating consumption of death metal and the cognitive</w:t>
      </w:r>
      <w:r>
        <w:rPr>
          <w:spacing w:val="-4"/>
        </w:rPr>
        <w:t> </w:t>
      </w:r>
      <w:r>
        <w:rPr/>
        <w:t>evolution (viz. inversion) of taboos, the following data corpus has been systematically analyzed and will continue to be expanded through theoretical sampling:</w:t>
      </w:r>
    </w:p>
    <w:p>
      <w:pPr>
        <w:pStyle w:val="ListParagraph"/>
        <w:numPr>
          <w:ilvl w:val="0"/>
          <w:numId w:val="32"/>
        </w:numPr>
        <w:tabs>
          <w:tab w:pos="1042" w:val="left" w:leader="none"/>
        </w:tabs>
        <w:spacing w:line="240" w:lineRule="auto" w:before="246" w:after="0"/>
        <w:ind w:left="727" w:right="1439" w:firstLine="15"/>
        <w:jc w:val="both"/>
        <w:rPr>
          <w:sz w:val="24"/>
        </w:rPr>
      </w:pPr>
      <w:r>
        <w:rPr>
          <w:sz w:val="24"/>
        </w:rPr>
        <w:t>Discographical Artifacts: The complete catalog of Cannibal Corpse song titles and </w:t>
      </w:r>
      <w:r>
        <w:rPr>
          <w:sz w:val="24"/>
        </w:rPr>
        <w:t>lyrics (from albums </w:t>
      </w:r>
      <w:r>
        <w:rPr>
          <w:i/>
          <w:sz w:val="24"/>
        </w:rPr>
        <w:t>Eaten Back to Life </w:t>
      </w:r>
      <w:r>
        <w:rPr>
          <w:sz w:val="24"/>
        </w:rPr>
        <w:t>to </w:t>
      </w:r>
      <w:r>
        <w:rPr>
          <w:i/>
          <w:sz w:val="24"/>
        </w:rPr>
        <w:t>Chaos Horrific</w:t>
      </w:r>
      <w:r>
        <w:rPr>
          <w:sz w:val="24"/>
        </w:rPr>
        <w:t>) served as the primary set of indicators for transgressive themes and "abject" confronting.</w:t>
      </w:r>
    </w:p>
    <w:p>
      <w:pPr>
        <w:pStyle w:val="ListParagraph"/>
        <w:numPr>
          <w:ilvl w:val="0"/>
          <w:numId w:val="32"/>
        </w:numPr>
        <w:tabs>
          <w:tab w:pos="967" w:val="left" w:leader="none"/>
        </w:tabs>
        <w:spacing w:line="240" w:lineRule="auto" w:before="246" w:after="0"/>
        <w:ind w:left="727" w:right="2113" w:firstLine="0"/>
        <w:jc w:val="left"/>
        <w:rPr>
          <w:sz w:val="24"/>
        </w:rPr>
      </w:pPr>
      <w:r>
        <w:rPr>
          <w:sz w:val="24"/>
        </w:rPr>
        <w:t>Visual</w:t>
      </w:r>
      <w:r>
        <w:rPr>
          <w:spacing w:val="-5"/>
          <w:sz w:val="24"/>
        </w:rPr>
        <w:t> </w:t>
      </w:r>
      <w:r>
        <w:rPr>
          <w:sz w:val="24"/>
        </w:rPr>
        <w:t>Semiotics:</w:t>
      </w:r>
      <w:r>
        <w:rPr>
          <w:spacing w:val="-5"/>
          <w:sz w:val="24"/>
        </w:rPr>
        <w:t> </w:t>
      </w:r>
      <w:r>
        <w:rPr>
          <w:sz w:val="24"/>
        </w:rPr>
        <w:t>Analysis</w:t>
      </w:r>
      <w:r>
        <w:rPr>
          <w:spacing w:val="-5"/>
          <w:sz w:val="24"/>
        </w:rPr>
        <w:t> </w:t>
      </w:r>
      <w:r>
        <w:rPr>
          <w:sz w:val="24"/>
        </w:rPr>
        <w:t>of</w:t>
      </w:r>
      <w:r>
        <w:rPr>
          <w:spacing w:val="-5"/>
          <w:sz w:val="24"/>
        </w:rPr>
        <w:t> </w:t>
      </w:r>
      <w:r>
        <w:rPr>
          <w:sz w:val="24"/>
        </w:rPr>
        <w:t>album</w:t>
      </w:r>
      <w:r>
        <w:rPr>
          <w:spacing w:val="-5"/>
          <w:sz w:val="24"/>
        </w:rPr>
        <w:t> </w:t>
      </w:r>
      <w:r>
        <w:rPr>
          <w:sz w:val="24"/>
        </w:rPr>
        <w:t>cover</w:t>
      </w:r>
      <w:r>
        <w:rPr>
          <w:spacing w:val="-5"/>
          <w:sz w:val="24"/>
        </w:rPr>
        <w:t> </w:t>
      </w:r>
      <w:r>
        <w:rPr>
          <w:sz w:val="24"/>
        </w:rPr>
        <w:t>art</w:t>
      </w:r>
      <w:r>
        <w:rPr>
          <w:spacing w:val="-5"/>
          <w:sz w:val="24"/>
        </w:rPr>
        <w:t> </w:t>
      </w:r>
      <w:r>
        <w:rPr>
          <w:sz w:val="24"/>
        </w:rPr>
        <w:t>and</w:t>
      </w:r>
      <w:r>
        <w:rPr>
          <w:spacing w:val="-5"/>
          <w:sz w:val="24"/>
        </w:rPr>
        <w:t> </w:t>
      </w:r>
      <w:r>
        <w:rPr>
          <w:sz w:val="24"/>
        </w:rPr>
        <w:t>internal</w:t>
      </w:r>
      <w:r>
        <w:rPr>
          <w:spacing w:val="-5"/>
          <w:sz w:val="24"/>
        </w:rPr>
        <w:t> </w:t>
      </w:r>
      <w:r>
        <w:rPr>
          <w:sz w:val="24"/>
        </w:rPr>
        <w:t>booklet</w:t>
      </w:r>
      <w:r>
        <w:rPr>
          <w:spacing w:val="-5"/>
          <w:sz w:val="24"/>
        </w:rPr>
        <w:t> </w:t>
      </w:r>
      <w:r>
        <w:rPr>
          <w:sz w:val="24"/>
        </w:rPr>
        <w:t>aesthetics</w:t>
      </w:r>
      <w:r>
        <w:rPr>
          <w:spacing w:val="-5"/>
          <w:sz w:val="24"/>
        </w:rPr>
        <w:t> </w:t>
      </w:r>
      <w:r>
        <w:rPr>
          <w:sz w:val="24"/>
        </w:rPr>
        <w:t>to</w:t>
      </w:r>
      <w:r>
        <w:rPr>
          <w:spacing w:val="-5"/>
          <w:sz w:val="24"/>
        </w:rPr>
        <w:t> </w:t>
      </w:r>
      <w:r>
        <w:rPr>
          <w:sz w:val="24"/>
        </w:rPr>
        <w:t>identify recurring visual tropes of mortality, anatomical trauma, and ritualistic consumption.</w:t>
      </w:r>
    </w:p>
    <w:p>
      <w:pPr>
        <w:pStyle w:val="ListParagraph"/>
        <w:numPr>
          <w:ilvl w:val="0"/>
          <w:numId w:val="32"/>
        </w:numPr>
        <w:tabs>
          <w:tab w:pos="967" w:val="left" w:leader="none"/>
        </w:tabs>
        <w:spacing w:line="240" w:lineRule="auto" w:before="246" w:after="0"/>
        <w:ind w:left="967" w:right="0" w:hanging="240"/>
        <w:jc w:val="left"/>
        <w:rPr>
          <w:sz w:val="24"/>
        </w:rPr>
      </w:pPr>
      <w:r>
        <w:rPr>
          <w:sz w:val="24"/>
        </w:rPr>
        <w:t>Para-Social Discourse: Publicly available interviews with band members and fans, </w:t>
      </w:r>
      <w:r>
        <w:rPr>
          <w:spacing w:val="-2"/>
          <w:sz w:val="24"/>
        </w:rPr>
        <w:t>which</w:t>
      </w:r>
    </w:p>
    <w:p>
      <w:pPr>
        <w:pStyle w:val="ListParagraph"/>
        <w:spacing w:after="0" w:line="240" w:lineRule="auto"/>
        <w:jc w:val="left"/>
        <w:rPr>
          <w:sz w:val="24"/>
        </w:rPr>
        <w:sectPr>
          <w:footerReference w:type="default" r:id="rId244"/>
          <w:pgSz w:w="12240" w:h="15840"/>
          <w:pgMar w:header="0" w:footer="707" w:top="640" w:bottom="900" w:left="720" w:right="0"/>
          <w:pgNumType w:start="188"/>
        </w:sectPr>
      </w:pPr>
    </w:p>
    <w:p>
      <w:pPr>
        <w:pStyle w:val="BodyText"/>
        <w:spacing w:before="60"/>
        <w:ind w:left="712"/>
      </w:pPr>
      <w:r>
        <w:rPr/>
        <w:t>provide "in-vivo" concepts reflecting the participants' motivations and </w:t>
      </w:r>
      <w:r>
        <w:rPr>
          <w:spacing w:val="-2"/>
        </w:rPr>
        <w:t>worldviews.</w:t>
      </w:r>
    </w:p>
    <w:p>
      <w:pPr>
        <w:pStyle w:val="ListParagraph"/>
        <w:numPr>
          <w:ilvl w:val="0"/>
          <w:numId w:val="32"/>
        </w:numPr>
        <w:tabs>
          <w:tab w:pos="967" w:val="left" w:leader="none"/>
        </w:tabs>
        <w:spacing w:line="240" w:lineRule="auto" w:before="245" w:after="0"/>
        <w:ind w:left="727" w:right="1654" w:firstLine="0"/>
        <w:jc w:val="left"/>
        <w:rPr>
          <w:sz w:val="24"/>
        </w:rPr>
      </w:pPr>
      <w:r>
        <w:rPr>
          <w:sz w:val="24"/>
        </w:rPr>
        <w:t>Critical</w:t>
      </w:r>
      <w:r>
        <w:rPr>
          <w:spacing w:val="-4"/>
          <w:sz w:val="24"/>
        </w:rPr>
        <w:t> </w:t>
      </w:r>
      <w:r>
        <w:rPr>
          <w:sz w:val="24"/>
        </w:rPr>
        <w:t>Reception:</w:t>
      </w:r>
      <w:r>
        <w:rPr>
          <w:spacing w:val="-4"/>
          <w:sz w:val="24"/>
        </w:rPr>
        <w:t> </w:t>
      </w:r>
      <w:r>
        <w:rPr>
          <w:sz w:val="24"/>
        </w:rPr>
        <w:t>Reviews</w:t>
      </w:r>
      <w:r>
        <w:rPr>
          <w:spacing w:val="-4"/>
          <w:sz w:val="24"/>
        </w:rPr>
        <w:t> </w:t>
      </w:r>
      <w:r>
        <w:rPr>
          <w:sz w:val="24"/>
        </w:rPr>
        <w:t>and</w:t>
      </w:r>
      <w:r>
        <w:rPr>
          <w:spacing w:val="-4"/>
          <w:sz w:val="24"/>
        </w:rPr>
        <w:t> </w:t>
      </w:r>
      <w:r>
        <w:rPr>
          <w:sz w:val="24"/>
        </w:rPr>
        <w:t>critical</w:t>
      </w:r>
      <w:r>
        <w:rPr>
          <w:spacing w:val="-4"/>
          <w:sz w:val="24"/>
        </w:rPr>
        <w:t> </w:t>
      </w:r>
      <w:r>
        <w:rPr>
          <w:sz w:val="24"/>
        </w:rPr>
        <w:t>reception</w:t>
      </w:r>
      <w:r>
        <w:rPr>
          <w:spacing w:val="-4"/>
          <w:sz w:val="24"/>
        </w:rPr>
        <w:t> </w:t>
      </w:r>
      <w:r>
        <w:rPr>
          <w:sz w:val="24"/>
        </w:rPr>
        <w:t>from</w:t>
      </w:r>
      <w:r>
        <w:rPr>
          <w:spacing w:val="-4"/>
          <w:sz w:val="24"/>
        </w:rPr>
        <w:t> </w:t>
      </w:r>
      <w:r>
        <w:rPr>
          <w:sz w:val="24"/>
        </w:rPr>
        <w:t>music</w:t>
      </w:r>
      <w:r>
        <w:rPr>
          <w:spacing w:val="-4"/>
          <w:sz w:val="24"/>
        </w:rPr>
        <w:t> </w:t>
      </w:r>
      <w:r>
        <w:rPr>
          <w:sz w:val="24"/>
        </w:rPr>
        <w:t>journalism</w:t>
      </w:r>
      <w:r>
        <w:rPr>
          <w:spacing w:val="-4"/>
          <w:sz w:val="24"/>
        </w:rPr>
        <w:t> </w:t>
      </w:r>
      <w:r>
        <w:rPr>
          <w:sz w:val="24"/>
        </w:rPr>
        <w:t>to</w:t>
      </w:r>
      <w:r>
        <w:rPr>
          <w:spacing w:val="-4"/>
          <w:sz w:val="24"/>
        </w:rPr>
        <w:t> </w:t>
      </w:r>
      <w:r>
        <w:rPr>
          <w:sz w:val="24"/>
        </w:rPr>
        <w:t>track</w:t>
      </w:r>
      <w:r>
        <w:rPr>
          <w:spacing w:val="-4"/>
          <w:sz w:val="24"/>
        </w:rPr>
        <w:t> </w:t>
      </w:r>
      <w:r>
        <w:rPr>
          <w:sz w:val="24"/>
        </w:rPr>
        <w:t>the</w:t>
      </w:r>
      <w:r>
        <w:rPr>
          <w:spacing w:val="-4"/>
          <w:sz w:val="24"/>
        </w:rPr>
        <w:t> </w:t>
      </w:r>
      <w:r>
        <w:rPr>
          <w:sz w:val="24"/>
        </w:rPr>
        <w:t>"social convention" and moral boundary-testing of the art.</w:t>
      </w:r>
    </w:p>
    <w:p>
      <w:pPr>
        <w:pStyle w:val="ListParagraph"/>
        <w:numPr>
          <w:ilvl w:val="0"/>
          <w:numId w:val="32"/>
        </w:numPr>
        <w:tabs>
          <w:tab w:pos="967" w:val="left" w:leader="none"/>
        </w:tabs>
        <w:spacing w:line="240" w:lineRule="auto" w:before="246" w:after="0"/>
        <w:ind w:left="727" w:right="1505" w:firstLine="0"/>
        <w:jc w:val="left"/>
        <w:rPr>
          <w:sz w:val="24"/>
        </w:rPr>
      </w:pPr>
      <w:r>
        <w:rPr>
          <w:sz w:val="24"/>
        </w:rPr>
        <w:t>Subcultural</w:t>
      </w:r>
      <w:r>
        <w:rPr>
          <w:spacing w:val="-6"/>
          <w:sz w:val="24"/>
        </w:rPr>
        <w:t> </w:t>
      </w:r>
      <w:r>
        <w:rPr>
          <w:sz w:val="24"/>
        </w:rPr>
        <w:t>Treatises:</w:t>
      </w:r>
      <w:r>
        <w:rPr>
          <w:spacing w:val="-6"/>
          <w:sz w:val="24"/>
        </w:rPr>
        <w:t> </w:t>
      </w:r>
      <w:r>
        <w:rPr>
          <w:sz w:val="24"/>
        </w:rPr>
        <w:t>Non-academic</w:t>
      </w:r>
      <w:r>
        <w:rPr>
          <w:spacing w:val="-6"/>
          <w:sz w:val="24"/>
        </w:rPr>
        <w:t> </w:t>
      </w:r>
      <w:r>
        <w:rPr>
          <w:sz w:val="24"/>
        </w:rPr>
        <w:t>books,</w:t>
      </w:r>
      <w:r>
        <w:rPr>
          <w:spacing w:val="-6"/>
          <w:sz w:val="24"/>
        </w:rPr>
        <w:t> </w:t>
      </w:r>
      <w:r>
        <w:rPr>
          <w:sz w:val="24"/>
        </w:rPr>
        <w:t>fan-authored</w:t>
      </w:r>
      <w:r>
        <w:rPr>
          <w:spacing w:val="-6"/>
          <w:sz w:val="24"/>
        </w:rPr>
        <w:t> </w:t>
      </w:r>
      <w:r>
        <w:rPr>
          <w:sz w:val="24"/>
        </w:rPr>
        <w:t>histories,</w:t>
      </w:r>
      <w:r>
        <w:rPr>
          <w:spacing w:val="-6"/>
          <w:sz w:val="24"/>
        </w:rPr>
        <w:t> </w:t>
      </w:r>
      <w:r>
        <w:rPr>
          <w:sz w:val="24"/>
        </w:rPr>
        <w:t>and</w:t>
      </w:r>
      <w:r>
        <w:rPr>
          <w:spacing w:val="-6"/>
          <w:sz w:val="24"/>
        </w:rPr>
        <w:t> </w:t>
      </w:r>
      <w:r>
        <w:rPr>
          <w:sz w:val="24"/>
        </w:rPr>
        <w:t>"zines"</w:t>
      </w:r>
      <w:r>
        <w:rPr>
          <w:spacing w:val="-6"/>
          <w:sz w:val="24"/>
        </w:rPr>
        <w:t> </w:t>
      </w:r>
      <w:r>
        <w:rPr>
          <w:sz w:val="24"/>
        </w:rPr>
        <w:t>that</w:t>
      </w:r>
      <w:r>
        <w:rPr>
          <w:spacing w:val="-6"/>
          <w:sz w:val="24"/>
        </w:rPr>
        <w:t> </w:t>
      </w:r>
      <w:r>
        <w:rPr>
          <w:sz w:val="24"/>
        </w:rPr>
        <w:t>document the band's cultural significance and the historical transmission of their "taboo" status.</w:t>
      </w:r>
    </w:p>
    <w:p>
      <w:pPr>
        <w:spacing w:before="248"/>
        <w:ind w:left="712" w:right="0" w:firstLine="0"/>
        <w:jc w:val="left"/>
        <w:rPr>
          <w:i/>
          <w:sz w:val="24"/>
        </w:rPr>
      </w:pPr>
      <w:r>
        <w:rPr>
          <w:i/>
          <w:sz w:val="24"/>
        </w:rPr>
        <w:t>Data Analysis and </w:t>
      </w:r>
      <w:r>
        <w:rPr>
          <w:i/>
          <w:spacing w:val="-2"/>
          <w:sz w:val="24"/>
        </w:rPr>
        <w:t>Paradigm</w:t>
      </w:r>
    </w:p>
    <w:p>
      <w:pPr>
        <w:pStyle w:val="BodyText"/>
        <w:spacing w:before="234"/>
        <w:ind w:left="727" w:right="1382"/>
        <w:jc w:val="both"/>
      </w:pPr>
      <w:r>
        <w:rPr/>
        <w:t>The analysis follows a rigorous cycle of Substantive Coding (comprising open and </w:t>
      </w:r>
      <w:r>
        <w:rPr/>
        <w:t>selective coding) followed by Theoretical Coding. By constantly comparing the "abject" imagery of Cannibal Corpse against the sociological conventions of the modern post-scarcity market, this study identifies patterns of "Imperfect Transmission" and "Retrospective Causal Attribution". Data</w:t>
      </w:r>
      <w:r>
        <w:rPr>
          <w:spacing w:val="80"/>
        </w:rPr>
        <w:t> </w:t>
      </w:r>
      <w:r>
        <w:rPr/>
        <w:t>collection and analysis are ongoing and will cease only upon theoretical saturation, at</w:t>
      </w:r>
      <w:r>
        <w:rPr>
          <w:spacing w:val="40"/>
        </w:rPr>
        <w:t> </w:t>
      </w:r>
      <w:r>
        <w:rPr/>
        <w:t>which point</w:t>
      </w:r>
      <w:r>
        <w:rPr>
          <w:spacing w:val="40"/>
        </w:rPr>
        <w:t> </w:t>
      </w:r>
      <w:r>
        <w:rPr/>
        <w:t>new incidents no longer yield additional properties for the emerging categories.</w:t>
      </w:r>
    </w:p>
    <w:p>
      <w:pPr>
        <w:pStyle w:val="BodyText"/>
      </w:pPr>
    </w:p>
    <w:p>
      <w:pPr>
        <w:pStyle w:val="Heading4"/>
        <w:ind w:left="727"/>
        <w:jc w:val="both"/>
      </w:pPr>
      <w:r>
        <w:rPr/>
        <w:t>Cannibal Corpse and Sonic Simulation of </w:t>
      </w:r>
      <w:r>
        <w:rPr>
          <w:spacing w:val="-2"/>
        </w:rPr>
        <w:t>Misfortune</w:t>
      </w:r>
    </w:p>
    <w:p>
      <w:pPr>
        <w:pStyle w:val="BodyText"/>
        <w:spacing w:before="236"/>
        <w:ind w:left="727" w:right="1366"/>
        <w:jc w:val="both"/>
      </w:pPr>
      <w:r>
        <w:rPr/>
        <w:t>Death metal as a genre and Cannibal Corpse as exemplar are defined by sonic transgressions. Musically, they employ dissonant tri-tone "devil’s chords," down-tuned guitars, and </w:t>
      </w:r>
      <w:r>
        <w:rPr/>
        <w:t>guttural vocals that strip away human subjectivity (Mudrian 2004; Kahn-Harris 2007). However, the lyrical</w:t>
      </w:r>
      <w:r>
        <w:rPr>
          <w:spacing w:val="40"/>
        </w:rPr>
        <w:t> </w:t>
      </w:r>
      <w:r>
        <w:rPr/>
        <w:t>content most explicitly reveals the genre's deep entanglement with the cognitive mechanisms of</w:t>
      </w:r>
      <w:r>
        <w:rPr>
          <w:spacing w:val="40"/>
        </w:rPr>
        <w:t> </w:t>
      </w:r>
      <w:r>
        <w:rPr/>
        <w:t>taboo.</w:t>
      </w:r>
    </w:p>
    <w:p>
      <w:pPr>
        <w:pStyle w:val="BodyText"/>
        <w:spacing w:before="246"/>
        <w:ind w:left="727" w:right="1378"/>
        <w:jc w:val="both"/>
      </w:pPr>
      <w:r>
        <w:rPr/>
        <w:t>Hong (2024) notes that taboos frequently cluster around high-stakes domains like </w:t>
      </w:r>
      <w:r>
        <w:rPr/>
        <w:t>pregnancy, childbirth, and food consumption because these are areas where misfortunes are common and emotionally devastating. While</w:t>
      </w:r>
      <w:r>
        <w:rPr>
          <w:spacing w:val="-2"/>
        </w:rPr>
        <w:t> </w:t>
      </w:r>
      <w:r>
        <w:rPr/>
        <w:t>culturally</w:t>
      </w:r>
      <w:r>
        <w:rPr>
          <w:spacing w:val="-2"/>
        </w:rPr>
        <w:t> </w:t>
      </w:r>
      <w:r>
        <w:rPr/>
        <w:t>accreted,</w:t>
      </w:r>
      <w:r>
        <w:rPr>
          <w:spacing w:val="-2"/>
        </w:rPr>
        <w:t> </w:t>
      </w:r>
      <w:r>
        <w:rPr/>
        <w:t>these</w:t>
      </w:r>
      <w:r>
        <w:rPr>
          <w:spacing w:val="-2"/>
        </w:rPr>
        <w:t> </w:t>
      </w:r>
      <w:r>
        <w:rPr/>
        <w:t>are</w:t>
      </w:r>
      <w:r>
        <w:rPr>
          <w:spacing w:val="-2"/>
        </w:rPr>
        <w:t> </w:t>
      </w:r>
      <w:r>
        <w:rPr/>
        <w:t>universal</w:t>
      </w:r>
      <w:r>
        <w:rPr>
          <w:spacing w:val="-2"/>
        </w:rPr>
        <w:t> </w:t>
      </w:r>
      <w:r>
        <w:rPr/>
        <w:t>particulars</w:t>
      </w:r>
      <w:r>
        <w:rPr>
          <w:spacing w:val="-2"/>
        </w:rPr>
        <w:t> </w:t>
      </w:r>
      <w:r>
        <w:rPr/>
        <w:t>that</w:t>
      </w:r>
      <w:r>
        <w:rPr>
          <w:spacing w:val="-2"/>
        </w:rPr>
        <w:t> </w:t>
      </w:r>
      <w:r>
        <w:rPr/>
        <w:t>give</w:t>
      </w:r>
      <w:r>
        <w:rPr>
          <w:spacing w:val="-2"/>
        </w:rPr>
        <w:t> </w:t>
      </w:r>
      <w:r>
        <w:rPr/>
        <w:t>rise</w:t>
      </w:r>
      <w:r>
        <w:rPr>
          <w:spacing w:val="-2"/>
        </w:rPr>
        <w:t> </w:t>
      </w:r>
      <w:r>
        <w:rPr/>
        <w:t>to atavistic anxiety and fear as situated in humankind’s shared evolutionary trajectory. Cannibal Corpse’s discography relentlessly targets these exact</w:t>
      </w:r>
      <w:r>
        <w:rPr>
          <w:spacing w:val="-4"/>
        </w:rPr>
        <w:t> </w:t>
      </w:r>
      <w:r>
        <w:rPr/>
        <w:t>sensitive</w:t>
      </w:r>
      <w:r>
        <w:rPr>
          <w:spacing w:val="-4"/>
        </w:rPr>
        <w:t> </w:t>
      </w:r>
      <w:r>
        <w:rPr/>
        <w:t>domains.</w:t>
      </w:r>
      <w:r>
        <w:rPr>
          <w:spacing w:val="-4"/>
        </w:rPr>
        <w:t> </w:t>
      </w:r>
      <w:r>
        <w:rPr/>
        <w:t>Songs</w:t>
      </w:r>
      <w:r>
        <w:rPr>
          <w:spacing w:val="-4"/>
        </w:rPr>
        <w:t> </w:t>
      </w:r>
      <w:r>
        <w:rPr/>
        <w:t>such</w:t>
      </w:r>
      <w:r>
        <w:rPr>
          <w:spacing w:val="-4"/>
        </w:rPr>
        <w:t> </w:t>
      </w:r>
      <w:r>
        <w:rPr/>
        <w:t>as</w:t>
      </w:r>
      <w:r>
        <w:rPr>
          <w:spacing w:val="-4"/>
        </w:rPr>
        <w:t> </w:t>
      </w:r>
      <w:r>
        <w:rPr/>
        <w:t>"Born</w:t>
      </w:r>
      <w:r>
        <w:rPr>
          <w:spacing w:val="-4"/>
        </w:rPr>
        <w:t> </w:t>
      </w:r>
      <w:r>
        <w:rPr/>
        <w:t>in</w:t>
      </w:r>
      <w:r>
        <w:rPr>
          <w:spacing w:val="-4"/>
        </w:rPr>
        <w:t> </w:t>
      </w:r>
      <w:r>
        <w:rPr/>
        <w:t>a Casket", “From Womb to Waste”, “The Wretched Spawn”, and "Butchered at Birth" depict the mutilation of newborns or transgression of the childbirth process. Songs like “Eaten Back to Life”,</w:t>
      </w:r>
      <w:r>
        <w:rPr>
          <w:spacing w:val="40"/>
        </w:rPr>
        <w:t> </w:t>
      </w:r>
      <w:r>
        <w:rPr/>
        <w:t>“Scavenger Consuming Death”, and “Inhumane Harvest” rely on culinary language, dietary</w:t>
      </w:r>
      <w:r>
        <w:rPr>
          <w:spacing w:val="80"/>
        </w:rPr>
        <w:t> </w:t>
      </w:r>
      <w:r>
        <w:rPr/>
        <w:t>actions,</w:t>
      </w:r>
      <w:r>
        <w:rPr>
          <w:spacing w:val="-3"/>
        </w:rPr>
        <w:t> </w:t>
      </w:r>
      <w:r>
        <w:rPr/>
        <w:t>and</w:t>
      </w:r>
      <w:r>
        <w:rPr>
          <w:spacing w:val="-3"/>
        </w:rPr>
        <w:t> </w:t>
      </w:r>
      <w:r>
        <w:rPr/>
        <w:t>–</w:t>
      </w:r>
      <w:r>
        <w:rPr>
          <w:spacing w:val="-3"/>
        </w:rPr>
        <w:t> </w:t>
      </w:r>
      <w:r>
        <w:rPr/>
        <w:t>in</w:t>
      </w:r>
      <w:r>
        <w:rPr>
          <w:spacing w:val="-3"/>
        </w:rPr>
        <w:t> </w:t>
      </w:r>
      <w:r>
        <w:rPr/>
        <w:t>keeping</w:t>
      </w:r>
      <w:r>
        <w:rPr>
          <w:spacing w:val="-3"/>
        </w:rPr>
        <w:t> </w:t>
      </w:r>
      <w:r>
        <w:rPr/>
        <w:t>with</w:t>
      </w:r>
      <w:r>
        <w:rPr>
          <w:spacing w:val="-3"/>
        </w:rPr>
        <w:t> </w:t>
      </w:r>
      <w:r>
        <w:rPr/>
        <w:t>the</w:t>
      </w:r>
      <w:r>
        <w:rPr>
          <w:spacing w:val="-3"/>
        </w:rPr>
        <w:t> </w:t>
      </w:r>
      <w:r>
        <w:rPr/>
        <w:t>band’s</w:t>
      </w:r>
      <w:r>
        <w:rPr>
          <w:spacing w:val="-3"/>
        </w:rPr>
        <w:t> </w:t>
      </w:r>
      <w:r>
        <w:rPr/>
        <w:t>name</w:t>
      </w:r>
      <w:r>
        <w:rPr>
          <w:spacing w:val="-3"/>
        </w:rPr>
        <w:t> </w:t>
      </w:r>
      <w:r>
        <w:rPr/>
        <w:t>–</w:t>
      </w:r>
      <w:r>
        <w:rPr>
          <w:spacing w:val="-3"/>
        </w:rPr>
        <w:t> </w:t>
      </w:r>
      <w:r>
        <w:rPr/>
        <w:t>necrocannibalism.</w:t>
      </w:r>
      <w:r>
        <w:rPr>
          <w:spacing w:val="-3"/>
        </w:rPr>
        <w:t> </w:t>
      </w:r>
      <w:r>
        <w:rPr/>
        <w:t>These</w:t>
      </w:r>
      <w:r>
        <w:rPr>
          <w:spacing w:val="-3"/>
        </w:rPr>
        <w:t> </w:t>
      </w:r>
      <w:r>
        <w:rPr/>
        <w:t>motifs</w:t>
      </w:r>
      <w:r>
        <w:rPr>
          <w:spacing w:val="-3"/>
        </w:rPr>
        <w:t> </w:t>
      </w:r>
      <w:r>
        <w:rPr/>
        <w:t>directly and</w:t>
      </w:r>
      <w:r>
        <w:rPr>
          <w:spacing w:val="40"/>
        </w:rPr>
        <w:t> </w:t>
      </w:r>
      <w:r>
        <w:rPr/>
        <w:t>explicitly violate the most potent cross-cultural prohibitions</w:t>
      </w:r>
      <w:r>
        <w:rPr>
          <w:spacing w:val="-3"/>
        </w:rPr>
        <w:t> </w:t>
      </w:r>
      <w:r>
        <w:rPr/>
        <w:t>surrounding</w:t>
      </w:r>
      <w:r>
        <w:rPr>
          <w:spacing w:val="-3"/>
        </w:rPr>
        <w:t> </w:t>
      </w:r>
      <w:r>
        <w:rPr/>
        <w:t>the</w:t>
      </w:r>
      <w:r>
        <w:rPr>
          <w:spacing w:val="-3"/>
        </w:rPr>
        <w:t> </w:t>
      </w:r>
      <w:r>
        <w:rPr/>
        <w:t>sanctity</w:t>
      </w:r>
      <w:r>
        <w:rPr>
          <w:spacing w:val="-3"/>
        </w:rPr>
        <w:t> </w:t>
      </w:r>
      <w:r>
        <w:rPr/>
        <w:t>of</w:t>
      </w:r>
      <w:r>
        <w:rPr>
          <w:spacing w:val="-3"/>
        </w:rPr>
        <w:t> </w:t>
      </w:r>
      <w:r>
        <w:rPr/>
        <w:t>life, evolution of the family unit, and survival through nourishment (Cannibal Corpse, n.d.).</w:t>
      </w:r>
    </w:p>
    <w:p>
      <w:pPr>
        <w:pStyle w:val="BodyText"/>
        <w:spacing w:before="246"/>
        <w:ind w:left="712" w:right="1380" w:firstLine="15"/>
        <w:jc w:val="both"/>
      </w:pPr>
      <w:r>
        <w:rPr/>
        <w:t>Furthermore, the "grotesque body" in death metal acts as a counter-point to the "vague idea" of misfortune that usually</w:t>
      </w:r>
      <w:r>
        <w:rPr>
          <w:spacing w:val="-3"/>
        </w:rPr>
        <w:t> </w:t>
      </w:r>
      <w:r>
        <w:rPr/>
        <w:t>sustains</w:t>
      </w:r>
      <w:r>
        <w:rPr>
          <w:spacing w:val="-3"/>
        </w:rPr>
        <w:t> </w:t>
      </w:r>
      <w:r>
        <w:rPr/>
        <w:t>a</w:t>
      </w:r>
      <w:r>
        <w:rPr>
          <w:spacing w:val="-3"/>
        </w:rPr>
        <w:t> </w:t>
      </w:r>
      <w:r>
        <w:rPr/>
        <w:t>taboo.</w:t>
      </w:r>
      <w:r>
        <w:rPr>
          <w:spacing w:val="-3"/>
        </w:rPr>
        <w:t> </w:t>
      </w:r>
      <w:r>
        <w:rPr/>
        <w:t>Where</w:t>
      </w:r>
      <w:r>
        <w:rPr>
          <w:spacing w:val="-3"/>
        </w:rPr>
        <w:t> </w:t>
      </w:r>
      <w:r>
        <w:rPr/>
        <w:t>a</w:t>
      </w:r>
      <w:r>
        <w:rPr>
          <w:spacing w:val="-3"/>
        </w:rPr>
        <w:t> </w:t>
      </w:r>
      <w:r>
        <w:rPr/>
        <w:t>cultural</w:t>
      </w:r>
      <w:r>
        <w:rPr>
          <w:spacing w:val="-3"/>
        </w:rPr>
        <w:t> </w:t>
      </w:r>
      <w:r>
        <w:rPr/>
        <w:t>norm</w:t>
      </w:r>
      <w:r>
        <w:rPr>
          <w:spacing w:val="-3"/>
        </w:rPr>
        <w:t> </w:t>
      </w:r>
      <w:r>
        <w:rPr/>
        <w:t>might</w:t>
      </w:r>
      <w:r>
        <w:rPr>
          <w:spacing w:val="-3"/>
        </w:rPr>
        <w:t> </w:t>
      </w:r>
      <w:r>
        <w:rPr/>
        <w:t>vaguely</w:t>
      </w:r>
      <w:r>
        <w:rPr>
          <w:spacing w:val="-3"/>
        </w:rPr>
        <w:t> </w:t>
      </w:r>
      <w:r>
        <w:rPr/>
        <w:t>warn</w:t>
      </w:r>
      <w:r>
        <w:rPr>
          <w:spacing w:val="-3"/>
        </w:rPr>
        <w:t> </w:t>
      </w:r>
      <w:r>
        <w:rPr/>
        <w:t>that</w:t>
      </w:r>
      <w:r>
        <w:rPr>
          <w:spacing w:val="-3"/>
        </w:rPr>
        <w:t> </w:t>
      </w:r>
      <w:r>
        <w:rPr/>
        <w:t>violating a rule brings "bad luck," Cannibal Corpse specifies the consequence with forensic precision. In "Shredded Humans," the misfortune is not abstract; it is a literal</w:t>
      </w:r>
      <w:r>
        <w:rPr>
          <w:spacing w:val="-2"/>
        </w:rPr>
        <w:t> </w:t>
      </w:r>
      <w:r>
        <w:rPr/>
        <w:t>description</w:t>
      </w:r>
      <w:r>
        <w:rPr>
          <w:spacing w:val="-2"/>
        </w:rPr>
        <w:t> </w:t>
      </w:r>
      <w:r>
        <w:rPr/>
        <w:t>of</w:t>
      </w:r>
      <w:r>
        <w:rPr>
          <w:spacing w:val="-2"/>
        </w:rPr>
        <w:t> </w:t>
      </w:r>
      <w:r>
        <w:rPr/>
        <w:t>organs</w:t>
      </w:r>
      <w:r>
        <w:rPr>
          <w:spacing w:val="-2"/>
        </w:rPr>
        <w:t> </w:t>
      </w:r>
      <w:r>
        <w:rPr/>
        <w:t>collapsing and intestines stretching across the pavement (Cannibal Corpse, n.d.). By presenting the "uncheerful death" (Bakhtin 1984), the music bypasses the sanitized, imperfectly transmitted social norm and reconnects the listener with the primal anxiety of physical vulnerability. The listener is not merely observing a Bakhtinian inversion of order; they are immersed in a simulation</w:t>
      </w:r>
      <w:r>
        <w:rPr>
          <w:spacing w:val="40"/>
        </w:rPr>
        <w:t> </w:t>
      </w:r>
      <w:r>
        <w:rPr/>
        <w:t>of the "misfortune" that generates the taboo, effectively reverse-engineering the cultural</w:t>
      </w:r>
      <w:r>
        <w:rPr>
          <w:spacing w:val="40"/>
        </w:rPr>
        <w:t> </w:t>
      </w:r>
      <w:r>
        <w:rPr/>
        <w:t>prohibition.</w:t>
      </w:r>
    </w:p>
    <w:p>
      <w:pPr>
        <w:pStyle w:val="Heading4"/>
        <w:spacing w:before="248"/>
        <w:ind w:left="727"/>
        <w:jc w:val="both"/>
      </w:pPr>
      <w:r>
        <w:rPr/>
        <w:t>From</w:t>
      </w:r>
      <w:r>
        <w:rPr>
          <w:spacing w:val="-1"/>
        </w:rPr>
        <w:t> </w:t>
      </w:r>
      <w:r>
        <w:rPr/>
        <w:t>Dark</w:t>
      </w:r>
      <w:r>
        <w:rPr>
          <w:spacing w:val="-1"/>
        </w:rPr>
        <w:t> </w:t>
      </w:r>
      <w:r>
        <w:rPr/>
        <w:t>Carnival</w:t>
      </w:r>
      <w:r>
        <w:rPr>
          <w:spacing w:val="-1"/>
        </w:rPr>
        <w:t> </w:t>
      </w:r>
      <w:r>
        <w:rPr/>
        <w:t>to</w:t>
      </w:r>
      <w:r>
        <w:rPr>
          <w:spacing w:val="-1"/>
        </w:rPr>
        <w:t> </w:t>
      </w:r>
      <w:r>
        <w:rPr/>
        <w:t>Cognitive</w:t>
      </w:r>
      <w:r>
        <w:rPr>
          <w:spacing w:val="-1"/>
        </w:rPr>
        <w:t> </w:t>
      </w:r>
      <w:r>
        <w:rPr>
          <w:spacing w:val="-2"/>
        </w:rPr>
        <w:t>Confrontation</w:t>
      </w:r>
    </w:p>
    <w:p>
      <w:pPr>
        <w:pStyle w:val="BodyText"/>
        <w:spacing w:before="234"/>
        <w:ind w:left="727" w:right="1382"/>
        <w:jc w:val="both"/>
      </w:pPr>
      <w:r>
        <w:rPr/>
        <w:t>While Bakhtin’s concept of the carnival describes a temporary suspension of hierarchy, death metal</w:t>
      </w:r>
      <w:r>
        <w:rPr>
          <w:spacing w:val="45"/>
        </w:rPr>
        <w:t> </w:t>
      </w:r>
      <w:r>
        <w:rPr/>
        <w:t>represents</w:t>
      </w:r>
      <w:r>
        <w:rPr>
          <w:spacing w:val="45"/>
        </w:rPr>
        <w:t> </w:t>
      </w:r>
      <w:r>
        <w:rPr/>
        <w:t>a</w:t>
      </w:r>
      <w:r>
        <w:rPr>
          <w:spacing w:val="45"/>
        </w:rPr>
        <w:t> </w:t>
      </w:r>
      <w:r>
        <w:rPr/>
        <w:t>"dark</w:t>
      </w:r>
      <w:r>
        <w:rPr>
          <w:spacing w:val="45"/>
        </w:rPr>
        <w:t> </w:t>
      </w:r>
      <w:r>
        <w:rPr/>
        <w:t>carnival"</w:t>
      </w:r>
      <w:r>
        <w:rPr>
          <w:spacing w:val="45"/>
        </w:rPr>
        <w:t> </w:t>
      </w:r>
      <w:r>
        <w:rPr/>
        <w:t>where</w:t>
      </w:r>
      <w:r>
        <w:rPr>
          <w:spacing w:val="30"/>
        </w:rPr>
        <w:t> </w:t>
      </w:r>
      <w:r>
        <w:rPr/>
        <w:t>the</w:t>
      </w:r>
      <w:r>
        <w:rPr>
          <w:spacing w:val="30"/>
        </w:rPr>
        <w:t> </w:t>
      </w:r>
      <w:r>
        <w:rPr/>
        <w:t>laughter</w:t>
      </w:r>
      <w:r>
        <w:rPr>
          <w:spacing w:val="30"/>
        </w:rPr>
        <w:t> </w:t>
      </w:r>
      <w:r>
        <w:rPr/>
        <w:t>is</w:t>
      </w:r>
      <w:r>
        <w:rPr>
          <w:spacing w:val="30"/>
        </w:rPr>
        <w:t> </w:t>
      </w:r>
      <w:r>
        <w:rPr/>
        <w:t>maniacal</w:t>
      </w:r>
      <w:r>
        <w:rPr>
          <w:spacing w:val="30"/>
        </w:rPr>
        <w:t> </w:t>
      </w:r>
      <w:r>
        <w:rPr/>
        <w:t>and</w:t>
      </w:r>
      <w:r>
        <w:rPr>
          <w:spacing w:val="30"/>
        </w:rPr>
        <w:t> </w:t>
      </w:r>
      <w:r>
        <w:rPr/>
        <w:t>the</w:t>
      </w:r>
      <w:r>
        <w:rPr>
          <w:spacing w:val="30"/>
        </w:rPr>
        <w:t> </w:t>
      </w:r>
      <w:r>
        <w:rPr/>
        <w:t>excess</w:t>
      </w:r>
      <w:r>
        <w:rPr>
          <w:spacing w:val="30"/>
        </w:rPr>
        <w:t> </w:t>
      </w:r>
      <w:r>
        <w:rPr/>
        <w:t>evolves</w:t>
      </w:r>
      <w:r>
        <w:rPr>
          <w:spacing w:val="30"/>
        </w:rPr>
        <w:t> </w:t>
      </w:r>
      <w:r>
        <w:rPr>
          <w:spacing w:val="-4"/>
        </w:rPr>
        <w:t>into</w:t>
      </w:r>
    </w:p>
    <w:p>
      <w:pPr>
        <w:pStyle w:val="BodyText"/>
        <w:spacing w:after="0"/>
        <w:jc w:val="both"/>
        <w:sectPr>
          <w:pgSz w:w="12240" w:h="15840"/>
          <w:pgMar w:header="0" w:footer="707" w:top="640" w:bottom="960" w:left="720" w:right="0"/>
        </w:sectPr>
      </w:pPr>
    </w:p>
    <w:p>
      <w:pPr>
        <w:pStyle w:val="BodyText"/>
        <w:spacing w:before="60"/>
        <w:ind w:left="727" w:right="1383"/>
        <w:jc w:val="both"/>
      </w:pPr>
      <w:r>
        <w:rPr/>
        <w:t>atrocity. However, this "dark carnival" is best understood not just as a social release, but as </w:t>
      </w:r>
      <w:r>
        <w:rPr/>
        <w:t>a cognitive playground. If identifying causes for misfortune provides emotional reassurance and a sense of control, engaging with death</w:t>
      </w:r>
      <w:r>
        <w:rPr>
          <w:spacing w:val="-2"/>
        </w:rPr>
        <w:t> </w:t>
      </w:r>
      <w:r>
        <w:rPr/>
        <w:t>metal</w:t>
      </w:r>
      <w:r>
        <w:rPr>
          <w:spacing w:val="-2"/>
        </w:rPr>
        <w:t> </w:t>
      </w:r>
      <w:r>
        <w:rPr/>
        <w:t>provides</w:t>
      </w:r>
      <w:r>
        <w:rPr>
          <w:spacing w:val="-2"/>
        </w:rPr>
        <w:t> </w:t>
      </w:r>
      <w:r>
        <w:rPr/>
        <w:t>a</w:t>
      </w:r>
      <w:r>
        <w:rPr>
          <w:spacing w:val="-2"/>
        </w:rPr>
        <w:t> </w:t>
      </w:r>
      <w:r>
        <w:rPr/>
        <w:t>safe</w:t>
      </w:r>
      <w:r>
        <w:rPr>
          <w:spacing w:val="-2"/>
        </w:rPr>
        <w:t> </w:t>
      </w:r>
      <w:r>
        <w:rPr/>
        <w:t>consumer</w:t>
      </w:r>
      <w:r>
        <w:rPr>
          <w:spacing w:val="-2"/>
        </w:rPr>
        <w:t> </w:t>
      </w:r>
      <w:r>
        <w:rPr/>
        <w:t>environment</w:t>
      </w:r>
      <w:r>
        <w:rPr>
          <w:spacing w:val="-2"/>
        </w:rPr>
        <w:t> </w:t>
      </w:r>
      <w:r>
        <w:rPr/>
        <w:t>to</w:t>
      </w:r>
      <w:r>
        <w:rPr>
          <w:spacing w:val="-2"/>
        </w:rPr>
        <w:t> </w:t>
      </w:r>
      <w:r>
        <w:rPr/>
        <w:t>process</w:t>
      </w:r>
      <w:r>
        <w:rPr>
          <w:spacing w:val="-2"/>
        </w:rPr>
        <w:t> </w:t>
      </w:r>
      <w:r>
        <w:rPr/>
        <w:t>the lack of control.</w:t>
      </w:r>
    </w:p>
    <w:p>
      <w:pPr>
        <w:pStyle w:val="BodyText"/>
        <w:spacing w:before="246"/>
        <w:ind w:left="727" w:right="1381"/>
        <w:jc w:val="both"/>
      </w:pPr>
      <w:r>
        <w:rPr/>
        <w:t>The "imperfect transmission" of taboos means that many prohibitions appear as </w:t>
      </w:r>
      <w:r>
        <w:rPr/>
        <w:t>arbitrary conventions (viz. "it’s just our way of doing things"; Hong 2024). Death metal shatters this arbitrariness. By obsessively cataloging acts of cannibalism,</w:t>
      </w:r>
      <w:r>
        <w:rPr>
          <w:spacing w:val="-3"/>
        </w:rPr>
        <w:t> </w:t>
      </w:r>
      <w:r>
        <w:rPr/>
        <w:t>necrophilia,</w:t>
      </w:r>
      <w:r>
        <w:rPr>
          <w:spacing w:val="-3"/>
        </w:rPr>
        <w:t> </w:t>
      </w:r>
      <w:r>
        <w:rPr/>
        <w:t>and</w:t>
      </w:r>
      <w:r>
        <w:rPr>
          <w:spacing w:val="-3"/>
        </w:rPr>
        <w:t> </w:t>
      </w:r>
      <w:r>
        <w:rPr/>
        <w:t>parricide</w:t>
      </w:r>
      <w:r>
        <w:rPr>
          <w:spacing w:val="-3"/>
        </w:rPr>
        <w:t> </w:t>
      </w:r>
      <w:r>
        <w:rPr/>
        <w:t>(Cannibal Corpse, n.d.), the genre</w:t>
      </w:r>
      <w:r>
        <w:rPr>
          <w:spacing w:val="-4"/>
        </w:rPr>
        <w:t> </w:t>
      </w:r>
      <w:r>
        <w:rPr/>
        <w:t>exposes</w:t>
      </w:r>
      <w:r>
        <w:rPr>
          <w:spacing w:val="-4"/>
        </w:rPr>
        <w:t> </w:t>
      </w:r>
      <w:r>
        <w:rPr/>
        <w:t>the</w:t>
      </w:r>
      <w:r>
        <w:rPr>
          <w:spacing w:val="-4"/>
        </w:rPr>
        <w:t> </w:t>
      </w:r>
      <w:r>
        <w:rPr/>
        <w:t>fragility</w:t>
      </w:r>
      <w:r>
        <w:rPr>
          <w:spacing w:val="-4"/>
        </w:rPr>
        <w:t> </w:t>
      </w:r>
      <w:r>
        <w:rPr/>
        <w:t>of</w:t>
      </w:r>
      <w:r>
        <w:rPr>
          <w:spacing w:val="-4"/>
        </w:rPr>
        <w:t> </w:t>
      </w:r>
      <w:r>
        <w:rPr/>
        <w:t>the</w:t>
      </w:r>
      <w:r>
        <w:rPr>
          <w:spacing w:val="-4"/>
        </w:rPr>
        <w:t> </w:t>
      </w:r>
      <w:r>
        <w:rPr/>
        <w:t>"deterministic</w:t>
      </w:r>
      <w:r>
        <w:rPr>
          <w:spacing w:val="-4"/>
        </w:rPr>
        <w:t> </w:t>
      </w:r>
      <w:r>
        <w:rPr/>
        <w:t>worldview."</w:t>
      </w:r>
      <w:r>
        <w:rPr>
          <w:spacing w:val="-4"/>
        </w:rPr>
        <w:t> </w:t>
      </w:r>
      <w:r>
        <w:rPr/>
        <w:t>It</w:t>
      </w:r>
      <w:r>
        <w:rPr>
          <w:spacing w:val="-4"/>
        </w:rPr>
        <w:t> </w:t>
      </w:r>
      <w:r>
        <w:rPr/>
        <w:t>suggests</w:t>
      </w:r>
      <w:r>
        <w:rPr>
          <w:spacing w:val="-4"/>
        </w:rPr>
        <w:t> </w:t>
      </w:r>
      <w:r>
        <w:rPr/>
        <w:t>that</w:t>
      </w:r>
      <w:r>
        <w:rPr>
          <w:spacing w:val="-4"/>
        </w:rPr>
        <w:t> </w:t>
      </w:r>
      <w:r>
        <w:rPr/>
        <w:t>the "horrors that are suppressed" by socio-cultural structures are</w:t>
      </w:r>
      <w:r>
        <w:rPr>
          <w:spacing w:val="-2"/>
        </w:rPr>
        <w:t> </w:t>
      </w:r>
      <w:r>
        <w:rPr/>
        <w:t>not</w:t>
      </w:r>
      <w:r>
        <w:rPr>
          <w:spacing w:val="-2"/>
        </w:rPr>
        <w:t> </w:t>
      </w:r>
      <w:r>
        <w:rPr/>
        <w:t>successfully</w:t>
      </w:r>
      <w:r>
        <w:rPr>
          <w:spacing w:val="-2"/>
        </w:rPr>
        <w:t> </w:t>
      </w:r>
      <w:r>
        <w:rPr/>
        <w:t>contained</w:t>
      </w:r>
      <w:r>
        <w:rPr>
          <w:spacing w:val="-2"/>
        </w:rPr>
        <w:t> </w:t>
      </w:r>
      <w:r>
        <w:rPr/>
        <w:t>by</w:t>
      </w:r>
      <w:r>
        <w:rPr>
          <w:spacing w:val="-2"/>
        </w:rPr>
        <w:t> </w:t>
      </w:r>
      <w:r>
        <w:rPr/>
        <w:t>them. When Cannibal Corpse lyrics describe a pathologist using the dead for experiments in "Living Dissection," they show authority figures fully integrated into the transgression, undermining the belief that adherence to social rules guarantees safety.</w:t>
      </w:r>
    </w:p>
    <w:p>
      <w:pPr>
        <w:pStyle w:val="Heading4"/>
        <w:spacing w:before="247"/>
        <w:ind w:left="727"/>
      </w:pPr>
      <w:r>
        <w:rPr>
          <w:spacing w:val="-2"/>
        </w:rPr>
        <w:t>Conclusion</w:t>
      </w:r>
    </w:p>
    <w:p>
      <w:pPr>
        <w:pStyle w:val="BodyText"/>
        <w:spacing w:before="236"/>
        <w:ind w:left="712" w:right="1378" w:firstLine="15"/>
        <w:jc w:val="both"/>
      </w:pPr>
      <w:r>
        <w:rPr/>
        <w:t>Ultimately, the consumption of death metal can be viewed through the lens of evolutionary psychology as a confrontation with</w:t>
      </w:r>
      <w:r>
        <w:rPr>
          <w:spacing w:val="-3"/>
        </w:rPr>
        <w:t> </w:t>
      </w:r>
      <w:r>
        <w:rPr/>
        <w:t>the</w:t>
      </w:r>
      <w:r>
        <w:rPr>
          <w:spacing w:val="-3"/>
        </w:rPr>
        <w:t> </w:t>
      </w:r>
      <w:r>
        <w:rPr/>
        <w:t>"nihilistic</w:t>
      </w:r>
      <w:r>
        <w:rPr>
          <w:spacing w:val="-3"/>
        </w:rPr>
        <w:t> </w:t>
      </w:r>
      <w:r>
        <w:rPr/>
        <w:t>abyss."</w:t>
      </w:r>
      <w:r>
        <w:rPr>
          <w:spacing w:val="-3"/>
        </w:rPr>
        <w:t> </w:t>
      </w:r>
      <w:r>
        <w:rPr/>
        <w:t>However,</w:t>
      </w:r>
      <w:r>
        <w:rPr>
          <w:spacing w:val="-3"/>
        </w:rPr>
        <w:t> </w:t>
      </w:r>
      <w:r>
        <w:rPr/>
        <w:t>this</w:t>
      </w:r>
      <w:r>
        <w:rPr>
          <w:spacing w:val="-3"/>
        </w:rPr>
        <w:t> </w:t>
      </w:r>
      <w:r>
        <w:rPr/>
        <w:t>abyss</w:t>
      </w:r>
      <w:r>
        <w:rPr>
          <w:spacing w:val="-3"/>
        </w:rPr>
        <w:t> </w:t>
      </w:r>
      <w:r>
        <w:rPr/>
        <w:t>is</w:t>
      </w:r>
      <w:r>
        <w:rPr>
          <w:spacing w:val="-3"/>
        </w:rPr>
        <w:t> </w:t>
      </w:r>
      <w:r>
        <w:rPr/>
        <w:t>structured</w:t>
      </w:r>
      <w:r>
        <w:rPr>
          <w:spacing w:val="-3"/>
        </w:rPr>
        <w:t> </w:t>
      </w:r>
      <w:r>
        <w:rPr/>
        <w:t>by</w:t>
      </w:r>
      <w:r>
        <w:rPr>
          <w:spacing w:val="-3"/>
        </w:rPr>
        <w:t> </w:t>
      </w:r>
      <w:r>
        <w:rPr/>
        <w:t>the logic of taboo. Society generates taboos to manage the anxiety of randomness and </w:t>
      </w:r>
      <w:r>
        <w:rPr/>
        <w:t>misfortune. Death metal, by amplifying these misfortunes to the point of absurdity,</w:t>
      </w:r>
      <w:r>
        <w:rPr>
          <w:spacing w:val="-4"/>
        </w:rPr>
        <w:t> </w:t>
      </w:r>
      <w:r>
        <w:rPr/>
        <w:t>validates</w:t>
      </w:r>
      <w:r>
        <w:rPr>
          <w:spacing w:val="-4"/>
        </w:rPr>
        <w:t> </w:t>
      </w:r>
      <w:r>
        <w:rPr/>
        <w:t>the</w:t>
      </w:r>
      <w:r>
        <w:rPr>
          <w:spacing w:val="-4"/>
        </w:rPr>
        <w:t> </w:t>
      </w:r>
      <w:r>
        <w:rPr/>
        <w:t>existence</w:t>
      </w:r>
      <w:r>
        <w:rPr>
          <w:spacing w:val="-4"/>
        </w:rPr>
        <w:t> </w:t>
      </w:r>
      <w:r>
        <w:rPr/>
        <w:t>of the taboo while simultaneously exposing its futility.</w:t>
      </w:r>
      <w:r>
        <w:rPr>
          <w:spacing w:val="-4"/>
        </w:rPr>
        <w:t> </w:t>
      </w:r>
      <w:r>
        <w:rPr/>
        <w:t>It</w:t>
      </w:r>
      <w:r>
        <w:rPr>
          <w:spacing w:val="-4"/>
        </w:rPr>
        <w:t> </w:t>
      </w:r>
      <w:r>
        <w:rPr/>
        <w:t>exposes</w:t>
      </w:r>
      <w:r>
        <w:rPr>
          <w:spacing w:val="-4"/>
        </w:rPr>
        <w:t> </w:t>
      </w:r>
      <w:r>
        <w:rPr/>
        <w:t>and</w:t>
      </w:r>
      <w:r>
        <w:rPr>
          <w:spacing w:val="-4"/>
        </w:rPr>
        <w:t> </w:t>
      </w:r>
      <w:r>
        <w:rPr/>
        <w:t>subverts</w:t>
      </w:r>
      <w:r>
        <w:rPr>
          <w:spacing w:val="-4"/>
        </w:rPr>
        <w:t> </w:t>
      </w:r>
      <w:r>
        <w:rPr/>
        <w:t>prevailing</w:t>
      </w:r>
      <w:r>
        <w:rPr>
          <w:spacing w:val="-4"/>
        </w:rPr>
        <w:t> </w:t>
      </w:r>
      <w:r>
        <w:rPr/>
        <w:t>traditional norms that being safe is an outcome of navigating accepted social discourse. Death metal places primacy on the notion that misfortune is not only real, but often visceral and inescapable.</w:t>
      </w:r>
    </w:p>
    <w:p>
      <w:pPr>
        <w:pStyle w:val="BodyText"/>
        <w:spacing w:before="246"/>
        <w:ind w:left="727" w:right="1377"/>
        <w:jc w:val="both"/>
      </w:pPr>
      <w:r>
        <w:rPr/>
        <w:t>To be sure, death metal is a niche product consumed by relatively few consumers. However,</w:t>
      </w:r>
      <w:r>
        <w:rPr>
          <w:spacing w:val="-4"/>
        </w:rPr>
        <w:t> </w:t>
      </w:r>
      <w:r>
        <w:rPr/>
        <w:t>the implications of vibrant and disturbing explication of taboo within a post-scarcity market context where many taboos have lost their utilitarian rationale and exist as mere social conventions (Baudrillard 1981) can posit death metal as an “edge case”. Perhaps it is indicative of an</w:t>
      </w:r>
      <w:r>
        <w:rPr>
          <w:spacing w:val="40"/>
        </w:rPr>
        <w:t> </w:t>
      </w:r>
      <w:r>
        <w:rPr/>
        <w:t>emerging</w:t>
      </w:r>
      <w:r>
        <w:rPr>
          <w:spacing w:val="40"/>
        </w:rPr>
        <w:t> </w:t>
      </w:r>
      <w:r>
        <w:rPr/>
        <w:t>and potentially</w:t>
      </w:r>
      <w:r>
        <w:rPr>
          <w:spacing w:val="-6"/>
        </w:rPr>
        <w:t> </w:t>
      </w:r>
      <w:r>
        <w:rPr/>
        <w:t>broader</w:t>
      </w:r>
      <w:r>
        <w:rPr>
          <w:spacing w:val="-6"/>
        </w:rPr>
        <w:t> </w:t>
      </w:r>
      <w:r>
        <w:rPr/>
        <w:t>consumer</w:t>
      </w:r>
      <w:r>
        <w:rPr>
          <w:spacing w:val="-6"/>
        </w:rPr>
        <w:t> </w:t>
      </w:r>
      <w:r>
        <w:rPr/>
        <w:t>sentiment</w:t>
      </w:r>
      <w:r>
        <w:rPr>
          <w:spacing w:val="-6"/>
        </w:rPr>
        <w:t> </w:t>
      </w:r>
      <w:r>
        <w:rPr/>
        <w:t>of</w:t>
      </w:r>
      <w:r>
        <w:rPr>
          <w:spacing w:val="-6"/>
        </w:rPr>
        <w:t> </w:t>
      </w:r>
      <w:r>
        <w:rPr/>
        <w:t>desired</w:t>
      </w:r>
      <w:r>
        <w:rPr>
          <w:spacing w:val="-6"/>
        </w:rPr>
        <w:t> </w:t>
      </w:r>
      <w:r>
        <w:rPr/>
        <w:t>autonomy,</w:t>
      </w:r>
      <w:r>
        <w:rPr>
          <w:spacing w:val="-6"/>
        </w:rPr>
        <w:t> </w:t>
      </w:r>
      <w:r>
        <w:rPr/>
        <w:t>visceral</w:t>
      </w:r>
      <w:r>
        <w:rPr>
          <w:spacing w:val="-6"/>
        </w:rPr>
        <w:t> </w:t>
      </w:r>
      <w:r>
        <w:rPr/>
        <w:t>authenticity, and</w:t>
      </w:r>
      <w:r>
        <w:rPr>
          <w:spacing w:val="40"/>
        </w:rPr>
        <w:t> </w:t>
      </w:r>
      <w:r>
        <w:rPr/>
        <w:t>dissolution of modern hypermediated marketplace narratives. Death metal provides sonic, aesthetic cues to remind listeners that "misfortune" is real, physical, and inescapable. The genre does not just break the rule – an act of rebellion co-opted by myriad forms of art, not the least “rock ‘n’ roll” in general – it dramatizes and even celebrates the catastrophe that the rule was meant to prevent. Thus, death metal is less a reaction against authority than it is a radical engagement with the cognitive machinery of fear, causality, and survival that underpins the</w:t>
      </w:r>
      <w:r>
        <w:rPr>
          <w:spacing w:val="-4"/>
        </w:rPr>
        <w:t> </w:t>
      </w:r>
      <w:r>
        <w:rPr/>
        <w:t>very concept of taboo.</w:t>
      </w:r>
    </w:p>
    <w:p>
      <w:pPr>
        <w:pStyle w:val="Heading4"/>
        <w:spacing w:before="246"/>
        <w:ind w:left="727"/>
      </w:pPr>
      <w:r>
        <w:rPr>
          <w:spacing w:val="-2"/>
        </w:rPr>
        <w:t>References</w:t>
      </w:r>
    </w:p>
    <w:p>
      <w:pPr>
        <w:pStyle w:val="BodyText"/>
        <w:spacing w:line="230" w:lineRule="auto" w:before="155"/>
        <w:ind w:left="727" w:right="1191"/>
      </w:pPr>
      <w:r>
        <w:rPr/>
        <w:t>Andrews,</w:t>
      </w:r>
      <w:r>
        <w:rPr>
          <w:spacing w:val="-5"/>
        </w:rPr>
        <w:t> </w:t>
      </w:r>
      <w:r>
        <w:rPr/>
        <w:t>L.,</w:t>
      </w:r>
      <w:r>
        <w:rPr>
          <w:spacing w:val="-5"/>
        </w:rPr>
        <w:t> </w:t>
      </w:r>
      <w:r>
        <w:rPr/>
        <w:t>Andrews,</w:t>
      </w:r>
      <w:r>
        <w:rPr>
          <w:spacing w:val="-5"/>
        </w:rPr>
        <w:t> </w:t>
      </w:r>
      <w:r>
        <w:rPr/>
        <w:t>M.</w:t>
      </w:r>
      <w:r>
        <w:rPr>
          <w:spacing w:val="-5"/>
        </w:rPr>
        <w:t> </w:t>
      </w:r>
      <w:r>
        <w:rPr/>
        <w:t>W.,</w:t>
      </w:r>
      <w:r>
        <w:rPr>
          <w:spacing w:val="-5"/>
        </w:rPr>
        <w:t> </w:t>
      </w:r>
      <w:r>
        <w:rPr/>
        <w:t>&amp;</w:t>
      </w:r>
      <w:r>
        <w:rPr>
          <w:spacing w:val="-5"/>
        </w:rPr>
        <w:t> </w:t>
      </w:r>
      <w:r>
        <w:rPr/>
        <w:t>Lalor,</w:t>
      </w:r>
      <w:r>
        <w:rPr>
          <w:spacing w:val="-5"/>
        </w:rPr>
        <w:t> </w:t>
      </w:r>
      <w:r>
        <w:rPr/>
        <w:t>J.</w:t>
      </w:r>
      <w:r>
        <w:rPr>
          <w:spacing w:val="-5"/>
        </w:rPr>
        <w:t> </w:t>
      </w:r>
      <w:r>
        <w:rPr/>
        <w:t>G.</w:t>
      </w:r>
      <w:r>
        <w:rPr>
          <w:spacing w:val="-5"/>
        </w:rPr>
        <w:t> </w:t>
      </w:r>
      <w:r>
        <w:rPr/>
        <w:t>(2012).</w:t>
      </w:r>
      <w:r>
        <w:rPr>
          <w:spacing w:val="-5"/>
        </w:rPr>
        <w:t> </w:t>
      </w:r>
      <w:r>
        <w:rPr/>
        <w:t>Classic</w:t>
      </w:r>
      <w:r>
        <w:rPr>
          <w:spacing w:val="-5"/>
        </w:rPr>
        <w:t> </w:t>
      </w:r>
      <w:r>
        <w:rPr/>
        <w:t>Grounded</w:t>
      </w:r>
      <w:r>
        <w:rPr>
          <w:spacing w:val="-5"/>
        </w:rPr>
        <w:t> </w:t>
      </w:r>
      <w:r>
        <w:rPr/>
        <w:t>Theory</w:t>
      </w:r>
      <w:r>
        <w:rPr>
          <w:spacing w:val="-5"/>
        </w:rPr>
        <w:t> </w:t>
      </w:r>
      <w:r>
        <w:rPr/>
        <w:t>to</w:t>
      </w:r>
      <w:r>
        <w:rPr>
          <w:spacing w:val="-5"/>
        </w:rPr>
        <w:t> </w:t>
      </w:r>
      <w:r>
        <w:rPr/>
        <w:t>Analyse Secondary Data: Reality and Reflections. </w:t>
      </w:r>
      <w:r>
        <w:rPr>
          <w:i/>
        </w:rPr>
        <w:t>Grounded Theory Review</w:t>
      </w:r>
      <w:r>
        <w:rPr/>
        <w:t>, 11(1), 12–26.</w:t>
      </w:r>
    </w:p>
    <w:p>
      <w:pPr>
        <w:spacing w:before="165"/>
        <w:ind w:left="727" w:right="0" w:firstLine="0"/>
        <w:jc w:val="left"/>
        <w:rPr>
          <w:sz w:val="24"/>
        </w:rPr>
      </w:pPr>
      <w:r>
        <w:rPr>
          <w:sz w:val="24"/>
        </w:rPr>
        <w:t>Bakhtin,</w:t>
      </w:r>
      <w:r>
        <w:rPr>
          <w:spacing w:val="-6"/>
          <w:sz w:val="24"/>
        </w:rPr>
        <w:t> </w:t>
      </w:r>
      <w:r>
        <w:rPr>
          <w:sz w:val="24"/>
        </w:rPr>
        <w:t>M.</w:t>
      </w:r>
      <w:r>
        <w:rPr>
          <w:spacing w:val="-4"/>
          <w:sz w:val="24"/>
        </w:rPr>
        <w:t> </w:t>
      </w:r>
      <w:r>
        <w:rPr>
          <w:sz w:val="24"/>
        </w:rPr>
        <w:t>M.</w:t>
      </w:r>
      <w:r>
        <w:rPr>
          <w:spacing w:val="-4"/>
          <w:sz w:val="24"/>
        </w:rPr>
        <w:t> </w:t>
      </w:r>
      <w:r>
        <w:rPr>
          <w:sz w:val="24"/>
        </w:rPr>
        <w:t>(1984).</w:t>
      </w:r>
      <w:r>
        <w:rPr>
          <w:spacing w:val="-3"/>
          <w:sz w:val="24"/>
        </w:rPr>
        <w:t> </w:t>
      </w:r>
      <w:r>
        <w:rPr>
          <w:i/>
          <w:sz w:val="24"/>
        </w:rPr>
        <w:t>Rabelais</w:t>
      </w:r>
      <w:r>
        <w:rPr>
          <w:i/>
          <w:spacing w:val="-4"/>
          <w:sz w:val="24"/>
        </w:rPr>
        <w:t> </w:t>
      </w:r>
      <w:r>
        <w:rPr>
          <w:i/>
          <w:sz w:val="24"/>
        </w:rPr>
        <w:t>and</w:t>
      </w:r>
      <w:r>
        <w:rPr>
          <w:i/>
          <w:spacing w:val="-4"/>
          <w:sz w:val="24"/>
        </w:rPr>
        <w:t> </w:t>
      </w:r>
      <w:r>
        <w:rPr>
          <w:i/>
          <w:sz w:val="24"/>
        </w:rPr>
        <w:t>His</w:t>
      </w:r>
      <w:r>
        <w:rPr>
          <w:i/>
          <w:spacing w:val="-3"/>
          <w:sz w:val="24"/>
        </w:rPr>
        <w:t> </w:t>
      </w:r>
      <w:r>
        <w:rPr>
          <w:i/>
          <w:sz w:val="24"/>
        </w:rPr>
        <w:t>World</w:t>
      </w:r>
      <w:r>
        <w:rPr>
          <w:i/>
          <w:spacing w:val="-4"/>
          <w:sz w:val="24"/>
        </w:rPr>
        <w:t> </w:t>
      </w:r>
      <w:r>
        <w:rPr>
          <w:sz w:val="24"/>
        </w:rPr>
        <w:t>(H.</w:t>
      </w:r>
      <w:r>
        <w:rPr>
          <w:spacing w:val="-4"/>
          <w:sz w:val="24"/>
        </w:rPr>
        <w:t> </w:t>
      </w:r>
      <w:r>
        <w:rPr>
          <w:sz w:val="24"/>
        </w:rPr>
        <w:t>Iswolsky,</w:t>
      </w:r>
      <w:r>
        <w:rPr>
          <w:spacing w:val="-3"/>
          <w:sz w:val="24"/>
        </w:rPr>
        <w:t> </w:t>
      </w:r>
      <w:r>
        <w:rPr>
          <w:sz w:val="24"/>
        </w:rPr>
        <w:t>Trans.).</w:t>
      </w:r>
      <w:r>
        <w:rPr>
          <w:spacing w:val="-4"/>
          <w:sz w:val="24"/>
        </w:rPr>
        <w:t> </w:t>
      </w:r>
      <w:r>
        <w:rPr>
          <w:sz w:val="24"/>
        </w:rPr>
        <w:t>Indiana</w:t>
      </w:r>
      <w:r>
        <w:rPr>
          <w:spacing w:val="-4"/>
          <w:sz w:val="24"/>
        </w:rPr>
        <w:t> </w:t>
      </w:r>
      <w:r>
        <w:rPr>
          <w:sz w:val="24"/>
        </w:rPr>
        <w:t>University</w:t>
      </w:r>
      <w:r>
        <w:rPr>
          <w:spacing w:val="-3"/>
          <w:sz w:val="24"/>
        </w:rPr>
        <w:t> </w:t>
      </w:r>
      <w:r>
        <w:rPr>
          <w:spacing w:val="-2"/>
          <w:sz w:val="24"/>
        </w:rPr>
        <w:t>Press.</w:t>
      </w:r>
    </w:p>
    <w:p>
      <w:pPr>
        <w:spacing w:line="230" w:lineRule="auto" w:before="155"/>
        <w:ind w:left="727" w:right="1381" w:firstLine="0"/>
        <w:jc w:val="left"/>
        <w:rPr>
          <w:sz w:val="24"/>
        </w:rPr>
      </w:pPr>
      <w:r>
        <w:rPr>
          <w:sz w:val="24"/>
        </w:rPr>
        <w:t>Baudrillard,</w:t>
      </w:r>
      <w:r>
        <w:rPr>
          <w:spacing w:val="-7"/>
          <w:sz w:val="24"/>
        </w:rPr>
        <w:t> </w:t>
      </w:r>
      <w:r>
        <w:rPr>
          <w:sz w:val="24"/>
        </w:rPr>
        <w:t>J.</w:t>
      </w:r>
      <w:r>
        <w:rPr>
          <w:spacing w:val="-7"/>
          <w:sz w:val="24"/>
        </w:rPr>
        <w:t> </w:t>
      </w:r>
      <w:r>
        <w:rPr>
          <w:sz w:val="24"/>
        </w:rPr>
        <w:t>(1981).</w:t>
      </w:r>
      <w:r>
        <w:rPr>
          <w:spacing w:val="-7"/>
          <w:sz w:val="24"/>
        </w:rPr>
        <w:t> </w:t>
      </w:r>
      <w:r>
        <w:rPr>
          <w:i/>
          <w:sz w:val="24"/>
        </w:rPr>
        <w:t>Simulacra</w:t>
      </w:r>
      <w:r>
        <w:rPr>
          <w:i/>
          <w:spacing w:val="-7"/>
          <w:sz w:val="24"/>
        </w:rPr>
        <w:t> </w:t>
      </w:r>
      <w:r>
        <w:rPr>
          <w:i/>
          <w:sz w:val="24"/>
        </w:rPr>
        <w:t>and</w:t>
      </w:r>
      <w:r>
        <w:rPr>
          <w:i/>
          <w:spacing w:val="-7"/>
          <w:sz w:val="24"/>
        </w:rPr>
        <w:t> </w:t>
      </w:r>
      <w:r>
        <w:rPr>
          <w:i/>
          <w:sz w:val="24"/>
        </w:rPr>
        <w:t>Simulation</w:t>
      </w:r>
      <w:r>
        <w:rPr>
          <w:i/>
          <w:spacing w:val="-7"/>
          <w:sz w:val="24"/>
        </w:rPr>
        <w:t> </w:t>
      </w:r>
      <w:r>
        <w:rPr>
          <w:sz w:val="24"/>
        </w:rPr>
        <w:t>(S.</w:t>
      </w:r>
      <w:r>
        <w:rPr>
          <w:spacing w:val="-7"/>
          <w:sz w:val="24"/>
        </w:rPr>
        <w:t> </w:t>
      </w:r>
      <w:r>
        <w:rPr>
          <w:sz w:val="24"/>
        </w:rPr>
        <w:t>F.</w:t>
      </w:r>
      <w:r>
        <w:rPr>
          <w:spacing w:val="-7"/>
          <w:sz w:val="24"/>
        </w:rPr>
        <w:t> </w:t>
      </w:r>
      <w:r>
        <w:rPr>
          <w:sz w:val="24"/>
        </w:rPr>
        <w:t>Glaser,</w:t>
      </w:r>
      <w:r>
        <w:rPr>
          <w:spacing w:val="-7"/>
          <w:sz w:val="24"/>
        </w:rPr>
        <w:t> </w:t>
      </w:r>
      <w:r>
        <w:rPr>
          <w:sz w:val="24"/>
        </w:rPr>
        <w:t>Trans.).</w:t>
      </w:r>
      <w:r>
        <w:rPr>
          <w:spacing w:val="-7"/>
          <w:sz w:val="24"/>
        </w:rPr>
        <w:t> </w:t>
      </w:r>
      <w:r>
        <w:rPr>
          <w:sz w:val="24"/>
        </w:rPr>
        <w:t>University</w:t>
      </w:r>
      <w:r>
        <w:rPr>
          <w:spacing w:val="-7"/>
          <w:sz w:val="24"/>
        </w:rPr>
        <w:t> </w:t>
      </w:r>
      <w:r>
        <w:rPr>
          <w:sz w:val="24"/>
        </w:rPr>
        <w:t>of</w:t>
      </w:r>
      <w:r>
        <w:rPr>
          <w:spacing w:val="-7"/>
          <w:sz w:val="24"/>
        </w:rPr>
        <w:t> </w:t>
      </w:r>
      <w:r>
        <w:rPr>
          <w:sz w:val="24"/>
        </w:rPr>
        <w:t>Michigan </w:t>
      </w:r>
      <w:r>
        <w:rPr>
          <w:spacing w:val="-2"/>
          <w:sz w:val="24"/>
        </w:rPr>
        <w:t>Press.</w:t>
      </w:r>
    </w:p>
    <w:p>
      <w:pPr>
        <w:pStyle w:val="BodyText"/>
        <w:spacing w:line="230" w:lineRule="auto" w:before="166"/>
        <w:ind w:left="727" w:right="1381"/>
      </w:pPr>
      <w:r>
        <w:rPr/>
        <w:t>Binder,</w:t>
      </w:r>
      <w:r>
        <w:rPr>
          <w:spacing w:val="-4"/>
        </w:rPr>
        <w:t> </w:t>
      </w:r>
      <w:r>
        <w:rPr/>
        <w:t>A.</w:t>
      </w:r>
      <w:r>
        <w:rPr>
          <w:spacing w:val="-4"/>
        </w:rPr>
        <w:t> </w:t>
      </w:r>
      <w:r>
        <w:rPr/>
        <w:t>(1993).</w:t>
      </w:r>
      <w:r>
        <w:rPr>
          <w:spacing w:val="-4"/>
        </w:rPr>
        <w:t> </w:t>
      </w:r>
      <w:r>
        <w:rPr/>
        <w:t>Constructing</w:t>
      </w:r>
      <w:r>
        <w:rPr>
          <w:spacing w:val="-4"/>
        </w:rPr>
        <w:t> </w:t>
      </w:r>
      <w:r>
        <w:rPr/>
        <w:t>racial</w:t>
      </w:r>
      <w:r>
        <w:rPr>
          <w:spacing w:val="-4"/>
        </w:rPr>
        <w:t> </w:t>
      </w:r>
      <w:r>
        <w:rPr/>
        <w:t>rhetoric:</w:t>
      </w:r>
      <w:r>
        <w:rPr>
          <w:spacing w:val="-4"/>
        </w:rPr>
        <w:t> </w:t>
      </w:r>
      <w:r>
        <w:rPr/>
        <w:t>Media</w:t>
      </w:r>
      <w:r>
        <w:rPr>
          <w:spacing w:val="-4"/>
        </w:rPr>
        <w:t> </w:t>
      </w:r>
      <w:r>
        <w:rPr/>
        <w:t>Depictions</w:t>
      </w:r>
      <w:r>
        <w:rPr>
          <w:spacing w:val="-4"/>
        </w:rPr>
        <w:t> </w:t>
      </w:r>
      <w:r>
        <w:rPr/>
        <w:t>of</w:t>
      </w:r>
      <w:r>
        <w:rPr>
          <w:spacing w:val="-4"/>
        </w:rPr>
        <w:t> </w:t>
      </w:r>
      <w:r>
        <w:rPr/>
        <w:t>Harm</w:t>
      </w:r>
      <w:r>
        <w:rPr>
          <w:spacing w:val="-4"/>
        </w:rPr>
        <w:t> </w:t>
      </w:r>
      <w:r>
        <w:rPr/>
        <w:t>in</w:t>
      </w:r>
      <w:r>
        <w:rPr>
          <w:spacing w:val="-4"/>
        </w:rPr>
        <w:t> </w:t>
      </w:r>
      <w:r>
        <w:rPr/>
        <w:t>Heavy</w:t>
      </w:r>
      <w:r>
        <w:rPr>
          <w:spacing w:val="-4"/>
        </w:rPr>
        <w:t> </w:t>
      </w:r>
      <w:r>
        <w:rPr/>
        <w:t>Metal</w:t>
      </w:r>
      <w:r>
        <w:rPr>
          <w:spacing w:val="-4"/>
        </w:rPr>
        <w:t> </w:t>
      </w:r>
      <w:r>
        <w:rPr/>
        <w:t>and Rap Music. </w:t>
      </w:r>
      <w:r>
        <w:rPr>
          <w:i/>
        </w:rPr>
        <w:t>American Sociological Review</w:t>
      </w:r>
      <w:r>
        <w:rPr/>
        <w:t>, 58(6), 753-767.</w:t>
      </w:r>
    </w:p>
    <w:p>
      <w:pPr>
        <w:spacing w:line="230" w:lineRule="auto" w:before="164"/>
        <w:ind w:left="712" w:right="1380" w:firstLine="15"/>
        <w:jc w:val="both"/>
        <w:rPr>
          <w:sz w:val="24"/>
        </w:rPr>
      </w:pPr>
      <w:r>
        <w:rPr>
          <w:sz w:val="24"/>
        </w:rPr>
        <w:t>Fowler, A., III, Lanier, C. D., Jr., &amp; Rader, C. S. (2013). Transgression Through Dark </w:t>
      </w:r>
      <w:r>
        <w:rPr>
          <w:sz w:val="24"/>
        </w:rPr>
        <w:t>Carnival: Death Metal and the Spectre of the Abyss. </w:t>
      </w:r>
      <w:r>
        <w:rPr>
          <w:i/>
          <w:sz w:val="24"/>
        </w:rPr>
        <w:t>Society for Marketing Advances Annual Conference</w:t>
      </w:r>
      <w:r>
        <w:rPr>
          <w:i/>
          <w:sz w:val="24"/>
        </w:rPr>
        <w:t> Proceedings</w:t>
      </w:r>
      <w:r>
        <w:rPr>
          <w:sz w:val="24"/>
        </w:rPr>
        <w:t>, Oct. 29 – Nov. 2, 2013. Hilton Head, SC.</w:t>
      </w:r>
    </w:p>
    <w:p>
      <w:pPr>
        <w:spacing w:after="0" w:line="230" w:lineRule="auto"/>
        <w:jc w:val="both"/>
        <w:rPr>
          <w:sz w:val="24"/>
        </w:rPr>
        <w:sectPr>
          <w:pgSz w:w="12240" w:h="15840"/>
          <w:pgMar w:header="0" w:footer="707" w:top="640" w:bottom="960" w:left="720" w:right="0"/>
        </w:sectPr>
      </w:pPr>
    </w:p>
    <w:p>
      <w:pPr>
        <w:spacing w:line="230" w:lineRule="auto" w:before="80"/>
        <w:ind w:left="727" w:right="1191" w:firstLine="0"/>
        <w:jc w:val="left"/>
        <w:rPr>
          <w:sz w:val="24"/>
        </w:rPr>
      </w:pPr>
      <w:bookmarkStart w:name=" " w:id="117"/>
      <w:bookmarkEnd w:id="117"/>
      <w:r>
        <w:rPr/>
      </w:r>
      <w:r>
        <w:rPr>
          <w:sz w:val="24"/>
        </w:rPr>
        <w:t>Glaser,</w:t>
      </w:r>
      <w:r>
        <w:rPr>
          <w:spacing w:val="-6"/>
          <w:sz w:val="24"/>
        </w:rPr>
        <w:t> </w:t>
      </w:r>
      <w:r>
        <w:rPr>
          <w:sz w:val="24"/>
        </w:rPr>
        <w:t>B.</w:t>
      </w:r>
      <w:r>
        <w:rPr>
          <w:spacing w:val="-6"/>
          <w:sz w:val="24"/>
        </w:rPr>
        <w:t> </w:t>
      </w:r>
      <w:r>
        <w:rPr>
          <w:sz w:val="24"/>
        </w:rPr>
        <w:t>G.</w:t>
      </w:r>
      <w:r>
        <w:rPr>
          <w:spacing w:val="-6"/>
          <w:sz w:val="24"/>
        </w:rPr>
        <w:t> </w:t>
      </w:r>
      <w:r>
        <w:rPr>
          <w:sz w:val="24"/>
        </w:rPr>
        <w:t>(1978).</w:t>
      </w:r>
      <w:r>
        <w:rPr>
          <w:spacing w:val="-6"/>
          <w:sz w:val="24"/>
        </w:rPr>
        <w:t> </w:t>
      </w:r>
      <w:r>
        <w:rPr>
          <w:i/>
          <w:sz w:val="24"/>
        </w:rPr>
        <w:t>Theoretical</w:t>
      </w:r>
      <w:r>
        <w:rPr>
          <w:i/>
          <w:spacing w:val="-6"/>
          <w:sz w:val="24"/>
        </w:rPr>
        <w:t> </w:t>
      </w:r>
      <w:r>
        <w:rPr>
          <w:i/>
          <w:sz w:val="24"/>
        </w:rPr>
        <w:t>Sensitivity:</w:t>
      </w:r>
      <w:r>
        <w:rPr>
          <w:i/>
          <w:spacing w:val="-6"/>
          <w:sz w:val="24"/>
        </w:rPr>
        <w:t> </w:t>
      </w:r>
      <w:r>
        <w:rPr>
          <w:i/>
          <w:sz w:val="24"/>
        </w:rPr>
        <w:t>Advances</w:t>
      </w:r>
      <w:r>
        <w:rPr>
          <w:i/>
          <w:spacing w:val="-6"/>
          <w:sz w:val="24"/>
        </w:rPr>
        <w:t> </w:t>
      </w:r>
      <w:r>
        <w:rPr>
          <w:i/>
          <w:sz w:val="24"/>
        </w:rPr>
        <w:t>in</w:t>
      </w:r>
      <w:r>
        <w:rPr>
          <w:i/>
          <w:spacing w:val="-6"/>
          <w:sz w:val="24"/>
        </w:rPr>
        <w:t> </w:t>
      </w:r>
      <w:r>
        <w:rPr>
          <w:i/>
          <w:sz w:val="24"/>
        </w:rPr>
        <w:t>the</w:t>
      </w:r>
      <w:r>
        <w:rPr>
          <w:i/>
          <w:spacing w:val="-6"/>
          <w:sz w:val="24"/>
        </w:rPr>
        <w:t> </w:t>
      </w:r>
      <w:r>
        <w:rPr>
          <w:i/>
          <w:sz w:val="24"/>
        </w:rPr>
        <w:t>Methodology</w:t>
      </w:r>
      <w:r>
        <w:rPr>
          <w:i/>
          <w:spacing w:val="-6"/>
          <w:sz w:val="24"/>
        </w:rPr>
        <w:t> </w:t>
      </w:r>
      <w:r>
        <w:rPr>
          <w:i/>
          <w:sz w:val="24"/>
        </w:rPr>
        <w:t>of</w:t>
      </w:r>
      <w:r>
        <w:rPr>
          <w:i/>
          <w:spacing w:val="-6"/>
          <w:sz w:val="24"/>
        </w:rPr>
        <w:t> </w:t>
      </w:r>
      <w:r>
        <w:rPr>
          <w:i/>
          <w:sz w:val="24"/>
        </w:rPr>
        <w:t>Grounded</w:t>
      </w:r>
      <w:r>
        <w:rPr>
          <w:i/>
          <w:spacing w:val="-6"/>
          <w:sz w:val="24"/>
        </w:rPr>
        <w:t> </w:t>
      </w:r>
      <w:r>
        <w:rPr>
          <w:i/>
          <w:sz w:val="24"/>
        </w:rPr>
        <w:t>Theory</w:t>
      </w:r>
      <w:r>
        <w:rPr>
          <w:sz w:val="24"/>
        </w:rPr>
        <w:t>. Sociology Press.</w:t>
      </w:r>
    </w:p>
    <w:p>
      <w:pPr>
        <w:spacing w:line="230" w:lineRule="auto" w:before="166"/>
        <w:ind w:left="727" w:right="1191" w:firstLine="0"/>
        <w:jc w:val="left"/>
        <w:rPr>
          <w:sz w:val="24"/>
        </w:rPr>
      </w:pPr>
      <w:r>
        <w:rPr>
          <w:sz w:val="24"/>
        </w:rPr>
        <w:t>Glaser,</w:t>
      </w:r>
      <w:r>
        <w:rPr>
          <w:spacing w:val="-4"/>
          <w:sz w:val="24"/>
        </w:rPr>
        <w:t> </w:t>
      </w:r>
      <w:r>
        <w:rPr>
          <w:sz w:val="24"/>
        </w:rPr>
        <w:t>B.</w:t>
      </w:r>
      <w:r>
        <w:rPr>
          <w:spacing w:val="-4"/>
          <w:sz w:val="24"/>
        </w:rPr>
        <w:t> </w:t>
      </w:r>
      <w:r>
        <w:rPr>
          <w:sz w:val="24"/>
        </w:rPr>
        <w:t>G.,</w:t>
      </w:r>
      <w:r>
        <w:rPr>
          <w:spacing w:val="-4"/>
          <w:sz w:val="24"/>
        </w:rPr>
        <w:t> </w:t>
      </w:r>
      <w:r>
        <w:rPr>
          <w:sz w:val="24"/>
        </w:rPr>
        <w:t>&amp;</w:t>
      </w:r>
      <w:r>
        <w:rPr>
          <w:spacing w:val="-4"/>
          <w:sz w:val="24"/>
        </w:rPr>
        <w:t> </w:t>
      </w:r>
      <w:r>
        <w:rPr>
          <w:sz w:val="24"/>
        </w:rPr>
        <w:t>Strauss,</w:t>
      </w:r>
      <w:r>
        <w:rPr>
          <w:spacing w:val="-4"/>
          <w:sz w:val="24"/>
        </w:rPr>
        <w:t> </w:t>
      </w:r>
      <w:r>
        <w:rPr>
          <w:sz w:val="24"/>
        </w:rPr>
        <w:t>A.</w:t>
      </w:r>
      <w:r>
        <w:rPr>
          <w:spacing w:val="-4"/>
          <w:sz w:val="24"/>
        </w:rPr>
        <w:t> </w:t>
      </w:r>
      <w:r>
        <w:rPr>
          <w:sz w:val="24"/>
        </w:rPr>
        <w:t>L.</w:t>
      </w:r>
      <w:r>
        <w:rPr>
          <w:spacing w:val="-4"/>
          <w:sz w:val="24"/>
        </w:rPr>
        <w:t> </w:t>
      </w:r>
      <w:r>
        <w:rPr>
          <w:sz w:val="24"/>
        </w:rPr>
        <w:t>(1967).</w:t>
      </w:r>
      <w:r>
        <w:rPr>
          <w:spacing w:val="-4"/>
          <w:sz w:val="24"/>
        </w:rPr>
        <w:t> </w:t>
      </w:r>
      <w:r>
        <w:rPr>
          <w:i/>
          <w:sz w:val="24"/>
        </w:rPr>
        <w:t>The</w:t>
      </w:r>
      <w:r>
        <w:rPr>
          <w:i/>
          <w:spacing w:val="-4"/>
          <w:sz w:val="24"/>
        </w:rPr>
        <w:t> </w:t>
      </w:r>
      <w:r>
        <w:rPr>
          <w:i/>
          <w:sz w:val="24"/>
        </w:rPr>
        <w:t>Discovery</w:t>
      </w:r>
      <w:r>
        <w:rPr>
          <w:i/>
          <w:spacing w:val="-4"/>
          <w:sz w:val="24"/>
        </w:rPr>
        <w:t> </w:t>
      </w:r>
      <w:r>
        <w:rPr>
          <w:i/>
          <w:sz w:val="24"/>
        </w:rPr>
        <w:t>of</w:t>
      </w:r>
      <w:r>
        <w:rPr>
          <w:i/>
          <w:spacing w:val="-4"/>
          <w:sz w:val="24"/>
        </w:rPr>
        <w:t> </w:t>
      </w:r>
      <w:r>
        <w:rPr>
          <w:i/>
          <w:sz w:val="24"/>
        </w:rPr>
        <w:t>Grounded</w:t>
      </w:r>
      <w:r>
        <w:rPr>
          <w:i/>
          <w:spacing w:val="-4"/>
          <w:sz w:val="24"/>
        </w:rPr>
        <w:t> </w:t>
      </w:r>
      <w:r>
        <w:rPr>
          <w:i/>
          <w:sz w:val="24"/>
        </w:rPr>
        <w:t>Theory:</w:t>
      </w:r>
      <w:r>
        <w:rPr>
          <w:i/>
          <w:spacing w:val="-4"/>
          <w:sz w:val="24"/>
        </w:rPr>
        <w:t> </w:t>
      </w:r>
      <w:r>
        <w:rPr>
          <w:i/>
          <w:sz w:val="24"/>
        </w:rPr>
        <w:t>Strategies</w:t>
      </w:r>
      <w:r>
        <w:rPr>
          <w:i/>
          <w:spacing w:val="-4"/>
          <w:sz w:val="24"/>
        </w:rPr>
        <w:t> </w:t>
      </w:r>
      <w:r>
        <w:rPr>
          <w:i/>
          <w:sz w:val="24"/>
        </w:rPr>
        <w:t>for</w:t>
      </w:r>
      <w:r>
        <w:rPr>
          <w:i/>
          <w:sz w:val="24"/>
        </w:rPr>
        <w:t> Qualitative Research</w:t>
      </w:r>
      <w:r>
        <w:rPr>
          <w:sz w:val="24"/>
        </w:rPr>
        <w:t>. Aldine.</w:t>
      </w:r>
    </w:p>
    <w:p>
      <w:pPr>
        <w:pStyle w:val="BodyText"/>
        <w:spacing w:line="230" w:lineRule="auto" w:before="263"/>
        <w:ind w:left="727" w:right="1191"/>
      </w:pPr>
      <w:r>
        <w:rPr/>
        <w:t>Halnon,</w:t>
      </w:r>
      <w:r>
        <w:rPr>
          <w:spacing w:val="-5"/>
        </w:rPr>
        <w:t> </w:t>
      </w:r>
      <w:r>
        <w:rPr/>
        <w:t>K.</w:t>
      </w:r>
      <w:r>
        <w:rPr>
          <w:spacing w:val="-5"/>
        </w:rPr>
        <w:t> </w:t>
      </w:r>
      <w:r>
        <w:rPr/>
        <w:t>B.</w:t>
      </w:r>
      <w:r>
        <w:rPr>
          <w:spacing w:val="-5"/>
        </w:rPr>
        <w:t> </w:t>
      </w:r>
      <w:r>
        <w:rPr/>
        <w:t>(2004).</w:t>
      </w:r>
      <w:r>
        <w:rPr>
          <w:spacing w:val="-5"/>
        </w:rPr>
        <w:t> </w:t>
      </w:r>
      <w:r>
        <w:rPr/>
        <w:t>Inside</w:t>
      </w:r>
      <w:r>
        <w:rPr>
          <w:spacing w:val="-5"/>
        </w:rPr>
        <w:t> </w:t>
      </w:r>
      <w:r>
        <w:rPr/>
        <w:t>Shock</w:t>
      </w:r>
      <w:r>
        <w:rPr>
          <w:spacing w:val="-5"/>
        </w:rPr>
        <w:t> </w:t>
      </w:r>
      <w:r>
        <w:rPr/>
        <w:t>Music</w:t>
      </w:r>
      <w:r>
        <w:rPr>
          <w:spacing w:val="-5"/>
        </w:rPr>
        <w:t> </w:t>
      </w:r>
      <w:r>
        <w:rPr/>
        <w:t>Carnival:</w:t>
      </w:r>
      <w:r>
        <w:rPr>
          <w:spacing w:val="-5"/>
        </w:rPr>
        <w:t> </w:t>
      </w:r>
      <w:r>
        <w:rPr/>
        <w:t>Spectacle</w:t>
      </w:r>
      <w:r>
        <w:rPr>
          <w:spacing w:val="-5"/>
        </w:rPr>
        <w:t> </w:t>
      </w:r>
      <w:r>
        <w:rPr/>
        <w:t>as</w:t>
      </w:r>
      <w:r>
        <w:rPr>
          <w:spacing w:val="-5"/>
        </w:rPr>
        <w:t> </w:t>
      </w:r>
      <w:r>
        <w:rPr/>
        <w:t>Contested</w:t>
      </w:r>
      <w:r>
        <w:rPr>
          <w:spacing w:val="-5"/>
        </w:rPr>
        <w:t> </w:t>
      </w:r>
      <w:r>
        <w:rPr/>
        <w:t>Terrain.</w:t>
      </w:r>
      <w:r>
        <w:rPr>
          <w:spacing w:val="-5"/>
        </w:rPr>
        <w:t> </w:t>
      </w:r>
      <w:r>
        <w:rPr>
          <w:i/>
        </w:rPr>
        <w:t>Critical</w:t>
      </w:r>
      <w:r>
        <w:rPr>
          <w:i/>
        </w:rPr>
        <w:t> Sociology</w:t>
      </w:r>
      <w:r>
        <w:rPr/>
        <w:t>, 30(3), 743-779.</w:t>
      </w:r>
    </w:p>
    <w:p>
      <w:pPr>
        <w:pStyle w:val="BodyText"/>
        <w:spacing w:line="230" w:lineRule="auto" w:before="165"/>
        <w:ind w:left="727" w:right="1381"/>
      </w:pPr>
      <w:r>
        <w:rPr/>
        <w:t>Halnon,</w:t>
      </w:r>
      <w:r>
        <w:rPr>
          <w:spacing w:val="-4"/>
        </w:rPr>
        <w:t> </w:t>
      </w:r>
      <w:r>
        <w:rPr/>
        <w:t>K.</w:t>
      </w:r>
      <w:r>
        <w:rPr>
          <w:spacing w:val="-4"/>
        </w:rPr>
        <w:t> </w:t>
      </w:r>
      <w:r>
        <w:rPr/>
        <w:t>B.</w:t>
      </w:r>
      <w:r>
        <w:rPr>
          <w:spacing w:val="-4"/>
        </w:rPr>
        <w:t> </w:t>
      </w:r>
      <w:r>
        <w:rPr/>
        <w:t>(2006).</w:t>
      </w:r>
      <w:r>
        <w:rPr>
          <w:spacing w:val="-4"/>
        </w:rPr>
        <w:t> </w:t>
      </w:r>
      <w:r>
        <w:rPr/>
        <w:t>Heavy</w:t>
      </w:r>
      <w:r>
        <w:rPr>
          <w:spacing w:val="-4"/>
        </w:rPr>
        <w:t> </w:t>
      </w:r>
      <w:r>
        <w:rPr/>
        <w:t>Metal</w:t>
      </w:r>
      <w:r>
        <w:rPr>
          <w:spacing w:val="-4"/>
        </w:rPr>
        <w:t> </w:t>
      </w:r>
      <w:r>
        <w:rPr/>
        <w:t>Carnival</w:t>
      </w:r>
      <w:r>
        <w:rPr>
          <w:spacing w:val="-4"/>
        </w:rPr>
        <w:t> </w:t>
      </w:r>
      <w:r>
        <w:rPr/>
        <w:t>and</w:t>
      </w:r>
      <w:r>
        <w:rPr>
          <w:spacing w:val="-4"/>
        </w:rPr>
        <w:t> </w:t>
      </w:r>
      <w:r>
        <w:rPr/>
        <w:t>Dis-alienation:</w:t>
      </w:r>
      <w:r>
        <w:rPr>
          <w:spacing w:val="-4"/>
        </w:rPr>
        <w:t> </w:t>
      </w:r>
      <w:r>
        <w:rPr/>
        <w:t>The</w:t>
      </w:r>
      <w:r>
        <w:rPr>
          <w:spacing w:val="-4"/>
        </w:rPr>
        <w:t> </w:t>
      </w:r>
      <w:r>
        <w:rPr/>
        <w:t>Politics</w:t>
      </w:r>
      <w:r>
        <w:rPr>
          <w:spacing w:val="-4"/>
        </w:rPr>
        <w:t> </w:t>
      </w:r>
      <w:r>
        <w:rPr/>
        <w:t>of</w:t>
      </w:r>
      <w:r>
        <w:rPr>
          <w:spacing w:val="-4"/>
        </w:rPr>
        <w:t> </w:t>
      </w:r>
      <w:r>
        <w:rPr/>
        <w:t>Grotesque Realism. </w:t>
      </w:r>
      <w:r>
        <w:rPr>
          <w:i/>
        </w:rPr>
        <w:t>Symbolic Interaction</w:t>
      </w:r>
      <w:r>
        <w:rPr/>
        <w:t>, 29(1), 33-48.</w:t>
      </w:r>
    </w:p>
    <w:p>
      <w:pPr>
        <w:pStyle w:val="BodyText"/>
        <w:spacing w:line="230" w:lineRule="auto" w:before="166"/>
        <w:ind w:left="727" w:right="1619"/>
      </w:pPr>
      <w:r>
        <w:rPr/>
        <w:t>Henry,</w:t>
      </w:r>
      <w:r>
        <w:rPr>
          <w:spacing w:val="-7"/>
        </w:rPr>
        <w:t> </w:t>
      </w:r>
      <w:r>
        <w:rPr/>
        <w:t>P.</w:t>
      </w:r>
      <w:r>
        <w:rPr>
          <w:spacing w:val="-7"/>
        </w:rPr>
        <w:t> </w:t>
      </w:r>
      <w:r>
        <w:rPr/>
        <w:t>C.,</w:t>
      </w:r>
      <w:r>
        <w:rPr>
          <w:spacing w:val="-7"/>
        </w:rPr>
        <w:t> </w:t>
      </w:r>
      <w:r>
        <w:rPr/>
        <w:t>&amp;</w:t>
      </w:r>
      <w:r>
        <w:rPr>
          <w:spacing w:val="-7"/>
        </w:rPr>
        <w:t> </w:t>
      </w:r>
      <w:r>
        <w:rPr/>
        <w:t>Caldwell,</w:t>
      </w:r>
      <w:r>
        <w:rPr>
          <w:spacing w:val="-7"/>
        </w:rPr>
        <w:t> </w:t>
      </w:r>
      <w:r>
        <w:rPr/>
        <w:t>M.</w:t>
      </w:r>
      <w:r>
        <w:rPr>
          <w:spacing w:val="-7"/>
        </w:rPr>
        <w:t> </w:t>
      </w:r>
      <w:r>
        <w:rPr/>
        <w:t>(2007).</w:t>
      </w:r>
      <w:r>
        <w:rPr>
          <w:spacing w:val="-7"/>
        </w:rPr>
        <w:t> </w:t>
      </w:r>
      <w:r>
        <w:rPr/>
        <w:t>Headbanging</w:t>
      </w:r>
      <w:r>
        <w:rPr>
          <w:spacing w:val="-7"/>
        </w:rPr>
        <w:t> </w:t>
      </w:r>
      <w:r>
        <w:rPr/>
        <w:t>as</w:t>
      </w:r>
      <w:r>
        <w:rPr>
          <w:spacing w:val="-7"/>
        </w:rPr>
        <w:t> </w:t>
      </w:r>
      <w:r>
        <w:rPr/>
        <w:t>Resistance</w:t>
      </w:r>
      <w:r>
        <w:rPr>
          <w:spacing w:val="-7"/>
        </w:rPr>
        <w:t> </w:t>
      </w:r>
      <w:r>
        <w:rPr/>
        <w:t>or</w:t>
      </w:r>
      <w:r>
        <w:rPr>
          <w:spacing w:val="-7"/>
        </w:rPr>
        <w:t> </w:t>
      </w:r>
      <w:r>
        <w:rPr/>
        <w:t>Anomie:</w:t>
      </w:r>
      <w:r>
        <w:rPr>
          <w:spacing w:val="-7"/>
        </w:rPr>
        <w:t> </w:t>
      </w:r>
      <w:r>
        <w:rPr/>
        <w:t>Contesting</w:t>
      </w:r>
      <w:r>
        <w:rPr>
          <w:spacing w:val="-7"/>
        </w:rPr>
        <w:t> </w:t>
      </w:r>
      <w:r>
        <w:rPr/>
        <w:t>the Social</w:t>
      </w:r>
      <w:r>
        <w:rPr>
          <w:spacing w:val="40"/>
        </w:rPr>
        <w:t> </w:t>
      </w:r>
      <w:r>
        <w:rPr/>
        <w:t>Context of Heavy Metal. </w:t>
      </w:r>
      <w:r>
        <w:rPr>
          <w:i/>
        </w:rPr>
        <w:t>Research in Consumer Behavior</w:t>
      </w:r>
      <w:r>
        <w:rPr/>
        <w:t>, 11, 109-131.</w:t>
      </w:r>
    </w:p>
    <w:p>
      <w:pPr>
        <w:pStyle w:val="BodyText"/>
        <w:spacing w:line="270" w:lineRule="exact" w:before="155"/>
        <w:ind w:left="727"/>
      </w:pPr>
      <w:r>
        <w:rPr/>
        <w:t>Hong, Z. (2024). The cognitive origin and cultural evolution of taboos in human </w:t>
      </w:r>
      <w:r>
        <w:rPr>
          <w:spacing w:val="-2"/>
        </w:rPr>
        <w:t>societies.</w:t>
      </w:r>
    </w:p>
    <w:p>
      <w:pPr>
        <w:spacing w:line="270" w:lineRule="exact" w:before="0"/>
        <w:ind w:left="727" w:right="0" w:firstLine="0"/>
        <w:jc w:val="left"/>
        <w:rPr>
          <w:sz w:val="24"/>
        </w:rPr>
      </w:pPr>
      <w:r>
        <w:rPr>
          <w:i/>
          <w:sz w:val="24"/>
        </w:rPr>
        <w:t>Journal</w:t>
      </w:r>
      <w:r>
        <w:rPr>
          <w:i/>
          <w:spacing w:val="57"/>
          <w:sz w:val="24"/>
        </w:rPr>
        <w:t> </w:t>
      </w:r>
      <w:r>
        <w:rPr>
          <w:i/>
          <w:sz w:val="24"/>
        </w:rPr>
        <w:t>of</w:t>
      </w:r>
      <w:r>
        <w:rPr>
          <w:i/>
          <w:spacing w:val="-1"/>
          <w:sz w:val="24"/>
        </w:rPr>
        <w:t> </w:t>
      </w:r>
      <w:r>
        <w:rPr>
          <w:i/>
          <w:sz w:val="24"/>
        </w:rPr>
        <w:t>the</w:t>
      </w:r>
      <w:r>
        <w:rPr>
          <w:i/>
          <w:spacing w:val="-1"/>
          <w:sz w:val="24"/>
        </w:rPr>
        <w:t> </w:t>
      </w:r>
      <w:r>
        <w:rPr>
          <w:i/>
          <w:sz w:val="24"/>
        </w:rPr>
        <w:t>Royal</w:t>
      </w:r>
      <w:r>
        <w:rPr>
          <w:i/>
          <w:spacing w:val="-1"/>
          <w:sz w:val="24"/>
        </w:rPr>
        <w:t> </w:t>
      </w:r>
      <w:r>
        <w:rPr>
          <w:i/>
          <w:sz w:val="24"/>
        </w:rPr>
        <w:t>Anthropological</w:t>
      </w:r>
      <w:r>
        <w:rPr>
          <w:i/>
          <w:spacing w:val="-1"/>
          <w:sz w:val="24"/>
        </w:rPr>
        <w:t> </w:t>
      </w:r>
      <w:r>
        <w:rPr>
          <w:i/>
          <w:sz w:val="24"/>
        </w:rPr>
        <w:t>Institute</w:t>
      </w:r>
      <w:r>
        <w:rPr>
          <w:sz w:val="24"/>
        </w:rPr>
        <w:t>,</w:t>
      </w:r>
      <w:r>
        <w:rPr>
          <w:spacing w:val="-1"/>
          <w:sz w:val="24"/>
        </w:rPr>
        <w:t> </w:t>
      </w:r>
      <w:r>
        <w:rPr>
          <w:sz w:val="24"/>
        </w:rPr>
        <w:t>30(3),</w:t>
      </w:r>
      <w:r>
        <w:rPr>
          <w:spacing w:val="-1"/>
          <w:sz w:val="24"/>
        </w:rPr>
        <w:t> </w:t>
      </w:r>
      <w:r>
        <w:rPr>
          <w:sz w:val="24"/>
        </w:rPr>
        <w:t>724–</w:t>
      </w:r>
      <w:r>
        <w:rPr>
          <w:spacing w:val="-4"/>
          <w:sz w:val="24"/>
        </w:rPr>
        <w:t>742.</w:t>
      </w:r>
    </w:p>
    <w:p>
      <w:pPr>
        <w:spacing w:line="362" w:lineRule="auto" w:before="164"/>
        <w:ind w:left="727" w:right="3268" w:firstLine="0"/>
        <w:jc w:val="left"/>
        <w:rPr>
          <w:sz w:val="24"/>
        </w:rPr>
      </w:pPr>
      <w:r>
        <w:rPr>
          <w:sz w:val="24"/>
        </w:rPr>
        <w:t>Kahn-Harris, K. (2003). Death Metal and the Abyss. </w:t>
      </w:r>
      <w:r>
        <w:rPr>
          <w:i/>
          <w:sz w:val="24"/>
        </w:rPr>
        <w:t>Popular Musicology</w:t>
      </w:r>
      <w:r>
        <w:rPr>
          <w:i/>
          <w:sz w:val="24"/>
        </w:rPr>
        <w:t> Online</w:t>
      </w:r>
      <w:r>
        <w:rPr>
          <w:sz w:val="24"/>
        </w:rPr>
        <w:t>.</w:t>
      </w:r>
      <w:r>
        <w:rPr>
          <w:spacing w:val="-7"/>
          <w:sz w:val="24"/>
        </w:rPr>
        <w:t> </w:t>
      </w:r>
      <w:r>
        <w:rPr>
          <w:sz w:val="24"/>
        </w:rPr>
        <w:t>Kahn-Harris,</w:t>
      </w:r>
      <w:r>
        <w:rPr>
          <w:spacing w:val="-7"/>
          <w:sz w:val="24"/>
        </w:rPr>
        <w:t> </w:t>
      </w:r>
      <w:r>
        <w:rPr>
          <w:sz w:val="24"/>
        </w:rPr>
        <w:t>K.</w:t>
      </w:r>
      <w:r>
        <w:rPr>
          <w:spacing w:val="-7"/>
          <w:sz w:val="24"/>
        </w:rPr>
        <w:t> </w:t>
      </w:r>
      <w:r>
        <w:rPr>
          <w:sz w:val="24"/>
        </w:rPr>
        <w:t>(2007).</w:t>
      </w:r>
      <w:r>
        <w:rPr>
          <w:spacing w:val="-7"/>
          <w:sz w:val="24"/>
        </w:rPr>
        <w:t> </w:t>
      </w:r>
      <w:r>
        <w:rPr>
          <w:i/>
          <w:sz w:val="24"/>
        </w:rPr>
        <w:t>Extreme</w:t>
      </w:r>
      <w:r>
        <w:rPr>
          <w:i/>
          <w:spacing w:val="-7"/>
          <w:sz w:val="24"/>
        </w:rPr>
        <w:t> </w:t>
      </w:r>
      <w:r>
        <w:rPr>
          <w:i/>
          <w:sz w:val="24"/>
        </w:rPr>
        <w:t>Metal:</w:t>
      </w:r>
      <w:r>
        <w:rPr>
          <w:i/>
          <w:spacing w:val="-7"/>
          <w:sz w:val="24"/>
        </w:rPr>
        <w:t> </w:t>
      </w:r>
      <w:r>
        <w:rPr>
          <w:i/>
          <w:sz w:val="24"/>
        </w:rPr>
        <w:t>The</w:t>
      </w:r>
      <w:r>
        <w:rPr>
          <w:i/>
          <w:spacing w:val="-7"/>
          <w:sz w:val="24"/>
        </w:rPr>
        <w:t> </w:t>
      </w:r>
      <w:r>
        <w:rPr>
          <w:i/>
          <w:sz w:val="24"/>
        </w:rPr>
        <w:t>Global</w:t>
      </w:r>
      <w:r>
        <w:rPr>
          <w:i/>
          <w:spacing w:val="-7"/>
          <w:sz w:val="24"/>
        </w:rPr>
        <w:t> </w:t>
      </w:r>
      <w:r>
        <w:rPr>
          <w:i/>
          <w:sz w:val="24"/>
        </w:rPr>
        <w:t>Subculture</w:t>
      </w:r>
      <w:r>
        <w:rPr>
          <w:sz w:val="24"/>
        </w:rPr>
        <w:t>.</w:t>
      </w:r>
      <w:r>
        <w:rPr>
          <w:spacing w:val="-7"/>
          <w:sz w:val="24"/>
        </w:rPr>
        <w:t> </w:t>
      </w:r>
      <w:r>
        <w:rPr>
          <w:sz w:val="24"/>
        </w:rPr>
        <w:t>Berg </w:t>
      </w:r>
      <w:r>
        <w:rPr>
          <w:spacing w:val="-2"/>
          <w:sz w:val="24"/>
        </w:rPr>
        <w:t>Publishers.</w:t>
      </w:r>
    </w:p>
    <w:p>
      <w:pPr>
        <w:spacing w:line="230" w:lineRule="auto" w:before="35"/>
        <w:ind w:left="727" w:right="1619" w:firstLine="0"/>
        <w:jc w:val="left"/>
        <w:rPr>
          <w:sz w:val="24"/>
        </w:rPr>
      </w:pPr>
      <w:r>
        <w:rPr>
          <w:sz w:val="24"/>
        </w:rPr>
        <w:t>Mudrian,</w:t>
      </w:r>
      <w:r>
        <w:rPr>
          <w:spacing w:val="-5"/>
          <w:sz w:val="24"/>
        </w:rPr>
        <w:t> </w:t>
      </w:r>
      <w:r>
        <w:rPr>
          <w:sz w:val="24"/>
        </w:rPr>
        <w:t>A.</w:t>
      </w:r>
      <w:r>
        <w:rPr>
          <w:spacing w:val="-5"/>
          <w:sz w:val="24"/>
        </w:rPr>
        <w:t> </w:t>
      </w:r>
      <w:r>
        <w:rPr>
          <w:sz w:val="24"/>
        </w:rPr>
        <w:t>(2004).</w:t>
      </w:r>
      <w:r>
        <w:rPr>
          <w:spacing w:val="-5"/>
          <w:sz w:val="24"/>
        </w:rPr>
        <w:t> </w:t>
      </w:r>
      <w:r>
        <w:rPr>
          <w:i/>
          <w:sz w:val="24"/>
        </w:rPr>
        <w:t>Choosing</w:t>
      </w:r>
      <w:r>
        <w:rPr>
          <w:i/>
          <w:spacing w:val="-5"/>
          <w:sz w:val="24"/>
        </w:rPr>
        <w:t> </w:t>
      </w:r>
      <w:r>
        <w:rPr>
          <w:i/>
          <w:sz w:val="24"/>
        </w:rPr>
        <w:t>Death:</w:t>
      </w:r>
      <w:r>
        <w:rPr>
          <w:i/>
          <w:spacing w:val="-5"/>
          <w:sz w:val="24"/>
        </w:rPr>
        <w:t> </w:t>
      </w:r>
      <w:r>
        <w:rPr>
          <w:i/>
          <w:sz w:val="24"/>
        </w:rPr>
        <w:t>The</w:t>
      </w:r>
      <w:r>
        <w:rPr>
          <w:i/>
          <w:spacing w:val="-5"/>
          <w:sz w:val="24"/>
        </w:rPr>
        <w:t> </w:t>
      </w:r>
      <w:r>
        <w:rPr>
          <w:i/>
          <w:sz w:val="24"/>
        </w:rPr>
        <w:t>Improbable</w:t>
      </w:r>
      <w:r>
        <w:rPr>
          <w:i/>
          <w:spacing w:val="-5"/>
          <w:sz w:val="24"/>
        </w:rPr>
        <w:t> </w:t>
      </w:r>
      <w:r>
        <w:rPr>
          <w:i/>
          <w:sz w:val="24"/>
        </w:rPr>
        <w:t>History</w:t>
      </w:r>
      <w:r>
        <w:rPr>
          <w:i/>
          <w:spacing w:val="-5"/>
          <w:sz w:val="24"/>
        </w:rPr>
        <w:t> </w:t>
      </w:r>
      <w:r>
        <w:rPr>
          <w:i/>
          <w:sz w:val="24"/>
        </w:rPr>
        <w:t>of</w:t>
      </w:r>
      <w:r>
        <w:rPr>
          <w:i/>
          <w:spacing w:val="-5"/>
          <w:sz w:val="24"/>
        </w:rPr>
        <w:t> </w:t>
      </w:r>
      <w:r>
        <w:rPr>
          <w:i/>
          <w:sz w:val="24"/>
        </w:rPr>
        <w:t>Death</w:t>
      </w:r>
      <w:r>
        <w:rPr>
          <w:i/>
          <w:spacing w:val="-5"/>
          <w:sz w:val="24"/>
        </w:rPr>
        <w:t> </w:t>
      </w:r>
      <w:r>
        <w:rPr>
          <w:i/>
          <w:sz w:val="24"/>
        </w:rPr>
        <w:t>Metal</w:t>
      </w:r>
      <w:r>
        <w:rPr>
          <w:i/>
          <w:spacing w:val="-5"/>
          <w:sz w:val="24"/>
        </w:rPr>
        <w:t> </w:t>
      </w:r>
      <w:r>
        <w:rPr>
          <w:i/>
          <w:sz w:val="24"/>
        </w:rPr>
        <w:t>&amp;</w:t>
      </w:r>
      <w:r>
        <w:rPr>
          <w:i/>
          <w:spacing w:val="-5"/>
          <w:sz w:val="24"/>
        </w:rPr>
        <w:t> </w:t>
      </w:r>
      <w:r>
        <w:rPr>
          <w:i/>
          <w:sz w:val="24"/>
        </w:rPr>
        <w:t>Grindcore</w:t>
      </w:r>
      <w:r>
        <w:rPr>
          <w:sz w:val="24"/>
        </w:rPr>
        <w:t>. Feral</w:t>
      </w:r>
      <w:r>
        <w:rPr>
          <w:spacing w:val="40"/>
          <w:sz w:val="24"/>
        </w:rPr>
        <w:t> </w:t>
      </w:r>
      <w:r>
        <w:rPr>
          <w:sz w:val="24"/>
        </w:rPr>
        <w:t>House: Port Townsend, WA.</w:t>
      </w:r>
    </w:p>
    <w:p>
      <w:pPr>
        <w:spacing w:after="0" w:line="230" w:lineRule="auto"/>
        <w:jc w:val="left"/>
        <w:rPr>
          <w:sz w:val="24"/>
        </w:rPr>
        <w:sectPr>
          <w:pgSz w:w="12240" w:h="15840"/>
          <w:pgMar w:header="0" w:footer="707" w:top="620" w:bottom="960" w:left="720" w:right="0"/>
        </w:sectPr>
      </w:pPr>
    </w:p>
    <w:p>
      <w:pPr>
        <w:spacing w:before="80"/>
        <w:ind w:left="113" w:right="0" w:firstLine="0"/>
        <w:jc w:val="center"/>
        <w:rPr>
          <w:rFonts w:ascii="Arial"/>
          <w:b/>
          <w:sz w:val="22"/>
        </w:rPr>
      </w:pPr>
      <w:r>
        <w:rPr>
          <w:rFonts w:ascii="Arial"/>
          <w:b/>
          <w:sz w:val="22"/>
        </w:rPr>
        <w:t>Student</w:t>
      </w:r>
      <w:r>
        <w:rPr>
          <w:rFonts w:ascii="Arial"/>
          <w:b/>
          <w:spacing w:val="-8"/>
          <w:sz w:val="22"/>
        </w:rPr>
        <w:t> </w:t>
      </w:r>
      <w:r>
        <w:rPr>
          <w:rFonts w:ascii="Arial"/>
          <w:b/>
          <w:sz w:val="22"/>
        </w:rPr>
        <w:t>Use</w:t>
      </w:r>
      <w:r>
        <w:rPr>
          <w:rFonts w:ascii="Arial"/>
          <w:b/>
          <w:spacing w:val="-7"/>
          <w:sz w:val="22"/>
        </w:rPr>
        <w:t> </w:t>
      </w:r>
      <w:r>
        <w:rPr>
          <w:rFonts w:ascii="Arial"/>
          <w:b/>
          <w:sz w:val="22"/>
        </w:rPr>
        <w:t>of</w:t>
      </w:r>
      <w:r>
        <w:rPr>
          <w:rFonts w:ascii="Arial"/>
          <w:b/>
          <w:spacing w:val="-7"/>
          <w:sz w:val="22"/>
        </w:rPr>
        <w:t> </w:t>
      </w:r>
      <w:r>
        <w:rPr>
          <w:rFonts w:ascii="Arial"/>
          <w:b/>
          <w:sz w:val="22"/>
        </w:rPr>
        <w:t>AI</w:t>
      </w:r>
      <w:r>
        <w:rPr>
          <w:rFonts w:ascii="Arial"/>
          <w:b/>
          <w:spacing w:val="-7"/>
          <w:sz w:val="22"/>
        </w:rPr>
        <w:t> </w:t>
      </w:r>
      <w:r>
        <w:rPr>
          <w:rFonts w:ascii="Arial"/>
          <w:b/>
          <w:sz w:val="22"/>
        </w:rPr>
        <w:t>Tools</w:t>
      </w:r>
      <w:r>
        <w:rPr>
          <w:rFonts w:ascii="Arial"/>
          <w:b/>
          <w:spacing w:val="-7"/>
          <w:sz w:val="22"/>
        </w:rPr>
        <w:t> </w:t>
      </w:r>
      <w:r>
        <w:rPr>
          <w:rFonts w:ascii="Arial"/>
          <w:b/>
          <w:sz w:val="22"/>
        </w:rPr>
        <w:t>and</w:t>
      </w:r>
      <w:r>
        <w:rPr>
          <w:rFonts w:ascii="Arial"/>
          <w:b/>
          <w:spacing w:val="-7"/>
          <w:sz w:val="22"/>
        </w:rPr>
        <w:t> </w:t>
      </w:r>
      <w:r>
        <w:rPr>
          <w:rFonts w:ascii="Arial"/>
          <w:b/>
          <w:sz w:val="22"/>
        </w:rPr>
        <w:t>Perceived</w:t>
      </w:r>
      <w:r>
        <w:rPr>
          <w:rFonts w:ascii="Arial"/>
          <w:b/>
          <w:spacing w:val="-8"/>
          <w:sz w:val="22"/>
        </w:rPr>
        <w:t> </w:t>
      </w:r>
      <w:r>
        <w:rPr>
          <w:rFonts w:ascii="Arial"/>
          <w:b/>
          <w:sz w:val="22"/>
        </w:rPr>
        <w:t>Writing</w:t>
      </w:r>
      <w:r>
        <w:rPr>
          <w:rFonts w:ascii="Arial"/>
          <w:b/>
          <w:spacing w:val="-7"/>
          <w:sz w:val="22"/>
        </w:rPr>
        <w:t> </w:t>
      </w:r>
      <w:r>
        <w:rPr>
          <w:rFonts w:ascii="Arial"/>
          <w:b/>
          <w:sz w:val="22"/>
        </w:rPr>
        <w:t>Improvement</w:t>
      </w:r>
      <w:r>
        <w:rPr>
          <w:rFonts w:ascii="Arial"/>
          <w:b/>
          <w:spacing w:val="-7"/>
          <w:sz w:val="22"/>
        </w:rPr>
        <w:t> </w:t>
      </w:r>
      <w:r>
        <w:rPr>
          <w:rFonts w:ascii="Arial"/>
          <w:b/>
          <w:sz w:val="22"/>
        </w:rPr>
        <w:t>in</w:t>
      </w:r>
      <w:r>
        <w:rPr>
          <w:rFonts w:ascii="Arial"/>
          <w:b/>
          <w:spacing w:val="-7"/>
          <w:sz w:val="22"/>
        </w:rPr>
        <w:t> </w:t>
      </w:r>
      <w:r>
        <w:rPr>
          <w:rFonts w:ascii="Arial"/>
          <w:b/>
          <w:sz w:val="22"/>
        </w:rPr>
        <w:t>a</w:t>
      </w:r>
      <w:r>
        <w:rPr>
          <w:rFonts w:ascii="Arial"/>
          <w:b/>
          <w:spacing w:val="-7"/>
          <w:sz w:val="22"/>
        </w:rPr>
        <w:t> </w:t>
      </w:r>
      <w:r>
        <w:rPr>
          <w:rFonts w:ascii="Arial"/>
          <w:b/>
          <w:sz w:val="22"/>
        </w:rPr>
        <w:t>Business</w:t>
      </w:r>
      <w:r>
        <w:rPr>
          <w:rFonts w:ascii="Arial"/>
          <w:b/>
          <w:spacing w:val="-7"/>
          <w:sz w:val="22"/>
        </w:rPr>
        <w:t> </w:t>
      </w:r>
      <w:r>
        <w:rPr>
          <w:rFonts w:ascii="Arial"/>
          <w:b/>
          <w:sz w:val="22"/>
        </w:rPr>
        <w:t>Communication</w:t>
      </w:r>
      <w:r>
        <w:rPr>
          <w:rFonts w:ascii="Arial"/>
          <w:b/>
          <w:spacing w:val="-7"/>
          <w:sz w:val="22"/>
        </w:rPr>
        <w:t> </w:t>
      </w:r>
      <w:r>
        <w:rPr>
          <w:rFonts w:ascii="Arial"/>
          <w:b/>
          <w:spacing w:val="-2"/>
          <w:sz w:val="22"/>
        </w:rPr>
        <w:t>Course</w:t>
      </w:r>
    </w:p>
    <w:p>
      <w:pPr>
        <w:pStyle w:val="BodyText"/>
        <w:spacing w:before="43"/>
        <w:rPr>
          <w:rFonts w:ascii="Arial"/>
          <w:b/>
          <w:sz w:val="22"/>
        </w:rPr>
      </w:pPr>
    </w:p>
    <w:p>
      <w:pPr>
        <w:pStyle w:val="BodyText"/>
        <w:ind w:left="113"/>
        <w:jc w:val="center"/>
      </w:pPr>
      <w:r>
        <w:rPr/>
        <w:t>Marcel </w:t>
      </w:r>
      <w:r>
        <w:rPr>
          <w:spacing w:val="-2"/>
        </w:rPr>
        <w:t>Robles</w:t>
      </w:r>
    </w:p>
    <w:p>
      <w:pPr>
        <w:pStyle w:val="BodyText"/>
      </w:pPr>
    </w:p>
    <w:p>
      <w:pPr>
        <w:pStyle w:val="BodyText"/>
        <w:spacing w:before="3"/>
      </w:pPr>
    </w:p>
    <w:p>
      <w:pPr>
        <w:pStyle w:val="Heading4"/>
        <w:ind w:left="727"/>
      </w:pPr>
      <w:r>
        <w:rPr>
          <w:spacing w:val="-2"/>
        </w:rPr>
        <w:t>Introduction</w:t>
      </w:r>
    </w:p>
    <w:p>
      <w:pPr>
        <w:pStyle w:val="BodyText"/>
        <w:spacing w:line="266" w:lineRule="auto" w:before="200"/>
        <w:ind w:left="727" w:right="1461"/>
      </w:pPr>
      <w:r>
        <w:rPr/>
        <w:t>Artificial intelligence (AI) tools have rapidly become embedded in students’ writing processes, reshaping</w:t>
      </w:r>
      <w:r>
        <w:rPr>
          <w:spacing w:val="-4"/>
        </w:rPr>
        <w:t> </w:t>
      </w:r>
      <w:r>
        <w:rPr/>
        <w:t>how</w:t>
      </w:r>
      <w:r>
        <w:rPr>
          <w:spacing w:val="-4"/>
        </w:rPr>
        <w:t> </w:t>
      </w:r>
      <w:r>
        <w:rPr/>
        <w:t>they</w:t>
      </w:r>
      <w:r>
        <w:rPr>
          <w:spacing w:val="-4"/>
        </w:rPr>
        <w:t> </w:t>
      </w:r>
      <w:r>
        <w:rPr/>
        <w:t>draft,</w:t>
      </w:r>
      <w:r>
        <w:rPr>
          <w:spacing w:val="-4"/>
        </w:rPr>
        <w:t> </w:t>
      </w:r>
      <w:r>
        <w:rPr/>
        <w:t>revise,</w:t>
      </w:r>
      <w:r>
        <w:rPr>
          <w:spacing w:val="-4"/>
        </w:rPr>
        <w:t> </w:t>
      </w:r>
      <w:r>
        <w:rPr/>
        <w:t>and</w:t>
      </w:r>
      <w:r>
        <w:rPr>
          <w:spacing w:val="-4"/>
        </w:rPr>
        <w:t> </w:t>
      </w:r>
      <w:r>
        <w:rPr/>
        <w:t>conceptualize</w:t>
      </w:r>
      <w:r>
        <w:rPr>
          <w:spacing w:val="-4"/>
        </w:rPr>
        <w:t> </w:t>
      </w:r>
      <w:r>
        <w:rPr/>
        <w:t>written</w:t>
      </w:r>
      <w:r>
        <w:rPr>
          <w:spacing w:val="-4"/>
        </w:rPr>
        <w:t> </w:t>
      </w:r>
      <w:r>
        <w:rPr/>
        <w:t>communication.</w:t>
      </w:r>
      <w:r>
        <w:rPr>
          <w:spacing w:val="-4"/>
        </w:rPr>
        <w:t> </w:t>
      </w:r>
      <w:r>
        <w:rPr/>
        <w:t>In</w:t>
      </w:r>
      <w:r>
        <w:rPr>
          <w:spacing w:val="-4"/>
        </w:rPr>
        <w:t> </w:t>
      </w:r>
      <w:r>
        <w:rPr/>
        <w:t>higher</w:t>
      </w:r>
      <w:r>
        <w:rPr>
          <w:spacing w:val="-4"/>
        </w:rPr>
        <w:t> </w:t>
      </w:r>
      <w:r>
        <w:rPr/>
        <w:t>education, and particularly in business communication courses, students increasingly rely on AI tools such as ChatGPT, Copilot, and Grammarly to support clarity, organization, tone, and conciseness.</w:t>
      </w:r>
    </w:p>
    <w:p>
      <w:pPr>
        <w:pStyle w:val="BodyText"/>
        <w:spacing w:line="266" w:lineRule="auto"/>
        <w:ind w:left="727" w:right="1381"/>
      </w:pPr>
      <w:r>
        <w:rPr/>
        <w:t>These tools mirror technologies already used in professional workplaces, making them relevant not only for academic success but also for career preparation (Cummings &amp; Ferris, 2024). Yet despite their growing presence, questions remain about how AI use affects students’ perceived learning, writing development, and ethical confidence. Instructors and educational institutions continue</w:t>
      </w:r>
      <w:r>
        <w:rPr>
          <w:spacing w:val="-4"/>
        </w:rPr>
        <w:t> </w:t>
      </w:r>
      <w:r>
        <w:rPr/>
        <w:t>to</w:t>
      </w:r>
      <w:r>
        <w:rPr>
          <w:spacing w:val="-4"/>
        </w:rPr>
        <w:t> </w:t>
      </w:r>
      <w:r>
        <w:rPr/>
        <w:t>debate</w:t>
      </w:r>
      <w:r>
        <w:rPr>
          <w:spacing w:val="-4"/>
        </w:rPr>
        <w:t> </w:t>
      </w:r>
      <w:r>
        <w:rPr/>
        <w:t>whether</w:t>
      </w:r>
      <w:r>
        <w:rPr>
          <w:spacing w:val="-4"/>
        </w:rPr>
        <w:t> </w:t>
      </w:r>
      <w:r>
        <w:rPr/>
        <w:t>AI</w:t>
      </w:r>
      <w:r>
        <w:rPr>
          <w:spacing w:val="-4"/>
        </w:rPr>
        <w:t> </w:t>
      </w:r>
      <w:r>
        <w:rPr/>
        <w:t>enhances</w:t>
      </w:r>
      <w:r>
        <w:rPr>
          <w:spacing w:val="-4"/>
        </w:rPr>
        <w:t> </w:t>
      </w:r>
      <w:r>
        <w:rPr/>
        <w:t>learning</w:t>
      </w:r>
      <w:r>
        <w:rPr>
          <w:spacing w:val="-4"/>
        </w:rPr>
        <w:t> </w:t>
      </w:r>
      <w:r>
        <w:rPr/>
        <w:t>or</w:t>
      </w:r>
      <w:r>
        <w:rPr>
          <w:spacing w:val="-4"/>
        </w:rPr>
        <w:t> </w:t>
      </w:r>
      <w:r>
        <w:rPr/>
        <w:t>undermines</w:t>
      </w:r>
      <w:r>
        <w:rPr>
          <w:spacing w:val="-4"/>
        </w:rPr>
        <w:t> </w:t>
      </w:r>
      <w:r>
        <w:rPr/>
        <w:t>the</w:t>
      </w:r>
      <w:r>
        <w:rPr>
          <w:spacing w:val="-4"/>
        </w:rPr>
        <w:t> </w:t>
      </w:r>
      <w:r>
        <w:rPr/>
        <w:t>development</w:t>
      </w:r>
      <w:r>
        <w:rPr>
          <w:spacing w:val="-4"/>
        </w:rPr>
        <w:t> </w:t>
      </w:r>
      <w:r>
        <w:rPr/>
        <w:t>of</w:t>
      </w:r>
      <w:r>
        <w:rPr>
          <w:spacing w:val="-4"/>
        </w:rPr>
        <w:t> </w:t>
      </w:r>
      <w:r>
        <w:rPr/>
        <w:t>independent writing skills (Elaiess, 2024).</w:t>
      </w:r>
    </w:p>
    <w:p>
      <w:pPr>
        <w:pStyle w:val="Heading4"/>
        <w:spacing w:before="171"/>
        <w:ind w:left="727"/>
      </w:pPr>
      <w:r>
        <w:rPr/>
        <w:t>Literature</w:t>
      </w:r>
      <w:r>
        <w:rPr>
          <w:spacing w:val="-5"/>
        </w:rPr>
        <w:t> </w:t>
      </w:r>
      <w:r>
        <w:rPr>
          <w:spacing w:val="-2"/>
        </w:rPr>
        <w:t>Review</w:t>
      </w:r>
    </w:p>
    <w:p>
      <w:pPr>
        <w:pStyle w:val="BodyText"/>
        <w:spacing w:line="266" w:lineRule="auto" w:before="200"/>
        <w:ind w:left="712" w:right="1456" w:firstLine="15"/>
      </w:pPr>
      <w:r>
        <w:rPr/>
        <w:t>Although public discourse often frames AI as either a threat or a transformative opportunity, empirical research on students’ actual use of AI in writing-intensive courses is still emerging. Some studies suggest that AI tools can function as real-time writing coaches, offering immediate feedback</w:t>
      </w:r>
      <w:r>
        <w:rPr>
          <w:spacing w:val="-2"/>
        </w:rPr>
        <w:t> </w:t>
      </w:r>
      <w:r>
        <w:rPr/>
        <w:t>and</w:t>
      </w:r>
      <w:r>
        <w:rPr>
          <w:spacing w:val="-2"/>
        </w:rPr>
        <w:t> </w:t>
      </w:r>
      <w:r>
        <w:rPr/>
        <w:t>examples</w:t>
      </w:r>
      <w:r>
        <w:rPr>
          <w:spacing w:val="-2"/>
        </w:rPr>
        <w:t> </w:t>
      </w:r>
      <w:r>
        <w:rPr/>
        <w:t>that</w:t>
      </w:r>
      <w:r>
        <w:rPr>
          <w:spacing w:val="-2"/>
        </w:rPr>
        <w:t> </w:t>
      </w:r>
      <w:r>
        <w:rPr/>
        <w:t>help</w:t>
      </w:r>
      <w:r>
        <w:rPr>
          <w:spacing w:val="-2"/>
        </w:rPr>
        <w:t> </w:t>
      </w:r>
      <w:r>
        <w:rPr/>
        <w:t>students</w:t>
      </w:r>
      <w:r>
        <w:rPr>
          <w:spacing w:val="-2"/>
        </w:rPr>
        <w:t> </w:t>
      </w:r>
      <w:r>
        <w:rPr/>
        <w:t>refine</w:t>
      </w:r>
      <w:r>
        <w:rPr>
          <w:spacing w:val="-2"/>
        </w:rPr>
        <w:t> </w:t>
      </w:r>
      <w:r>
        <w:rPr/>
        <w:t>their</w:t>
      </w:r>
      <w:r>
        <w:rPr>
          <w:spacing w:val="-2"/>
        </w:rPr>
        <w:t> </w:t>
      </w:r>
      <w:r>
        <w:rPr/>
        <w:t>communication</w:t>
      </w:r>
      <w:r>
        <w:rPr>
          <w:spacing w:val="-2"/>
        </w:rPr>
        <w:t> </w:t>
      </w:r>
      <w:r>
        <w:rPr/>
        <w:t>(Mondal</w:t>
      </w:r>
      <w:r>
        <w:rPr>
          <w:spacing w:val="-2"/>
        </w:rPr>
        <w:t> </w:t>
      </w:r>
      <w:r>
        <w:rPr/>
        <w:t>&amp;</w:t>
      </w:r>
      <w:r>
        <w:rPr>
          <w:spacing w:val="-2"/>
        </w:rPr>
        <w:t> </w:t>
      </w:r>
      <w:r>
        <w:rPr/>
        <w:t>Mondal,</w:t>
      </w:r>
      <w:r>
        <w:rPr>
          <w:spacing w:val="-2"/>
        </w:rPr>
        <w:t> </w:t>
      </w:r>
      <w:r>
        <w:rPr/>
        <w:t>2023). Others raise concerns that students may become overly dependent on AI, potentially limiting their</w:t>
      </w:r>
      <w:r>
        <w:rPr>
          <w:spacing w:val="-3"/>
        </w:rPr>
        <w:t> </w:t>
      </w:r>
      <w:r>
        <w:rPr/>
        <w:t>ability</w:t>
      </w:r>
      <w:r>
        <w:rPr>
          <w:spacing w:val="-3"/>
        </w:rPr>
        <w:t> </w:t>
      </w:r>
      <w:r>
        <w:rPr/>
        <w:t>to</w:t>
      </w:r>
      <w:r>
        <w:rPr>
          <w:spacing w:val="-3"/>
        </w:rPr>
        <w:t> </w:t>
      </w:r>
      <w:r>
        <w:rPr/>
        <w:t>craft</w:t>
      </w:r>
      <w:r>
        <w:rPr>
          <w:spacing w:val="-3"/>
        </w:rPr>
        <w:t> </w:t>
      </w:r>
      <w:r>
        <w:rPr/>
        <w:t>messages</w:t>
      </w:r>
      <w:r>
        <w:rPr>
          <w:spacing w:val="-3"/>
        </w:rPr>
        <w:t> </w:t>
      </w:r>
      <w:r>
        <w:rPr/>
        <w:t>independently</w:t>
      </w:r>
      <w:r>
        <w:rPr>
          <w:spacing w:val="-3"/>
        </w:rPr>
        <w:t> </w:t>
      </w:r>
      <w:r>
        <w:rPr/>
        <w:t>or</w:t>
      </w:r>
      <w:r>
        <w:rPr>
          <w:spacing w:val="-3"/>
        </w:rPr>
        <w:t> </w:t>
      </w:r>
      <w:r>
        <w:rPr/>
        <w:t>think</w:t>
      </w:r>
      <w:r>
        <w:rPr>
          <w:spacing w:val="-3"/>
        </w:rPr>
        <w:t> </w:t>
      </w:r>
      <w:r>
        <w:rPr/>
        <w:t>critically</w:t>
      </w:r>
      <w:r>
        <w:rPr>
          <w:spacing w:val="-3"/>
        </w:rPr>
        <w:t> </w:t>
      </w:r>
      <w:r>
        <w:rPr/>
        <w:t>about</w:t>
      </w:r>
      <w:r>
        <w:rPr>
          <w:spacing w:val="-3"/>
        </w:rPr>
        <w:t> </w:t>
      </w:r>
      <w:r>
        <w:rPr/>
        <w:t>rhetorical</w:t>
      </w:r>
      <w:r>
        <w:rPr>
          <w:spacing w:val="-3"/>
        </w:rPr>
        <w:t> </w:t>
      </w:r>
      <w:r>
        <w:rPr/>
        <w:t>choices</w:t>
      </w:r>
      <w:r>
        <w:rPr>
          <w:spacing w:val="-3"/>
        </w:rPr>
        <w:t> </w:t>
      </w:r>
      <w:r>
        <w:rPr/>
        <w:t>(Cotton</w:t>
      </w:r>
      <w:r>
        <w:rPr>
          <w:spacing w:val="-3"/>
        </w:rPr>
        <w:t> </w:t>
      </w:r>
      <w:r>
        <w:rPr/>
        <w:t>et al., 2023). In business communication courses, students must learn to adapt messages to audiences, contexts, and professional standards; therefore, understanding how AI influences perceived writing improvement is particularly important.</w:t>
      </w:r>
    </w:p>
    <w:p>
      <w:pPr>
        <w:pStyle w:val="BodyText"/>
        <w:spacing w:line="266" w:lineRule="auto" w:before="174"/>
        <w:ind w:left="727" w:right="1191"/>
      </w:pPr>
      <w:r>
        <w:rPr/>
        <w:t>The</w:t>
      </w:r>
      <w:r>
        <w:rPr>
          <w:spacing w:val="-1"/>
        </w:rPr>
        <w:t> </w:t>
      </w:r>
      <w:r>
        <w:rPr/>
        <w:t>present</w:t>
      </w:r>
      <w:r>
        <w:rPr>
          <w:spacing w:val="-1"/>
        </w:rPr>
        <w:t> </w:t>
      </w:r>
      <w:r>
        <w:rPr/>
        <w:t>study</w:t>
      </w:r>
      <w:r>
        <w:rPr>
          <w:spacing w:val="-1"/>
        </w:rPr>
        <w:t> </w:t>
      </w:r>
      <w:r>
        <w:rPr/>
        <w:t>investigates</w:t>
      </w:r>
      <w:r>
        <w:rPr>
          <w:spacing w:val="-1"/>
        </w:rPr>
        <w:t> </w:t>
      </w:r>
      <w:r>
        <w:rPr/>
        <w:t>how</w:t>
      </w:r>
      <w:r>
        <w:rPr>
          <w:spacing w:val="-1"/>
        </w:rPr>
        <w:t> </w:t>
      </w:r>
      <w:r>
        <w:rPr/>
        <w:t>undergraduate</w:t>
      </w:r>
      <w:r>
        <w:rPr>
          <w:spacing w:val="-1"/>
        </w:rPr>
        <w:t> </w:t>
      </w:r>
      <w:r>
        <w:rPr/>
        <w:t>students</w:t>
      </w:r>
      <w:r>
        <w:rPr>
          <w:spacing w:val="-1"/>
        </w:rPr>
        <w:t> </w:t>
      </w:r>
      <w:r>
        <w:rPr/>
        <w:t>enrolled</w:t>
      </w:r>
      <w:r>
        <w:rPr>
          <w:spacing w:val="-1"/>
        </w:rPr>
        <w:t> </w:t>
      </w:r>
      <w:r>
        <w:rPr/>
        <w:t>in</w:t>
      </w:r>
      <w:r>
        <w:rPr>
          <w:spacing w:val="-1"/>
        </w:rPr>
        <w:t> </w:t>
      </w:r>
      <w:r>
        <w:rPr/>
        <w:t>a</w:t>
      </w:r>
      <w:r>
        <w:rPr>
          <w:spacing w:val="-1"/>
        </w:rPr>
        <w:t> </w:t>
      </w:r>
      <w:r>
        <w:rPr/>
        <w:t>business</w:t>
      </w:r>
      <w:r>
        <w:rPr>
          <w:spacing w:val="-1"/>
        </w:rPr>
        <w:t> </w:t>
      </w:r>
      <w:r>
        <w:rPr/>
        <w:t>communication course</w:t>
      </w:r>
      <w:r>
        <w:rPr>
          <w:spacing w:val="-3"/>
        </w:rPr>
        <w:t> </w:t>
      </w:r>
      <w:r>
        <w:rPr/>
        <w:t>use</w:t>
      </w:r>
      <w:r>
        <w:rPr>
          <w:spacing w:val="-3"/>
        </w:rPr>
        <w:t> </w:t>
      </w:r>
      <w:r>
        <w:rPr/>
        <w:t>AI</w:t>
      </w:r>
      <w:r>
        <w:rPr>
          <w:spacing w:val="-3"/>
        </w:rPr>
        <w:t> </w:t>
      </w:r>
      <w:r>
        <w:rPr/>
        <w:t>tools</w:t>
      </w:r>
      <w:r>
        <w:rPr>
          <w:spacing w:val="-3"/>
        </w:rPr>
        <w:t> </w:t>
      </w:r>
      <w:r>
        <w:rPr/>
        <w:t>and</w:t>
      </w:r>
      <w:r>
        <w:rPr>
          <w:spacing w:val="-3"/>
        </w:rPr>
        <w:t> </w:t>
      </w:r>
      <w:r>
        <w:rPr/>
        <w:t>how</w:t>
      </w:r>
      <w:r>
        <w:rPr>
          <w:spacing w:val="-3"/>
        </w:rPr>
        <w:t> </w:t>
      </w:r>
      <w:r>
        <w:rPr/>
        <w:t>this</w:t>
      </w:r>
      <w:r>
        <w:rPr>
          <w:spacing w:val="-3"/>
        </w:rPr>
        <w:t> </w:t>
      </w:r>
      <w:r>
        <w:rPr/>
        <w:t>use</w:t>
      </w:r>
      <w:r>
        <w:rPr>
          <w:spacing w:val="-3"/>
        </w:rPr>
        <w:t> </w:t>
      </w:r>
      <w:r>
        <w:rPr/>
        <w:t>relates</w:t>
      </w:r>
      <w:r>
        <w:rPr>
          <w:spacing w:val="-3"/>
        </w:rPr>
        <w:t> </w:t>
      </w:r>
      <w:r>
        <w:rPr/>
        <w:t>to</w:t>
      </w:r>
      <w:r>
        <w:rPr>
          <w:spacing w:val="-3"/>
        </w:rPr>
        <w:t> </w:t>
      </w:r>
      <w:r>
        <w:rPr/>
        <w:t>their</w:t>
      </w:r>
      <w:r>
        <w:rPr>
          <w:spacing w:val="-3"/>
        </w:rPr>
        <w:t> </w:t>
      </w:r>
      <w:r>
        <w:rPr/>
        <w:t>perceptions</w:t>
      </w:r>
      <w:r>
        <w:rPr>
          <w:spacing w:val="-3"/>
        </w:rPr>
        <w:t> </w:t>
      </w:r>
      <w:r>
        <w:rPr/>
        <w:t>of</w:t>
      </w:r>
      <w:r>
        <w:rPr>
          <w:spacing w:val="-3"/>
        </w:rPr>
        <w:t> </w:t>
      </w:r>
      <w:r>
        <w:rPr/>
        <w:t>writing</w:t>
      </w:r>
      <w:r>
        <w:rPr>
          <w:spacing w:val="-3"/>
        </w:rPr>
        <w:t> </w:t>
      </w:r>
      <w:r>
        <w:rPr/>
        <w:t>improvement,</w:t>
      </w:r>
      <w:r>
        <w:rPr>
          <w:spacing w:val="-3"/>
        </w:rPr>
        <w:t> </w:t>
      </w:r>
      <w:r>
        <w:rPr/>
        <w:t>learning depth, ethical confidence, and satisfaction with AI integration. The primary research question examines whether frequency of AI use correlates with perceived writing improvement.</w:t>
      </w:r>
    </w:p>
    <w:p>
      <w:pPr>
        <w:pStyle w:val="BodyText"/>
        <w:spacing w:line="266" w:lineRule="auto"/>
        <w:ind w:left="727" w:right="1381"/>
      </w:pPr>
      <w:r>
        <w:rPr/>
        <w:t>Additional</w:t>
      </w:r>
      <w:r>
        <w:rPr>
          <w:spacing w:val="-4"/>
        </w:rPr>
        <w:t> </w:t>
      </w:r>
      <w:r>
        <w:rPr/>
        <w:t>research</w:t>
      </w:r>
      <w:r>
        <w:rPr>
          <w:spacing w:val="-4"/>
        </w:rPr>
        <w:t> </w:t>
      </w:r>
      <w:r>
        <w:rPr/>
        <w:t>questions</w:t>
      </w:r>
      <w:r>
        <w:rPr>
          <w:spacing w:val="-4"/>
        </w:rPr>
        <w:t> </w:t>
      </w:r>
      <w:r>
        <w:rPr/>
        <w:t>explore</w:t>
      </w:r>
      <w:r>
        <w:rPr>
          <w:spacing w:val="-4"/>
        </w:rPr>
        <w:t> </w:t>
      </w:r>
      <w:r>
        <w:rPr/>
        <w:t>concerns</w:t>
      </w:r>
      <w:r>
        <w:rPr>
          <w:spacing w:val="-4"/>
        </w:rPr>
        <w:t> </w:t>
      </w:r>
      <w:r>
        <w:rPr/>
        <w:t>about</w:t>
      </w:r>
      <w:r>
        <w:rPr>
          <w:spacing w:val="-4"/>
        </w:rPr>
        <w:t> </w:t>
      </w:r>
      <w:r>
        <w:rPr/>
        <w:t>overreliance,</w:t>
      </w:r>
      <w:r>
        <w:rPr>
          <w:spacing w:val="-4"/>
        </w:rPr>
        <w:t> </w:t>
      </w:r>
      <w:r>
        <w:rPr/>
        <w:t>deep</w:t>
      </w:r>
      <w:r>
        <w:rPr>
          <w:spacing w:val="-4"/>
        </w:rPr>
        <w:t> </w:t>
      </w:r>
      <w:r>
        <w:rPr/>
        <w:t>versus</w:t>
      </w:r>
      <w:r>
        <w:rPr>
          <w:spacing w:val="-4"/>
        </w:rPr>
        <w:t> </w:t>
      </w:r>
      <w:r>
        <w:rPr/>
        <w:t>surface</w:t>
      </w:r>
      <w:r>
        <w:rPr>
          <w:spacing w:val="-4"/>
        </w:rPr>
        <w:t> </w:t>
      </w:r>
      <w:r>
        <w:rPr/>
        <w:t>learning, clarity of AI policies, and beliefs about AI’s relevance to future careers. With a sample of 75 students and analyses that will be conducted in Excel, the study offers a practical, accessible model for examining AI use in classroom settings.</w:t>
      </w:r>
    </w:p>
    <w:p>
      <w:pPr>
        <w:pStyle w:val="Heading4"/>
        <w:spacing w:before="173"/>
        <w:ind w:left="727"/>
      </w:pPr>
      <w:r>
        <w:rPr>
          <w:spacing w:val="-2"/>
        </w:rPr>
        <w:t>Methodology</w:t>
      </w:r>
    </w:p>
    <w:p>
      <w:pPr>
        <w:pStyle w:val="BodyText"/>
        <w:spacing w:line="266" w:lineRule="auto" w:before="200"/>
        <w:ind w:left="727" w:right="1461"/>
      </w:pPr>
      <w:r>
        <w:rPr/>
        <w:t>Participants are 75 undergraduate students enrolled in an online business communication course at</w:t>
      </w:r>
      <w:r>
        <w:rPr>
          <w:spacing w:val="-3"/>
        </w:rPr>
        <w:t> </w:t>
      </w:r>
      <w:r>
        <w:rPr/>
        <w:t>a</w:t>
      </w:r>
      <w:r>
        <w:rPr>
          <w:spacing w:val="-3"/>
        </w:rPr>
        <w:t> </w:t>
      </w:r>
      <w:r>
        <w:rPr/>
        <w:t>mid-sized</w:t>
      </w:r>
      <w:r>
        <w:rPr>
          <w:spacing w:val="-3"/>
        </w:rPr>
        <w:t> </w:t>
      </w:r>
      <w:r>
        <w:rPr/>
        <w:t>public</w:t>
      </w:r>
      <w:r>
        <w:rPr>
          <w:spacing w:val="-3"/>
        </w:rPr>
        <w:t> </w:t>
      </w:r>
      <w:r>
        <w:rPr/>
        <w:t>university</w:t>
      </w:r>
      <w:r>
        <w:rPr>
          <w:spacing w:val="-3"/>
        </w:rPr>
        <w:t> </w:t>
      </w:r>
      <w:r>
        <w:rPr/>
        <w:t>in</w:t>
      </w:r>
      <w:r>
        <w:rPr>
          <w:spacing w:val="-3"/>
        </w:rPr>
        <w:t> </w:t>
      </w:r>
      <w:r>
        <w:rPr/>
        <w:t>the</w:t>
      </w:r>
      <w:r>
        <w:rPr>
          <w:spacing w:val="-3"/>
        </w:rPr>
        <w:t> </w:t>
      </w:r>
      <w:r>
        <w:rPr/>
        <w:t>United</w:t>
      </w:r>
      <w:r>
        <w:rPr>
          <w:spacing w:val="-3"/>
        </w:rPr>
        <w:t> </w:t>
      </w:r>
      <w:r>
        <w:rPr/>
        <w:t>States.</w:t>
      </w:r>
      <w:r>
        <w:rPr>
          <w:spacing w:val="-3"/>
        </w:rPr>
        <w:t> </w:t>
      </w:r>
      <w:r>
        <w:rPr/>
        <w:t>All</w:t>
      </w:r>
      <w:r>
        <w:rPr>
          <w:spacing w:val="-3"/>
        </w:rPr>
        <w:t> </w:t>
      </w:r>
      <w:r>
        <w:rPr/>
        <w:t>participants</w:t>
      </w:r>
      <w:r>
        <w:rPr>
          <w:spacing w:val="-3"/>
        </w:rPr>
        <w:t> </w:t>
      </w:r>
      <w:r>
        <w:rPr/>
        <w:t>are</w:t>
      </w:r>
      <w:r>
        <w:rPr>
          <w:spacing w:val="-3"/>
        </w:rPr>
        <w:t> </w:t>
      </w:r>
      <w:r>
        <w:rPr/>
        <w:t>at</w:t>
      </w:r>
      <w:r>
        <w:rPr>
          <w:spacing w:val="-3"/>
        </w:rPr>
        <w:t> </w:t>
      </w:r>
      <w:r>
        <w:rPr/>
        <w:t>least</w:t>
      </w:r>
      <w:r>
        <w:rPr>
          <w:spacing w:val="-3"/>
        </w:rPr>
        <w:t> </w:t>
      </w:r>
      <w:r>
        <w:rPr/>
        <w:t>18</w:t>
      </w:r>
      <w:r>
        <w:rPr>
          <w:spacing w:val="-3"/>
        </w:rPr>
        <w:t> </w:t>
      </w:r>
      <w:r>
        <w:rPr/>
        <w:t>years</w:t>
      </w:r>
      <w:r>
        <w:rPr>
          <w:spacing w:val="-3"/>
        </w:rPr>
        <w:t> </w:t>
      </w:r>
      <w:r>
        <w:rPr/>
        <w:t>old</w:t>
      </w:r>
      <w:r>
        <w:rPr>
          <w:spacing w:val="-3"/>
        </w:rPr>
        <w:t> </w:t>
      </w:r>
      <w:r>
        <w:rPr/>
        <w:t>and will complete the survey voluntarily during the final third of the 7-week term. The course emphasizes</w:t>
      </w:r>
      <w:r>
        <w:rPr>
          <w:spacing w:val="-2"/>
        </w:rPr>
        <w:t> </w:t>
      </w:r>
      <w:r>
        <w:rPr/>
        <w:t>professional</w:t>
      </w:r>
      <w:r>
        <w:rPr>
          <w:spacing w:val="-2"/>
        </w:rPr>
        <w:t> </w:t>
      </w:r>
      <w:r>
        <w:rPr/>
        <w:t>writing,</w:t>
      </w:r>
      <w:r>
        <w:rPr>
          <w:spacing w:val="-2"/>
        </w:rPr>
        <w:t> </w:t>
      </w:r>
      <w:r>
        <w:rPr/>
        <w:t>audience</w:t>
      </w:r>
      <w:r>
        <w:rPr>
          <w:spacing w:val="-2"/>
        </w:rPr>
        <w:t> </w:t>
      </w:r>
      <w:r>
        <w:rPr/>
        <w:t>analysis,</w:t>
      </w:r>
      <w:r>
        <w:rPr>
          <w:spacing w:val="-2"/>
        </w:rPr>
        <w:t> </w:t>
      </w:r>
      <w:r>
        <w:rPr/>
        <w:t>message</w:t>
      </w:r>
      <w:r>
        <w:rPr>
          <w:spacing w:val="-2"/>
        </w:rPr>
        <w:t> </w:t>
      </w:r>
      <w:r>
        <w:rPr/>
        <w:t>clarity,</w:t>
      </w:r>
      <w:r>
        <w:rPr>
          <w:spacing w:val="-2"/>
        </w:rPr>
        <w:t> </w:t>
      </w:r>
      <w:r>
        <w:rPr/>
        <w:t>and</w:t>
      </w:r>
      <w:r>
        <w:rPr>
          <w:spacing w:val="-2"/>
        </w:rPr>
        <w:t> </w:t>
      </w:r>
      <w:r>
        <w:rPr/>
        <w:t>ethical</w:t>
      </w:r>
      <w:r>
        <w:rPr>
          <w:spacing w:val="-2"/>
        </w:rPr>
        <w:t> </w:t>
      </w:r>
      <w:r>
        <w:rPr/>
        <w:t>communication, making it an ideal context for examining AI-supported writing.</w:t>
      </w:r>
    </w:p>
    <w:p>
      <w:pPr>
        <w:pStyle w:val="BodyText"/>
        <w:spacing w:line="266" w:lineRule="auto" w:before="171"/>
        <w:ind w:left="712" w:right="1191" w:firstLine="15"/>
      </w:pPr>
      <w:r>
        <w:rPr/>
        <w:t>AI</w:t>
      </w:r>
      <w:r>
        <w:rPr>
          <w:spacing w:val="-3"/>
        </w:rPr>
        <w:t> </w:t>
      </w:r>
      <w:r>
        <w:rPr/>
        <w:t>use</w:t>
      </w:r>
      <w:r>
        <w:rPr>
          <w:spacing w:val="-3"/>
        </w:rPr>
        <w:t> </w:t>
      </w:r>
      <w:r>
        <w:rPr/>
        <w:t>will</w:t>
      </w:r>
      <w:r>
        <w:rPr>
          <w:spacing w:val="-3"/>
        </w:rPr>
        <w:t> </w:t>
      </w:r>
      <w:r>
        <w:rPr/>
        <w:t>be</w:t>
      </w:r>
      <w:r>
        <w:rPr>
          <w:spacing w:val="-3"/>
        </w:rPr>
        <w:t> </w:t>
      </w:r>
      <w:r>
        <w:rPr/>
        <w:t>assessed</w:t>
      </w:r>
      <w:r>
        <w:rPr>
          <w:spacing w:val="-3"/>
        </w:rPr>
        <w:t> </w:t>
      </w:r>
      <w:r>
        <w:rPr/>
        <w:t>through</w:t>
      </w:r>
      <w:r>
        <w:rPr>
          <w:spacing w:val="-3"/>
        </w:rPr>
        <w:t> </w:t>
      </w:r>
      <w:r>
        <w:rPr/>
        <w:t>two</w:t>
      </w:r>
      <w:r>
        <w:rPr>
          <w:spacing w:val="-3"/>
        </w:rPr>
        <w:t> </w:t>
      </w:r>
      <w:r>
        <w:rPr/>
        <w:t>indicators:</w:t>
      </w:r>
      <w:r>
        <w:rPr>
          <w:spacing w:val="-3"/>
        </w:rPr>
        <w:t> </w:t>
      </w:r>
      <w:r>
        <w:rPr/>
        <w:t>(a)</w:t>
      </w:r>
      <w:r>
        <w:rPr>
          <w:spacing w:val="-3"/>
        </w:rPr>
        <w:t> </w:t>
      </w:r>
      <w:r>
        <w:rPr/>
        <w:t>frequency</w:t>
      </w:r>
      <w:r>
        <w:rPr>
          <w:spacing w:val="-3"/>
        </w:rPr>
        <w:t> </w:t>
      </w:r>
      <w:r>
        <w:rPr/>
        <w:t>of</w:t>
      </w:r>
      <w:r>
        <w:rPr>
          <w:spacing w:val="-3"/>
        </w:rPr>
        <w:t> </w:t>
      </w:r>
      <w:r>
        <w:rPr/>
        <w:t>AI</w:t>
      </w:r>
      <w:r>
        <w:rPr>
          <w:spacing w:val="-3"/>
        </w:rPr>
        <w:t> </w:t>
      </w:r>
      <w:r>
        <w:rPr/>
        <w:t>use</w:t>
      </w:r>
      <w:r>
        <w:rPr>
          <w:spacing w:val="-3"/>
        </w:rPr>
        <w:t> </w:t>
      </w:r>
      <w:r>
        <w:rPr/>
        <w:t>for</w:t>
      </w:r>
      <w:r>
        <w:rPr>
          <w:spacing w:val="-3"/>
        </w:rPr>
        <w:t> </w:t>
      </w:r>
      <w:r>
        <w:rPr/>
        <w:t>course</w:t>
      </w:r>
      <w:r>
        <w:rPr>
          <w:spacing w:val="-3"/>
        </w:rPr>
        <w:t> </w:t>
      </w:r>
      <w:r>
        <w:rPr/>
        <w:t>assignments, measured</w:t>
      </w:r>
      <w:r>
        <w:rPr>
          <w:spacing w:val="-1"/>
        </w:rPr>
        <w:t> </w:t>
      </w:r>
      <w:r>
        <w:rPr/>
        <w:t>on</w:t>
      </w:r>
      <w:r>
        <w:rPr>
          <w:spacing w:val="-1"/>
        </w:rPr>
        <w:t> </w:t>
      </w:r>
      <w:r>
        <w:rPr/>
        <w:t>a 1–5</w:t>
      </w:r>
      <w:r>
        <w:rPr>
          <w:spacing w:val="-1"/>
        </w:rPr>
        <w:t> </w:t>
      </w:r>
      <w:r>
        <w:rPr/>
        <w:t>Likert scale</w:t>
      </w:r>
      <w:r>
        <w:rPr>
          <w:spacing w:val="-1"/>
        </w:rPr>
        <w:t> </w:t>
      </w:r>
      <w:r>
        <w:rPr/>
        <w:t>(1 =</w:t>
      </w:r>
      <w:r>
        <w:rPr>
          <w:spacing w:val="-1"/>
        </w:rPr>
        <w:t> </w:t>
      </w:r>
      <w:r>
        <w:rPr/>
        <w:t>never, 5</w:t>
      </w:r>
      <w:r>
        <w:rPr>
          <w:spacing w:val="-1"/>
        </w:rPr>
        <w:t> </w:t>
      </w:r>
      <w:r>
        <w:rPr/>
        <w:t>= very</w:t>
      </w:r>
      <w:r>
        <w:rPr>
          <w:spacing w:val="-1"/>
        </w:rPr>
        <w:t> </w:t>
      </w:r>
      <w:r>
        <w:rPr/>
        <w:t>often), and</w:t>
      </w:r>
      <w:r>
        <w:rPr>
          <w:spacing w:val="-1"/>
        </w:rPr>
        <w:t> </w:t>
      </w:r>
      <w:r>
        <w:rPr/>
        <w:t>(b) breadth</w:t>
      </w:r>
      <w:r>
        <w:rPr>
          <w:spacing w:val="-1"/>
        </w:rPr>
        <w:t> </w:t>
      </w:r>
      <w:r>
        <w:rPr/>
        <w:t>of AI</w:t>
      </w:r>
      <w:r>
        <w:rPr>
          <w:spacing w:val="-1"/>
        </w:rPr>
        <w:t> </w:t>
      </w:r>
      <w:r>
        <w:rPr/>
        <w:t>use, </w:t>
      </w:r>
      <w:r>
        <w:rPr>
          <w:spacing w:val="-2"/>
        </w:rPr>
        <w:t>measured</w:t>
      </w:r>
    </w:p>
    <w:p>
      <w:pPr>
        <w:pStyle w:val="BodyText"/>
        <w:spacing w:after="0" w:line="266" w:lineRule="auto"/>
        <w:sectPr>
          <w:pgSz w:w="12240" w:h="15840"/>
          <w:pgMar w:header="0" w:footer="707" w:top="620" w:bottom="960" w:left="720" w:right="0"/>
        </w:sectPr>
      </w:pPr>
    </w:p>
    <w:p>
      <w:pPr>
        <w:pStyle w:val="BodyText"/>
        <w:spacing w:line="266" w:lineRule="auto" w:before="60"/>
        <w:ind w:left="712" w:right="1461"/>
      </w:pPr>
      <w:r>
        <w:rPr/>
        <w:t>by counting the number of AI tools or tool types students reported using (e.g., text generation, grammar</w:t>
      </w:r>
      <w:r>
        <w:rPr>
          <w:spacing w:val="-4"/>
        </w:rPr>
        <w:t> </w:t>
      </w:r>
      <w:r>
        <w:rPr/>
        <w:t>checking,</w:t>
      </w:r>
      <w:r>
        <w:rPr>
          <w:spacing w:val="-4"/>
        </w:rPr>
        <w:t> </w:t>
      </w:r>
      <w:r>
        <w:rPr/>
        <w:t>tone</w:t>
      </w:r>
      <w:r>
        <w:rPr>
          <w:spacing w:val="-4"/>
        </w:rPr>
        <w:t> </w:t>
      </w:r>
      <w:r>
        <w:rPr/>
        <w:t>adjustment).</w:t>
      </w:r>
      <w:r>
        <w:rPr>
          <w:spacing w:val="-4"/>
        </w:rPr>
        <w:t> </w:t>
      </w:r>
      <w:r>
        <w:rPr/>
        <w:t>Prior</w:t>
      </w:r>
      <w:r>
        <w:rPr>
          <w:spacing w:val="-4"/>
        </w:rPr>
        <w:t> </w:t>
      </w:r>
      <w:r>
        <w:rPr/>
        <w:t>research</w:t>
      </w:r>
      <w:r>
        <w:rPr>
          <w:spacing w:val="-4"/>
        </w:rPr>
        <w:t> </w:t>
      </w:r>
      <w:r>
        <w:rPr/>
        <w:t>suggests</w:t>
      </w:r>
      <w:r>
        <w:rPr>
          <w:spacing w:val="-4"/>
        </w:rPr>
        <w:t> </w:t>
      </w:r>
      <w:r>
        <w:rPr/>
        <w:t>that</w:t>
      </w:r>
      <w:r>
        <w:rPr>
          <w:spacing w:val="-4"/>
        </w:rPr>
        <w:t> </w:t>
      </w:r>
      <w:r>
        <w:rPr/>
        <w:t>both</w:t>
      </w:r>
      <w:r>
        <w:rPr>
          <w:spacing w:val="-4"/>
        </w:rPr>
        <w:t> </w:t>
      </w:r>
      <w:r>
        <w:rPr/>
        <w:t>frequency</w:t>
      </w:r>
      <w:r>
        <w:rPr>
          <w:spacing w:val="-4"/>
        </w:rPr>
        <w:t> </w:t>
      </w:r>
      <w:r>
        <w:rPr/>
        <w:t>and</w:t>
      </w:r>
      <w:r>
        <w:rPr>
          <w:spacing w:val="-4"/>
        </w:rPr>
        <w:t> </w:t>
      </w:r>
      <w:r>
        <w:rPr/>
        <w:t>breadth</w:t>
      </w:r>
      <w:r>
        <w:rPr>
          <w:spacing w:val="-4"/>
        </w:rPr>
        <w:t> </w:t>
      </w:r>
      <w:r>
        <w:rPr/>
        <w:t>of AI use can meaningfully shape learning outcomes (Kasneci et al., 2023).</w:t>
      </w:r>
    </w:p>
    <w:p>
      <w:pPr>
        <w:pStyle w:val="BodyText"/>
        <w:spacing w:line="266" w:lineRule="auto" w:before="174"/>
        <w:ind w:left="727" w:right="1191"/>
      </w:pPr>
      <w:r>
        <w:rPr/>
        <w:t>Writing improvement will be measured using five Likert-scale items assessing clarity, tone, organization,</w:t>
      </w:r>
      <w:r>
        <w:rPr>
          <w:spacing w:val="-4"/>
        </w:rPr>
        <w:t> </w:t>
      </w:r>
      <w:r>
        <w:rPr/>
        <w:t>conciseness,</w:t>
      </w:r>
      <w:r>
        <w:rPr>
          <w:spacing w:val="-4"/>
        </w:rPr>
        <w:t> </w:t>
      </w:r>
      <w:r>
        <w:rPr/>
        <w:t>and</w:t>
      </w:r>
      <w:r>
        <w:rPr>
          <w:spacing w:val="-4"/>
        </w:rPr>
        <w:t> </w:t>
      </w:r>
      <w:r>
        <w:rPr/>
        <w:t>perceived</w:t>
      </w:r>
      <w:r>
        <w:rPr>
          <w:spacing w:val="-4"/>
        </w:rPr>
        <w:t> </w:t>
      </w:r>
      <w:r>
        <w:rPr/>
        <w:t>skill</w:t>
      </w:r>
      <w:r>
        <w:rPr>
          <w:spacing w:val="-4"/>
        </w:rPr>
        <w:t> </w:t>
      </w:r>
      <w:r>
        <w:rPr/>
        <w:t>development.</w:t>
      </w:r>
      <w:r>
        <w:rPr>
          <w:spacing w:val="-4"/>
        </w:rPr>
        <w:t> </w:t>
      </w:r>
      <w:r>
        <w:rPr/>
        <w:t>Items</w:t>
      </w:r>
      <w:r>
        <w:rPr>
          <w:spacing w:val="-4"/>
        </w:rPr>
        <w:t> </w:t>
      </w:r>
      <w:r>
        <w:rPr/>
        <w:t>include</w:t>
      </w:r>
      <w:r>
        <w:rPr>
          <w:spacing w:val="-4"/>
        </w:rPr>
        <w:t> </w:t>
      </w:r>
      <w:r>
        <w:rPr/>
        <w:t>statements</w:t>
      </w:r>
      <w:r>
        <w:rPr>
          <w:spacing w:val="-4"/>
        </w:rPr>
        <w:t> </w:t>
      </w:r>
      <w:r>
        <w:rPr/>
        <w:t>such</w:t>
      </w:r>
      <w:r>
        <w:rPr>
          <w:spacing w:val="-4"/>
        </w:rPr>
        <w:t> </w:t>
      </w:r>
      <w:r>
        <w:rPr/>
        <w:t>as</w:t>
      </w:r>
      <w:r>
        <w:rPr>
          <w:spacing w:val="-4"/>
        </w:rPr>
        <w:t> </w:t>
      </w:r>
      <w:r>
        <w:rPr/>
        <w:t>“AI helps me produce clearer business messages” and “Using AI tools in this course improves my writing skills over time.” Responses will be averaged to create a Writing Improvement Scale.</w:t>
      </w:r>
    </w:p>
    <w:p>
      <w:pPr>
        <w:pStyle w:val="BodyText"/>
        <w:spacing w:line="266" w:lineRule="auto"/>
        <w:ind w:left="727" w:right="1619"/>
      </w:pPr>
      <w:r>
        <w:rPr/>
        <w:t>Similar</w:t>
      </w:r>
      <w:r>
        <w:rPr>
          <w:spacing w:val="-4"/>
        </w:rPr>
        <w:t> </w:t>
      </w:r>
      <w:r>
        <w:rPr/>
        <w:t>multi-item</w:t>
      </w:r>
      <w:r>
        <w:rPr>
          <w:spacing w:val="-4"/>
        </w:rPr>
        <w:t> </w:t>
      </w:r>
      <w:r>
        <w:rPr/>
        <w:t>scales</w:t>
      </w:r>
      <w:r>
        <w:rPr>
          <w:spacing w:val="-4"/>
        </w:rPr>
        <w:t> </w:t>
      </w:r>
      <w:r>
        <w:rPr/>
        <w:t>have</w:t>
      </w:r>
      <w:r>
        <w:rPr>
          <w:spacing w:val="-4"/>
        </w:rPr>
        <w:t> </w:t>
      </w:r>
      <w:r>
        <w:rPr/>
        <w:t>been</w:t>
      </w:r>
      <w:r>
        <w:rPr>
          <w:spacing w:val="-4"/>
        </w:rPr>
        <w:t> </w:t>
      </w:r>
      <w:r>
        <w:rPr/>
        <w:t>used</w:t>
      </w:r>
      <w:r>
        <w:rPr>
          <w:spacing w:val="-4"/>
        </w:rPr>
        <w:t> </w:t>
      </w:r>
      <w:r>
        <w:rPr/>
        <w:t>in</w:t>
      </w:r>
      <w:r>
        <w:rPr>
          <w:spacing w:val="-4"/>
        </w:rPr>
        <w:t> </w:t>
      </w:r>
      <w:r>
        <w:rPr/>
        <w:t>studies</w:t>
      </w:r>
      <w:r>
        <w:rPr>
          <w:spacing w:val="-4"/>
        </w:rPr>
        <w:t> </w:t>
      </w:r>
      <w:r>
        <w:rPr/>
        <w:t>examining</w:t>
      </w:r>
      <w:r>
        <w:rPr>
          <w:spacing w:val="-4"/>
        </w:rPr>
        <w:t> </w:t>
      </w:r>
      <w:r>
        <w:rPr/>
        <w:t>AI-supported</w:t>
      </w:r>
      <w:r>
        <w:rPr>
          <w:spacing w:val="-4"/>
        </w:rPr>
        <w:t> </w:t>
      </w:r>
      <w:r>
        <w:rPr/>
        <w:t>writing </w:t>
      </w:r>
      <w:r>
        <w:rPr>
          <w:spacing w:val="-2"/>
        </w:rPr>
        <w:t>development.</w:t>
      </w:r>
    </w:p>
    <w:p>
      <w:pPr>
        <w:pStyle w:val="BodyText"/>
        <w:spacing w:line="266" w:lineRule="auto" w:before="173"/>
        <w:ind w:left="727" w:right="1461"/>
      </w:pPr>
      <w:r>
        <w:rPr/>
        <w:t>Deep learning and surface learning will each be measured with single items. Deep learning assesses</w:t>
      </w:r>
      <w:r>
        <w:rPr>
          <w:spacing w:val="-4"/>
        </w:rPr>
        <w:t> </w:t>
      </w:r>
      <w:r>
        <w:rPr/>
        <w:t>whether</w:t>
      </w:r>
      <w:r>
        <w:rPr>
          <w:spacing w:val="-4"/>
        </w:rPr>
        <w:t> </w:t>
      </w:r>
      <w:r>
        <w:rPr/>
        <w:t>AI</w:t>
      </w:r>
      <w:r>
        <w:rPr>
          <w:spacing w:val="-4"/>
        </w:rPr>
        <w:t> </w:t>
      </w:r>
      <w:r>
        <w:rPr/>
        <w:t>helped</w:t>
      </w:r>
      <w:r>
        <w:rPr>
          <w:spacing w:val="-4"/>
        </w:rPr>
        <w:t> </w:t>
      </w:r>
      <w:r>
        <w:rPr/>
        <w:t>students</w:t>
      </w:r>
      <w:r>
        <w:rPr>
          <w:spacing w:val="-4"/>
        </w:rPr>
        <w:t> </w:t>
      </w:r>
      <w:r>
        <w:rPr/>
        <w:t>understand</w:t>
      </w:r>
      <w:r>
        <w:rPr>
          <w:spacing w:val="-4"/>
        </w:rPr>
        <w:t> </w:t>
      </w:r>
      <w:r>
        <w:rPr/>
        <w:t>communication</w:t>
      </w:r>
      <w:r>
        <w:rPr>
          <w:spacing w:val="-4"/>
        </w:rPr>
        <w:t> </w:t>
      </w:r>
      <w:r>
        <w:rPr/>
        <w:t>concepts,</w:t>
      </w:r>
      <w:r>
        <w:rPr>
          <w:spacing w:val="-4"/>
        </w:rPr>
        <w:t> </w:t>
      </w:r>
      <w:r>
        <w:rPr/>
        <w:t>while</w:t>
      </w:r>
      <w:r>
        <w:rPr>
          <w:spacing w:val="-4"/>
        </w:rPr>
        <w:t> </w:t>
      </w:r>
      <w:r>
        <w:rPr/>
        <w:t>surface</w:t>
      </w:r>
      <w:r>
        <w:rPr>
          <w:spacing w:val="-4"/>
        </w:rPr>
        <w:t> </w:t>
      </w:r>
      <w:r>
        <w:rPr/>
        <w:t>learning assesses whether students use AI primarily to complete assignments rather than learn. These constructs align with established learning theory frameworks (Biggs, 1987; Entwistle &amp; Ramsden, 2015).</w:t>
      </w:r>
    </w:p>
    <w:p>
      <w:pPr>
        <w:pStyle w:val="BodyText"/>
        <w:spacing w:line="266" w:lineRule="auto" w:before="171"/>
        <w:ind w:left="727" w:right="1461"/>
      </w:pPr>
      <w:r>
        <w:rPr/>
        <w:t>Ethical confidence is measured with the item “I feel confident that I can use AI tools in a way that</w:t>
      </w:r>
      <w:r>
        <w:rPr>
          <w:spacing w:val="-3"/>
        </w:rPr>
        <w:t> </w:t>
      </w:r>
      <w:r>
        <w:rPr/>
        <w:t>is</w:t>
      </w:r>
      <w:r>
        <w:rPr>
          <w:spacing w:val="-3"/>
        </w:rPr>
        <w:t> </w:t>
      </w:r>
      <w:r>
        <w:rPr/>
        <w:t>ethical</w:t>
      </w:r>
      <w:r>
        <w:rPr>
          <w:spacing w:val="-3"/>
        </w:rPr>
        <w:t> </w:t>
      </w:r>
      <w:r>
        <w:rPr/>
        <w:t>and</w:t>
      </w:r>
      <w:r>
        <w:rPr>
          <w:spacing w:val="-3"/>
        </w:rPr>
        <w:t> </w:t>
      </w:r>
      <w:r>
        <w:rPr/>
        <w:t>honest.”</w:t>
      </w:r>
      <w:r>
        <w:rPr>
          <w:spacing w:val="-3"/>
        </w:rPr>
        <w:t> </w:t>
      </w:r>
      <w:r>
        <w:rPr/>
        <w:t>Policy</w:t>
      </w:r>
      <w:r>
        <w:rPr>
          <w:spacing w:val="-3"/>
        </w:rPr>
        <w:t> </w:t>
      </w:r>
      <w:r>
        <w:rPr/>
        <w:t>clarity</w:t>
      </w:r>
      <w:r>
        <w:rPr>
          <w:spacing w:val="-3"/>
        </w:rPr>
        <w:t> </w:t>
      </w:r>
      <w:r>
        <w:rPr/>
        <w:t>is</w:t>
      </w:r>
      <w:r>
        <w:rPr>
          <w:spacing w:val="-3"/>
        </w:rPr>
        <w:t> </w:t>
      </w:r>
      <w:r>
        <w:rPr/>
        <w:t>measured</w:t>
      </w:r>
      <w:r>
        <w:rPr>
          <w:spacing w:val="-3"/>
        </w:rPr>
        <w:t> </w:t>
      </w:r>
      <w:r>
        <w:rPr/>
        <w:t>with</w:t>
      </w:r>
      <w:r>
        <w:rPr>
          <w:spacing w:val="-3"/>
        </w:rPr>
        <w:t> </w:t>
      </w:r>
      <w:r>
        <w:rPr/>
        <w:t>“The</w:t>
      </w:r>
      <w:r>
        <w:rPr>
          <w:spacing w:val="-3"/>
        </w:rPr>
        <w:t> </w:t>
      </w:r>
      <w:r>
        <w:rPr/>
        <w:t>instructor</w:t>
      </w:r>
      <w:r>
        <w:rPr>
          <w:spacing w:val="-3"/>
        </w:rPr>
        <w:t> </w:t>
      </w:r>
      <w:r>
        <w:rPr/>
        <w:t>has</w:t>
      </w:r>
      <w:r>
        <w:rPr>
          <w:spacing w:val="-3"/>
        </w:rPr>
        <w:t> </w:t>
      </w:r>
      <w:r>
        <w:rPr/>
        <w:t>clearly</w:t>
      </w:r>
      <w:r>
        <w:rPr>
          <w:spacing w:val="-3"/>
        </w:rPr>
        <w:t> </w:t>
      </w:r>
      <w:r>
        <w:rPr/>
        <w:t>explained the AI policy for this course.” Research suggests that clear guidelines significantly influence students’ ethical decision-making in AI-rich environments (Moya et al., 2024).</w:t>
      </w:r>
    </w:p>
    <w:p>
      <w:pPr>
        <w:pStyle w:val="BodyText"/>
        <w:spacing w:line="266" w:lineRule="auto" w:before="175"/>
        <w:ind w:left="727" w:right="1461" w:firstLine="15"/>
      </w:pPr>
      <w:r>
        <w:rPr/>
        <w:t>Students will rate the perceived importance of AI in their future careers and their satisfaction with</w:t>
      </w:r>
      <w:r>
        <w:rPr>
          <w:spacing w:val="-3"/>
        </w:rPr>
        <w:t> </w:t>
      </w:r>
      <w:r>
        <w:rPr/>
        <w:t>how</w:t>
      </w:r>
      <w:r>
        <w:rPr>
          <w:spacing w:val="-3"/>
        </w:rPr>
        <w:t> </w:t>
      </w:r>
      <w:r>
        <w:rPr/>
        <w:t>AI</w:t>
      </w:r>
      <w:r>
        <w:rPr>
          <w:spacing w:val="-3"/>
        </w:rPr>
        <w:t> </w:t>
      </w:r>
      <w:r>
        <w:rPr/>
        <w:t>was</w:t>
      </w:r>
      <w:r>
        <w:rPr>
          <w:spacing w:val="-3"/>
        </w:rPr>
        <w:t> </w:t>
      </w:r>
      <w:r>
        <w:rPr/>
        <w:t>incorporated</w:t>
      </w:r>
      <w:r>
        <w:rPr>
          <w:spacing w:val="-3"/>
        </w:rPr>
        <w:t> </w:t>
      </w:r>
      <w:r>
        <w:rPr/>
        <w:t>into</w:t>
      </w:r>
      <w:r>
        <w:rPr>
          <w:spacing w:val="-3"/>
        </w:rPr>
        <w:t> </w:t>
      </w:r>
      <w:r>
        <w:rPr/>
        <w:t>the</w:t>
      </w:r>
      <w:r>
        <w:rPr>
          <w:spacing w:val="-3"/>
        </w:rPr>
        <w:t> </w:t>
      </w:r>
      <w:r>
        <w:rPr/>
        <w:t>course.</w:t>
      </w:r>
      <w:r>
        <w:rPr>
          <w:spacing w:val="-3"/>
        </w:rPr>
        <w:t> </w:t>
      </w:r>
      <w:r>
        <w:rPr/>
        <w:t>Prior</w:t>
      </w:r>
      <w:r>
        <w:rPr>
          <w:spacing w:val="-3"/>
        </w:rPr>
        <w:t> </w:t>
      </w:r>
      <w:r>
        <w:rPr/>
        <w:t>studies</w:t>
      </w:r>
      <w:r>
        <w:rPr>
          <w:spacing w:val="-3"/>
        </w:rPr>
        <w:t> </w:t>
      </w:r>
      <w:r>
        <w:rPr/>
        <w:t>indicate</w:t>
      </w:r>
      <w:r>
        <w:rPr>
          <w:spacing w:val="-3"/>
        </w:rPr>
        <w:t> </w:t>
      </w:r>
      <w:r>
        <w:rPr/>
        <w:t>that</w:t>
      </w:r>
      <w:r>
        <w:rPr>
          <w:spacing w:val="-3"/>
        </w:rPr>
        <w:t> </w:t>
      </w:r>
      <w:r>
        <w:rPr/>
        <w:t>students’</w:t>
      </w:r>
      <w:r>
        <w:rPr>
          <w:spacing w:val="-3"/>
        </w:rPr>
        <w:t> </w:t>
      </w:r>
      <w:r>
        <w:rPr/>
        <w:t>beliefs</w:t>
      </w:r>
      <w:r>
        <w:rPr>
          <w:spacing w:val="-3"/>
        </w:rPr>
        <w:t> </w:t>
      </w:r>
      <w:r>
        <w:rPr/>
        <w:t>about AI’s workplace relevance strongly shape their adoption of AI tools (Huang &amp; Rust, 2021).</w:t>
      </w:r>
    </w:p>
    <w:p>
      <w:pPr>
        <w:pStyle w:val="BodyText"/>
        <w:spacing w:line="266" w:lineRule="auto" w:before="172"/>
        <w:ind w:left="727" w:right="1461" w:firstLine="15"/>
      </w:pPr>
      <w:r>
        <w:rPr/>
        <w:t>Students will complete an anonymous online survey. The survey includes demographic questions, AI use questions, and items assessing perceptions of writing improvement, learning, ethics, and attitudes toward AI. Participation has no impact on course grades. The study was designed</w:t>
      </w:r>
      <w:r>
        <w:rPr>
          <w:spacing w:val="-3"/>
        </w:rPr>
        <w:t> </w:t>
      </w:r>
      <w:r>
        <w:rPr/>
        <w:t>to</w:t>
      </w:r>
      <w:r>
        <w:rPr>
          <w:spacing w:val="-3"/>
        </w:rPr>
        <w:t> </w:t>
      </w:r>
      <w:r>
        <w:rPr/>
        <w:t>be</w:t>
      </w:r>
      <w:r>
        <w:rPr>
          <w:spacing w:val="-3"/>
        </w:rPr>
        <w:t> </w:t>
      </w:r>
      <w:r>
        <w:rPr/>
        <w:t>low-stakes</w:t>
      </w:r>
      <w:r>
        <w:rPr>
          <w:spacing w:val="-3"/>
        </w:rPr>
        <w:t> </w:t>
      </w:r>
      <w:r>
        <w:rPr/>
        <w:t>and</w:t>
      </w:r>
      <w:r>
        <w:rPr>
          <w:spacing w:val="-3"/>
        </w:rPr>
        <w:t> </w:t>
      </w:r>
      <w:r>
        <w:rPr/>
        <w:t>reflective</w:t>
      </w:r>
      <w:r>
        <w:rPr>
          <w:spacing w:val="-3"/>
        </w:rPr>
        <w:t> </w:t>
      </w:r>
      <w:r>
        <w:rPr/>
        <w:t>of</w:t>
      </w:r>
      <w:r>
        <w:rPr>
          <w:spacing w:val="-3"/>
        </w:rPr>
        <w:t> </w:t>
      </w:r>
      <w:r>
        <w:rPr/>
        <w:t>students’</w:t>
      </w:r>
      <w:r>
        <w:rPr>
          <w:spacing w:val="-3"/>
        </w:rPr>
        <w:t> </w:t>
      </w:r>
      <w:r>
        <w:rPr/>
        <w:t>authentic</w:t>
      </w:r>
      <w:r>
        <w:rPr>
          <w:spacing w:val="-3"/>
        </w:rPr>
        <w:t> </w:t>
      </w:r>
      <w:r>
        <w:rPr/>
        <w:t>experiences</w:t>
      </w:r>
      <w:r>
        <w:rPr>
          <w:spacing w:val="-3"/>
        </w:rPr>
        <w:t> </w:t>
      </w:r>
      <w:r>
        <w:rPr/>
        <w:t>with</w:t>
      </w:r>
      <w:r>
        <w:rPr>
          <w:spacing w:val="-3"/>
        </w:rPr>
        <w:t> </w:t>
      </w:r>
      <w:r>
        <w:rPr/>
        <w:t>AI</w:t>
      </w:r>
      <w:r>
        <w:rPr>
          <w:spacing w:val="-3"/>
        </w:rPr>
        <w:t> </w:t>
      </w:r>
      <w:r>
        <w:rPr/>
        <w:t>in</w:t>
      </w:r>
      <w:r>
        <w:rPr>
          <w:spacing w:val="-3"/>
        </w:rPr>
        <w:t> </w:t>
      </w:r>
      <w:r>
        <w:rPr/>
        <w:t>the</w:t>
      </w:r>
      <w:r>
        <w:rPr>
          <w:spacing w:val="-3"/>
        </w:rPr>
        <w:t> </w:t>
      </w:r>
      <w:r>
        <w:rPr/>
        <w:t>course.</w:t>
      </w:r>
    </w:p>
    <w:p>
      <w:pPr>
        <w:pStyle w:val="Heading4"/>
        <w:spacing w:before="173"/>
        <w:ind w:left="727"/>
      </w:pPr>
      <w:r>
        <w:rPr/>
        <w:t>Results and </w:t>
      </w:r>
      <w:r>
        <w:rPr>
          <w:spacing w:val="-2"/>
        </w:rPr>
        <w:t>Implications</w:t>
      </w:r>
    </w:p>
    <w:p>
      <w:pPr>
        <w:pStyle w:val="BodyText"/>
        <w:spacing w:line="266" w:lineRule="auto" w:before="200"/>
        <w:ind w:left="727" w:right="1381"/>
      </w:pPr>
      <w:r>
        <w:rPr/>
        <w:t>Data will be analyzed using Microsoft Excel. Pearson correlations will be used to examine relationships among variables. Group differences between light and heavy AI users will be examined</w:t>
      </w:r>
      <w:r>
        <w:rPr>
          <w:spacing w:val="-6"/>
        </w:rPr>
        <w:t> </w:t>
      </w:r>
      <w:r>
        <w:rPr/>
        <w:t>using</w:t>
      </w:r>
      <w:r>
        <w:rPr>
          <w:spacing w:val="-6"/>
        </w:rPr>
        <w:t> </w:t>
      </w:r>
      <w:r>
        <w:rPr/>
        <w:t>descriptive</w:t>
      </w:r>
      <w:r>
        <w:rPr>
          <w:spacing w:val="-6"/>
        </w:rPr>
        <w:t> </w:t>
      </w:r>
      <w:r>
        <w:rPr/>
        <w:t>statistics</w:t>
      </w:r>
      <w:r>
        <w:rPr>
          <w:spacing w:val="-6"/>
        </w:rPr>
        <w:t> </w:t>
      </w:r>
      <w:r>
        <w:rPr/>
        <w:t>and</w:t>
      </w:r>
      <w:r>
        <w:rPr>
          <w:spacing w:val="-6"/>
        </w:rPr>
        <w:t> </w:t>
      </w:r>
      <w:r>
        <w:rPr/>
        <w:t>one-way</w:t>
      </w:r>
      <w:r>
        <w:rPr>
          <w:spacing w:val="-6"/>
        </w:rPr>
        <w:t> </w:t>
      </w:r>
      <w:r>
        <w:rPr/>
        <w:t>ANOVA.</w:t>
      </w:r>
      <w:r>
        <w:rPr>
          <w:spacing w:val="-6"/>
        </w:rPr>
        <w:t> </w:t>
      </w:r>
      <w:r>
        <w:rPr/>
        <w:t>Regression</w:t>
      </w:r>
      <w:r>
        <w:rPr>
          <w:spacing w:val="-6"/>
        </w:rPr>
        <w:t> </w:t>
      </w:r>
      <w:r>
        <w:rPr/>
        <w:t>analysis</w:t>
      </w:r>
      <w:r>
        <w:rPr>
          <w:spacing w:val="-6"/>
        </w:rPr>
        <w:t> </w:t>
      </w:r>
      <w:r>
        <w:rPr/>
        <w:t>will</w:t>
      </w:r>
      <w:r>
        <w:rPr>
          <w:spacing w:val="-6"/>
        </w:rPr>
        <w:t> </w:t>
      </w:r>
      <w:r>
        <w:rPr/>
        <w:t>be</w:t>
      </w:r>
      <w:r>
        <w:rPr>
          <w:spacing w:val="-6"/>
        </w:rPr>
        <w:t> </w:t>
      </w:r>
      <w:r>
        <w:rPr/>
        <w:t>used</w:t>
      </w:r>
      <w:r>
        <w:rPr>
          <w:spacing w:val="-6"/>
        </w:rPr>
        <w:t> </w:t>
      </w:r>
      <w:r>
        <w:rPr/>
        <w:t>to test whether AI use predicted writing improvement while controlling for prior AI experience.</w:t>
      </w:r>
    </w:p>
    <w:p>
      <w:pPr>
        <w:pStyle w:val="BodyText"/>
        <w:spacing w:line="266" w:lineRule="auto"/>
        <w:ind w:left="727" w:right="1619"/>
      </w:pPr>
      <w:r>
        <w:rPr/>
        <w:t>These analyses were chosen for their accessibility and appropriateness for the sample size. A Pearson correlation will be conducted to examine the relationship between AI use frequency and</w:t>
      </w:r>
      <w:r>
        <w:rPr>
          <w:spacing w:val="-6"/>
        </w:rPr>
        <w:t> </w:t>
      </w:r>
      <w:r>
        <w:rPr/>
        <w:t>perceived</w:t>
      </w:r>
      <w:r>
        <w:rPr>
          <w:spacing w:val="-6"/>
        </w:rPr>
        <w:t> </w:t>
      </w:r>
      <w:r>
        <w:rPr/>
        <w:t>writing</w:t>
      </w:r>
      <w:r>
        <w:rPr>
          <w:spacing w:val="-6"/>
        </w:rPr>
        <w:t> </w:t>
      </w:r>
      <w:r>
        <w:rPr/>
        <w:t>improvement.</w:t>
      </w:r>
      <w:r>
        <w:rPr>
          <w:spacing w:val="-6"/>
        </w:rPr>
        <w:t> </w:t>
      </w:r>
      <w:r>
        <w:rPr/>
        <w:t>AI</w:t>
      </w:r>
      <w:r>
        <w:rPr>
          <w:spacing w:val="-6"/>
        </w:rPr>
        <w:t> </w:t>
      </w:r>
      <w:r>
        <w:rPr/>
        <w:t>use</w:t>
      </w:r>
      <w:r>
        <w:rPr>
          <w:spacing w:val="-6"/>
        </w:rPr>
        <w:t> </w:t>
      </w:r>
      <w:r>
        <w:rPr/>
        <w:t>frequency,</w:t>
      </w:r>
      <w:r>
        <w:rPr>
          <w:spacing w:val="-6"/>
        </w:rPr>
        <w:t> </w:t>
      </w:r>
      <w:r>
        <w:rPr/>
        <w:t>thus</w:t>
      </w:r>
      <w:r>
        <w:rPr>
          <w:spacing w:val="-6"/>
        </w:rPr>
        <w:t> </w:t>
      </w:r>
      <w:r>
        <w:rPr/>
        <w:t>far,</w:t>
      </w:r>
      <w:r>
        <w:rPr>
          <w:spacing w:val="-6"/>
        </w:rPr>
        <w:t> </w:t>
      </w:r>
      <w:r>
        <w:rPr/>
        <w:t>has</w:t>
      </w:r>
      <w:r>
        <w:rPr>
          <w:spacing w:val="-6"/>
        </w:rPr>
        <w:t> </w:t>
      </w:r>
      <w:r>
        <w:rPr/>
        <w:t>been</w:t>
      </w:r>
      <w:r>
        <w:rPr>
          <w:spacing w:val="-6"/>
        </w:rPr>
        <w:t> </w:t>
      </w:r>
      <w:r>
        <w:rPr/>
        <w:t>positively</w:t>
      </w:r>
      <w:r>
        <w:rPr>
          <w:spacing w:val="-6"/>
        </w:rPr>
        <w:t> </w:t>
      </w:r>
      <w:r>
        <w:rPr/>
        <w:t>correlated with writing improvement, indicating that students who used AI more frequently tended to report</w:t>
      </w:r>
      <w:r>
        <w:rPr>
          <w:spacing w:val="40"/>
        </w:rPr>
        <w:t> </w:t>
      </w:r>
      <w:r>
        <w:rPr/>
        <w:t>greater improvements in clarity, tone, organization, and overall writing skill. This finding aligns</w:t>
      </w:r>
      <w:r>
        <w:rPr>
          <w:spacing w:val="40"/>
        </w:rPr>
        <w:t> </w:t>
      </w:r>
      <w:r>
        <w:rPr/>
        <w:t>with research showing that AI tools can enhance writing quality by providing immediate,</w:t>
      </w:r>
      <w:r>
        <w:rPr>
          <w:spacing w:val="40"/>
        </w:rPr>
        <w:t> </w:t>
      </w:r>
      <w:r>
        <w:rPr/>
        <w:t>targeted feedback (Dwivedi et al., 2023).</w:t>
      </w:r>
    </w:p>
    <w:p>
      <w:pPr>
        <w:pStyle w:val="BodyText"/>
        <w:spacing w:line="266" w:lineRule="auto" w:before="173"/>
        <w:ind w:left="727" w:right="1619"/>
      </w:pPr>
      <w:r>
        <w:rPr/>
        <w:t>AI</w:t>
      </w:r>
      <w:r>
        <w:rPr>
          <w:spacing w:val="-3"/>
        </w:rPr>
        <w:t> </w:t>
      </w:r>
      <w:r>
        <w:rPr/>
        <w:t>use</w:t>
      </w:r>
      <w:r>
        <w:rPr>
          <w:spacing w:val="-3"/>
        </w:rPr>
        <w:t> </w:t>
      </w:r>
      <w:r>
        <w:rPr/>
        <w:t>frequency</w:t>
      </w:r>
      <w:r>
        <w:rPr>
          <w:spacing w:val="-3"/>
        </w:rPr>
        <w:t> </w:t>
      </w:r>
      <w:r>
        <w:rPr/>
        <w:t>is</w:t>
      </w:r>
      <w:r>
        <w:rPr>
          <w:spacing w:val="-3"/>
        </w:rPr>
        <w:t> </w:t>
      </w:r>
      <w:r>
        <w:rPr/>
        <w:t>also</w:t>
      </w:r>
      <w:r>
        <w:rPr>
          <w:spacing w:val="-3"/>
        </w:rPr>
        <w:t> </w:t>
      </w:r>
      <w:r>
        <w:rPr/>
        <w:t>significantly</w:t>
      </w:r>
      <w:r>
        <w:rPr>
          <w:spacing w:val="-3"/>
        </w:rPr>
        <w:t> </w:t>
      </w:r>
      <w:r>
        <w:rPr/>
        <w:t>related</w:t>
      </w:r>
      <w:r>
        <w:rPr>
          <w:spacing w:val="-3"/>
        </w:rPr>
        <w:t> </w:t>
      </w:r>
      <w:r>
        <w:rPr/>
        <w:t>to</w:t>
      </w:r>
      <w:r>
        <w:rPr>
          <w:spacing w:val="-3"/>
        </w:rPr>
        <w:t> </w:t>
      </w:r>
      <w:r>
        <w:rPr/>
        <w:t>concerns</w:t>
      </w:r>
      <w:r>
        <w:rPr>
          <w:spacing w:val="-3"/>
        </w:rPr>
        <w:t> </w:t>
      </w:r>
      <w:r>
        <w:rPr/>
        <w:t>about</w:t>
      </w:r>
      <w:r>
        <w:rPr>
          <w:spacing w:val="-3"/>
        </w:rPr>
        <w:t> </w:t>
      </w:r>
      <w:r>
        <w:rPr/>
        <w:t>overreliance.</w:t>
      </w:r>
      <w:r>
        <w:rPr>
          <w:spacing w:val="-3"/>
        </w:rPr>
        <w:t> </w:t>
      </w:r>
      <w:r>
        <w:rPr/>
        <w:t>Students</w:t>
      </w:r>
      <w:r>
        <w:rPr>
          <w:spacing w:val="-3"/>
        </w:rPr>
        <w:t> </w:t>
      </w:r>
      <w:r>
        <w:rPr/>
        <w:t>who</w:t>
      </w:r>
      <w:r>
        <w:rPr>
          <w:spacing w:val="-3"/>
        </w:rPr>
        <w:t> </w:t>
      </w:r>
      <w:r>
        <w:rPr/>
        <w:t>use AI</w:t>
      </w:r>
      <w:r>
        <w:rPr>
          <w:spacing w:val="-3"/>
        </w:rPr>
        <w:t> </w:t>
      </w:r>
      <w:r>
        <w:rPr/>
        <w:t>more</w:t>
      </w:r>
      <w:r>
        <w:rPr>
          <w:spacing w:val="-3"/>
        </w:rPr>
        <w:t> </w:t>
      </w:r>
      <w:r>
        <w:rPr/>
        <w:t>often</w:t>
      </w:r>
      <w:r>
        <w:rPr>
          <w:spacing w:val="-3"/>
        </w:rPr>
        <w:t> </w:t>
      </w:r>
      <w:r>
        <w:rPr/>
        <w:t>are</w:t>
      </w:r>
      <w:r>
        <w:rPr>
          <w:spacing w:val="-3"/>
        </w:rPr>
        <w:t> </w:t>
      </w:r>
      <w:r>
        <w:rPr/>
        <w:t>more</w:t>
      </w:r>
      <w:r>
        <w:rPr>
          <w:spacing w:val="-3"/>
        </w:rPr>
        <w:t> </w:t>
      </w:r>
      <w:r>
        <w:rPr/>
        <w:t>likely</w:t>
      </w:r>
      <w:r>
        <w:rPr>
          <w:spacing w:val="-3"/>
        </w:rPr>
        <w:t> </w:t>
      </w:r>
      <w:r>
        <w:rPr/>
        <w:t>to</w:t>
      </w:r>
      <w:r>
        <w:rPr>
          <w:spacing w:val="-3"/>
        </w:rPr>
        <w:t> </w:t>
      </w:r>
      <w:r>
        <w:rPr/>
        <w:t>worry</w:t>
      </w:r>
      <w:r>
        <w:rPr>
          <w:spacing w:val="-3"/>
        </w:rPr>
        <w:t> </w:t>
      </w:r>
      <w:r>
        <w:rPr/>
        <w:t>that</w:t>
      </w:r>
      <w:r>
        <w:rPr>
          <w:spacing w:val="-3"/>
        </w:rPr>
        <w:t> </w:t>
      </w:r>
      <w:r>
        <w:rPr/>
        <w:t>AI</w:t>
      </w:r>
      <w:r>
        <w:rPr>
          <w:spacing w:val="-3"/>
        </w:rPr>
        <w:t> </w:t>
      </w:r>
      <w:r>
        <w:rPr/>
        <w:t>might</w:t>
      </w:r>
      <w:r>
        <w:rPr>
          <w:spacing w:val="-3"/>
        </w:rPr>
        <w:t> </w:t>
      </w:r>
      <w:r>
        <w:rPr/>
        <w:t>prevent</w:t>
      </w:r>
      <w:r>
        <w:rPr>
          <w:spacing w:val="-3"/>
        </w:rPr>
        <w:t> </w:t>
      </w:r>
      <w:r>
        <w:rPr/>
        <w:t>them</w:t>
      </w:r>
      <w:r>
        <w:rPr>
          <w:spacing w:val="-3"/>
        </w:rPr>
        <w:t> </w:t>
      </w:r>
      <w:r>
        <w:rPr/>
        <w:t>from</w:t>
      </w:r>
      <w:r>
        <w:rPr>
          <w:spacing w:val="-3"/>
        </w:rPr>
        <w:t> </w:t>
      </w:r>
      <w:r>
        <w:rPr/>
        <w:t>fully</w:t>
      </w:r>
      <w:r>
        <w:rPr>
          <w:spacing w:val="-3"/>
        </w:rPr>
        <w:t> </w:t>
      </w:r>
      <w:r>
        <w:rPr/>
        <w:t>developing</w:t>
      </w:r>
      <w:r>
        <w:rPr>
          <w:spacing w:val="-3"/>
        </w:rPr>
        <w:t> </w:t>
      </w:r>
      <w:r>
        <w:rPr/>
        <w:t>their own writing skills. This dual pattern (perceived benefit alongside perceived risk) reflects the complex role AI plays in students’ writing processes and echoes concerns raised in recent</w:t>
      </w:r>
    </w:p>
    <w:p>
      <w:pPr>
        <w:pStyle w:val="BodyText"/>
        <w:spacing w:after="0" w:line="266" w:lineRule="auto"/>
        <w:sectPr>
          <w:pgSz w:w="12240" w:h="15840"/>
          <w:pgMar w:header="0" w:footer="707" w:top="640" w:bottom="960" w:left="720" w:right="0"/>
        </w:sectPr>
      </w:pPr>
    </w:p>
    <w:p>
      <w:pPr>
        <w:pStyle w:val="BodyText"/>
        <w:spacing w:before="60"/>
        <w:ind w:left="727"/>
      </w:pPr>
      <w:r>
        <w:rPr/>
        <w:t>academic integrity research (Cotton et al., </w:t>
      </w:r>
      <w:r>
        <w:rPr>
          <w:spacing w:val="-2"/>
        </w:rPr>
        <w:t>2023).</w:t>
      </w:r>
    </w:p>
    <w:p>
      <w:pPr>
        <w:pStyle w:val="BodyText"/>
        <w:spacing w:line="266" w:lineRule="auto" w:before="202"/>
        <w:ind w:left="712" w:right="1381" w:firstLine="15"/>
      </w:pPr>
      <w:r>
        <w:rPr/>
        <w:t>The</w:t>
      </w:r>
      <w:r>
        <w:rPr>
          <w:spacing w:val="-3"/>
        </w:rPr>
        <w:t> </w:t>
      </w:r>
      <w:r>
        <w:rPr/>
        <w:t>relationship</w:t>
      </w:r>
      <w:r>
        <w:rPr>
          <w:spacing w:val="-3"/>
        </w:rPr>
        <w:t> </w:t>
      </w:r>
      <w:r>
        <w:rPr/>
        <w:t>between</w:t>
      </w:r>
      <w:r>
        <w:rPr>
          <w:spacing w:val="-3"/>
        </w:rPr>
        <w:t> </w:t>
      </w:r>
      <w:r>
        <w:rPr/>
        <w:t>AI</w:t>
      </w:r>
      <w:r>
        <w:rPr>
          <w:spacing w:val="-3"/>
        </w:rPr>
        <w:t> </w:t>
      </w:r>
      <w:r>
        <w:rPr/>
        <w:t>use</w:t>
      </w:r>
      <w:r>
        <w:rPr>
          <w:spacing w:val="-3"/>
        </w:rPr>
        <w:t> </w:t>
      </w:r>
      <w:r>
        <w:rPr/>
        <w:t>and</w:t>
      </w:r>
      <w:r>
        <w:rPr>
          <w:spacing w:val="-3"/>
        </w:rPr>
        <w:t> </w:t>
      </w:r>
      <w:r>
        <w:rPr/>
        <w:t>learning</w:t>
      </w:r>
      <w:r>
        <w:rPr>
          <w:spacing w:val="-3"/>
        </w:rPr>
        <w:t> </w:t>
      </w:r>
      <w:r>
        <w:rPr/>
        <w:t>approaches</w:t>
      </w:r>
      <w:r>
        <w:rPr>
          <w:spacing w:val="-3"/>
        </w:rPr>
        <w:t> </w:t>
      </w:r>
      <w:r>
        <w:rPr/>
        <w:t>so</w:t>
      </w:r>
      <w:r>
        <w:rPr>
          <w:spacing w:val="-3"/>
        </w:rPr>
        <w:t> </w:t>
      </w:r>
      <w:r>
        <w:rPr/>
        <w:t>far</w:t>
      </w:r>
      <w:r>
        <w:rPr>
          <w:spacing w:val="-3"/>
        </w:rPr>
        <w:t> </w:t>
      </w:r>
      <w:r>
        <w:rPr/>
        <w:t>have</w:t>
      </w:r>
      <w:r>
        <w:rPr>
          <w:spacing w:val="-3"/>
        </w:rPr>
        <w:t> </w:t>
      </w:r>
      <w:r>
        <w:rPr/>
        <w:t>been</w:t>
      </w:r>
      <w:r>
        <w:rPr>
          <w:spacing w:val="-3"/>
        </w:rPr>
        <w:t> </w:t>
      </w:r>
      <w:r>
        <w:rPr/>
        <w:t>mixed.</w:t>
      </w:r>
      <w:r>
        <w:rPr>
          <w:spacing w:val="-3"/>
        </w:rPr>
        <w:t> </w:t>
      </w:r>
      <w:r>
        <w:rPr/>
        <w:t>AI</w:t>
      </w:r>
      <w:r>
        <w:rPr>
          <w:spacing w:val="-3"/>
        </w:rPr>
        <w:t> </w:t>
      </w:r>
      <w:r>
        <w:rPr/>
        <w:t>use</w:t>
      </w:r>
      <w:r>
        <w:rPr>
          <w:spacing w:val="-3"/>
        </w:rPr>
        <w:t> </w:t>
      </w:r>
      <w:r>
        <w:rPr/>
        <w:t>shows</w:t>
      </w:r>
      <w:r>
        <w:rPr>
          <w:spacing w:val="-3"/>
        </w:rPr>
        <w:t> </w:t>
      </w:r>
      <w:r>
        <w:rPr/>
        <w:t>a positive correlation with deep learning, suggesting that some students use AI to better understand communication concepts or explore alternative ways of structuring messages. At the same time, AI use also correlates with surface learning, indicating that some students used AI primarily to complete assignments efficiently. These findings mirror broader patterns in learning research, where tools can support both meaningful engagement and shortcut-oriented behavior (Biggs, </w:t>
      </w:r>
      <w:r>
        <w:rPr>
          <w:spacing w:val="-2"/>
        </w:rPr>
        <w:t>1987).</w:t>
      </w:r>
    </w:p>
    <w:p>
      <w:pPr>
        <w:pStyle w:val="BodyText"/>
        <w:spacing w:line="266" w:lineRule="auto" w:before="172"/>
        <w:ind w:left="712" w:right="1619" w:firstLine="15"/>
      </w:pPr>
      <w:r>
        <w:rPr/>
        <w:t>Policy</w:t>
      </w:r>
      <w:r>
        <w:rPr>
          <w:spacing w:val="-1"/>
        </w:rPr>
        <w:t> </w:t>
      </w:r>
      <w:r>
        <w:rPr/>
        <w:t>clarity</w:t>
      </w:r>
      <w:r>
        <w:rPr>
          <w:spacing w:val="-1"/>
        </w:rPr>
        <w:t> </w:t>
      </w:r>
      <w:r>
        <w:rPr/>
        <w:t>has</w:t>
      </w:r>
      <w:r>
        <w:rPr>
          <w:spacing w:val="-1"/>
        </w:rPr>
        <w:t> </w:t>
      </w:r>
      <w:r>
        <w:rPr/>
        <w:t>been</w:t>
      </w:r>
      <w:r>
        <w:rPr>
          <w:spacing w:val="-1"/>
        </w:rPr>
        <w:t> </w:t>
      </w:r>
      <w:r>
        <w:rPr/>
        <w:t>positively</w:t>
      </w:r>
      <w:r>
        <w:rPr>
          <w:spacing w:val="-1"/>
        </w:rPr>
        <w:t> </w:t>
      </w:r>
      <w:r>
        <w:rPr/>
        <w:t>correlated</w:t>
      </w:r>
      <w:r>
        <w:rPr>
          <w:spacing w:val="-1"/>
        </w:rPr>
        <w:t> </w:t>
      </w:r>
      <w:r>
        <w:rPr/>
        <w:t>with</w:t>
      </w:r>
      <w:r>
        <w:rPr>
          <w:spacing w:val="-1"/>
        </w:rPr>
        <w:t> </w:t>
      </w:r>
      <w:r>
        <w:rPr/>
        <w:t>ethical</w:t>
      </w:r>
      <w:r>
        <w:rPr>
          <w:spacing w:val="-1"/>
        </w:rPr>
        <w:t> </w:t>
      </w:r>
      <w:r>
        <w:rPr/>
        <w:t>confidence.</w:t>
      </w:r>
      <w:r>
        <w:rPr>
          <w:spacing w:val="-1"/>
        </w:rPr>
        <w:t> </w:t>
      </w:r>
      <w:r>
        <w:rPr/>
        <w:t>Students</w:t>
      </w:r>
      <w:r>
        <w:rPr>
          <w:spacing w:val="-1"/>
        </w:rPr>
        <w:t> </w:t>
      </w:r>
      <w:r>
        <w:rPr/>
        <w:t>who</w:t>
      </w:r>
      <w:r>
        <w:rPr>
          <w:spacing w:val="-1"/>
        </w:rPr>
        <w:t> </w:t>
      </w:r>
      <w:r>
        <w:rPr/>
        <w:t>felt</w:t>
      </w:r>
      <w:r>
        <w:rPr>
          <w:spacing w:val="-1"/>
        </w:rPr>
        <w:t> </w:t>
      </w:r>
      <w:r>
        <w:rPr/>
        <w:t>the</w:t>
      </w:r>
      <w:r>
        <w:rPr>
          <w:spacing w:val="-1"/>
        </w:rPr>
        <w:t> </w:t>
      </w:r>
      <w:r>
        <w:rPr/>
        <w:t>AI policy was clearly explained also feel more confident using AI ethically. This finding underscores</w:t>
      </w:r>
      <w:r>
        <w:rPr>
          <w:spacing w:val="-5"/>
        </w:rPr>
        <w:t> </w:t>
      </w:r>
      <w:r>
        <w:rPr/>
        <w:t>the</w:t>
      </w:r>
      <w:r>
        <w:rPr>
          <w:spacing w:val="-5"/>
        </w:rPr>
        <w:t> </w:t>
      </w:r>
      <w:r>
        <w:rPr/>
        <w:t>importance</w:t>
      </w:r>
      <w:r>
        <w:rPr>
          <w:spacing w:val="-5"/>
        </w:rPr>
        <w:t> </w:t>
      </w:r>
      <w:r>
        <w:rPr/>
        <w:t>of</w:t>
      </w:r>
      <w:r>
        <w:rPr>
          <w:spacing w:val="-5"/>
        </w:rPr>
        <w:t> </w:t>
      </w:r>
      <w:r>
        <w:rPr/>
        <w:t>explicit,</w:t>
      </w:r>
      <w:r>
        <w:rPr>
          <w:spacing w:val="-5"/>
        </w:rPr>
        <w:t> </w:t>
      </w:r>
      <w:r>
        <w:rPr/>
        <w:t>well-communicated</w:t>
      </w:r>
      <w:r>
        <w:rPr>
          <w:spacing w:val="-5"/>
        </w:rPr>
        <w:t> </w:t>
      </w:r>
      <w:r>
        <w:rPr/>
        <w:t>AI</w:t>
      </w:r>
      <w:r>
        <w:rPr>
          <w:spacing w:val="-5"/>
        </w:rPr>
        <w:t> </w:t>
      </w:r>
      <w:r>
        <w:rPr/>
        <w:t>guidelines</w:t>
      </w:r>
      <w:r>
        <w:rPr>
          <w:spacing w:val="-5"/>
        </w:rPr>
        <w:t> </w:t>
      </w:r>
      <w:r>
        <w:rPr/>
        <w:t>in</w:t>
      </w:r>
      <w:r>
        <w:rPr>
          <w:spacing w:val="-5"/>
        </w:rPr>
        <w:t> </w:t>
      </w:r>
      <w:r>
        <w:rPr/>
        <w:t>writing-</w:t>
      </w:r>
      <w:r>
        <w:rPr/>
        <w:t>intensive courses (Moya et al., 2024).</w:t>
      </w:r>
    </w:p>
    <w:p>
      <w:pPr>
        <w:pStyle w:val="BodyText"/>
        <w:spacing w:line="266" w:lineRule="auto" w:before="175"/>
        <w:ind w:left="712" w:right="1191" w:firstLine="30"/>
      </w:pPr>
      <w:r>
        <w:rPr/>
        <w:t>So</w:t>
      </w:r>
      <w:r>
        <w:rPr>
          <w:spacing w:val="-4"/>
        </w:rPr>
        <w:t> </w:t>
      </w:r>
      <w:r>
        <w:rPr/>
        <w:t>far,</w:t>
      </w:r>
      <w:r>
        <w:rPr>
          <w:spacing w:val="-4"/>
        </w:rPr>
        <w:t> </w:t>
      </w:r>
      <w:r>
        <w:rPr/>
        <w:t>belief</w:t>
      </w:r>
      <w:r>
        <w:rPr>
          <w:spacing w:val="-4"/>
        </w:rPr>
        <w:t> </w:t>
      </w:r>
      <w:r>
        <w:rPr/>
        <w:t>in</w:t>
      </w:r>
      <w:r>
        <w:rPr>
          <w:spacing w:val="-4"/>
        </w:rPr>
        <w:t> </w:t>
      </w:r>
      <w:r>
        <w:rPr/>
        <w:t>AI’s</w:t>
      </w:r>
      <w:r>
        <w:rPr>
          <w:spacing w:val="-4"/>
        </w:rPr>
        <w:t> </w:t>
      </w:r>
      <w:r>
        <w:rPr/>
        <w:t>career</w:t>
      </w:r>
      <w:r>
        <w:rPr>
          <w:spacing w:val="-4"/>
        </w:rPr>
        <w:t> </w:t>
      </w:r>
      <w:r>
        <w:rPr/>
        <w:t>relevance</w:t>
      </w:r>
      <w:r>
        <w:rPr>
          <w:spacing w:val="-4"/>
        </w:rPr>
        <w:t> </w:t>
      </w:r>
      <w:r>
        <w:rPr/>
        <w:t>is</w:t>
      </w:r>
      <w:r>
        <w:rPr>
          <w:spacing w:val="-4"/>
        </w:rPr>
        <w:t> </w:t>
      </w:r>
      <w:r>
        <w:rPr/>
        <w:t>significantly</w:t>
      </w:r>
      <w:r>
        <w:rPr>
          <w:spacing w:val="-4"/>
        </w:rPr>
        <w:t> </w:t>
      </w:r>
      <w:r>
        <w:rPr/>
        <w:t>associated</w:t>
      </w:r>
      <w:r>
        <w:rPr>
          <w:spacing w:val="-4"/>
        </w:rPr>
        <w:t> </w:t>
      </w:r>
      <w:r>
        <w:rPr/>
        <w:t>with</w:t>
      </w:r>
      <w:r>
        <w:rPr>
          <w:spacing w:val="-4"/>
        </w:rPr>
        <w:t> </w:t>
      </w:r>
      <w:r>
        <w:rPr/>
        <w:t>AI</w:t>
      </w:r>
      <w:r>
        <w:rPr>
          <w:spacing w:val="-4"/>
        </w:rPr>
        <w:t> </w:t>
      </w:r>
      <w:r>
        <w:rPr/>
        <w:t>use</w:t>
      </w:r>
      <w:r>
        <w:rPr>
          <w:spacing w:val="-4"/>
        </w:rPr>
        <w:t> </w:t>
      </w:r>
      <w:r>
        <w:rPr/>
        <w:t>frequency.</w:t>
      </w:r>
      <w:r>
        <w:rPr>
          <w:spacing w:val="-4"/>
        </w:rPr>
        <w:t> </w:t>
      </w:r>
      <w:r>
        <w:rPr/>
        <w:t>Students who</w:t>
      </w:r>
      <w:r>
        <w:rPr>
          <w:spacing w:val="-3"/>
        </w:rPr>
        <w:t> </w:t>
      </w:r>
      <w:r>
        <w:rPr/>
        <w:t>viewed</w:t>
      </w:r>
      <w:r>
        <w:rPr>
          <w:spacing w:val="-3"/>
        </w:rPr>
        <w:t> </w:t>
      </w:r>
      <w:r>
        <w:rPr/>
        <w:t>AI</w:t>
      </w:r>
      <w:r>
        <w:rPr>
          <w:spacing w:val="-3"/>
        </w:rPr>
        <w:t> </w:t>
      </w:r>
      <w:r>
        <w:rPr/>
        <w:t>as</w:t>
      </w:r>
      <w:r>
        <w:rPr>
          <w:spacing w:val="-3"/>
        </w:rPr>
        <w:t> </w:t>
      </w:r>
      <w:r>
        <w:rPr/>
        <w:t>important</w:t>
      </w:r>
      <w:r>
        <w:rPr>
          <w:spacing w:val="-3"/>
        </w:rPr>
        <w:t> </w:t>
      </w:r>
      <w:r>
        <w:rPr/>
        <w:t>for</w:t>
      </w:r>
      <w:r>
        <w:rPr>
          <w:spacing w:val="-3"/>
        </w:rPr>
        <w:t> </w:t>
      </w:r>
      <w:r>
        <w:rPr/>
        <w:t>their</w:t>
      </w:r>
      <w:r>
        <w:rPr>
          <w:spacing w:val="-3"/>
        </w:rPr>
        <w:t> </w:t>
      </w:r>
      <w:r>
        <w:rPr/>
        <w:t>future</w:t>
      </w:r>
      <w:r>
        <w:rPr>
          <w:spacing w:val="-3"/>
        </w:rPr>
        <w:t> </w:t>
      </w:r>
      <w:r>
        <w:rPr/>
        <w:t>careers</w:t>
      </w:r>
      <w:r>
        <w:rPr>
          <w:spacing w:val="-3"/>
        </w:rPr>
        <w:t> </w:t>
      </w:r>
      <w:r>
        <w:rPr/>
        <w:t>tend</w:t>
      </w:r>
      <w:r>
        <w:rPr>
          <w:spacing w:val="-3"/>
        </w:rPr>
        <w:t> </w:t>
      </w:r>
      <w:r>
        <w:rPr/>
        <w:t>to</w:t>
      </w:r>
      <w:r>
        <w:rPr>
          <w:spacing w:val="-3"/>
        </w:rPr>
        <w:t> </w:t>
      </w:r>
      <w:r>
        <w:rPr/>
        <w:t>use</w:t>
      </w:r>
      <w:r>
        <w:rPr>
          <w:spacing w:val="-3"/>
        </w:rPr>
        <w:t> </w:t>
      </w:r>
      <w:r>
        <w:rPr/>
        <w:t>AI</w:t>
      </w:r>
      <w:r>
        <w:rPr>
          <w:spacing w:val="-3"/>
        </w:rPr>
        <w:t> </w:t>
      </w:r>
      <w:r>
        <w:rPr/>
        <w:t>more</w:t>
      </w:r>
      <w:r>
        <w:rPr>
          <w:spacing w:val="-3"/>
        </w:rPr>
        <w:t> </w:t>
      </w:r>
      <w:r>
        <w:rPr/>
        <w:t>often</w:t>
      </w:r>
      <w:r>
        <w:rPr>
          <w:spacing w:val="-3"/>
        </w:rPr>
        <w:t> </w:t>
      </w:r>
      <w:r>
        <w:rPr/>
        <w:t>in</w:t>
      </w:r>
      <w:r>
        <w:rPr>
          <w:spacing w:val="-3"/>
        </w:rPr>
        <w:t> </w:t>
      </w:r>
      <w:r>
        <w:rPr/>
        <w:t>the</w:t>
      </w:r>
      <w:r>
        <w:rPr>
          <w:spacing w:val="-3"/>
        </w:rPr>
        <w:t> </w:t>
      </w:r>
      <w:r>
        <w:rPr/>
        <w:t>course.</w:t>
      </w:r>
      <w:r>
        <w:rPr>
          <w:spacing w:val="-3"/>
        </w:rPr>
        <w:t> </w:t>
      </w:r>
      <w:r>
        <w:rPr/>
        <w:t>This suggests that students may view AI not only as an academic tool but also as preparation for professional communication (Huang &amp; Rust, 2021).</w:t>
      </w:r>
    </w:p>
    <w:p>
      <w:pPr>
        <w:pStyle w:val="Heading4"/>
        <w:spacing w:before="171"/>
        <w:ind w:left="727"/>
      </w:pPr>
      <w:r>
        <w:rPr>
          <w:spacing w:val="-2"/>
        </w:rPr>
        <w:t>Discussion</w:t>
      </w:r>
    </w:p>
    <w:p>
      <w:pPr>
        <w:pStyle w:val="BodyText"/>
        <w:spacing w:line="266" w:lineRule="auto" w:before="200"/>
        <w:ind w:left="712" w:right="1381" w:firstLine="15"/>
      </w:pPr>
      <w:r>
        <w:rPr/>
        <w:t>The purpose of this study is to examine how students’ use of AI tools in a business communication</w:t>
      </w:r>
      <w:r>
        <w:rPr>
          <w:spacing w:val="-4"/>
        </w:rPr>
        <w:t> </w:t>
      </w:r>
      <w:r>
        <w:rPr/>
        <w:t>course</w:t>
      </w:r>
      <w:r>
        <w:rPr>
          <w:spacing w:val="-4"/>
        </w:rPr>
        <w:t> </w:t>
      </w:r>
      <w:r>
        <w:rPr/>
        <w:t>relates</w:t>
      </w:r>
      <w:r>
        <w:rPr>
          <w:spacing w:val="-4"/>
        </w:rPr>
        <w:t> </w:t>
      </w:r>
      <w:r>
        <w:rPr/>
        <w:t>to</w:t>
      </w:r>
      <w:r>
        <w:rPr>
          <w:spacing w:val="-4"/>
        </w:rPr>
        <w:t> </w:t>
      </w:r>
      <w:r>
        <w:rPr/>
        <w:t>their</w:t>
      </w:r>
      <w:r>
        <w:rPr>
          <w:spacing w:val="-4"/>
        </w:rPr>
        <w:t> </w:t>
      </w:r>
      <w:r>
        <w:rPr/>
        <w:t>perceptions</w:t>
      </w:r>
      <w:r>
        <w:rPr>
          <w:spacing w:val="-4"/>
        </w:rPr>
        <w:t> </w:t>
      </w:r>
      <w:r>
        <w:rPr/>
        <w:t>of</w:t>
      </w:r>
      <w:r>
        <w:rPr>
          <w:spacing w:val="-4"/>
        </w:rPr>
        <w:t> </w:t>
      </w:r>
      <w:r>
        <w:rPr/>
        <w:t>writing</w:t>
      </w:r>
      <w:r>
        <w:rPr>
          <w:spacing w:val="-4"/>
        </w:rPr>
        <w:t> </w:t>
      </w:r>
      <w:r>
        <w:rPr/>
        <w:t>improvement,</w:t>
      </w:r>
      <w:r>
        <w:rPr>
          <w:spacing w:val="-4"/>
        </w:rPr>
        <w:t> </w:t>
      </w:r>
      <w:r>
        <w:rPr/>
        <w:t>learning,</w:t>
      </w:r>
      <w:r>
        <w:rPr>
          <w:spacing w:val="-4"/>
        </w:rPr>
        <w:t> </w:t>
      </w:r>
      <w:r>
        <w:rPr/>
        <w:t>and</w:t>
      </w:r>
      <w:r>
        <w:rPr>
          <w:spacing w:val="-4"/>
        </w:rPr>
        <w:t> </w:t>
      </w:r>
      <w:r>
        <w:rPr/>
        <w:t>ethical confidence. The findings will provide insight into how students integrate AI into their writing processes and how they evaluate its impact on their learning.</w:t>
      </w:r>
    </w:p>
    <w:p>
      <w:pPr>
        <w:pStyle w:val="BodyText"/>
        <w:spacing w:line="266" w:lineRule="auto" w:before="175"/>
        <w:ind w:left="712" w:right="1785" w:firstLine="15"/>
      </w:pPr>
      <w:r>
        <w:rPr/>
        <w:t>The positive relationship between AI use and perceived writing improvement thus far is suggesting that AI tools can support students in producing clearer, more organized, and more professional messages. This aligns with research suggesting that AI can function as a form of real-time</w:t>
      </w:r>
      <w:r>
        <w:rPr>
          <w:spacing w:val="-4"/>
        </w:rPr>
        <w:t> </w:t>
      </w:r>
      <w:r>
        <w:rPr/>
        <w:t>writing</w:t>
      </w:r>
      <w:r>
        <w:rPr>
          <w:spacing w:val="-4"/>
        </w:rPr>
        <w:t> </w:t>
      </w:r>
      <w:r>
        <w:rPr/>
        <w:t>support,</w:t>
      </w:r>
      <w:r>
        <w:rPr>
          <w:spacing w:val="-4"/>
        </w:rPr>
        <w:t> </w:t>
      </w:r>
      <w:r>
        <w:rPr/>
        <w:t>offering</w:t>
      </w:r>
      <w:r>
        <w:rPr>
          <w:spacing w:val="-4"/>
        </w:rPr>
        <w:t> </w:t>
      </w:r>
      <w:r>
        <w:rPr/>
        <w:t>immediate</w:t>
      </w:r>
      <w:r>
        <w:rPr>
          <w:spacing w:val="-4"/>
        </w:rPr>
        <w:t> </w:t>
      </w:r>
      <w:r>
        <w:rPr/>
        <w:t>feedback</w:t>
      </w:r>
      <w:r>
        <w:rPr>
          <w:spacing w:val="-4"/>
        </w:rPr>
        <w:t> </w:t>
      </w:r>
      <w:r>
        <w:rPr/>
        <w:t>and</w:t>
      </w:r>
      <w:r>
        <w:rPr>
          <w:spacing w:val="-4"/>
        </w:rPr>
        <w:t> </w:t>
      </w:r>
      <w:r>
        <w:rPr/>
        <w:t>examples</w:t>
      </w:r>
      <w:r>
        <w:rPr>
          <w:spacing w:val="-4"/>
        </w:rPr>
        <w:t> </w:t>
      </w:r>
      <w:r>
        <w:rPr/>
        <w:t>that</w:t>
      </w:r>
      <w:r>
        <w:rPr>
          <w:spacing w:val="-4"/>
        </w:rPr>
        <w:t> </w:t>
      </w:r>
      <w:r>
        <w:rPr/>
        <w:t>help</w:t>
      </w:r>
      <w:r>
        <w:rPr>
          <w:spacing w:val="-4"/>
        </w:rPr>
        <w:t> </w:t>
      </w:r>
      <w:r>
        <w:rPr/>
        <w:t>students</w:t>
      </w:r>
      <w:r>
        <w:rPr>
          <w:spacing w:val="-4"/>
        </w:rPr>
        <w:t> </w:t>
      </w:r>
      <w:r>
        <w:rPr/>
        <w:t>refine their communication (Mondal &amp; Mondal, 2023). For students who may struggle with tone, structure,</w:t>
      </w:r>
      <w:r>
        <w:rPr>
          <w:spacing w:val="-1"/>
        </w:rPr>
        <w:t> </w:t>
      </w:r>
      <w:r>
        <w:rPr/>
        <w:t>or</w:t>
      </w:r>
      <w:r>
        <w:rPr>
          <w:spacing w:val="-1"/>
        </w:rPr>
        <w:t> </w:t>
      </w:r>
      <w:r>
        <w:rPr/>
        <w:t>conciseness,</w:t>
      </w:r>
      <w:r>
        <w:rPr>
          <w:spacing w:val="-1"/>
        </w:rPr>
        <w:t> </w:t>
      </w:r>
      <w:r>
        <w:rPr/>
        <w:t>AI</w:t>
      </w:r>
      <w:r>
        <w:rPr>
          <w:spacing w:val="-1"/>
        </w:rPr>
        <w:t> </w:t>
      </w:r>
      <w:r>
        <w:rPr/>
        <w:t>tools</w:t>
      </w:r>
      <w:r>
        <w:rPr>
          <w:spacing w:val="-1"/>
        </w:rPr>
        <w:t> </w:t>
      </w:r>
      <w:r>
        <w:rPr/>
        <w:t>can</w:t>
      </w:r>
      <w:r>
        <w:rPr>
          <w:spacing w:val="-1"/>
        </w:rPr>
        <w:t> </w:t>
      </w:r>
      <w:r>
        <w:rPr/>
        <w:t>serve</w:t>
      </w:r>
      <w:r>
        <w:rPr>
          <w:spacing w:val="-1"/>
        </w:rPr>
        <w:t> </w:t>
      </w:r>
      <w:r>
        <w:rPr/>
        <w:t>as</w:t>
      </w:r>
      <w:r>
        <w:rPr>
          <w:spacing w:val="-1"/>
        </w:rPr>
        <w:t> </w:t>
      </w:r>
      <w:r>
        <w:rPr/>
        <w:t>scaffolding</w:t>
      </w:r>
      <w:r>
        <w:rPr>
          <w:spacing w:val="-1"/>
        </w:rPr>
        <w:t> </w:t>
      </w:r>
      <w:r>
        <w:rPr/>
        <w:t>that</w:t>
      </w:r>
      <w:r>
        <w:rPr>
          <w:spacing w:val="-1"/>
        </w:rPr>
        <w:t> </w:t>
      </w:r>
      <w:r>
        <w:rPr/>
        <w:t>enhances</w:t>
      </w:r>
      <w:r>
        <w:rPr>
          <w:spacing w:val="-1"/>
        </w:rPr>
        <w:t> </w:t>
      </w:r>
      <w:r>
        <w:rPr/>
        <w:t>their</w:t>
      </w:r>
      <w:r>
        <w:rPr>
          <w:spacing w:val="-1"/>
        </w:rPr>
        <w:t> </w:t>
      </w:r>
      <w:r>
        <w:rPr/>
        <w:t>confidence</w:t>
      </w:r>
      <w:r>
        <w:rPr>
          <w:spacing w:val="-1"/>
        </w:rPr>
        <w:t> </w:t>
      </w:r>
      <w:r>
        <w:rPr/>
        <w:t>and </w:t>
      </w:r>
      <w:r>
        <w:rPr>
          <w:spacing w:val="-2"/>
        </w:rPr>
        <w:t>competence.</w:t>
      </w:r>
    </w:p>
    <w:p>
      <w:pPr>
        <w:pStyle w:val="BodyText"/>
        <w:spacing w:line="266" w:lineRule="auto" w:before="170"/>
        <w:ind w:left="712" w:right="1506" w:firstLine="15"/>
      </w:pPr>
      <w:r>
        <w:rPr/>
        <w:t>At</w:t>
      </w:r>
      <w:r>
        <w:rPr>
          <w:spacing w:val="-3"/>
        </w:rPr>
        <w:t> </w:t>
      </w:r>
      <w:r>
        <w:rPr/>
        <w:t>the</w:t>
      </w:r>
      <w:r>
        <w:rPr>
          <w:spacing w:val="-3"/>
        </w:rPr>
        <w:t> </w:t>
      </w:r>
      <w:r>
        <w:rPr/>
        <w:t>same</w:t>
      </w:r>
      <w:r>
        <w:rPr>
          <w:spacing w:val="-3"/>
        </w:rPr>
        <w:t> </w:t>
      </w:r>
      <w:r>
        <w:rPr/>
        <w:t>time,</w:t>
      </w:r>
      <w:r>
        <w:rPr>
          <w:spacing w:val="-3"/>
        </w:rPr>
        <w:t> </w:t>
      </w:r>
      <w:r>
        <w:rPr/>
        <w:t>the</w:t>
      </w:r>
      <w:r>
        <w:rPr>
          <w:spacing w:val="-3"/>
        </w:rPr>
        <w:t> </w:t>
      </w:r>
      <w:r>
        <w:rPr/>
        <w:t>association</w:t>
      </w:r>
      <w:r>
        <w:rPr>
          <w:spacing w:val="-3"/>
        </w:rPr>
        <w:t> </w:t>
      </w:r>
      <w:r>
        <w:rPr/>
        <w:t>between</w:t>
      </w:r>
      <w:r>
        <w:rPr>
          <w:spacing w:val="-3"/>
        </w:rPr>
        <w:t> </w:t>
      </w:r>
      <w:r>
        <w:rPr/>
        <w:t>AI</w:t>
      </w:r>
      <w:r>
        <w:rPr>
          <w:spacing w:val="-3"/>
        </w:rPr>
        <w:t> </w:t>
      </w:r>
      <w:r>
        <w:rPr/>
        <w:t>use</w:t>
      </w:r>
      <w:r>
        <w:rPr>
          <w:spacing w:val="-3"/>
        </w:rPr>
        <w:t> </w:t>
      </w:r>
      <w:r>
        <w:rPr/>
        <w:t>and</w:t>
      </w:r>
      <w:r>
        <w:rPr>
          <w:spacing w:val="-3"/>
        </w:rPr>
        <w:t> </w:t>
      </w:r>
      <w:r>
        <w:rPr/>
        <w:t>concerns</w:t>
      </w:r>
      <w:r>
        <w:rPr>
          <w:spacing w:val="-3"/>
        </w:rPr>
        <w:t> </w:t>
      </w:r>
      <w:r>
        <w:rPr/>
        <w:t>about</w:t>
      </w:r>
      <w:r>
        <w:rPr>
          <w:spacing w:val="-3"/>
        </w:rPr>
        <w:t> </w:t>
      </w:r>
      <w:r>
        <w:rPr/>
        <w:t>overreliance</w:t>
      </w:r>
      <w:r>
        <w:rPr>
          <w:spacing w:val="-3"/>
        </w:rPr>
        <w:t> </w:t>
      </w:r>
      <w:r>
        <w:rPr/>
        <w:t>highlights</w:t>
      </w:r>
      <w:r>
        <w:rPr>
          <w:spacing w:val="-3"/>
        </w:rPr>
        <w:t> </w:t>
      </w:r>
      <w:r>
        <w:rPr/>
        <w:t>the ambivalence students feel toward AI-supported writing. Students may recognize the value of AI while simultaneously questioning its long-term impact on their abilities. This tension reflects broader societal debates about AI’s role in education and the workplace. It also suggests that instructors should address these concerns directly, helping students understand how to use AI as a tool rather than a crutch.</w:t>
      </w:r>
    </w:p>
    <w:p>
      <w:pPr>
        <w:pStyle w:val="BodyText"/>
        <w:spacing w:line="266" w:lineRule="auto" w:before="173"/>
        <w:ind w:left="712" w:right="1381" w:firstLine="15"/>
      </w:pPr>
      <w:r>
        <w:rPr/>
        <w:t>At</w:t>
      </w:r>
      <w:r>
        <w:rPr>
          <w:spacing w:val="-3"/>
        </w:rPr>
        <w:t> </w:t>
      </w:r>
      <w:r>
        <w:rPr/>
        <w:t>this</w:t>
      </w:r>
      <w:r>
        <w:rPr>
          <w:spacing w:val="-3"/>
        </w:rPr>
        <w:t> </w:t>
      </w:r>
      <w:r>
        <w:rPr/>
        <w:t>point,</w:t>
      </w:r>
      <w:r>
        <w:rPr>
          <w:spacing w:val="-3"/>
        </w:rPr>
        <w:t> </w:t>
      </w:r>
      <w:r>
        <w:rPr/>
        <w:t>the</w:t>
      </w:r>
      <w:r>
        <w:rPr>
          <w:spacing w:val="-3"/>
        </w:rPr>
        <w:t> </w:t>
      </w:r>
      <w:r>
        <w:rPr/>
        <w:t>mixed</w:t>
      </w:r>
      <w:r>
        <w:rPr>
          <w:spacing w:val="-3"/>
        </w:rPr>
        <w:t> </w:t>
      </w:r>
      <w:r>
        <w:rPr/>
        <w:t>findings</w:t>
      </w:r>
      <w:r>
        <w:rPr>
          <w:spacing w:val="-3"/>
        </w:rPr>
        <w:t> </w:t>
      </w:r>
      <w:r>
        <w:rPr/>
        <w:t>regarding</w:t>
      </w:r>
      <w:r>
        <w:rPr>
          <w:spacing w:val="-3"/>
        </w:rPr>
        <w:t> </w:t>
      </w:r>
      <w:r>
        <w:rPr/>
        <w:t>deep</w:t>
      </w:r>
      <w:r>
        <w:rPr>
          <w:spacing w:val="-3"/>
        </w:rPr>
        <w:t> </w:t>
      </w:r>
      <w:r>
        <w:rPr/>
        <w:t>and</w:t>
      </w:r>
      <w:r>
        <w:rPr>
          <w:spacing w:val="-3"/>
        </w:rPr>
        <w:t> </w:t>
      </w:r>
      <w:r>
        <w:rPr/>
        <w:t>surface</w:t>
      </w:r>
      <w:r>
        <w:rPr>
          <w:spacing w:val="-3"/>
        </w:rPr>
        <w:t> </w:t>
      </w:r>
      <w:r>
        <w:rPr/>
        <w:t>learning</w:t>
      </w:r>
      <w:r>
        <w:rPr>
          <w:spacing w:val="-3"/>
        </w:rPr>
        <w:t> </w:t>
      </w:r>
      <w:r>
        <w:rPr/>
        <w:t>indicate</w:t>
      </w:r>
      <w:r>
        <w:rPr>
          <w:spacing w:val="-3"/>
        </w:rPr>
        <w:t> </w:t>
      </w:r>
      <w:r>
        <w:rPr/>
        <w:t>that</w:t>
      </w:r>
      <w:r>
        <w:rPr>
          <w:spacing w:val="-3"/>
        </w:rPr>
        <w:t> </w:t>
      </w:r>
      <w:r>
        <w:rPr/>
        <w:t>AI</w:t>
      </w:r>
      <w:r>
        <w:rPr>
          <w:spacing w:val="-3"/>
        </w:rPr>
        <w:t> </w:t>
      </w:r>
      <w:r>
        <w:rPr/>
        <w:t>can</w:t>
      </w:r>
      <w:r>
        <w:rPr>
          <w:spacing w:val="-3"/>
        </w:rPr>
        <w:t> </w:t>
      </w:r>
      <w:r>
        <w:rPr/>
        <w:t>support both meaningful engagement and shortcut-oriented behavior. Some students use AI to explore alternative phrasing, analyze examples, or clarify concepts—behaviors consistent with deep learning. Others use AI primarily to complete assignments quickly, which aligns with surface learning. These patterns suggest that the impact of AI on learning depends not only on the tool itself but also on how students choose to use it (Entwistle &amp; Ramsden, 2015).</w:t>
      </w:r>
    </w:p>
    <w:p>
      <w:pPr>
        <w:pStyle w:val="BodyText"/>
        <w:spacing w:before="173"/>
        <w:ind w:left="727"/>
      </w:pPr>
      <w:r>
        <w:rPr/>
        <w:t>The positive relationship between policy clarity and ethical confidence underscores </w:t>
      </w:r>
      <w:r>
        <w:rPr>
          <w:spacing w:val="-5"/>
        </w:rPr>
        <w:t>the</w:t>
      </w:r>
    </w:p>
    <w:p>
      <w:pPr>
        <w:pStyle w:val="BodyText"/>
        <w:spacing w:after="0"/>
        <w:sectPr>
          <w:pgSz w:w="12240" w:h="15840"/>
          <w:pgMar w:header="0" w:footer="707" w:top="640" w:bottom="960" w:left="720" w:right="0"/>
        </w:sectPr>
      </w:pPr>
    </w:p>
    <w:p>
      <w:pPr>
        <w:pStyle w:val="BodyText"/>
        <w:spacing w:line="266" w:lineRule="auto" w:before="60"/>
        <w:ind w:left="727" w:right="1641"/>
      </w:pPr>
      <w:r>
        <w:rPr/>
        <w:t>importance of explicit AI guidelines. When students understand what is allowed and why, they feel</w:t>
      </w:r>
      <w:r>
        <w:rPr>
          <w:spacing w:val="-5"/>
        </w:rPr>
        <w:t> </w:t>
      </w:r>
      <w:r>
        <w:rPr/>
        <w:t>more</w:t>
      </w:r>
      <w:r>
        <w:rPr>
          <w:spacing w:val="-5"/>
        </w:rPr>
        <w:t> </w:t>
      </w:r>
      <w:r>
        <w:rPr/>
        <w:t>capable</w:t>
      </w:r>
      <w:r>
        <w:rPr>
          <w:spacing w:val="-5"/>
        </w:rPr>
        <w:t> </w:t>
      </w:r>
      <w:r>
        <w:rPr/>
        <w:t>of</w:t>
      </w:r>
      <w:r>
        <w:rPr>
          <w:spacing w:val="-5"/>
        </w:rPr>
        <w:t> </w:t>
      </w:r>
      <w:r>
        <w:rPr/>
        <w:t>using</w:t>
      </w:r>
      <w:r>
        <w:rPr>
          <w:spacing w:val="-5"/>
        </w:rPr>
        <w:t> </w:t>
      </w:r>
      <w:r>
        <w:rPr/>
        <w:t>AI</w:t>
      </w:r>
      <w:r>
        <w:rPr>
          <w:spacing w:val="-5"/>
        </w:rPr>
        <w:t> </w:t>
      </w:r>
      <w:r>
        <w:rPr/>
        <w:t>responsibly.</w:t>
      </w:r>
      <w:r>
        <w:rPr>
          <w:spacing w:val="-5"/>
        </w:rPr>
        <w:t> </w:t>
      </w:r>
      <w:r>
        <w:rPr/>
        <w:t>This</w:t>
      </w:r>
      <w:r>
        <w:rPr>
          <w:spacing w:val="-5"/>
        </w:rPr>
        <w:t> </w:t>
      </w:r>
      <w:r>
        <w:rPr/>
        <w:t>finding</w:t>
      </w:r>
      <w:r>
        <w:rPr>
          <w:spacing w:val="-5"/>
        </w:rPr>
        <w:t> </w:t>
      </w:r>
      <w:r>
        <w:rPr/>
        <w:t>suggests</w:t>
      </w:r>
      <w:r>
        <w:rPr>
          <w:spacing w:val="-5"/>
        </w:rPr>
        <w:t> </w:t>
      </w:r>
      <w:r>
        <w:rPr/>
        <w:t>that</w:t>
      </w:r>
      <w:r>
        <w:rPr>
          <w:spacing w:val="-5"/>
        </w:rPr>
        <w:t> </w:t>
      </w:r>
      <w:r>
        <w:rPr/>
        <w:t>instructors</w:t>
      </w:r>
      <w:r>
        <w:rPr>
          <w:spacing w:val="-5"/>
        </w:rPr>
        <w:t> </w:t>
      </w:r>
      <w:r>
        <w:rPr/>
        <w:t>should</w:t>
      </w:r>
      <w:r>
        <w:rPr>
          <w:spacing w:val="-5"/>
        </w:rPr>
        <w:t> </w:t>
      </w:r>
      <w:r>
        <w:rPr/>
        <w:t>provide clear examples of acceptable and unacceptable AI use, discuss academic integrity in an AI-rich environment, and create opportunities for students to reflect on their AI use (Moya et al.,</w:t>
      </w:r>
      <w:r>
        <w:rPr>
          <w:spacing w:val="40"/>
        </w:rPr>
        <w:t> </w:t>
      </w:r>
      <w:r>
        <w:rPr>
          <w:spacing w:val="-2"/>
        </w:rPr>
        <w:t>2024).</w:t>
      </w:r>
    </w:p>
    <w:p>
      <w:pPr>
        <w:pStyle w:val="BodyText"/>
        <w:spacing w:line="266" w:lineRule="auto" w:before="174"/>
        <w:ind w:left="727" w:right="1487"/>
      </w:pPr>
      <w:r>
        <w:rPr/>
        <w:t>Finally, the connection between perceived career relevance and AI use suggests that students view</w:t>
      </w:r>
      <w:r>
        <w:rPr>
          <w:spacing w:val="-3"/>
        </w:rPr>
        <w:t> </w:t>
      </w:r>
      <w:r>
        <w:rPr/>
        <w:t>AI</w:t>
      </w:r>
      <w:r>
        <w:rPr>
          <w:spacing w:val="-3"/>
        </w:rPr>
        <w:t> </w:t>
      </w:r>
      <w:r>
        <w:rPr/>
        <w:t>as</w:t>
      </w:r>
      <w:r>
        <w:rPr>
          <w:spacing w:val="-3"/>
        </w:rPr>
        <w:t> </w:t>
      </w:r>
      <w:r>
        <w:rPr/>
        <w:t>part</w:t>
      </w:r>
      <w:r>
        <w:rPr>
          <w:spacing w:val="-3"/>
        </w:rPr>
        <w:t> </w:t>
      </w:r>
      <w:r>
        <w:rPr/>
        <w:t>of</w:t>
      </w:r>
      <w:r>
        <w:rPr>
          <w:spacing w:val="-3"/>
        </w:rPr>
        <w:t> </w:t>
      </w:r>
      <w:r>
        <w:rPr/>
        <w:t>their</w:t>
      </w:r>
      <w:r>
        <w:rPr>
          <w:spacing w:val="-3"/>
        </w:rPr>
        <w:t> </w:t>
      </w:r>
      <w:r>
        <w:rPr/>
        <w:t>professional</w:t>
      </w:r>
      <w:r>
        <w:rPr>
          <w:spacing w:val="-3"/>
        </w:rPr>
        <w:t> </w:t>
      </w:r>
      <w:r>
        <w:rPr/>
        <w:t>future.</w:t>
      </w:r>
      <w:r>
        <w:rPr>
          <w:spacing w:val="-3"/>
        </w:rPr>
        <w:t> </w:t>
      </w:r>
      <w:r>
        <w:rPr/>
        <w:t>Business</w:t>
      </w:r>
      <w:r>
        <w:rPr>
          <w:spacing w:val="-3"/>
        </w:rPr>
        <w:t> </w:t>
      </w:r>
      <w:r>
        <w:rPr/>
        <w:t>communication</w:t>
      </w:r>
      <w:r>
        <w:rPr>
          <w:spacing w:val="-3"/>
        </w:rPr>
        <w:t> </w:t>
      </w:r>
      <w:r>
        <w:rPr/>
        <w:t>courses</w:t>
      </w:r>
      <w:r>
        <w:rPr>
          <w:spacing w:val="-3"/>
        </w:rPr>
        <w:t> </w:t>
      </w:r>
      <w:r>
        <w:rPr/>
        <w:t>are</w:t>
      </w:r>
      <w:r>
        <w:rPr>
          <w:spacing w:val="-3"/>
        </w:rPr>
        <w:t> </w:t>
      </w:r>
      <w:r>
        <w:rPr/>
        <w:t>well</w:t>
      </w:r>
      <w:r>
        <w:rPr>
          <w:spacing w:val="-3"/>
        </w:rPr>
        <w:t> </w:t>
      </w:r>
      <w:r>
        <w:rPr/>
        <w:t>positioned to model responsible, critical AI use that mirrors workplace expectations. By designing assignments that require students to critique, adapt, and justify AI-assisted writing, instructors can help students develop both technical fluency and professional judgment (Cummings &amp; Ferris, 2024).</w:t>
      </w:r>
    </w:p>
    <w:p>
      <w:pPr>
        <w:pStyle w:val="Heading4"/>
        <w:spacing w:before="171"/>
        <w:ind w:left="727"/>
      </w:pPr>
      <w:r>
        <w:rPr>
          <w:spacing w:val="-2"/>
        </w:rPr>
        <w:t>Conclusion</w:t>
      </w:r>
    </w:p>
    <w:p>
      <w:pPr>
        <w:pStyle w:val="BodyText"/>
        <w:spacing w:line="266" w:lineRule="auto" w:before="200"/>
        <w:ind w:left="712" w:right="1461" w:firstLine="15"/>
      </w:pPr>
      <w:r>
        <w:rPr/>
        <w:t>AI tools are becoming integral to students’ writing processes, particularly in courses that emphasize clarity, professionalism, and audience awareness. This study demonstrates that students</w:t>
      </w:r>
      <w:r>
        <w:rPr>
          <w:spacing w:val="-3"/>
        </w:rPr>
        <w:t> </w:t>
      </w:r>
      <w:r>
        <w:rPr/>
        <w:t>who</w:t>
      </w:r>
      <w:r>
        <w:rPr>
          <w:spacing w:val="-3"/>
        </w:rPr>
        <w:t> </w:t>
      </w:r>
      <w:r>
        <w:rPr/>
        <w:t>use</w:t>
      </w:r>
      <w:r>
        <w:rPr>
          <w:spacing w:val="-3"/>
        </w:rPr>
        <w:t> </w:t>
      </w:r>
      <w:r>
        <w:rPr/>
        <w:t>AI</w:t>
      </w:r>
      <w:r>
        <w:rPr>
          <w:spacing w:val="-3"/>
        </w:rPr>
        <w:t> </w:t>
      </w:r>
      <w:r>
        <w:rPr/>
        <w:t>more</w:t>
      </w:r>
      <w:r>
        <w:rPr>
          <w:spacing w:val="-3"/>
        </w:rPr>
        <w:t> </w:t>
      </w:r>
      <w:r>
        <w:rPr/>
        <w:t>frequently</w:t>
      </w:r>
      <w:r>
        <w:rPr>
          <w:spacing w:val="-3"/>
        </w:rPr>
        <w:t> </w:t>
      </w:r>
      <w:r>
        <w:rPr/>
        <w:t>tend</w:t>
      </w:r>
      <w:r>
        <w:rPr>
          <w:spacing w:val="-3"/>
        </w:rPr>
        <w:t> </w:t>
      </w:r>
      <w:r>
        <w:rPr/>
        <w:t>to</w:t>
      </w:r>
      <w:r>
        <w:rPr>
          <w:spacing w:val="-3"/>
        </w:rPr>
        <w:t> </w:t>
      </w:r>
      <w:r>
        <w:rPr/>
        <w:t>perceive</w:t>
      </w:r>
      <w:r>
        <w:rPr>
          <w:spacing w:val="-3"/>
        </w:rPr>
        <w:t> </w:t>
      </w:r>
      <w:r>
        <w:rPr/>
        <w:t>greater</w:t>
      </w:r>
      <w:r>
        <w:rPr>
          <w:spacing w:val="-3"/>
        </w:rPr>
        <w:t> </w:t>
      </w:r>
      <w:r>
        <w:rPr/>
        <w:t>improvements</w:t>
      </w:r>
      <w:r>
        <w:rPr>
          <w:spacing w:val="-3"/>
        </w:rPr>
        <w:t> </w:t>
      </w:r>
      <w:r>
        <w:rPr/>
        <w:t>in</w:t>
      </w:r>
      <w:r>
        <w:rPr>
          <w:spacing w:val="-3"/>
        </w:rPr>
        <w:t> </w:t>
      </w:r>
      <w:r>
        <w:rPr/>
        <w:t>their</w:t>
      </w:r>
      <w:r>
        <w:rPr>
          <w:spacing w:val="-3"/>
        </w:rPr>
        <w:t> </w:t>
      </w:r>
      <w:r>
        <w:rPr/>
        <w:t>writing,</w:t>
      </w:r>
      <w:r>
        <w:rPr>
          <w:spacing w:val="-3"/>
        </w:rPr>
        <w:t> </w:t>
      </w:r>
      <w:r>
        <w:rPr/>
        <w:t>yet they also express concerns about overreliance. AI use is associated with both deep and surface learning, reflecting the varied ways students integrate AI into their academic work. Clear AI policies enhance ethical confidence, and beliefs about AI’s career relevance predict AI use.</w:t>
      </w:r>
    </w:p>
    <w:p>
      <w:pPr>
        <w:pStyle w:val="BodyText"/>
        <w:spacing w:line="266" w:lineRule="auto" w:before="173"/>
        <w:ind w:left="727" w:right="1619"/>
      </w:pPr>
      <w:r>
        <w:rPr/>
        <w:t>These findings suggest that instructors should embrace AI as a legitimate writing tool while guiding</w:t>
      </w:r>
      <w:r>
        <w:rPr>
          <w:spacing w:val="-4"/>
        </w:rPr>
        <w:t> </w:t>
      </w:r>
      <w:r>
        <w:rPr/>
        <w:t>students</w:t>
      </w:r>
      <w:r>
        <w:rPr>
          <w:spacing w:val="-4"/>
        </w:rPr>
        <w:t> </w:t>
      </w:r>
      <w:r>
        <w:rPr/>
        <w:t>toward</w:t>
      </w:r>
      <w:r>
        <w:rPr>
          <w:spacing w:val="-4"/>
        </w:rPr>
        <w:t> </w:t>
      </w:r>
      <w:r>
        <w:rPr/>
        <w:t>reflective,</w:t>
      </w:r>
      <w:r>
        <w:rPr>
          <w:spacing w:val="-4"/>
        </w:rPr>
        <w:t> </w:t>
      </w:r>
      <w:r>
        <w:rPr/>
        <w:t>ethical,</w:t>
      </w:r>
      <w:r>
        <w:rPr>
          <w:spacing w:val="-4"/>
        </w:rPr>
        <w:t> </w:t>
      </w:r>
      <w:r>
        <w:rPr/>
        <w:t>and</w:t>
      </w:r>
      <w:r>
        <w:rPr>
          <w:spacing w:val="-4"/>
        </w:rPr>
        <w:t> </w:t>
      </w:r>
      <w:r>
        <w:rPr/>
        <w:t>skill-building</w:t>
      </w:r>
      <w:r>
        <w:rPr>
          <w:spacing w:val="-4"/>
        </w:rPr>
        <w:t> </w:t>
      </w:r>
      <w:r>
        <w:rPr/>
        <w:t>use.</w:t>
      </w:r>
      <w:r>
        <w:rPr>
          <w:spacing w:val="-4"/>
        </w:rPr>
        <w:t> </w:t>
      </w:r>
      <w:r>
        <w:rPr/>
        <w:t>By</w:t>
      </w:r>
      <w:r>
        <w:rPr>
          <w:spacing w:val="-4"/>
        </w:rPr>
        <w:t> </w:t>
      </w:r>
      <w:r>
        <w:rPr/>
        <w:t>balancing</w:t>
      </w:r>
      <w:r>
        <w:rPr>
          <w:spacing w:val="-4"/>
        </w:rPr>
        <w:t> </w:t>
      </w:r>
      <w:r>
        <w:rPr/>
        <w:t>AI-</w:t>
      </w:r>
      <w:r>
        <w:rPr/>
        <w:t>supported tasks with opportunities for independent writing, educators can help students develop the competencies needed for both academic success and professional communication in an</w:t>
      </w:r>
    </w:p>
    <w:p>
      <w:pPr>
        <w:pStyle w:val="BodyText"/>
        <w:spacing w:before="2"/>
        <w:ind w:left="727"/>
      </w:pPr>
      <w:r>
        <w:rPr/>
        <w:t>AI-rich</w:t>
      </w:r>
      <w:r>
        <w:rPr>
          <w:spacing w:val="60"/>
        </w:rPr>
        <w:t> </w:t>
      </w:r>
      <w:r>
        <w:rPr>
          <w:spacing w:val="-2"/>
        </w:rPr>
        <w:t>world.</w:t>
      </w:r>
    </w:p>
    <w:p>
      <w:pPr>
        <w:pStyle w:val="Heading4"/>
        <w:spacing w:before="205"/>
        <w:ind w:left="727"/>
      </w:pPr>
      <w:r>
        <w:rPr>
          <w:spacing w:val="-2"/>
        </w:rPr>
        <w:t>References</w:t>
      </w:r>
    </w:p>
    <w:p>
      <w:pPr>
        <w:spacing w:line="271" w:lineRule="auto" w:before="200"/>
        <w:ind w:left="1447" w:right="1619" w:hanging="720"/>
        <w:jc w:val="left"/>
        <w:rPr>
          <w:sz w:val="24"/>
        </w:rPr>
      </w:pPr>
      <w:r>
        <w:rPr>
          <w:sz w:val="24"/>
        </w:rPr>
        <w:t>Biggs,</w:t>
      </w:r>
      <w:r>
        <w:rPr>
          <w:spacing w:val="-4"/>
          <w:sz w:val="24"/>
        </w:rPr>
        <w:t> </w:t>
      </w:r>
      <w:r>
        <w:rPr>
          <w:sz w:val="24"/>
        </w:rPr>
        <w:t>J.</w:t>
      </w:r>
      <w:r>
        <w:rPr>
          <w:spacing w:val="-4"/>
          <w:sz w:val="24"/>
        </w:rPr>
        <w:t> </w:t>
      </w:r>
      <w:r>
        <w:rPr>
          <w:sz w:val="24"/>
        </w:rPr>
        <w:t>B.</w:t>
      </w:r>
      <w:r>
        <w:rPr>
          <w:spacing w:val="-4"/>
          <w:sz w:val="24"/>
        </w:rPr>
        <w:t> </w:t>
      </w:r>
      <w:r>
        <w:rPr>
          <w:sz w:val="24"/>
        </w:rPr>
        <w:t>(1987).</w:t>
      </w:r>
      <w:r>
        <w:rPr>
          <w:spacing w:val="-4"/>
          <w:sz w:val="24"/>
        </w:rPr>
        <w:t> </w:t>
      </w:r>
      <w:r>
        <w:rPr>
          <w:i/>
          <w:sz w:val="24"/>
        </w:rPr>
        <w:t>Student</w:t>
      </w:r>
      <w:r>
        <w:rPr>
          <w:i/>
          <w:spacing w:val="-4"/>
          <w:sz w:val="24"/>
        </w:rPr>
        <w:t> </w:t>
      </w:r>
      <w:r>
        <w:rPr>
          <w:i/>
          <w:sz w:val="24"/>
        </w:rPr>
        <w:t>approaches</w:t>
      </w:r>
      <w:r>
        <w:rPr>
          <w:i/>
          <w:spacing w:val="-4"/>
          <w:sz w:val="24"/>
        </w:rPr>
        <w:t> </w:t>
      </w:r>
      <w:r>
        <w:rPr>
          <w:i/>
          <w:sz w:val="24"/>
        </w:rPr>
        <w:t>to</w:t>
      </w:r>
      <w:r>
        <w:rPr>
          <w:i/>
          <w:spacing w:val="-4"/>
          <w:sz w:val="24"/>
        </w:rPr>
        <w:t> </w:t>
      </w:r>
      <w:r>
        <w:rPr>
          <w:i/>
          <w:sz w:val="24"/>
        </w:rPr>
        <w:t>learning</w:t>
      </w:r>
      <w:r>
        <w:rPr>
          <w:i/>
          <w:spacing w:val="-4"/>
          <w:sz w:val="24"/>
        </w:rPr>
        <w:t> </w:t>
      </w:r>
      <w:r>
        <w:rPr>
          <w:i/>
          <w:sz w:val="24"/>
        </w:rPr>
        <w:t>and</w:t>
      </w:r>
      <w:r>
        <w:rPr>
          <w:i/>
          <w:spacing w:val="-4"/>
          <w:sz w:val="24"/>
        </w:rPr>
        <w:t> </w:t>
      </w:r>
      <w:r>
        <w:rPr>
          <w:i/>
          <w:sz w:val="24"/>
        </w:rPr>
        <w:t>studying</w:t>
      </w:r>
      <w:r>
        <w:rPr>
          <w:sz w:val="24"/>
        </w:rPr>
        <w:t>.</w:t>
      </w:r>
      <w:r>
        <w:rPr>
          <w:spacing w:val="-4"/>
          <w:sz w:val="24"/>
        </w:rPr>
        <w:t> </w:t>
      </w:r>
      <w:r>
        <w:rPr>
          <w:sz w:val="24"/>
        </w:rPr>
        <w:t>Australian</w:t>
      </w:r>
      <w:r>
        <w:rPr>
          <w:spacing w:val="-4"/>
          <w:sz w:val="24"/>
        </w:rPr>
        <w:t> </w:t>
      </w:r>
      <w:r>
        <w:rPr>
          <w:sz w:val="24"/>
        </w:rPr>
        <w:t>Council</w:t>
      </w:r>
      <w:r>
        <w:rPr>
          <w:spacing w:val="-4"/>
          <w:sz w:val="24"/>
        </w:rPr>
        <w:t> </w:t>
      </w:r>
      <w:r>
        <w:rPr>
          <w:sz w:val="24"/>
        </w:rPr>
        <w:t>for Educational Research, Hawthorn. Research Monograph. </w:t>
      </w:r>
      <w:hyperlink r:id="rId245">
        <w:r>
          <w:rPr>
            <w:spacing w:val="-2"/>
            <w:sz w:val="24"/>
          </w:rPr>
          <w:t>https://eric.ed.gov/?id=ED308201</w:t>
        </w:r>
      </w:hyperlink>
    </w:p>
    <w:p>
      <w:pPr>
        <w:spacing w:line="266" w:lineRule="auto" w:before="165"/>
        <w:ind w:left="1447" w:right="1381" w:hanging="720"/>
        <w:jc w:val="left"/>
        <w:rPr>
          <w:sz w:val="24"/>
        </w:rPr>
      </w:pPr>
      <w:r>
        <w:rPr>
          <w:sz w:val="24"/>
        </w:rPr>
        <w:t>Cotton, D. R. E., Cotton, P. A., &amp; Shipway, J. R. (2023). </w:t>
      </w:r>
      <w:r>
        <w:rPr>
          <w:i/>
          <w:sz w:val="24"/>
        </w:rPr>
        <w:t>Chatting and cheating: Ensuring</w:t>
      </w:r>
      <w:r>
        <w:rPr>
          <w:i/>
          <w:sz w:val="24"/>
        </w:rPr>
        <w:t> academic</w:t>
      </w:r>
      <w:r>
        <w:rPr>
          <w:i/>
          <w:spacing w:val="-7"/>
          <w:sz w:val="24"/>
        </w:rPr>
        <w:t> </w:t>
      </w:r>
      <w:r>
        <w:rPr>
          <w:i/>
          <w:sz w:val="24"/>
        </w:rPr>
        <w:t>integrity</w:t>
      </w:r>
      <w:r>
        <w:rPr>
          <w:i/>
          <w:spacing w:val="-7"/>
          <w:sz w:val="24"/>
        </w:rPr>
        <w:t> </w:t>
      </w:r>
      <w:r>
        <w:rPr>
          <w:i/>
          <w:sz w:val="24"/>
        </w:rPr>
        <w:t>in</w:t>
      </w:r>
      <w:r>
        <w:rPr>
          <w:i/>
          <w:spacing w:val="-7"/>
          <w:sz w:val="24"/>
        </w:rPr>
        <w:t> </w:t>
      </w:r>
      <w:r>
        <w:rPr>
          <w:i/>
          <w:sz w:val="24"/>
        </w:rPr>
        <w:t>the</w:t>
      </w:r>
      <w:r>
        <w:rPr>
          <w:i/>
          <w:spacing w:val="-7"/>
          <w:sz w:val="24"/>
        </w:rPr>
        <w:t> </w:t>
      </w:r>
      <w:r>
        <w:rPr>
          <w:i/>
          <w:sz w:val="24"/>
        </w:rPr>
        <w:t>era</w:t>
      </w:r>
      <w:r>
        <w:rPr>
          <w:i/>
          <w:spacing w:val="-7"/>
          <w:sz w:val="24"/>
        </w:rPr>
        <w:t> </w:t>
      </w:r>
      <w:r>
        <w:rPr>
          <w:i/>
          <w:sz w:val="24"/>
        </w:rPr>
        <w:t>of</w:t>
      </w:r>
      <w:r>
        <w:rPr>
          <w:i/>
          <w:spacing w:val="-7"/>
          <w:sz w:val="24"/>
        </w:rPr>
        <w:t> </w:t>
      </w:r>
      <w:r>
        <w:rPr>
          <w:i/>
          <w:sz w:val="24"/>
        </w:rPr>
        <w:t>ChatGPT.</w:t>
      </w:r>
      <w:r>
        <w:rPr>
          <w:i/>
          <w:spacing w:val="-7"/>
          <w:sz w:val="24"/>
        </w:rPr>
        <w:t> </w:t>
      </w:r>
      <w:r>
        <w:rPr>
          <w:sz w:val="24"/>
        </w:rPr>
        <w:t>Research</w:t>
      </w:r>
      <w:r>
        <w:rPr>
          <w:spacing w:val="-7"/>
          <w:sz w:val="24"/>
        </w:rPr>
        <w:t> </w:t>
      </w:r>
      <w:r>
        <w:rPr>
          <w:sz w:val="24"/>
        </w:rPr>
        <w:t>Gate.</w:t>
      </w:r>
      <w:r>
        <w:rPr>
          <w:spacing w:val="-7"/>
          <w:sz w:val="24"/>
        </w:rPr>
        <w:t> </w:t>
      </w:r>
      <w:r>
        <w:rPr>
          <w:sz w:val="24"/>
        </w:rPr>
        <w:t>doi:10.35542/osf.io/mrz8h.</w:t>
      </w:r>
    </w:p>
    <w:p>
      <w:pPr>
        <w:spacing w:line="266" w:lineRule="auto" w:before="173"/>
        <w:ind w:left="1447" w:right="2085" w:hanging="720"/>
        <w:jc w:val="left"/>
        <w:rPr>
          <w:sz w:val="24"/>
        </w:rPr>
      </w:pPr>
      <w:r>
        <w:rPr>
          <w:sz w:val="24"/>
        </w:rPr>
        <w:t>Cummings,</w:t>
      </w:r>
      <w:r>
        <w:rPr>
          <w:spacing w:val="-3"/>
          <w:sz w:val="24"/>
        </w:rPr>
        <w:t> </w:t>
      </w:r>
      <w:r>
        <w:rPr>
          <w:sz w:val="24"/>
        </w:rPr>
        <w:t>J.</w:t>
      </w:r>
      <w:r>
        <w:rPr>
          <w:spacing w:val="-3"/>
          <w:sz w:val="24"/>
        </w:rPr>
        <w:t> </w:t>
      </w:r>
      <w:r>
        <w:rPr>
          <w:sz w:val="24"/>
        </w:rPr>
        <w:t>N.,</w:t>
      </w:r>
      <w:r>
        <w:rPr>
          <w:spacing w:val="-3"/>
          <w:sz w:val="24"/>
        </w:rPr>
        <w:t> </w:t>
      </w:r>
      <w:r>
        <w:rPr>
          <w:sz w:val="24"/>
        </w:rPr>
        <w:t>&amp;</w:t>
      </w:r>
      <w:r>
        <w:rPr>
          <w:spacing w:val="-3"/>
          <w:sz w:val="24"/>
        </w:rPr>
        <w:t> </w:t>
      </w:r>
      <w:r>
        <w:rPr>
          <w:sz w:val="24"/>
        </w:rPr>
        <w:t>Ferris,</w:t>
      </w:r>
      <w:r>
        <w:rPr>
          <w:spacing w:val="-3"/>
          <w:sz w:val="24"/>
        </w:rPr>
        <w:t> </w:t>
      </w:r>
      <w:r>
        <w:rPr>
          <w:sz w:val="24"/>
        </w:rPr>
        <w:t>S.</w:t>
      </w:r>
      <w:r>
        <w:rPr>
          <w:spacing w:val="-3"/>
          <w:sz w:val="24"/>
        </w:rPr>
        <w:t> </w:t>
      </w:r>
      <w:r>
        <w:rPr>
          <w:sz w:val="24"/>
        </w:rPr>
        <w:t>P.</w:t>
      </w:r>
      <w:r>
        <w:rPr>
          <w:spacing w:val="-3"/>
          <w:sz w:val="24"/>
        </w:rPr>
        <w:t> </w:t>
      </w:r>
      <w:r>
        <w:rPr>
          <w:sz w:val="24"/>
        </w:rPr>
        <w:t>(2024).</w:t>
      </w:r>
      <w:r>
        <w:rPr>
          <w:spacing w:val="-3"/>
          <w:sz w:val="24"/>
        </w:rPr>
        <w:t> </w:t>
      </w:r>
      <w:r>
        <w:rPr>
          <w:sz w:val="24"/>
        </w:rPr>
        <w:t>Artificial</w:t>
      </w:r>
      <w:r>
        <w:rPr>
          <w:spacing w:val="-3"/>
          <w:sz w:val="24"/>
        </w:rPr>
        <w:t> </w:t>
      </w:r>
      <w:r>
        <w:rPr>
          <w:sz w:val="24"/>
        </w:rPr>
        <w:t>intelligence</w:t>
      </w:r>
      <w:r>
        <w:rPr>
          <w:spacing w:val="-3"/>
          <w:sz w:val="24"/>
        </w:rPr>
        <w:t> </w:t>
      </w:r>
      <w:r>
        <w:rPr>
          <w:sz w:val="24"/>
        </w:rPr>
        <w:t>and</w:t>
      </w:r>
      <w:r>
        <w:rPr>
          <w:spacing w:val="-3"/>
          <w:sz w:val="24"/>
        </w:rPr>
        <w:t> </w:t>
      </w:r>
      <w:r>
        <w:rPr>
          <w:sz w:val="24"/>
        </w:rPr>
        <w:t>the</w:t>
      </w:r>
      <w:r>
        <w:rPr>
          <w:spacing w:val="-3"/>
          <w:sz w:val="24"/>
        </w:rPr>
        <w:t> </w:t>
      </w:r>
      <w:r>
        <w:rPr>
          <w:sz w:val="24"/>
        </w:rPr>
        <w:t>future</w:t>
      </w:r>
      <w:r>
        <w:rPr>
          <w:spacing w:val="-3"/>
          <w:sz w:val="24"/>
        </w:rPr>
        <w:t> </w:t>
      </w:r>
      <w:r>
        <w:rPr>
          <w:sz w:val="24"/>
        </w:rPr>
        <w:t>of</w:t>
      </w:r>
      <w:r>
        <w:rPr>
          <w:spacing w:val="-3"/>
          <w:sz w:val="24"/>
        </w:rPr>
        <w:t> </w:t>
      </w:r>
      <w:r>
        <w:rPr>
          <w:sz w:val="24"/>
        </w:rPr>
        <w:t>workplace communication.</w:t>
      </w:r>
      <w:r>
        <w:rPr>
          <w:spacing w:val="-4"/>
          <w:sz w:val="24"/>
        </w:rPr>
        <w:t> </w:t>
      </w:r>
      <w:r>
        <w:rPr>
          <w:i/>
          <w:sz w:val="24"/>
        </w:rPr>
        <w:t>Business</w:t>
      </w:r>
      <w:r>
        <w:rPr>
          <w:i/>
          <w:spacing w:val="-3"/>
          <w:sz w:val="24"/>
        </w:rPr>
        <w:t> </w:t>
      </w:r>
      <w:r>
        <w:rPr>
          <w:i/>
          <w:sz w:val="24"/>
        </w:rPr>
        <w:t>and</w:t>
      </w:r>
      <w:r>
        <w:rPr>
          <w:i/>
          <w:spacing w:val="-3"/>
          <w:sz w:val="24"/>
        </w:rPr>
        <w:t> </w:t>
      </w:r>
      <w:r>
        <w:rPr>
          <w:i/>
          <w:sz w:val="24"/>
        </w:rPr>
        <w:t>Professional</w:t>
      </w:r>
      <w:r>
        <w:rPr>
          <w:i/>
          <w:spacing w:val="-4"/>
          <w:sz w:val="24"/>
        </w:rPr>
        <w:t> </w:t>
      </w:r>
      <w:r>
        <w:rPr>
          <w:i/>
          <w:sz w:val="24"/>
        </w:rPr>
        <w:t>Communication</w:t>
      </w:r>
      <w:r>
        <w:rPr>
          <w:i/>
          <w:spacing w:val="-3"/>
          <w:sz w:val="24"/>
        </w:rPr>
        <w:t> </w:t>
      </w:r>
      <w:r>
        <w:rPr>
          <w:i/>
          <w:sz w:val="24"/>
        </w:rPr>
        <w:t>Quarterly,</w:t>
      </w:r>
      <w:r>
        <w:rPr>
          <w:i/>
          <w:spacing w:val="-3"/>
          <w:sz w:val="24"/>
        </w:rPr>
        <w:t> </w:t>
      </w:r>
      <w:r>
        <w:rPr>
          <w:i/>
          <w:sz w:val="24"/>
        </w:rPr>
        <w:t>87</w:t>
      </w:r>
      <w:r>
        <w:rPr>
          <w:sz w:val="24"/>
        </w:rPr>
        <w:t>(1),</w:t>
      </w:r>
      <w:r>
        <w:rPr>
          <w:spacing w:val="-3"/>
          <w:sz w:val="24"/>
        </w:rPr>
        <w:t> </w:t>
      </w:r>
      <w:r>
        <w:rPr>
          <w:sz w:val="24"/>
        </w:rPr>
        <w:t>5-</w:t>
      </w:r>
      <w:r>
        <w:rPr>
          <w:spacing w:val="-5"/>
          <w:sz w:val="24"/>
        </w:rPr>
        <w:t>28.</w:t>
      </w:r>
    </w:p>
    <w:p>
      <w:pPr>
        <w:pStyle w:val="BodyText"/>
        <w:spacing w:line="266" w:lineRule="auto" w:before="174"/>
        <w:ind w:left="904" w:right="2019"/>
        <w:jc w:val="center"/>
      </w:pPr>
      <w:r>
        <w:rPr/>
        <w:t>Dwivedi,</w:t>
      </w:r>
      <w:r>
        <w:rPr>
          <w:spacing w:val="-5"/>
        </w:rPr>
        <w:t> </w:t>
      </w:r>
      <w:r>
        <w:rPr/>
        <w:t>Y.</w:t>
      </w:r>
      <w:r>
        <w:rPr>
          <w:spacing w:val="-5"/>
        </w:rPr>
        <w:t> </w:t>
      </w:r>
      <w:r>
        <w:rPr/>
        <w:t>K.,</w:t>
      </w:r>
      <w:r>
        <w:rPr>
          <w:spacing w:val="-5"/>
        </w:rPr>
        <w:t> </w:t>
      </w:r>
      <w:r>
        <w:rPr/>
        <w:t>Kshetri,</w:t>
      </w:r>
      <w:r>
        <w:rPr>
          <w:spacing w:val="-5"/>
        </w:rPr>
        <w:t> </w:t>
      </w:r>
      <w:r>
        <w:rPr/>
        <w:t>N.,</w:t>
      </w:r>
      <w:r>
        <w:rPr>
          <w:spacing w:val="-5"/>
        </w:rPr>
        <w:t> </w:t>
      </w:r>
      <w:r>
        <w:rPr/>
        <w:t>Hughes,</w:t>
      </w:r>
      <w:r>
        <w:rPr>
          <w:spacing w:val="-5"/>
        </w:rPr>
        <w:t> </w:t>
      </w:r>
      <w:r>
        <w:rPr/>
        <w:t>L.,</w:t>
      </w:r>
      <w:r>
        <w:rPr>
          <w:spacing w:val="-5"/>
        </w:rPr>
        <w:t> </w:t>
      </w:r>
      <w:r>
        <w:rPr/>
        <w:t>Slade,</w:t>
      </w:r>
      <w:r>
        <w:rPr>
          <w:spacing w:val="-5"/>
        </w:rPr>
        <w:t> </w:t>
      </w:r>
      <w:r>
        <w:rPr/>
        <w:t>E.</w:t>
      </w:r>
      <w:r>
        <w:rPr>
          <w:spacing w:val="-5"/>
        </w:rPr>
        <w:t> </w:t>
      </w:r>
      <w:r>
        <w:rPr/>
        <w:t>L.,</w:t>
      </w:r>
      <w:r>
        <w:rPr>
          <w:spacing w:val="-5"/>
        </w:rPr>
        <w:t> </w:t>
      </w:r>
      <w:r>
        <w:rPr/>
        <w:t>Jeyaraj,</w:t>
      </w:r>
      <w:r>
        <w:rPr>
          <w:spacing w:val="-5"/>
        </w:rPr>
        <w:t> </w:t>
      </w:r>
      <w:r>
        <w:rPr/>
        <w:t>A.,</w:t>
      </w:r>
      <w:r>
        <w:rPr>
          <w:spacing w:val="-5"/>
        </w:rPr>
        <w:t> </w:t>
      </w:r>
      <w:r>
        <w:rPr/>
        <w:t>et</w:t>
      </w:r>
      <w:r>
        <w:rPr>
          <w:spacing w:val="-5"/>
        </w:rPr>
        <w:t> </w:t>
      </w:r>
      <w:r>
        <w:rPr/>
        <w:t>al.</w:t>
      </w:r>
      <w:r>
        <w:rPr>
          <w:spacing w:val="-5"/>
        </w:rPr>
        <w:t> </w:t>
      </w:r>
      <w:r>
        <w:rPr/>
        <w:t>(2023).</w:t>
      </w:r>
      <w:r>
        <w:rPr>
          <w:spacing w:val="-5"/>
        </w:rPr>
        <w:t> </w:t>
      </w:r>
      <w:r>
        <w:rPr/>
        <w:t>So</w:t>
      </w:r>
      <w:r>
        <w:rPr>
          <w:spacing w:val="-5"/>
        </w:rPr>
        <w:t> </w:t>
      </w:r>
      <w:r>
        <w:rPr/>
        <w:t>what</w:t>
      </w:r>
      <w:r>
        <w:rPr>
          <w:spacing w:val="-5"/>
        </w:rPr>
        <w:t> </w:t>
      </w:r>
      <w:r>
        <w:rPr/>
        <w:t>if ChatGPT wrote it?” Multidisciplinary Perspectives on Opportunities, Challenges and Implications of Generative Conversational AI for Research, Practice and</w:t>
      </w:r>
    </w:p>
    <w:p>
      <w:pPr>
        <w:spacing w:line="273" w:lineRule="auto" w:before="13"/>
        <w:ind w:left="1447" w:right="0" w:firstLine="0"/>
        <w:jc w:val="left"/>
        <w:rPr>
          <w:sz w:val="24"/>
        </w:rPr>
      </w:pPr>
      <w:r>
        <w:rPr>
          <w:sz w:val="24"/>
        </w:rPr>
        <w:t>Policy.</w:t>
      </w:r>
      <w:r>
        <w:rPr>
          <w:spacing w:val="-8"/>
          <w:sz w:val="24"/>
        </w:rPr>
        <w:t> </w:t>
      </w:r>
      <w:r>
        <w:rPr>
          <w:i/>
          <w:sz w:val="24"/>
        </w:rPr>
        <w:t>International</w:t>
      </w:r>
      <w:r>
        <w:rPr>
          <w:i/>
          <w:spacing w:val="-8"/>
          <w:sz w:val="24"/>
        </w:rPr>
        <w:t> </w:t>
      </w:r>
      <w:r>
        <w:rPr>
          <w:i/>
          <w:sz w:val="24"/>
        </w:rPr>
        <w:t>Journal</w:t>
      </w:r>
      <w:r>
        <w:rPr>
          <w:i/>
          <w:spacing w:val="-8"/>
          <w:sz w:val="24"/>
        </w:rPr>
        <w:t> </w:t>
      </w:r>
      <w:r>
        <w:rPr>
          <w:i/>
          <w:sz w:val="24"/>
        </w:rPr>
        <w:t>of</w:t>
      </w:r>
      <w:r>
        <w:rPr>
          <w:i/>
          <w:spacing w:val="-8"/>
          <w:sz w:val="24"/>
        </w:rPr>
        <w:t> </w:t>
      </w:r>
      <w:r>
        <w:rPr>
          <w:i/>
          <w:sz w:val="24"/>
        </w:rPr>
        <w:t>Information</w:t>
      </w:r>
      <w:r>
        <w:rPr>
          <w:i/>
          <w:spacing w:val="-8"/>
          <w:sz w:val="24"/>
        </w:rPr>
        <w:t> </w:t>
      </w:r>
      <w:r>
        <w:rPr>
          <w:i/>
          <w:sz w:val="24"/>
        </w:rPr>
        <w:t>Management,</w:t>
      </w:r>
      <w:r>
        <w:rPr>
          <w:i/>
          <w:spacing w:val="-8"/>
          <w:sz w:val="24"/>
        </w:rPr>
        <w:t> </w:t>
      </w:r>
      <w:r>
        <w:rPr>
          <w:i/>
          <w:sz w:val="24"/>
        </w:rPr>
        <w:t>71,</w:t>
      </w:r>
      <w:r>
        <w:rPr>
          <w:i/>
          <w:spacing w:val="-8"/>
          <w:sz w:val="24"/>
        </w:rPr>
        <w:t> </w:t>
      </w:r>
      <w:r>
        <w:rPr>
          <w:sz w:val="24"/>
        </w:rPr>
        <w:t>102642. </w:t>
      </w:r>
      <w:hyperlink r:id="rId246">
        <w:r>
          <w:rPr>
            <w:spacing w:val="-2"/>
            <w:sz w:val="24"/>
          </w:rPr>
          <w:t>https://doi.org/10.1016/j.ijinfomgt.2023.102642</w:t>
        </w:r>
      </w:hyperlink>
    </w:p>
    <w:p>
      <w:pPr>
        <w:spacing w:line="266" w:lineRule="auto" w:before="162"/>
        <w:ind w:left="1447" w:right="1191" w:hanging="720"/>
        <w:jc w:val="left"/>
        <w:rPr>
          <w:sz w:val="24"/>
        </w:rPr>
      </w:pPr>
      <w:r>
        <w:rPr>
          <w:sz w:val="24"/>
        </w:rPr>
        <w:t>Elaiess, R. (2024). Academic integrity in the age of artificial intelligence: Exploring ethical challenges</w:t>
      </w:r>
      <w:r>
        <w:rPr>
          <w:spacing w:val="-5"/>
          <w:sz w:val="24"/>
        </w:rPr>
        <w:t> </w:t>
      </w:r>
      <w:r>
        <w:rPr>
          <w:sz w:val="24"/>
        </w:rPr>
        <w:t>in</w:t>
      </w:r>
      <w:r>
        <w:rPr>
          <w:spacing w:val="-5"/>
          <w:sz w:val="24"/>
        </w:rPr>
        <w:t> </w:t>
      </w:r>
      <w:r>
        <w:rPr>
          <w:sz w:val="24"/>
        </w:rPr>
        <w:t>a</w:t>
      </w:r>
      <w:r>
        <w:rPr>
          <w:spacing w:val="-5"/>
          <w:sz w:val="24"/>
        </w:rPr>
        <w:t> </w:t>
      </w:r>
      <w:r>
        <w:rPr>
          <w:sz w:val="24"/>
        </w:rPr>
        <w:t>digital</w:t>
      </w:r>
      <w:r>
        <w:rPr>
          <w:spacing w:val="-5"/>
          <w:sz w:val="24"/>
        </w:rPr>
        <w:t> </w:t>
      </w:r>
      <w:r>
        <w:rPr>
          <w:sz w:val="24"/>
        </w:rPr>
        <w:t>era.</w:t>
      </w:r>
      <w:r>
        <w:rPr>
          <w:spacing w:val="-5"/>
          <w:sz w:val="24"/>
        </w:rPr>
        <w:t> </w:t>
      </w:r>
      <w:r>
        <w:rPr>
          <w:i/>
          <w:sz w:val="24"/>
        </w:rPr>
        <w:t>International</w:t>
      </w:r>
      <w:r>
        <w:rPr>
          <w:i/>
          <w:spacing w:val="-5"/>
          <w:sz w:val="24"/>
        </w:rPr>
        <w:t> </w:t>
      </w:r>
      <w:r>
        <w:rPr>
          <w:i/>
          <w:sz w:val="24"/>
        </w:rPr>
        <w:t>Journal</w:t>
      </w:r>
      <w:r>
        <w:rPr>
          <w:i/>
          <w:spacing w:val="-5"/>
          <w:sz w:val="24"/>
        </w:rPr>
        <w:t> </w:t>
      </w:r>
      <w:r>
        <w:rPr>
          <w:i/>
          <w:sz w:val="24"/>
        </w:rPr>
        <w:t>of</w:t>
      </w:r>
      <w:r>
        <w:rPr>
          <w:i/>
          <w:spacing w:val="-5"/>
          <w:sz w:val="24"/>
        </w:rPr>
        <w:t> </w:t>
      </w:r>
      <w:r>
        <w:rPr>
          <w:i/>
          <w:sz w:val="24"/>
        </w:rPr>
        <w:t>Academic</w:t>
      </w:r>
      <w:r>
        <w:rPr>
          <w:i/>
          <w:spacing w:val="-5"/>
          <w:sz w:val="24"/>
        </w:rPr>
        <w:t> </w:t>
      </w:r>
      <w:r>
        <w:rPr>
          <w:i/>
          <w:sz w:val="24"/>
        </w:rPr>
        <w:t>Multidisciplinary</w:t>
      </w:r>
      <w:r>
        <w:rPr>
          <w:i/>
          <w:spacing w:val="-5"/>
          <w:sz w:val="24"/>
        </w:rPr>
        <w:t> </w:t>
      </w:r>
      <w:r>
        <w:rPr>
          <w:i/>
          <w:sz w:val="24"/>
        </w:rPr>
        <w:t>Research,</w:t>
      </w:r>
      <w:r>
        <w:rPr>
          <w:i/>
          <w:sz w:val="24"/>
        </w:rPr>
        <w:t> 8</w:t>
      </w:r>
      <w:r>
        <w:rPr>
          <w:sz w:val="24"/>
        </w:rPr>
        <w:t>(11), 12-15.</w:t>
      </w:r>
    </w:p>
    <w:p>
      <w:pPr>
        <w:spacing w:before="173"/>
        <w:ind w:left="727" w:right="0" w:firstLine="0"/>
        <w:jc w:val="left"/>
        <w:rPr>
          <w:sz w:val="24"/>
        </w:rPr>
      </w:pPr>
      <w:r>
        <w:rPr>
          <w:sz w:val="24"/>
        </w:rPr>
        <w:t>Entwistle,</w:t>
      </w:r>
      <w:r>
        <w:rPr>
          <w:spacing w:val="-3"/>
          <w:sz w:val="24"/>
        </w:rPr>
        <w:t> </w:t>
      </w:r>
      <w:r>
        <w:rPr>
          <w:sz w:val="24"/>
        </w:rPr>
        <w:t>N.,</w:t>
      </w:r>
      <w:r>
        <w:rPr>
          <w:spacing w:val="-3"/>
          <w:sz w:val="24"/>
        </w:rPr>
        <w:t> </w:t>
      </w:r>
      <w:r>
        <w:rPr>
          <w:sz w:val="24"/>
        </w:rPr>
        <w:t>&amp;</w:t>
      </w:r>
      <w:r>
        <w:rPr>
          <w:spacing w:val="-3"/>
          <w:sz w:val="24"/>
        </w:rPr>
        <w:t> </w:t>
      </w:r>
      <w:r>
        <w:rPr>
          <w:sz w:val="24"/>
        </w:rPr>
        <w:t>Ramsden,</w:t>
      </w:r>
      <w:r>
        <w:rPr>
          <w:spacing w:val="-2"/>
          <w:sz w:val="24"/>
        </w:rPr>
        <w:t> </w:t>
      </w:r>
      <w:r>
        <w:rPr>
          <w:sz w:val="24"/>
        </w:rPr>
        <w:t>P.</w:t>
      </w:r>
      <w:r>
        <w:rPr>
          <w:spacing w:val="-3"/>
          <w:sz w:val="24"/>
        </w:rPr>
        <w:t> </w:t>
      </w:r>
      <w:r>
        <w:rPr>
          <w:sz w:val="24"/>
        </w:rPr>
        <w:t>(2015).</w:t>
      </w:r>
      <w:r>
        <w:rPr>
          <w:spacing w:val="-3"/>
          <w:sz w:val="24"/>
        </w:rPr>
        <w:t> </w:t>
      </w:r>
      <w:r>
        <w:rPr>
          <w:i/>
          <w:sz w:val="24"/>
        </w:rPr>
        <w:t>Understanding</w:t>
      </w:r>
      <w:r>
        <w:rPr>
          <w:i/>
          <w:spacing w:val="-2"/>
          <w:sz w:val="24"/>
        </w:rPr>
        <w:t> </w:t>
      </w:r>
      <w:r>
        <w:rPr>
          <w:i/>
          <w:sz w:val="24"/>
        </w:rPr>
        <w:t>student</w:t>
      </w:r>
      <w:r>
        <w:rPr>
          <w:i/>
          <w:spacing w:val="-3"/>
          <w:sz w:val="24"/>
        </w:rPr>
        <w:t> </w:t>
      </w:r>
      <w:r>
        <w:rPr>
          <w:i/>
          <w:sz w:val="24"/>
        </w:rPr>
        <w:t>learning</w:t>
      </w:r>
      <w:r>
        <w:rPr>
          <w:sz w:val="24"/>
        </w:rPr>
        <w:t>.</w:t>
      </w:r>
      <w:r>
        <w:rPr>
          <w:spacing w:val="-3"/>
          <w:sz w:val="24"/>
        </w:rPr>
        <w:t> </w:t>
      </w:r>
      <w:r>
        <w:rPr>
          <w:sz w:val="24"/>
        </w:rPr>
        <w:t>London:</w:t>
      </w:r>
      <w:r>
        <w:rPr>
          <w:spacing w:val="-2"/>
          <w:sz w:val="24"/>
        </w:rPr>
        <w:t> Routledge.</w:t>
      </w:r>
    </w:p>
    <w:p>
      <w:pPr>
        <w:spacing w:after="0"/>
        <w:jc w:val="left"/>
        <w:rPr>
          <w:sz w:val="24"/>
        </w:rPr>
        <w:sectPr>
          <w:pgSz w:w="12240" w:h="15840"/>
          <w:pgMar w:header="0" w:footer="707" w:top="640" w:bottom="900" w:left="720" w:right="0"/>
        </w:sectPr>
      </w:pPr>
    </w:p>
    <w:p>
      <w:pPr>
        <w:spacing w:line="266" w:lineRule="auto" w:before="60"/>
        <w:ind w:left="1802" w:right="1619" w:hanging="1055"/>
        <w:jc w:val="left"/>
        <w:rPr>
          <w:sz w:val="24"/>
        </w:rPr>
      </w:pPr>
      <w:r>
        <w:rPr>
          <w:sz w:val="24"/>
        </w:rPr>
        <w:t>Huang,</w:t>
      </w:r>
      <w:r>
        <w:rPr>
          <w:spacing w:val="-5"/>
          <w:sz w:val="24"/>
        </w:rPr>
        <w:t> </w:t>
      </w:r>
      <w:r>
        <w:rPr>
          <w:sz w:val="24"/>
        </w:rPr>
        <w:t>M.-H.,</w:t>
      </w:r>
      <w:r>
        <w:rPr>
          <w:spacing w:val="-5"/>
          <w:sz w:val="24"/>
        </w:rPr>
        <w:t> </w:t>
      </w:r>
      <w:r>
        <w:rPr>
          <w:sz w:val="24"/>
        </w:rPr>
        <w:t>&amp;</w:t>
      </w:r>
      <w:r>
        <w:rPr>
          <w:spacing w:val="-5"/>
          <w:sz w:val="24"/>
        </w:rPr>
        <w:t> </w:t>
      </w:r>
      <w:r>
        <w:rPr>
          <w:sz w:val="24"/>
        </w:rPr>
        <w:t>Rust,</w:t>
      </w:r>
      <w:r>
        <w:rPr>
          <w:spacing w:val="-5"/>
          <w:sz w:val="24"/>
        </w:rPr>
        <w:t> </w:t>
      </w:r>
      <w:r>
        <w:rPr>
          <w:sz w:val="24"/>
        </w:rPr>
        <w:t>R.</w:t>
      </w:r>
      <w:r>
        <w:rPr>
          <w:spacing w:val="-5"/>
          <w:sz w:val="24"/>
        </w:rPr>
        <w:t> </w:t>
      </w:r>
      <w:r>
        <w:rPr>
          <w:sz w:val="24"/>
        </w:rPr>
        <w:t>T.</w:t>
      </w:r>
      <w:r>
        <w:rPr>
          <w:spacing w:val="-5"/>
          <w:sz w:val="24"/>
        </w:rPr>
        <w:t> </w:t>
      </w:r>
      <w:r>
        <w:rPr>
          <w:sz w:val="24"/>
        </w:rPr>
        <w:t>(2021).</w:t>
      </w:r>
      <w:r>
        <w:rPr>
          <w:spacing w:val="-5"/>
          <w:sz w:val="24"/>
        </w:rPr>
        <w:t> </w:t>
      </w:r>
      <w:r>
        <w:rPr>
          <w:sz w:val="24"/>
        </w:rPr>
        <w:t>Artificial</w:t>
      </w:r>
      <w:r>
        <w:rPr>
          <w:spacing w:val="-5"/>
          <w:sz w:val="24"/>
        </w:rPr>
        <w:t> </w:t>
      </w:r>
      <w:r>
        <w:rPr>
          <w:sz w:val="24"/>
        </w:rPr>
        <w:t>intelligence</w:t>
      </w:r>
      <w:r>
        <w:rPr>
          <w:spacing w:val="-5"/>
          <w:sz w:val="24"/>
        </w:rPr>
        <w:t> </w:t>
      </w:r>
      <w:r>
        <w:rPr>
          <w:sz w:val="24"/>
        </w:rPr>
        <w:t>in</w:t>
      </w:r>
      <w:r>
        <w:rPr>
          <w:spacing w:val="-5"/>
          <w:sz w:val="24"/>
        </w:rPr>
        <w:t> </w:t>
      </w:r>
      <w:r>
        <w:rPr>
          <w:sz w:val="24"/>
        </w:rPr>
        <w:t>service.</w:t>
      </w:r>
      <w:r>
        <w:rPr>
          <w:spacing w:val="-5"/>
          <w:sz w:val="24"/>
        </w:rPr>
        <w:t> </w:t>
      </w:r>
      <w:r>
        <w:rPr>
          <w:i/>
          <w:sz w:val="24"/>
        </w:rPr>
        <w:t>Journal</w:t>
      </w:r>
      <w:r>
        <w:rPr>
          <w:i/>
          <w:spacing w:val="-5"/>
          <w:sz w:val="24"/>
        </w:rPr>
        <w:t> </w:t>
      </w:r>
      <w:r>
        <w:rPr>
          <w:i/>
          <w:sz w:val="24"/>
        </w:rPr>
        <w:t>of</w:t>
      </w:r>
      <w:r>
        <w:rPr>
          <w:i/>
          <w:spacing w:val="-5"/>
          <w:sz w:val="24"/>
        </w:rPr>
        <w:t> </w:t>
      </w:r>
      <w:r>
        <w:rPr>
          <w:i/>
          <w:sz w:val="24"/>
        </w:rPr>
        <w:t>Service</w:t>
      </w:r>
      <w:r>
        <w:rPr>
          <w:i/>
          <w:sz w:val="24"/>
        </w:rPr>
        <w:t> Research, 21</w:t>
      </w:r>
      <w:r>
        <w:rPr>
          <w:sz w:val="24"/>
        </w:rPr>
        <w:t>(2), 3-20. </w:t>
      </w:r>
      <w:hyperlink r:id="rId247">
        <w:r>
          <w:rPr>
            <w:sz w:val="24"/>
          </w:rPr>
          <w:t>https://doi.org/10.1177/1094670517752459</w:t>
        </w:r>
      </w:hyperlink>
    </w:p>
    <w:p>
      <w:pPr>
        <w:pStyle w:val="BodyText"/>
        <w:spacing w:line="271" w:lineRule="auto" w:before="173"/>
        <w:ind w:left="1447" w:right="1725" w:hanging="720"/>
      </w:pPr>
      <w:r>
        <w:rPr/>
        <w:t>Kasneci, E., Sessler, K., Küchemann, S., Bannert, M., Dementieva, D., Fischer, F., </w:t>
      </w:r>
      <w:r>
        <w:rPr>
          <w:i/>
        </w:rPr>
        <w:t>et al</w:t>
      </w:r>
      <w:r>
        <w:rPr/>
        <w:t>. (2023).</w:t>
      </w:r>
      <w:r>
        <w:rPr>
          <w:spacing w:val="-4"/>
        </w:rPr>
        <w:t> </w:t>
      </w:r>
      <w:r>
        <w:rPr/>
        <w:t>ChatGPT</w:t>
      </w:r>
      <w:r>
        <w:rPr>
          <w:spacing w:val="-4"/>
        </w:rPr>
        <w:t> </w:t>
      </w:r>
      <w:r>
        <w:rPr/>
        <w:t>for</w:t>
      </w:r>
      <w:r>
        <w:rPr>
          <w:spacing w:val="-4"/>
        </w:rPr>
        <w:t> </w:t>
      </w:r>
      <w:r>
        <w:rPr/>
        <w:t>good?</w:t>
      </w:r>
      <w:r>
        <w:rPr>
          <w:spacing w:val="-4"/>
        </w:rPr>
        <w:t> </w:t>
      </w:r>
      <w:r>
        <w:rPr/>
        <w:t>On</w:t>
      </w:r>
      <w:r>
        <w:rPr>
          <w:spacing w:val="-4"/>
        </w:rPr>
        <w:t> </w:t>
      </w:r>
      <w:r>
        <w:rPr/>
        <w:t>opportunities</w:t>
      </w:r>
      <w:r>
        <w:rPr>
          <w:spacing w:val="-4"/>
        </w:rPr>
        <w:t> </w:t>
      </w:r>
      <w:r>
        <w:rPr/>
        <w:t>and</w:t>
      </w:r>
      <w:r>
        <w:rPr>
          <w:spacing w:val="-4"/>
        </w:rPr>
        <w:t> </w:t>
      </w:r>
      <w:r>
        <w:rPr/>
        <w:t>challenges</w:t>
      </w:r>
      <w:r>
        <w:rPr>
          <w:spacing w:val="-4"/>
        </w:rPr>
        <w:t> </w:t>
      </w:r>
      <w:r>
        <w:rPr/>
        <w:t>of</w:t>
      </w:r>
      <w:r>
        <w:rPr>
          <w:spacing w:val="-4"/>
        </w:rPr>
        <w:t> </w:t>
      </w:r>
      <w:r>
        <w:rPr/>
        <w:t>large</w:t>
      </w:r>
      <w:r>
        <w:rPr>
          <w:spacing w:val="-4"/>
        </w:rPr>
        <w:t> </w:t>
      </w:r>
      <w:r>
        <w:rPr/>
        <w:t>language</w:t>
      </w:r>
      <w:r>
        <w:rPr>
          <w:spacing w:val="-4"/>
        </w:rPr>
        <w:t> </w:t>
      </w:r>
      <w:r>
        <w:rPr/>
        <w:t>models for</w:t>
      </w:r>
      <w:r>
        <w:rPr>
          <w:spacing w:val="40"/>
        </w:rPr>
        <w:t> </w:t>
      </w:r>
      <w:r>
        <w:rPr/>
        <w:t>education. </w:t>
      </w:r>
      <w:r>
        <w:rPr>
          <w:i/>
        </w:rPr>
        <w:t>Learning and Individual Differences</w:t>
      </w:r>
      <w:r>
        <w:rPr/>
        <w:t>, 103. </w:t>
      </w:r>
      <w:hyperlink r:id="rId248">
        <w:r>
          <w:rPr>
            <w:spacing w:val="-2"/>
          </w:rPr>
          <w:t>https://doi.org/10.1016/j.lindif.2023.102274</w:t>
        </w:r>
      </w:hyperlink>
    </w:p>
    <w:p>
      <w:pPr>
        <w:pStyle w:val="BodyText"/>
        <w:spacing w:line="266" w:lineRule="auto" w:before="162"/>
        <w:ind w:left="1447" w:right="1191" w:hanging="720"/>
      </w:pPr>
      <w:r>
        <w:rPr/>
        <w:t>Mondal,</w:t>
      </w:r>
      <w:r>
        <w:rPr>
          <w:spacing w:val="-3"/>
        </w:rPr>
        <w:t> </w:t>
      </w:r>
      <w:r>
        <w:rPr/>
        <w:t>H.,</w:t>
      </w:r>
      <w:r>
        <w:rPr>
          <w:spacing w:val="-3"/>
        </w:rPr>
        <w:t> </w:t>
      </w:r>
      <w:r>
        <w:rPr/>
        <w:t>&amp;</w:t>
      </w:r>
      <w:r>
        <w:rPr>
          <w:spacing w:val="-3"/>
        </w:rPr>
        <w:t> </w:t>
      </w:r>
      <w:r>
        <w:rPr/>
        <w:t>Mondal,</w:t>
      </w:r>
      <w:r>
        <w:rPr>
          <w:spacing w:val="-3"/>
        </w:rPr>
        <w:t> </w:t>
      </w:r>
      <w:r>
        <w:rPr/>
        <w:t>S.</w:t>
      </w:r>
      <w:r>
        <w:rPr>
          <w:spacing w:val="-3"/>
        </w:rPr>
        <w:t> </w:t>
      </w:r>
      <w:r>
        <w:rPr/>
        <w:t>(2023).</w:t>
      </w:r>
      <w:r>
        <w:rPr>
          <w:spacing w:val="-3"/>
        </w:rPr>
        <w:t> </w:t>
      </w:r>
      <w:r>
        <w:rPr/>
        <w:t>ChatGPT</w:t>
      </w:r>
      <w:r>
        <w:rPr>
          <w:spacing w:val="-3"/>
        </w:rPr>
        <w:t> </w:t>
      </w:r>
      <w:r>
        <w:rPr/>
        <w:t>in</w:t>
      </w:r>
      <w:r>
        <w:rPr>
          <w:spacing w:val="-3"/>
        </w:rPr>
        <w:t> </w:t>
      </w:r>
      <w:r>
        <w:rPr/>
        <w:t>academic</w:t>
      </w:r>
      <w:r>
        <w:rPr>
          <w:spacing w:val="-3"/>
        </w:rPr>
        <w:t> </w:t>
      </w:r>
      <w:r>
        <w:rPr/>
        <w:t>writing:</w:t>
      </w:r>
      <w:r>
        <w:rPr>
          <w:spacing w:val="-3"/>
        </w:rPr>
        <w:t> </w:t>
      </w:r>
      <w:r>
        <w:rPr/>
        <w:t>Maximizing</w:t>
      </w:r>
      <w:r>
        <w:rPr>
          <w:spacing w:val="-3"/>
        </w:rPr>
        <w:t> </w:t>
      </w:r>
      <w:r>
        <w:rPr/>
        <w:t>its</w:t>
      </w:r>
      <w:r>
        <w:rPr>
          <w:spacing w:val="-3"/>
        </w:rPr>
        <w:t> </w:t>
      </w:r>
      <w:r>
        <w:rPr/>
        <w:t>benefits</w:t>
      </w:r>
      <w:r>
        <w:rPr>
          <w:spacing w:val="-3"/>
        </w:rPr>
        <w:t> </w:t>
      </w:r>
      <w:r>
        <w:rPr/>
        <w:t>and minimizing the risks. </w:t>
      </w:r>
      <w:r>
        <w:rPr>
          <w:i/>
        </w:rPr>
        <w:t>Indian Journal of Ophthalmology, 71</w:t>
      </w:r>
      <w:r>
        <w:rPr/>
        <w:t>(12), 3600-3606. doi: </w:t>
      </w:r>
      <w:r>
        <w:rPr>
          <w:spacing w:val="-2"/>
        </w:rPr>
        <w:t>10.4103/IJO.IJO_718_23.</w:t>
      </w:r>
    </w:p>
    <w:p>
      <w:pPr>
        <w:pStyle w:val="BodyText"/>
        <w:spacing w:before="173"/>
        <w:ind w:left="748"/>
      </w:pPr>
      <w:r>
        <w:rPr/>
        <w:t>Moya</w:t>
      </w:r>
      <w:r>
        <w:rPr>
          <w:spacing w:val="-1"/>
        </w:rPr>
        <w:t> </w:t>
      </w:r>
      <w:r>
        <w:rPr/>
        <w:t>Figueroa,</w:t>
      </w:r>
      <w:r>
        <w:rPr>
          <w:spacing w:val="-1"/>
        </w:rPr>
        <w:t> </w:t>
      </w:r>
      <w:r>
        <w:rPr/>
        <w:t>B.,</w:t>
      </w:r>
      <w:r>
        <w:rPr>
          <w:spacing w:val="-1"/>
        </w:rPr>
        <w:t> </w:t>
      </w:r>
      <w:r>
        <w:rPr/>
        <w:t>Eaton, S.,</w:t>
      </w:r>
      <w:r>
        <w:rPr>
          <w:spacing w:val="-1"/>
        </w:rPr>
        <w:t> </w:t>
      </w:r>
      <w:r>
        <w:rPr/>
        <w:t>Pethrick,</w:t>
      </w:r>
      <w:r>
        <w:rPr>
          <w:spacing w:val="-1"/>
        </w:rPr>
        <w:t> </w:t>
      </w:r>
      <w:r>
        <w:rPr/>
        <w:t>H., Hayden,</w:t>
      </w:r>
      <w:r>
        <w:rPr>
          <w:spacing w:val="-1"/>
        </w:rPr>
        <w:t> </w:t>
      </w:r>
      <w:r>
        <w:rPr/>
        <w:t>A.,</w:t>
      </w:r>
      <w:r>
        <w:rPr>
          <w:spacing w:val="-1"/>
        </w:rPr>
        <w:t> </w:t>
      </w:r>
      <w:r>
        <w:rPr/>
        <w:t>Brennan,</w:t>
      </w:r>
      <w:r>
        <w:rPr>
          <w:spacing w:val="-1"/>
        </w:rPr>
        <w:t> </w:t>
      </w:r>
      <w:r>
        <w:rPr/>
        <w:t>R., Wiens,</w:t>
      </w:r>
      <w:r>
        <w:rPr>
          <w:spacing w:val="-1"/>
        </w:rPr>
        <w:t> </w:t>
      </w:r>
      <w:r>
        <w:rPr/>
        <w:t>J.,</w:t>
      </w:r>
      <w:r>
        <w:rPr>
          <w:spacing w:val="-1"/>
        </w:rPr>
        <w:t> </w:t>
      </w:r>
      <w:r>
        <w:rPr/>
        <w:t>&amp; </w:t>
      </w:r>
      <w:r>
        <w:rPr>
          <w:spacing w:val="-2"/>
        </w:rPr>
        <w:t>McDermott,</w:t>
      </w:r>
    </w:p>
    <w:p>
      <w:pPr>
        <w:spacing w:line="266" w:lineRule="auto" w:before="29"/>
        <w:ind w:left="2168" w:right="1191" w:hanging="1348"/>
        <w:jc w:val="left"/>
        <w:rPr>
          <w:sz w:val="24"/>
        </w:rPr>
      </w:pPr>
      <w:r>
        <w:rPr>
          <w:sz w:val="24"/>
        </w:rPr>
        <w:t>B.</w:t>
      </w:r>
      <w:r>
        <w:rPr>
          <w:spacing w:val="-4"/>
          <w:sz w:val="24"/>
        </w:rPr>
        <w:t> </w:t>
      </w:r>
      <w:r>
        <w:rPr>
          <w:sz w:val="24"/>
        </w:rPr>
        <w:t>(2024).</w:t>
      </w:r>
      <w:r>
        <w:rPr>
          <w:spacing w:val="-4"/>
          <w:sz w:val="24"/>
        </w:rPr>
        <w:t> </w:t>
      </w:r>
      <w:r>
        <w:rPr>
          <w:sz w:val="24"/>
        </w:rPr>
        <w:t>Academic</w:t>
      </w:r>
      <w:r>
        <w:rPr>
          <w:spacing w:val="-4"/>
          <w:sz w:val="24"/>
        </w:rPr>
        <w:t> </w:t>
      </w:r>
      <w:r>
        <w:rPr>
          <w:sz w:val="24"/>
        </w:rPr>
        <w:t>integrity</w:t>
      </w:r>
      <w:r>
        <w:rPr>
          <w:spacing w:val="-4"/>
          <w:sz w:val="24"/>
        </w:rPr>
        <w:t> </w:t>
      </w:r>
      <w:r>
        <w:rPr>
          <w:sz w:val="24"/>
        </w:rPr>
        <w:t>and</w:t>
      </w:r>
      <w:r>
        <w:rPr>
          <w:spacing w:val="-4"/>
          <w:sz w:val="24"/>
        </w:rPr>
        <w:t> </w:t>
      </w:r>
      <w:r>
        <w:rPr>
          <w:sz w:val="24"/>
        </w:rPr>
        <w:t>artificial</w:t>
      </w:r>
      <w:r>
        <w:rPr>
          <w:spacing w:val="-4"/>
          <w:sz w:val="24"/>
        </w:rPr>
        <w:t> </w:t>
      </w:r>
      <w:r>
        <w:rPr>
          <w:sz w:val="24"/>
        </w:rPr>
        <w:t>intelligence</w:t>
      </w:r>
      <w:r>
        <w:rPr>
          <w:spacing w:val="-4"/>
          <w:sz w:val="24"/>
        </w:rPr>
        <w:t> </w:t>
      </w:r>
      <w:r>
        <w:rPr>
          <w:sz w:val="24"/>
        </w:rPr>
        <w:t>in</w:t>
      </w:r>
      <w:r>
        <w:rPr>
          <w:spacing w:val="-4"/>
          <w:sz w:val="24"/>
        </w:rPr>
        <w:t> </w:t>
      </w:r>
      <w:r>
        <w:rPr>
          <w:sz w:val="24"/>
        </w:rPr>
        <w:t>higher</w:t>
      </w:r>
      <w:r>
        <w:rPr>
          <w:spacing w:val="-4"/>
          <w:sz w:val="24"/>
        </w:rPr>
        <w:t> </w:t>
      </w:r>
      <w:r>
        <w:rPr>
          <w:sz w:val="24"/>
        </w:rPr>
        <w:t>education</w:t>
      </w:r>
      <w:r>
        <w:rPr>
          <w:spacing w:val="-4"/>
          <w:sz w:val="24"/>
        </w:rPr>
        <w:t> </w:t>
      </w:r>
      <w:r>
        <w:rPr>
          <w:sz w:val="24"/>
        </w:rPr>
        <w:t>contexts:</w:t>
      </w:r>
      <w:r>
        <w:rPr>
          <w:spacing w:val="-4"/>
          <w:sz w:val="24"/>
        </w:rPr>
        <w:t> </w:t>
      </w:r>
      <w:r>
        <w:rPr>
          <w:sz w:val="24"/>
        </w:rPr>
        <w:t>A</w:t>
      </w:r>
      <w:r>
        <w:rPr>
          <w:spacing w:val="-4"/>
          <w:sz w:val="24"/>
        </w:rPr>
        <w:t> </w:t>
      </w:r>
      <w:r>
        <w:rPr>
          <w:sz w:val="24"/>
        </w:rPr>
        <w:t>rapid scoping review. </w:t>
      </w:r>
      <w:r>
        <w:rPr>
          <w:i/>
          <w:sz w:val="24"/>
        </w:rPr>
        <w:t>Canadian Perspectives on Academic Integrity</w:t>
      </w:r>
      <w:r>
        <w:rPr>
          <w:sz w:val="24"/>
        </w:rPr>
        <w:t>, 7.</w:t>
      </w:r>
    </w:p>
    <w:p>
      <w:pPr>
        <w:pStyle w:val="BodyText"/>
        <w:spacing w:before="13"/>
        <w:ind w:left="1447"/>
      </w:pPr>
      <w:r>
        <w:rPr>
          <w:spacing w:val="-2"/>
        </w:rPr>
        <w:t>doi:10.55016/ojs/cpai.v7i3.78123.</w:t>
      </w:r>
    </w:p>
    <w:p>
      <w:pPr>
        <w:pStyle w:val="BodyText"/>
        <w:spacing w:after="0"/>
        <w:sectPr>
          <w:pgSz w:w="12240" w:h="15840"/>
          <w:pgMar w:header="0" w:footer="707" w:top="640" w:bottom="960" w:left="720" w:right="0"/>
        </w:sectPr>
      </w:pPr>
    </w:p>
    <w:p>
      <w:pPr>
        <w:pStyle w:val="Heading3"/>
        <w:spacing w:line="230" w:lineRule="auto" w:before="81"/>
        <w:ind w:left="371" w:right="1981"/>
      </w:pPr>
      <w:bookmarkStart w:name="“Leader” and “Manager” Terminology and S" w:id="118"/>
      <w:bookmarkEnd w:id="118"/>
      <w:r>
        <w:rPr>
          <w:b w:val="0"/>
        </w:rPr>
      </w:r>
      <w:bookmarkStart w:name="h.8esjl2hb9wzi" w:id="119"/>
      <w:bookmarkEnd w:id="119"/>
      <w:r>
        <w:rPr>
          <w:b w:val="0"/>
        </w:rPr>
      </w:r>
      <w:r>
        <w:rPr/>
        <w:t>“Leader”</w:t>
      </w:r>
      <w:r>
        <w:rPr>
          <w:spacing w:val="-11"/>
        </w:rPr>
        <w:t> </w:t>
      </w:r>
      <w:r>
        <w:rPr/>
        <w:t>and</w:t>
      </w:r>
      <w:r>
        <w:rPr>
          <w:spacing w:val="-11"/>
        </w:rPr>
        <w:t> </w:t>
      </w:r>
      <w:r>
        <w:rPr/>
        <w:t>“Manager”</w:t>
      </w:r>
      <w:r>
        <w:rPr>
          <w:spacing w:val="-11"/>
        </w:rPr>
        <w:t> </w:t>
      </w:r>
      <w:r>
        <w:rPr/>
        <w:t>Terminology</w:t>
      </w:r>
      <w:r>
        <w:rPr>
          <w:spacing w:val="-11"/>
        </w:rPr>
        <w:t> </w:t>
      </w:r>
      <w:r>
        <w:rPr/>
        <w:t>and</w:t>
      </w:r>
      <w:r>
        <w:rPr>
          <w:spacing w:val="-11"/>
        </w:rPr>
        <w:t> </w:t>
      </w:r>
      <w:r>
        <w:rPr/>
        <w:t>Supervisor</w:t>
      </w:r>
      <w:r>
        <w:rPr>
          <w:spacing w:val="-11"/>
        </w:rPr>
        <w:t> </w:t>
      </w:r>
      <w:r>
        <w:rPr/>
        <w:t>Incivility</w:t>
      </w:r>
      <w:r>
        <w:rPr>
          <w:spacing w:val="-11"/>
        </w:rPr>
        <w:t> </w:t>
      </w:r>
      <w:r>
        <w:rPr/>
        <w:t>Perception: Much Ado About Nothing?</w:t>
      </w:r>
    </w:p>
    <w:p>
      <w:pPr>
        <w:pStyle w:val="BodyText"/>
        <w:spacing w:before="291"/>
        <w:ind w:right="1633"/>
        <w:jc w:val="center"/>
      </w:pPr>
      <w:r>
        <w:rPr/>
        <w:t>Elizabeth Russell, Caleb Pollard and Jack </w:t>
      </w:r>
      <w:r>
        <w:rPr>
          <w:spacing w:val="-2"/>
        </w:rPr>
        <w:t>Carson</w:t>
      </w:r>
    </w:p>
    <w:p>
      <w:pPr>
        <w:pStyle w:val="BodyText"/>
      </w:pPr>
    </w:p>
    <w:p>
      <w:pPr>
        <w:pStyle w:val="Heading4"/>
        <w:ind w:left="352"/>
      </w:pPr>
      <w:r>
        <w:rPr>
          <w:spacing w:val="-2"/>
        </w:rPr>
        <w:t>Introduction</w:t>
      </w:r>
    </w:p>
    <w:p>
      <w:pPr>
        <w:pStyle w:val="BodyText"/>
        <w:rPr>
          <w:b/>
        </w:rPr>
      </w:pPr>
    </w:p>
    <w:p>
      <w:pPr>
        <w:pStyle w:val="BodyText"/>
        <w:ind w:left="352" w:right="1379"/>
        <w:jc w:val="both"/>
      </w:pPr>
      <w:r>
        <w:rPr/>
        <w:t>Business managers are frequently referred to as leaders in both organizational practice and popular discourse (Learmonth &amp; Morrell, 2021; McLaren, 2013). Complicating matters is the widely </w:t>
      </w:r>
      <w:r>
        <w:rPr/>
        <w:t>held assumption</w:t>
      </w:r>
      <w:r>
        <w:rPr>
          <w:spacing w:val="40"/>
        </w:rPr>
        <w:t> </w:t>
      </w:r>
      <w:r>
        <w:rPr/>
        <w:t>that</w:t>
      </w:r>
      <w:r>
        <w:rPr>
          <w:spacing w:val="40"/>
        </w:rPr>
        <w:t> </w:t>
      </w:r>
      <w:r>
        <w:rPr/>
        <w:t>leader terms connote benevolence, merit, and morality (Learmonth &amp; Morrell, 2021). This has implications for studying workplace incivility, which is “rude, condescending,</w:t>
      </w:r>
      <w:r>
        <w:rPr>
          <w:spacing w:val="40"/>
        </w:rPr>
        <w:t> </w:t>
      </w:r>
      <w:r>
        <w:rPr/>
        <w:t>and ostracizing acts that violate workplace norms of respect, but</w:t>
      </w:r>
      <w:r>
        <w:rPr>
          <w:spacing w:val="-2"/>
        </w:rPr>
        <w:t> </w:t>
      </w:r>
      <w:r>
        <w:rPr/>
        <w:t>otherwise</w:t>
      </w:r>
      <w:r>
        <w:rPr>
          <w:spacing w:val="-2"/>
        </w:rPr>
        <w:t> </w:t>
      </w:r>
      <w:r>
        <w:rPr/>
        <w:t>appear</w:t>
      </w:r>
      <w:r>
        <w:rPr>
          <w:spacing w:val="-2"/>
        </w:rPr>
        <w:t> </w:t>
      </w:r>
      <w:r>
        <w:rPr/>
        <w:t>mundane”</w:t>
      </w:r>
      <w:r>
        <w:rPr>
          <w:spacing w:val="40"/>
        </w:rPr>
        <w:t> </w:t>
      </w:r>
      <w:r>
        <w:rPr/>
        <w:t>(Cortina</w:t>
      </w:r>
      <w:r>
        <w:rPr>
          <w:spacing w:val="-2"/>
        </w:rPr>
        <w:t> </w:t>
      </w:r>
      <w:r>
        <w:rPr/>
        <w:t>et al., 2017, pg. 299). Pre-existing notions associated with leader terms and manager terms</w:t>
      </w:r>
      <w:r>
        <w:rPr>
          <w:spacing w:val="40"/>
        </w:rPr>
        <w:t> </w:t>
      </w:r>
      <w:r>
        <w:rPr/>
        <w:t>may influence working persons’ perceptions of, explanations for, and attitudes toward uncivil</w:t>
      </w:r>
      <w:r>
        <w:rPr>
          <w:spacing w:val="40"/>
        </w:rPr>
        <w:t> </w:t>
      </w:r>
      <w:r>
        <w:rPr/>
        <w:t>behavior performed by leaders and managers.</w:t>
      </w:r>
    </w:p>
    <w:p>
      <w:pPr>
        <w:pStyle w:val="BodyText"/>
        <w:spacing w:before="6"/>
      </w:pPr>
    </w:p>
    <w:p>
      <w:pPr>
        <w:pStyle w:val="BodyText"/>
        <w:ind w:left="352" w:right="1387"/>
        <w:jc w:val="both"/>
      </w:pPr>
      <w:r>
        <w:rPr/>
        <w:t>The purpose of this study was therefore to</w:t>
      </w:r>
      <w:r>
        <w:rPr>
          <w:spacing w:val="-3"/>
        </w:rPr>
        <w:t> </w:t>
      </w:r>
      <w:r>
        <w:rPr/>
        <w:t>understand</w:t>
      </w:r>
      <w:r>
        <w:rPr>
          <w:spacing w:val="-3"/>
        </w:rPr>
        <w:t> </w:t>
      </w:r>
      <w:r>
        <w:rPr/>
        <w:t>what</w:t>
      </w:r>
      <w:r>
        <w:rPr>
          <w:spacing w:val="-3"/>
        </w:rPr>
        <w:t> </w:t>
      </w:r>
      <w:r>
        <w:rPr/>
        <w:t>(if</w:t>
      </w:r>
      <w:r>
        <w:rPr>
          <w:spacing w:val="-3"/>
        </w:rPr>
        <w:t> </w:t>
      </w:r>
      <w:r>
        <w:rPr/>
        <w:t>any)</w:t>
      </w:r>
      <w:r>
        <w:rPr>
          <w:spacing w:val="-3"/>
        </w:rPr>
        <w:t> </w:t>
      </w:r>
      <w:r>
        <w:rPr/>
        <w:t>differences</w:t>
      </w:r>
      <w:r>
        <w:rPr>
          <w:spacing w:val="-3"/>
        </w:rPr>
        <w:t> </w:t>
      </w:r>
      <w:r>
        <w:rPr/>
        <w:t>exist</w:t>
      </w:r>
      <w:r>
        <w:rPr>
          <w:spacing w:val="-3"/>
        </w:rPr>
        <w:t> </w:t>
      </w:r>
      <w:r>
        <w:rPr/>
        <w:t>in</w:t>
      </w:r>
      <w:r>
        <w:rPr>
          <w:spacing w:val="-3"/>
        </w:rPr>
        <w:t> </w:t>
      </w:r>
      <w:r>
        <w:rPr/>
        <w:t>the</w:t>
      </w:r>
      <w:r>
        <w:rPr>
          <w:spacing w:val="-3"/>
        </w:rPr>
        <w:t> </w:t>
      </w:r>
      <w:r>
        <w:rPr/>
        <w:t>nature</w:t>
      </w:r>
      <w:r>
        <w:rPr>
          <w:spacing w:val="40"/>
        </w:rPr>
        <w:t> </w:t>
      </w:r>
      <w:r>
        <w:rPr/>
        <w:t>of subordinates’ explanations for supervisor incivility when it is termed (in research prompts)</w:t>
      </w:r>
      <w:r>
        <w:rPr>
          <w:spacing w:val="40"/>
        </w:rPr>
        <w:t> </w:t>
      </w:r>
      <w:r>
        <w:rPr/>
        <w:t>leader incivility versus when it is termed manager incivility.</w:t>
      </w:r>
    </w:p>
    <w:p>
      <w:pPr>
        <w:pStyle w:val="BodyText"/>
        <w:spacing w:before="6"/>
      </w:pPr>
    </w:p>
    <w:p>
      <w:pPr>
        <w:pStyle w:val="BodyText"/>
        <w:ind w:left="352" w:right="1385"/>
        <w:jc w:val="both"/>
      </w:pPr>
      <w:r>
        <w:rPr/>
        <w:t>This study contributed to the literature in three ways. First, this study advances methodology </w:t>
      </w:r>
      <w:r>
        <w:rPr/>
        <w:t>for studying supervisor incivility by assessing whether alternative supervisory labels (i.e.,</w:t>
      </w:r>
      <w:r>
        <w:rPr>
          <w:spacing w:val="-3"/>
        </w:rPr>
        <w:t> </w:t>
      </w:r>
      <w:r>
        <w:rPr/>
        <w:t>leader</w:t>
      </w:r>
      <w:r>
        <w:rPr>
          <w:spacing w:val="40"/>
        </w:rPr>
        <w:t> </w:t>
      </w:r>
      <w:r>
        <w:rPr/>
        <w:t>versus manager) influenced participant responses. Evidence of such differences would</w:t>
      </w:r>
      <w:r>
        <w:rPr>
          <w:spacing w:val="-3"/>
        </w:rPr>
        <w:t> </w:t>
      </w:r>
      <w:r>
        <w:rPr/>
        <w:t>suggest</w:t>
      </w:r>
      <w:r>
        <w:rPr>
          <w:spacing w:val="-3"/>
        </w:rPr>
        <w:t> </w:t>
      </w:r>
      <w:r>
        <w:rPr/>
        <w:t>the</w:t>
      </w:r>
      <w:r>
        <w:rPr>
          <w:spacing w:val="40"/>
        </w:rPr>
        <w:t> </w:t>
      </w:r>
      <w:r>
        <w:rPr/>
        <w:t>need</w:t>
      </w:r>
      <w:r>
        <w:rPr>
          <w:spacing w:val="-3"/>
        </w:rPr>
        <w:t> </w:t>
      </w:r>
      <w:r>
        <w:rPr/>
        <w:t>for future research to account for these differences to best represent the particular</w:t>
      </w:r>
      <w:r>
        <w:rPr>
          <w:spacing w:val="40"/>
        </w:rPr>
        <w:t> </w:t>
      </w:r>
      <w:r>
        <w:rPr/>
        <w:t>phenomenon under study. Second, we employ a relatively new approach to coding qualitative data,</w:t>
      </w:r>
      <w:r>
        <w:rPr>
          <w:spacing w:val="40"/>
        </w:rPr>
        <w:t> </w:t>
      </w:r>
      <w:r>
        <w:rPr/>
        <w:t>rooted in Malle’s (2004; 2011) theory of the mind framework (described in the body below). Third,</w:t>
      </w:r>
      <w:r>
        <w:rPr>
          <w:spacing w:val="40"/>
        </w:rPr>
        <w:t> </w:t>
      </w:r>
      <w:r>
        <w:rPr/>
        <w:t>we explore practical implications of the usage of leadership terms to describe those in managerial</w:t>
      </w:r>
      <w:r>
        <w:rPr>
          <w:spacing w:val="40"/>
        </w:rPr>
        <w:t> </w:t>
      </w:r>
      <w:r>
        <w:rPr/>
        <w:t>positions.</w:t>
      </w:r>
    </w:p>
    <w:p>
      <w:pPr>
        <w:pStyle w:val="BodyText"/>
      </w:pPr>
    </w:p>
    <w:p>
      <w:pPr>
        <w:pStyle w:val="BodyText"/>
        <w:spacing w:before="6"/>
      </w:pPr>
    </w:p>
    <w:p>
      <w:pPr>
        <w:pStyle w:val="Heading4"/>
        <w:ind w:left="352"/>
        <w:jc w:val="both"/>
      </w:pPr>
      <w:r>
        <w:rPr/>
        <w:t>Literature</w:t>
      </w:r>
      <w:r>
        <w:rPr>
          <w:spacing w:val="-5"/>
        </w:rPr>
        <w:t> </w:t>
      </w:r>
      <w:r>
        <w:rPr>
          <w:spacing w:val="-2"/>
        </w:rPr>
        <w:t>Review</w:t>
      </w:r>
    </w:p>
    <w:p>
      <w:pPr>
        <w:pStyle w:val="BodyText"/>
        <w:rPr>
          <w:b/>
        </w:rPr>
      </w:pPr>
    </w:p>
    <w:p>
      <w:pPr>
        <w:pStyle w:val="BodyText"/>
        <w:ind w:left="352" w:right="1379"/>
        <w:jc w:val="both"/>
      </w:pPr>
      <w:r>
        <w:rPr/>
        <w:t>Workplace incivility is behavior characterized by</w:t>
      </w:r>
      <w:r>
        <w:rPr>
          <w:spacing w:val="-4"/>
        </w:rPr>
        <w:t> </w:t>
      </w:r>
      <w:r>
        <w:rPr/>
        <w:t>the</w:t>
      </w:r>
      <w:r>
        <w:rPr>
          <w:spacing w:val="-4"/>
        </w:rPr>
        <w:t> </w:t>
      </w:r>
      <w:r>
        <w:rPr/>
        <w:t>violation</w:t>
      </w:r>
      <w:r>
        <w:rPr>
          <w:spacing w:val="-4"/>
        </w:rPr>
        <w:t> </w:t>
      </w:r>
      <w:r>
        <w:rPr/>
        <w:t>of</w:t>
      </w:r>
      <w:r>
        <w:rPr>
          <w:spacing w:val="-4"/>
        </w:rPr>
        <w:t> </w:t>
      </w:r>
      <w:r>
        <w:rPr/>
        <w:t>workplace</w:t>
      </w:r>
      <w:r>
        <w:rPr>
          <w:spacing w:val="-4"/>
        </w:rPr>
        <w:t> </w:t>
      </w:r>
      <w:r>
        <w:rPr/>
        <w:t>expectations</w:t>
      </w:r>
      <w:r>
        <w:rPr>
          <w:spacing w:val="-4"/>
        </w:rPr>
        <w:t> </w:t>
      </w:r>
      <w:r>
        <w:rPr/>
        <w:t>for</w:t>
      </w:r>
      <w:r>
        <w:rPr>
          <w:spacing w:val="40"/>
        </w:rPr>
        <w:t> </w:t>
      </w:r>
      <w:r>
        <w:rPr/>
        <w:t>respect and its low intensity relative to other mistreatment constructs like aggression (Andersson</w:t>
      </w:r>
      <w:r>
        <w:rPr>
          <w:spacing w:val="40"/>
        </w:rPr>
        <w:t> </w:t>
      </w:r>
      <w:r>
        <w:rPr/>
        <w:t>and Pearson, 1999; Cortina et al., 2001). It results in adverse outcomes which hinder organizational functioning, such as anger, retaliation, absenteeism, disengagement, and withdrawal (Schilpzand</w:t>
      </w:r>
      <w:r>
        <w:rPr>
          <w:spacing w:val="40"/>
        </w:rPr>
        <w:t> </w:t>
      </w:r>
      <w:r>
        <w:rPr/>
        <w:t>et al., 2016). The source of workplace incivility is a meaningful concern. Employees generally</w:t>
      </w:r>
      <w:r>
        <w:rPr>
          <w:spacing w:val="40"/>
        </w:rPr>
        <w:t> </w:t>
      </w:r>
      <w:r>
        <w:rPr/>
        <w:t>expect supervisors</w:t>
      </w:r>
      <w:r>
        <w:rPr>
          <w:spacing w:val="80"/>
        </w:rPr>
        <w:t> </w:t>
      </w:r>
      <w:r>
        <w:rPr/>
        <w:t>to</w:t>
      </w:r>
      <w:r>
        <w:rPr>
          <w:spacing w:val="80"/>
        </w:rPr>
        <w:t> </w:t>
      </w:r>
      <w:r>
        <w:rPr/>
        <w:t>be</w:t>
      </w:r>
      <w:r>
        <w:rPr>
          <w:spacing w:val="80"/>
        </w:rPr>
        <w:t> </w:t>
      </w:r>
      <w:r>
        <w:rPr/>
        <w:t>trusted</w:t>
      </w:r>
      <w:r>
        <w:rPr>
          <w:spacing w:val="80"/>
        </w:rPr>
        <w:t> </w:t>
      </w:r>
      <w:r>
        <w:rPr/>
        <w:t>resources</w:t>
      </w:r>
      <w:r>
        <w:rPr>
          <w:spacing w:val="80"/>
        </w:rPr>
        <w:t> </w:t>
      </w:r>
      <w:r>
        <w:rPr/>
        <w:t>for</w:t>
      </w:r>
      <w:r>
        <w:rPr>
          <w:spacing w:val="80"/>
        </w:rPr>
        <w:t> </w:t>
      </w:r>
      <w:r>
        <w:rPr/>
        <w:t>workplace</w:t>
      </w:r>
      <w:r>
        <w:rPr>
          <w:spacing w:val="80"/>
        </w:rPr>
        <w:t> </w:t>
      </w:r>
      <w:r>
        <w:rPr/>
        <w:t>guidance</w:t>
      </w:r>
      <w:r>
        <w:rPr>
          <w:spacing w:val="80"/>
        </w:rPr>
        <w:t> </w:t>
      </w:r>
      <w:r>
        <w:rPr/>
        <w:t>(Low</w:t>
      </w:r>
      <w:r>
        <w:rPr>
          <w:spacing w:val="80"/>
        </w:rPr>
        <w:t> </w:t>
      </w:r>
      <w:r>
        <w:rPr/>
        <w:t>et</w:t>
      </w:r>
      <w:r>
        <w:rPr>
          <w:spacing w:val="80"/>
        </w:rPr>
        <w:t> </w:t>
      </w:r>
      <w:r>
        <w:rPr/>
        <w:t>al.,</w:t>
      </w:r>
      <w:r>
        <w:rPr>
          <w:spacing w:val="80"/>
        </w:rPr>
        <w:t> </w:t>
      </w:r>
      <w:r>
        <w:rPr/>
        <w:t>2016),</w:t>
      </w:r>
      <w:r>
        <w:rPr>
          <w:spacing w:val="80"/>
        </w:rPr>
        <w:t> </w:t>
      </w:r>
      <w:r>
        <w:rPr/>
        <w:t>and employee-supervisor relationships are strongest when supervisors provide employees with desired levels of interesting work, access to information, and social and financial benefits (Marstand et al., 2017). These betrayed expectations may be why meta-analysis has found supervisor incivility</w:t>
      </w:r>
      <w:r>
        <w:rPr>
          <w:spacing w:val="40"/>
        </w:rPr>
        <w:t> </w:t>
      </w:r>
      <w:r>
        <w:rPr/>
        <w:t>more strongly negatively impacts trust in one’s supervisor, job satisfaction,</w:t>
      </w:r>
      <w:r>
        <w:rPr>
          <w:spacing w:val="-4"/>
        </w:rPr>
        <w:t> </w:t>
      </w:r>
      <w:r>
        <w:rPr/>
        <w:t>and</w:t>
      </w:r>
      <w:r>
        <w:rPr>
          <w:spacing w:val="-4"/>
        </w:rPr>
        <w:t> </w:t>
      </w:r>
      <w:r>
        <w:rPr/>
        <w:t>work</w:t>
      </w:r>
      <w:r>
        <w:rPr>
          <w:spacing w:val="-4"/>
        </w:rPr>
        <w:t> </w:t>
      </w:r>
      <w:r>
        <w:rPr/>
        <w:t>engagement</w:t>
      </w:r>
      <w:r>
        <w:rPr>
          <w:spacing w:val="40"/>
        </w:rPr>
        <w:t> </w:t>
      </w:r>
      <w:r>
        <w:rPr/>
        <w:t>relative to coworker or customer incivility (Han et al. 2022).</w:t>
      </w:r>
    </w:p>
    <w:p>
      <w:pPr>
        <w:pStyle w:val="BodyText"/>
        <w:spacing w:before="6"/>
      </w:pPr>
    </w:p>
    <w:p>
      <w:pPr>
        <w:pStyle w:val="BodyText"/>
        <w:ind w:left="352" w:right="1380"/>
        <w:jc w:val="both"/>
      </w:pPr>
      <w:r>
        <w:rPr/>
        <w:t>However, the extant research literature uses a variety of terms to describe supervisory sources </w:t>
      </w:r>
      <w:r>
        <w:rPr/>
        <w:t>of incivility,</w:t>
      </w:r>
      <w:r>
        <w:rPr>
          <w:spacing w:val="-4"/>
        </w:rPr>
        <w:t> </w:t>
      </w:r>
      <w:r>
        <w:rPr/>
        <w:t>including</w:t>
      </w:r>
      <w:r>
        <w:rPr>
          <w:spacing w:val="-4"/>
        </w:rPr>
        <w:t> </w:t>
      </w:r>
      <w:r>
        <w:rPr/>
        <w:t>manager</w:t>
      </w:r>
      <w:r>
        <w:rPr>
          <w:spacing w:val="-4"/>
        </w:rPr>
        <w:t> </w:t>
      </w:r>
      <w:r>
        <w:rPr/>
        <w:t>incivility</w:t>
      </w:r>
      <w:r>
        <w:rPr>
          <w:spacing w:val="-4"/>
        </w:rPr>
        <w:t> </w:t>
      </w:r>
      <w:r>
        <w:rPr/>
        <w:t>(110</w:t>
      </w:r>
      <w:r>
        <w:rPr>
          <w:spacing w:val="-4"/>
        </w:rPr>
        <w:t> </w:t>
      </w:r>
      <w:r>
        <w:rPr/>
        <w:t>Google</w:t>
      </w:r>
      <w:r>
        <w:rPr>
          <w:spacing w:val="-4"/>
        </w:rPr>
        <w:t> </w:t>
      </w:r>
      <w:r>
        <w:rPr/>
        <w:t>scholar</w:t>
      </w:r>
      <w:r>
        <w:rPr>
          <w:spacing w:val="-4"/>
        </w:rPr>
        <w:t> </w:t>
      </w:r>
      <w:r>
        <w:rPr/>
        <w:t>results)</w:t>
      </w:r>
      <w:r>
        <w:rPr>
          <w:spacing w:val="-4"/>
        </w:rPr>
        <w:t> </w:t>
      </w:r>
      <w:r>
        <w:rPr/>
        <w:t>and</w:t>
      </w:r>
      <w:r>
        <w:rPr>
          <w:spacing w:val="-4"/>
        </w:rPr>
        <w:t> </w:t>
      </w:r>
      <w:r>
        <w:rPr/>
        <w:t>leader</w:t>
      </w:r>
      <w:r>
        <w:rPr>
          <w:spacing w:val="-4"/>
        </w:rPr>
        <w:t> </w:t>
      </w:r>
      <w:r>
        <w:rPr/>
        <w:t>incivility</w:t>
      </w:r>
      <w:r>
        <w:rPr>
          <w:spacing w:val="-4"/>
        </w:rPr>
        <w:t> </w:t>
      </w:r>
      <w:r>
        <w:rPr/>
        <w:t>(220</w:t>
      </w:r>
      <w:r>
        <w:rPr>
          <w:spacing w:val="40"/>
        </w:rPr>
        <w:t> </w:t>
      </w:r>
      <w:r>
        <w:rPr/>
        <w:t>Google scholar results). This mixed use of leader and manager</w:t>
      </w:r>
      <w:r>
        <w:rPr>
          <w:spacing w:val="-2"/>
        </w:rPr>
        <w:t> </w:t>
      </w:r>
      <w:r>
        <w:rPr/>
        <w:t>may</w:t>
      </w:r>
      <w:r>
        <w:rPr>
          <w:spacing w:val="-2"/>
        </w:rPr>
        <w:t> </w:t>
      </w:r>
      <w:r>
        <w:rPr/>
        <w:t>be</w:t>
      </w:r>
      <w:r>
        <w:rPr>
          <w:spacing w:val="-2"/>
        </w:rPr>
        <w:t> </w:t>
      </w:r>
      <w:r>
        <w:rPr/>
        <w:t>more</w:t>
      </w:r>
      <w:r>
        <w:rPr>
          <w:spacing w:val="-2"/>
        </w:rPr>
        <w:t> </w:t>
      </w:r>
      <w:r>
        <w:rPr/>
        <w:t>than</w:t>
      </w:r>
      <w:r>
        <w:rPr>
          <w:spacing w:val="-2"/>
        </w:rPr>
        <w:t> </w:t>
      </w:r>
      <w:r>
        <w:rPr/>
        <w:t>terminological</w:t>
      </w:r>
      <w:r>
        <w:rPr>
          <w:spacing w:val="-2"/>
        </w:rPr>
        <w:t> </w:t>
      </w:r>
      <w:r>
        <w:rPr/>
        <w:t>variance.</w:t>
      </w:r>
      <w:r>
        <w:rPr>
          <w:spacing w:val="-2"/>
        </w:rPr>
        <w:t> </w:t>
      </w:r>
      <w:r>
        <w:rPr/>
        <w:t>A critical perspective suggests that the discursive use of leader terminology and manager</w:t>
      </w:r>
      <w:r>
        <w:rPr>
          <w:spacing w:val="40"/>
        </w:rPr>
        <w:t> </w:t>
      </w:r>
      <w:r>
        <w:rPr/>
        <w:t>terminology represents and has resulted in disparate societal</w:t>
      </w:r>
      <w:r>
        <w:rPr>
          <w:spacing w:val="-3"/>
        </w:rPr>
        <w:t> </w:t>
      </w:r>
      <w:r>
        <w:rPr/>
        <w:t>presumptions</w:t>
      </w:r>
      <w:r>
        <w:rPr>
          <w:spacing w:val="-3"/>
        </w:rPr>
        <w:t> </w:t>
      </w:r>
      <w:r>
        <w:rPr/>
        <w:t>(Learmonth</w:t>
      </w:r>
      <w:r>
        <w:rPr>
          <w:spacing w:val="-3"/>
        </w:rPr>
        <w:t> </w:t>
      </w:r>
      <w:r>
        <w:rPr/>
        <w:t>&amp;</w:t>
      </w:r>
      <w:r>
        <w:rPr>
          <w:spacing w:val="-3"/>
        </w:rPr>
        <w:t> </w:t>
      </w:r>
      <w:r>
        <w:rPr/>
        <w:t>Morrell,</w:t>
      </w:r>
      <w:r>
        <w:rPr>
          <w:spacing w:val="40"/>
        </w:rPr>
        <w:t> </w:t>
      </w:r>
      <w:r>
        <w:rPr/>
        <w:t>2021),</w:t>
      </w:r>
      <w:r>
        <w:rPr>
          <w:spacing w:val="-3"/>
        </w:rPr>
        <w:t> </w:t>
      </w:r>
      <w:r>
        <w:rPr/>
        <w:t>and</w:t>
      </w:r>
      <w:r>
        <w:rPr>
          <w:spacing w:val="-3"/>
        </w:rPr>
        <w:t> </w:t>
      </w:r>
      <w:r>
        <w:rPr/>
        <w:t>the practitioner-oriented literature (e.g. Kotter, 1990; Kotter, 2013; Watkins, 2012;</w:t>
      </w:r>
      <w:r>
        <w:rPr>
          <w:spacing w:val="40"/>
        </w:rPr>
        <w:t> </w:t>
      </w:r>
      <w:r>
        <w:rPr/>
        <w:t>Zaleznik, 2004) has served to widen this divide. Arguments from both research and practice</w:t>
      </w:r>
    </w:p>
    <w:p>
      <w:pPr>
        <w:pStyle w:val="BodyText"/>
        <w:spacing w:after="0"/>
        <w:jc w:val="both"/>
        <w:sectPr>
          <w:pgSz w:w="12240" w:h="15840"/>
          <w:pgMar w:header="0" w:footer="707" w:top="620" w:bottom="960" w:left="720" w:right="0"/>
        </w:sectPr>
      </w:pPr>
    </w:p>
    <w:p>
      <w:pPr>
        <w:pStyle w:val="BodyText"/>
        <w:spacing w:before="60"/>
        <w:ind w:left="352" w:right="1191"/>
      </w:pPr>
      <w:r>
        <w:rPr/>
        <w:t>oriented</w:t>
      </w:r>
      <w:r>
        <w:rPr>
          <w:spacing w:val="-5"/>
        </w:rPr>
        <w:t> </w:t>
      </w:r>
      <w:r>
        <w:rPr/>
        <w:t>literatures</w:t>
      </w:r>
      <w:r>
        <w:rPr>
          <w:spacing w:val="-5"/>
        </w:rPr>
        <w:t> </w:t>
      </w:r>
      <w:r>
        <w:rPr/>
        <w:t>suggest</w:t>
      </w:r>
      <w:r>
        <w:rPr>
          <w:spacing w:val="-5"/>
        </w:rPr>
        <w:t> </w:t>
      </w:r>
      <w:r>
        <w:rPr/>
        <w:t>leaders</w:t>
      </w:r>
      <w:r>
        <w:rPr>
          <w:spacing w:val="-5"/>
        </w:rPr>
        <w:t> </w:t>
      </w:r>
      <w:r>
        <w:rPr/>
        <w:t>are</w:t>
      </w:r>
      <w:r>
        <w:rPr>
          <w:spacing w:val="-5"/>
        </w:rPr>
        <w:t> </w:t>
      </w:r>
      <w:r>
        <w:rPr/>
        <w:t>charismatic,</w:t>
      </w:r>
      <w:r>
        <w:rPr>
          <w:spacing w:val="-5"/>
        </w:rPr>
        <w:t> </w:t>
      </w:r>
      <w:r>
        <w:rPr/>
        <w:t>visionary,</w:t>
      </w:r>
      <w:r>
        <w:rPr>
          <w:spacing w:val="-5"/>
        </w:rPr>
        <w:t> </w:t>
      </w:r>
      <w:r>
        <w:rPr/>
        <w:t>and</w:t>
      </w:r>
      <w:r>
        <w:rPr>
          <w:spacing w:val="-5"/>
        </w:rPr>
        <w:t> </w:t>
      </w:r>
      <w:r>
        <w:rPr/>
        <w:t>inspiring;</w:t>
      </w:r>
      <w:r>
        <w:rPr>
          <w:spacing w:val="-5"/>
        </w:rPr>
        <w:t> </w:t>
      </w:r>
      <w:r>
        <w:rPr/>
        <w:t>mere</w:t>
      </w:r>
      <w:r>
        <w:rPr>
          <w:spacing w:val="-5"/>
        </w:rPr>
        <w:t> </w:t>
      </w:r>
      <w:r>
        <w:rPr/>
        <w:t>managers</w:t>
      </w:r>
      <w:r>
        <w:rPr>
          <w:spacing w:val="-5"/>
        </w:rPr>
        <w:t> </w:t>
      </w:r>
      <w:r>
        <w:rPr/>
        <w:t>are calculative, analytical, and work within established guidelines.</w:t>
      </w:r>
    </w:p>
    <w:p>
      <w:pPr>
        <w:pStyle w:val="BodyText"/>
        <w:spacing w:before="6"/>
      </w:pPr>
    </w:p>
    <w:p>
      <w:pPr>
        <w:pStyle w:val="BodyText"/>
        <w:spacing w:before="1"/>
        <w:ind w:left="352" w:right="1382"/>
        <w:jc w:val="both"/>
      </w:pPr>
      <w:r>
        <w:rPr/>
        <w:t>If such distinctions are indeed widely held, then the injudicious use of leader and manager terms</w:t>
      </w:r>
      <w:r>
        <w:rPr>
          <w:spacing w:val="40"/>
        </w:rPr>
        <w:t> </w:t>
      </w:r>
      <w:r>
        <w:rPr/>
        <w:t>to assess supervisor incivility may pose a methodological and theoretical challenge to the</w:t>
      </w:r>
      <w:r>
        <w:rPr>
          <w:spacing w:val="40"/>
        </w:rPr>
        <w:t> </w:t>
      </w:r>
      <w:r>
        <w:rPr/>
        <w:t>workplace incivility research literature, and potential barrier to practical insights.</w:t>
      </w:r>
    </w:p>
    <w:p>
      <w:pPr>
        <w:pStyle w:val="BodyText"/>
        <w:spacing w:before="5"/>
      </w:pPr>
    </w:p>
    <w:p>
      <w:pPr>
        <w:pStyle w:val="BodyText"/>
        <w:spacing w:before="1"/>
        <w:ind w:left="352" w:right="1382"/>
        <w:jc w:val="both"/>
      </w:pPr>
      <w:r>
        <w:rPr/>
        <w:t>This study applied a folk theory of the mind framework to examine employee perceptions of </w:t>
      </w:r>
      <w:r>
        <w:rPr/>
        <w:t>and explanations for supervisor incivility. The</w:t>
      </w:r>
      <w:r>
        <w:rPr>
          <w:spacing w:val="-4"/>
        </w:rPr>
        <w:t> </w:t>
      </w:r>
      <w:r>
        <w:rPr/>
        <w:t>folk</w:t>
      </w:r>
      <w:r>
        <w:rPr>
          <w:spacing w:val="-4"/>
        </w:rPr>
        <w:t> </w:t>
      </w:r>
      <w:r>
        <w:rPr/>
        <w:t>theory</w:t>
      </w:r>
      <w:r>
        <w:rPr>
          <w:spacing w:val="-4"/>
        </w:rPr>
        <w:t> </w:t>
      </w:r>
      <w:r>
        <w:rPr/>
        <w:t>of</w:t>
      </w:r>
      <w:r>
        <w:rPr>
          <w:spacing w:val="-4"/>
        </w:rPr>
        <w:t> </w:t>
      </w:r>
      <w:r>
        <w:rPr/>
        <w:t>the</w:t>
      </w:r>
      <w:r>
        <w:rPr>
          <w:spacing w:val="-4"/>
        </w:rPr>
        <w:t> </w:t>
      </w:r>
      <w:r>
        <w:rPr/>
        <w:t>mind</w:t>
      </w:r>
      <w:r>
        <w:rPr>
          <w:spacing w:val="-4"/>
        </w:rPr>
        <w:t> </w:t>
      </w:r>
      <w:r>
        <w:rPr/>
        <w:t>suggests</w:t>
      </w:r>
      <w:r>
        <w:rPr>
          <w:spacing w:val="-4"/>
        </w:rPr>
        <w:t> </w:t>
      </w:r>
      <w:r>
        <w:rPr/>
        <w:t>that</w:t>
      </w:r>
      <w:r>
        <w:rPr>
          <w:spacing w:val="-4"/>
        </w:rPr>
        <w:t> </w:t>
      </w:r>
      <w:r>
        <w:rPr/>
        <w:t>the</w:t>
      </w:r>
      <w:r>
        <w:rPr>
          <w:spacing w:val="-4"/>
        </w:rPr>
        <w:t> </w:t>
      </w:r>
      <w:r>
        <w:rPr/>
        <w:t>structure</w:t>
      </w:r>
      <w:r>
        <w:rPr>
          <w:spacing w:val="-4"/>
        </w:rPr>
        <w:t> </w:t>
      </w:r>
      <w:r>
        <w:rPr/>
        <w:t>(as</w:t>
      </w:r>
      <w:r>
        <w:rPr>
          <w:spacing w:val="40"/>
        </w:rPr>
        <w:t> </w:t>
      </w:r>
      <w:r>
        <w:rPr/>
        <w:t>well as content) of explanations communicate explainers’ beliefs regarding others’ intentional</w:t>
      </w:r>
      <w:r>
        <w:rPr>
          <w:spacing w:val="40"/>
        </w:rPr>
        <w:t> </w:t>
      </w:r>
      <w:r>
        <w:rPr/>
        <w:t>behavior (Malle, 2004; Malle 2011; Wellman, 2014).</w:t>
      </w:r>
    </w:p>
    <w:p>
      <w:pPr>
        <w:pStyle w:val="BodyText"/>
        <w:spacing w:before="6"/>
      </w:pPr>
    </w:p>
    <w:p>
      <w:pPr>
        <w:pStyle w:val="BodyText"/>
        <w:ind w:left="352" w:right="1378"/>
        <w:jc w:val="both"/>
      </w:pPr>
      <w:r>
        <w:rPr/>
        <w:t>According to Malle (2004; 2011), explanations communicate things like explainers’ perceptions</w:t>
      </w:r>
      <w:r>
        <w:rPr>
          <w:spacing w:val="40"/>
        </w:rPr>
        <w:t> </w:t>
      </w:r>
      <w:r>
        <w:rPr/>
        <w:t>of actor intentionality, explainers’ beliefs</w:t>
      </w:r>
      <w:r>
        <w:rPr>
          <w:spacing w:val="-3"/>
        </w:rPr>
        <w:t> </w:t>
      </w:r>
      <w:r>
        <w:rPr/>
        <w:t>about</w:t>
      </w:r>
      <w:r>
        <w:rPr>
          <w:spacing w:val="-3"/>
        </w:rPr>
        <w:t> </w:t>
      </w:r>
      <w:r>
        <w:rPr/>
        <w:t>why</w:t>
      </w:r>
      <w:r>
        <w:rPr>
          <w:spacing w:val="-3"/>
        </w:rPr>
        <w:t> </w:t>
      </w:r>
      <w:r>
        <w:rPr/>
        <w:t>an</w:t>
      </w:r>
      <w:r>
        <w:rPr>
          <w:spacing w:val="-3"/>
        </w:rPr>
        <w:t> </w:t>
      </w:r>
      <w:r>
        <w:rPr/>
        <w:t>actor</w:t>
      </w:r>
      <w:r>
        <w:rPr>
          <w:spacing w:val="-3"/>
        </w:rPr>
        <w:t> </w:t>
      </w:r>
      <w:r>
        <w:rPr/>
        <w:t>behaved</w:t>
      </w:r>
      <w:r>
        <w:rPr>
          <w:spacing w:val="-3"/>
        </w:rPr>
        <w:t> </w:t>
      </w:r>
      <w:r>
        <w:rPr/>
        <w:t>the</w:t>
      </w:r>
      <w:r>
        <w:rPr>
          <w:spacing w:val="-3"/>
        </w:rPr>
        <w:t> </w:t>
      </w:r>
      <w:r>
        <w:rPr/>
        <w:t>way</w:t>
      </w:r>
      <w:r>
        <w:rPr>
          <w:spacing w:val="-3"/>
        </w:rPr>
        <w:t> </w:t>
      </w:r>
      <w:r>
        <w:rPr/>
        <w:t>they</w:t>
      </w:r>
      <w:r>
        <w:rPr>
          <w:spacing w:val="-3"/>
        </w:rPr>
        <w:t> </w:t>
      </w:r>
      <w:r>
        <w:rPr/>
        <w:t>did</w:t>
      </w:r>
      <w:r>
        <w:rPr>
          <w:spacing w:val="-3"/>
        </w:rPr>
        <w:t> </w:t>
      </w:r>
      <w:r>
        <w:rPr/>
        <w:t>(e.g.</w:t>
      </w:r>
      <w:r>
        <w:rPr>
          <w:spacing w:val="-3"/>
        </w:rPr>
        <w:t> </w:t>
      </w:r>
      <w:r>
        <w:rPr/>
        <w:t>to</w:t>
      </w:r>
      <w:r>
        <w:rPr>
          <w:spacing w:val="40"/>
        </w:rPr>
        <w:t> </w:t>
      </w:r>
      <w:r>
        <w:rPr/>
        <w:t>enhance performance or promote injury; Liu et al., 2012), explainers’</w:t>
      </w:r>
      <w:r>
        <w:rPr>
          <w:spacing w:val="-2"/>
        </w:rPr>
        <w:t> </w:t>
      </w:r>
      <w:r>
        <w:rPr/>
        <w:t>perceptions</w:t>
      </w:r>
      <w:r>
        <w:rPr>
          <w:spacing w:val="-2"/>
        </w:rPr>
        <w:t> </w:t>
      </w:r>
      <w:r>
        <w:rPr/>
        <w:t>of</w:t>
      </w:r>
      <w:r>
        <w:rPr>
          <w:spacing w:val="-2"/>
        </w:rPr>
        <w:t> </w:t>
      </w:r>
      <w:r>
        <w:rPr/>
        <w:t>actors’</w:t>
      </w:r>
      <w:r>
        <w:rPr>
          <w:spacing w:val="40"/>
        </w:rPr>
        <w:t> </w:t>
      </w:r>
      <w:r>
        <w:rPr/>
        <w:t>justifications</w:t>
      </w:r>
      <w:r>
        <w:rPr>
          <w:spacing w:val="-2"/>
        </w:rPr>
        <w:t> </w:t>
      </w:r>
      <w:r>
        <w:rPr/>
        <w:t>for their behavior (as well as explainers’ agreement or disagreement with</w:t>
      </w:r>
      <w:r>
        <w:rPr>
          <w:spacing w:val="80"/>
        </w:rPr>
        <w:t> </w:t>
      </w:r>
      <w:r>
        <w:rPr/>
        <w:t>justifications), and insights into the intensity of explainers’ blame toward actors.</w:t>
      </w:r>
    </w:p>
    <w:p>
      <w:pPr>
        <w:pStyle w:val="BodyText"/>
        <w:spacing w:before="6"/>
      </w:pPr>
    </w:p>
    <w:p>
      <w:pPr>
        <w:pStyle w:val="BodyText"/>
        <w:ind w:left="352"/>
        <w:jc w:val="both"/>
      </w:pPr>
      <w:r>
        <w:rPr/>
        <w:t>Our research questions guiding this study were </w:t>
      </w:r>
      <w:r>
        <w:rPr>
          <w:spacing w:val="-2"/>
        </w:rPr>
        <w:t>therefore:</w:t>
      </w:r>
    </w:p>
    <w:p>
      <w:pPr>
        <w:pStyle w:val="BodyText"/>
        <w:ind w:left="727" w:right="1378"/>
        <w:jc w:val="both"/>
      </w:pPr>
      <w:r>
        <w:rPr/>
        <w:t>RQ 1: What (if any) differences are present in laypersons’ explanation structure and </w:t>
      </w:r>
      <w:r>
        <w:rPr/>
        <w:t>perceived intentionality for supervisor incivility when it is termed leader</w:t>
      </w:r>
      <w:r>
        <w:rPr>
          <w:spacing w:val="-3"/>
        </w:rPr>
        <w:t> </w:t>
      </w:r>
      <w:r>
        <w:rPr/>
        <w:t>incivility</w:t>
      </w:r>
      <w:r>
        <w:rPr>
          <w:spacing w:val="-3"/>
        </w:rPr>
        <w:t> </w:t>
      </w:r>
      <w:r>
        <w:rPr/>
        <w:t>versus</w:t>
      </w:r>
      <w:r>
        <w:rPr>
          <w:spacing w:val="-3"/>
        </w:rPr>
        <w:t> </w:t>
      </w:r>
      <w:r>
        <w:rPr/>
        <w:t>when</w:t>
      </w:r>
      <w:r>
        <w:rPr>
          <w:spacing w:val="-3"/>
        </w:rPr>
        <w:t> </w:t>
      </w:r>
      <w:r>
        <w:rPr/>
        <w:t>it</w:t>
      </w:r>
      <w:r>
        <w:rPr>
          <w:spacing w:val="-3"/>
        </w:rPr>
        <w:t> </w:t>
      </w:r>
      <w:r>
        <w:rPr/>
        <w:t>is</w:t>
      </w:r>
      <w:r>
        <w:rPr>
          <w:spacing w:val="-3"/>
        </w:rPr>
        <w:t> </w:t>
      </w:r>
      <w:r>
        <w:rPr/>
        <w:t>termed manager incivility?</w:t>
      </w:r>
    </w:p>
    <w:p>
      <w:pPr>
        <w:pStyle w:val="BodyText"/>
        <w:spacing w:before="5"/>
        <w:ind w:left="727" w:right="1191"/>
      </w:pPr>
      <w:r>
        <w:rPr/>
        <w:t>RQ</w:t>
      </w:r>
      <w:r>
        <w:rPr>
          <w:spacing w:val="-3"/>
        </w:rPr>
        <w:t> </w:t>
      </w:r>
      <w:r>
        <w:rPr/>
        <w:t>2:</w:t>
      </w:r>
      <w:r>
        <w:rPr>
          <w:spacing w:val="-3"/>
        </w:rPr>
        <w:t> </w:t>
      </w:r>
      <w:r>
        <w:rPr/>
        <w:t>Are</w:t>
      </w:r>
      <w:r>
        <w:rPr>
          <w:spacing w:val="-3"/>
        </w:rPr>
        <w:t> </w:t>
      </w:r>
      <w:r>
        <w:rPr/>
        <w:t>Folk</w:t>
      </w:r>
      <w:r>
        <w:rPr>
          <w:spacing w:val="-3"/>
        </w:rPr>
        <w:t> </w:t>
      </w:r>
      <w:r>
        <w:rPr/>
        <w:t>Theory</w:t>
      </w:r>
      <w:r>
        <w:rPr>
          <w:spacing w:val="-3"/>
        </w:rPr>
        <w:t> </w:t>
      </w:r>
      <w:r>
        <w:rPr/>
        <w:t>of</w:t>
      </w:r>
      <w:r>
        <w:rPr>
          <w:spacing w:val="-3"/>
        </w:rPr>
        <w:t> </w:t>
      </w:r>
      <w:r>
        <w:rPr/>
        <w:t>the</w:t>
      </w:r>
      <w:r>
        <w:rPr>
          <w:spacing w:val="-3"/>
        </w:rPr>
        <w:t> </w:t>
      </w:r>
      <w:r>
        <w:rPr/>
        <w:t>Mind</w:t>
      </w:r>
      <w:r>
        <w:rPr>
          <w:spacing w:val="-3"/>
        </w:rPr>
        <w:t> </w:t>
      </w:r>
      <w:r>
        <w:rPr/>
        <w:t>(FOTM)</w:t>
      </w:r>
      <w:r>
        <w:rPr>
          <w:spacing w:val="-3"/>
        </w:rPr>
        <w:t> </w:t>
      </w:r>
      <w:r>
        <w:rPr/>
        <w:t>explanation</w:t>
      </w:r>
      <w:r>
        <w:rPr>
          <w:spacing w:val="-3"/>
        </w:rPr>
        <w:t> </w:t>
      </w:r>
      <w:r>
        <w:rPr/>
        <w:t>structures</w:t>
      </w:r>
      <w:r>
        <w:rPr>
          <w:spacing w:val="-3"/>
        </w:rPr>
        <w:t> </w:t>
      </w:r>
      <w:r>
        <w:rPr/>
        <w:t>associated</w:t>
      </w:r>
      <w:r>
        <w:rPr>
          <w:spacing w:val="-3"/>
        </w:rPr>
        <w:t> </w:t>
      </w:r>
      <w:r>
        <w:rPr/>
        <w:t>with</w:t>
      </w:r>
      <w:r>
        <w:rPr>
          <w:spacing w:val="-3"/>
        </w:rPr>
        <w:t> </w:t>
      </w:r>
      <w:r>
        <w:rPr/>
        <w:t>perceived intentionality for supervisor incivility?</w:t>
      </w:r>
    </w:p>
    <w:p>
      <w:pPr>
        <w:pStyle w:val="BodyText"/>
        <w:spacing w:before="7"/>
        <w:ind w:left="712" w:right="1191" w:firstLine="15"/>
      </w:pPr>
      <w:r>
        <w:rPr/>
        <w:t>RQ</w:t>
      </w:r>
      <w:r>
        <w:rPr>
          <w:spacing w:val="-4"/>
        </w:rPr>
        <w:t> </w:t>
      </w:r>
      <w:r>
        <w:rPr/>
        <w:t>3:</w:t>
      </w:r>
      <w:r>
        <w:rPr>
          <w:spacing w:val="-4"/>
        </w:rPr>
        <w:t> </w:t>
      </w:r>
      <w:r>
        <w:rPr/>
        <w:t>What</w:t>
      </w:r>
      <w:r>
        <w:rPr>
          <w:spacing w:val="-4"/>
        </w:rPr>
        <w:t> </w:t>
      </w:r>
      <w:r>
        <w:rPr/>
        <w:t>contextual</w:t>
      </w:r>
      <w:r>
        <w:rPr>
          <w:spacing w:val="-4"/>
        </w:rPr>
        <w:t> </w:t>
      </w:r>
      <w:r>
        <w:rPr/>
        <w:t>relationship</w:t>
      </w:r>
      <w:r>
        <w:rPr>
          <w:spacing w:val="-4"/>
        </w:rPr>
        <w:t> </w:t>
      </w:r>
      <w:r>
        <w:rPr/>
        <w:t>variables</w:t>
      </w:r>
      <w:r>
        <w:rPr>
          <w:spacing w:val="-4"/>
        </w:rPr>
        <w:t> </w:t>
      </w:r>
      <w:r>
        <w:rPr/>
        <w:t>might</w:t>
      </w:r>
      <w:r>
        <w:rPr>
          <w:spacing w:val="-4"/>
        </w:rPr>
        <w:t> </w:t>
      </w:r>
      <w:r>
        <w:rPr/>
        <w:t>be</w:t>
      </w:r>
      <w:r>
        <w:rPr>
          <w:spacing w:val="-4"/>
        </w:rPr>
        <w:t> </w:t>
      </w:r>
      <w:r>
        <w:rPr/>
        <w:t>associated</w:t>
      </w:r>
      <w:r>
        <w:rPr>
          <w:spacing w:val="-4"/>
        </w:rPr>
        <w:t> </w:t>
      </w:r>
      <w:r>
        <w:rPr/>
        <w:t>with</w:t>
      </w:r>
      <w:r>
        <w:rPr>
          <w:spacing w:val="-4"/>
        </w:rPr>
        <w:t> </w:t>
      </w:r>
      <w:r>
        <w:rPr/>
        <w:t>explanation</w:t>
      </w:r>
      <w:r>
        <w:rPr>
          <w:spacing w:val="-4"/>
        </w:rPr>
        <w:t> </w:t>
      </w:r>
      <w:r>
        <w:rPr/>
        <w:t>structure</w:t>
      </w:r>
      <w:r>
        <w:rPr>
          <w:spacing w:val="-4"/>
        </w:rPr>
        <w:t> </w:t>
      </w:r>
      <w:r>
        <w:rPr/>
        <w:t>and perceived intentionality for supervisor incivility?</w:t>
      </w:r>
    </w:p>
    <w:p>
      <w:pPr>
        <w:pStyle w:val="BodyText"/>
        <w:spacing w:before="5"/>
      </w:pPr>
    </w:p>
    <w:p>
      <w:pPr>
        <w:pStyle w:val="Heading4"/>
        <w:spacing w:before="1"/>
        <w:ind w:left="352"/>
      </w:pPr>
      <w:r>
        <w:rPr>
          <w:spacing w:val="-2"/>
        </w:rPr>
        <w:t>Methodology</w:t>
      </w:r>
    </w:p>
    <w:p>
      <w:pPr>
        <w:pStyle w:val="BodyText"/>
        <w:spacing w:before="276"/>
        <w:ind w:left="352" w:right="1619"/>
      </w:pPr>
      <w:r>
        <w:rPr/>
        <w:t>We used Prolific to recruit 250 working adults in the United States. Respondents were required</w:t>
      </w:r>
      <w:r>
        <w:rPr>
          <w:spacing w:val="40"/>
        </w:rPr>
        <w:t> </w:t>
      </w:r>
      <w:r>
        <w:rPr/>
        <w:t>to be employed and at least 18 years old. Of the total sample, we focus on two subsamples: respondents</w:t>
      </w:r>
      <w:r>
        <w:rPr>
          <w:spacing w:val="-2"/>
        </w:rPr>
        <w:t> </w:t>
      </w:r>
      <w:r>
        <w:rPr/>
        <w:t>who</w:t>
      </w:r>
      <w:r>
        <w:rPr>
          <w:spacing w:val="-2"/>
        </w:rPr>
        <w:t> </w:t>
      </w:r>
      <w:r>
        <w:rPr/>
        <w:t>experienced</w:t>
      </w:r>
      <w:r>
        <w:rPr>
          <w:spacing w:val="-2"/>
        </w:rPr>
        <w:t> </w:t>
      </w:r>
      <w:r>
        <w:rPr/>
        <w:t>supervisor</w:t>
      </w:r>
      <w:r>
        <w:rPr>
          <w:spacing w:val="-2"/>
        </w:rPr>
        <w:t> </w:t>
      </w:r>
      <w:r>
        <w:rPr/>
        <w:t>incivility</w:t>
      </w:r>
      <w:r>
        <w:rPr>
          <w:spacing w:val="-2"/>
        </w:rPr>
        <w:t> </w:t>
      </w:r>
      <w:r>
        <w:rPr/>
        <w:t>in</w:t>
      </w:r>
      <w:r>
        <w:rPr>
          <w:spacing w:val="-2"/>
        </w:rPr>
        <w:t> </w:t>
      </w:r>
      <w:r>
        <w:rPr/>
        <w:t>the</w:t>
      </w:r>
      <w:r>
        <w:rPr>
          <w:spacing w:val="-2"/>
        </w:rPr>
        <w:t> </w:t>
      </w:r>
      <w:r>
        <w:rPr/>
        <w:t>past</w:t>
      </w:r>
      <w:r>
        <w:rPr>
          <w:spacing w:val="-2"/>
        </w:rPr>
        <w:t> </w:t>
      </w:r>
      <w:r>
        <w:rPr/>
        <w:t>month</w:t>
      </w:r>
      <w:r>
        <w:rPr>
          <w:spacing w:val="-2"/>
        </w:rPr>
        <w:t> </w:t>
      </w:r>
      <w:r>
        <w:rPr/>
        <w:t>(“Subsample</w:t>
      </w:r>
      <w:r>
        <w:rPr>
          <w:spacing w:val="-2"/>
        </w:rPr>
        <w:t> </w:t>
      </w:r>
      <w:r>
        <w:rPr/>
        <w:t>A”,</w:t>
      </w:r>
      <w:r>
        <w:rPr>
          <w:spacing w:val="-2"/>
        </w:rPr>
        <w:t> </w:t>
      </w:r>
      <w:r>
        <w:rPr/>
        <w:t>n=149),</w:t>
      </w:r>
      <w:r>
        <w:rPr>
          <w:spacing w:val="40"/>
        </w:rPr>
        <w:t> </w:t>
      </w:r>
      <w:r>
        <w:rPr/>
        <w:t>and respondents who neither experienced nor observed supervisor incivility in the past month (“Subsample</w:t>
      </w:r>
      <w:r>
        <w:rPr>
          <w:spacing w:val="-4"/>
        </w:rPr>
        <w:t> </w:t>
      </w:r>
      <w:r>
        <w:rPr/>
        <w:t>B”,</w:t>
      </w:r>
      <w:r>
        <w:rPr>
          <w:spacing w:val="-4"/>
        </w:rPr>
        <w:t> </w:t>
      </w:r>
      <w:r>
        <w:rPr/>
        <w:t>n=64).</w:t>
      </w:r>
      <w:r>
        <w:rPr>
          <w:spacing w:val="-4"/>
        </w:rPr>
        <w:t> </w:t>
      </w:r>
      <w:r>
        <w:rPr/>
        <w:t>Demographic</w:t>
      </w:r>
      <w:r>
        <w:rPr>
          <w:spacing w:val="-4"/>
        </w:rPr>
        <w:t> </w:t>
      </w:r>
      <w:r>
        <w:rPr/>
        <w:t>information</w:t>
      </w:r>
      <w:r>
        <w:rPr>
          <w:spacing w:val="-4"/>
        </w:rPr>
        <w:t> </w:t>
      </w:r>
      <w:r>
        <w:rPr/>
        <w:t>included</w:t>
      </w:r>
      <w:r>
        <w:rPr>
          <w:spacing w:val="-4"/>
        </w:rPr>
        <w:t> </w:t>
      </w:r>
      <w:r>
        <w:rPr/>
        <w:t>age,</w:t>
      </w:r>
      <w:r>
        <w:rPr>
          <w:spacing w:val="-4"/>
        </w:rPr>
        <w:t> </w:t>
      </w:r>
      <w:r>
        <w:rPr/>
        <w:t>gender,</w:t>
      </w:r>
      <w:r>
        <w:rPr>
          <w:spacing w:val="-4"/>
        </w:rPr>
        <w:t> </w:t>
      </w:r>
      <w:r>
        <w:rPr/>
        <w:t>race,</w:t>
      </w:r>
      <w:r>
        <w:rPr>
          <w:spacing w:val="-4"/>
        </w:rPr>
        <w:t> </w:t>
      </w:r>
      <w:r>
        <w:rPr/>
        <w:t>education</w:t>
      </w:r>
      <w:r>
        <w:rPr>
          <w:spacing w:val="-4"/>
        </w:rPr>
        <w:t> </w:t>
      </w:r>
      <w:r>
        <w:rPr/>
        <w:t>level,</w:t>
      </w:r>
      <w:r>
        <w:rPr>
          <w:spacing w:val="40"/>
        </w:rPr>
        <w:t> </w:t>
      </w:r>
      <w:r>
        <w:rPr/>
        <w:t>and job</w:t>
      </w:r>
      <w:r>
        <w:rPr>
          <w:spacing w:val="-1"/>
        </w:rPr>
        <w:t> </w:t>
      </w:r>
      <w:r>
        <w:rPr/>
        <w:t>level.</w:t>
      </w:r>
      <w:r>
        <w:rPr>
          <w:spacing w:val="-1"/>
        </w:rPr>
        <w:t> </w:t>
      </w:r>
      <w:r>
        <w:rPr/>
        <w:t>Data</w:t>
      </w:r>
      <w:r>
        <w:rPr>
          <w:spacing w:val="-1"/>
        </w:rPr>
        <w:t> </w:t>
      </w:r>
      <w:r>
        <w:rPr/>
        <w:t>collection</w:t>
      </w:r>
      <w:r>
        <w:rPr>
          <w:spacing w:val="-1"/>
        </w:rPr>
        <w:t> </w:t>
      </w:r>
      <w:r>
        <w:rPr/>
        <w:t>was</w:t>
      </w:r>
      <w:r>
        <w:rPr>
          <w:spacing w:val="-1"/>
        </w:rPr>
        <w:t> </w:t>
      </w:r>
      <w:r>
        <w:rPr/>
        <w:t>supported</w:t>
      </w:r>
      <w:r>
        <w:rPr>
          <w:spacing w:val="-1"/>
        </w:rPr>
        <w:t> </w:t>
      </w:r>
      <w:r>
        <w:rPr/>
        <w:t>by</w:t>
      </w:r>
      <w:r>
        <w:rPr>
          <w:spacing w:val="-1"/>
        </w:rPr>
        <w:t> </w:t>
      </w:r>
      <w:r>
        <w:rPr/>
        <w:t>the</w:t>
      </w:r>
      <w:r>
        <w:rPr>
          <w:spacing w:val="-1"/>
        </w:rPr>
        <w:t> </w:t>
      </w:r>
      <w:r>
        <w:rPr/>
        <w:t>Walker</w:t>
      </w:r>
      <w:r>
        <w:rPr>
          <w:spacing w:val="-1"/>
        </w:rPr>
        <w:t> </w:t>
      </w:r>
      <w:r>
        <w:rPr/>
        <w:t>College</w:t>
      </w:r>
      <w:r>
        <w:rPr>
          <w:spacing w:val="-1"/>
        </w:rPr>
        <w:t> </w:t>
      </w:r>
      <w:r>
        <w:rPr/>
        <w:t>of</w:t>
      </w:r>
      <w:r>
        <w:rPr>
          <w:spacing w:val="-1"/>
        </w:rPr>
        <w:t> </w:t>
      </w:r>
      <w:r>
        <w:rPr/>
        <w:t>Business</w:t>
      </w:r>
      <w:r>
        <w:rPr>
          <w:spacing w:val="-1"/>
        </w:rPr>
        <w:t> </w:t>
      </w:r>
      <w:r>
        <w:rPr/>
        <w:t>Dean’s</w:t>
      </w:r>
      <w:r>
        <w:rPr>
          <w:spacing w:val="-1"/>
        </w:rPr>
        <w:t> </w:t>
      </w:r>
      <w:r>
        <w:rPr/>
        <w:t>Club</w:t>
      </w:r>
      <w:r>
        <w:rPr>
          <w:spacing w:val="40"/>
        </w:rPr>
        <w:t> </w:t>
      </w:r>
      <w:r>
        <w:rPr/>
        <w:t>Research Grant and was approved through Appalachian State’s IRB.</w:t>
      </w:r>
    </w:p>
    <w:p>
      <w:pPr>
        <w:pStyle w:val="BodyText"/>
        <w:spacing w:before="55"/>
      </w:pPr>
    </w:p>
    <w:p>
      <w:pPr>
        <w:spacing w:before="0"/>
        <w:ind w:left="352" w:right="0" w:firstLine="0"/>
        <w:jc w:val="left"/>
        <w:rPr>
          <w:i/>
          <w:sz w:val="24"/>
        </w:rPr>
      </w:pPr>
      <w:r>
        <w:rPr>
          <w:i/>
          <w:sz w:val="24"/>
        </w:rPr>
        <w:t>Subsample A Survey </w:t>
      </w:r>
      <w:r>
        <w:rPr>
          <w:i/>
          <w:spacing w:val="-2"/>
          <w:sz w:val="24"/>
        </w:rPr>
        <w:t>Methods</w:t>
      </w:r>
    </w:p>
    <w:p>
      <w:pPr>
        <w:pStyle w:val="BodyText"/>
        <w:spacing w:before="37"/>
        <w:ind w:left="352" w:right="1191"/>
      </w:pPr>
      <w:r>
        <w:rPr/>
        <w:t>Respondents</w:t>
      </w:r>
      <w:r>
        <w:rPr>
          <w:spacing w:val="-2"/>
        </w:rPr>
        <w:t> </w:t>
      </w:r>
      <w:r>
        <w:rPr/>
        <w:t>who</w:t>
      </w:r>
      <w:r>
        <w:rPr>
          <w:spacing w:val="-2"/>
        </w:rPr>
        <w:t> </w:t>
      </w:r>
      <w:r>
        <w:rPr/>
        <w:t>reported</w:t>
      </w:r>
      <w:r>
        <w:rPr>
          <w:spacing w:val="-2"/>
        </w:rPr>
        <w:t> </w:t>
      </w:r>
      <w:r>
        <w:rPr/>
        <w:t>experienced</w:t>
      </w:r>
      <w:r>
        <w:rPr>
          <w:spacing w:val="-2"/>
        </w:rPr>
        <w:t> </w:t>
      </w:r>
      <w:r>
        <w:rPr/>
        <w:t>supervisor</w:t>
      </w:r>
      <w:r>
        <w:rPr>
          <w:spacing w:val="-2"/>
        </w:rPr>
        <w:t> </w:t>
      </w:r>
      <w:r>
        <w:rPr/>
        <w:t>incivility</w:t>
      </w:r>
      <w:r>
        <w:rPr>
          <w:spacing w:val="-2"/>
        </w:rPr>
        <w:t> </w:t>
      </w:r>
      <w:r>
        <w:rPr/>
        <w:t>participated</w:t>
      </w:r>
      <w:r>
        <w:rPr>
          <w:spacing w:val="-2"/>
        </w:rPr>
        <w:t> </w:t>
      </w:r>
      <w:r>
        <w:rPr/>
        <w:t>in</w:t>
      </w:r>
      <w:r>
        <w:rPr>
          <w:spacing w:val="-2"/>
        </w:rPr>
        <w:t> </w:t>
      </w:r>
      <w:r>
        <w:rPr/>
        <w:t>a</w:t>
      </w:r>
      <w:r>
        <w:rPr>
          <w:spacing w:val="-2"/>
        </w:rPr>
        <w:t> </w:t>
      </w:r>
      <w:r>
        <w:rPr/>
        <w:t>between-subjects</w:t>
      </w:r>
      <w:r>
        <w:rPr>
          <w:spacing w:val="40"/>
        </w:rPr>
        <w:t> </w:t>
      </w:r>
      <w:r>
        <w:rPr/>
        <w:t>event recall design, in which participants were randomly assigned to one of two conditions.</w:t>
      </w:r>
      <w:r>
        <w:rPr>
          <w:spacing w:val="40"/>
        </w:rPr>
        <w:t> </w:t>
      </w:r>
      <w:r>
        <w:rPr/>
        <w:t>Participants in both</w:t>
      </w:r>
      <w:r>
        <w:rPr>
          <w:spacing w:val="-3"/>
        </w:rPr>
        <w:t> </w:t>
      </w:r>
      <w:r>
        <w:rPr/>
        <w:t>conditions</w:t>
      </w:r>
      <w:r>
        <w:rPr>
          <w:spacing w:val="-3"/>
        </w:rPr>
        <w:t> </w:t>
      </w:r>
      <w:r>
        <w:rPr/>
        <w:t>were</w:t>
      </w:r>
      <w:r>
        <w:rPr>
          <w:spacing w:val="-3"/>
        </w:rPr>
        <w:t> </w:t>
      </w:r>
      <w:r>
        <w:rPr/>
        <w:t>first</w:t>
      </w:r>
      <w:r>
        <w:rPr>
          <w:spacing w:val="-3"/>
        </w:rPr>
        <w:t> </w:t>
      </w:r>
      <w:r>
        <w:rPr/>
        <w:t>instructed</w:t>
      </w:r>
      <w:r>
        <w:rPr>
          <w:spacing w:val="-3"/>
        </w:rPr>
        <w:t> </w:t>
      </w:r>
      <w:r>
        <w:rPr/>
        <w:t>to</w:t>
      </w:r>
      <w:r>
        <w:rPr>
          <w:spacing w:val="-3"/>
        </w:rPr>
        <w:t> </w:t>
      </w:r>
      <w:r>
        <w:rPr/>
        <w:t>recall</w:t>
      </w:r>
      <w:r>
        <w:rPr>
          <w:spacing w:val="-3"/>
        </w:rPr>
        <w:t> </w:t>
      </w:r>
      <w:r>
        <w:rPr/>
        <w:t>and</w:t>
      </w:r>
      <w:r>
        <w:rPr>
          <w:spacing w:val="-3"/>
        </w:rPr>
        <w:t> </w:t>
      </w:r>
      <w:r>
        <w:rPr/>
        <w:t>describe</w:t>
      </w:r>
      <w:r>
        <w:rPr>
          <w:spacing w:val="-3"/>
        </w:rPr>
        <w:t> </w:t>
      </w:r>
      <w:r>
        <w:rPr/>
        <w:t>a</w:t>
      </w:r>
      <w:r>
        <w:rPr>
          <w:spacing w:val="-3"/>
        </w:rPr>
        <w:t> </w:t>
      </w:r>
      <w:r>
        <w:rPr/>
        <w:t>recent</w:t>
      </w:r>
      <w:r>
        <w:rPr>
          <w:spacing w:val="-3"/>
        </w:rPr>
        <w:t> </w:t>
      </w:r>
      <w:r>
        <w:rPr/>
        <w:t>incident</w:t>
      </w:r>
      <w:r>
        <w:rPr>
          <w:spacing w:val="-3"/>
        </w:rPr>
        <w:t> </w:t>
      </w:r>
      <w:r>
        <w:rPr/>
        <w:t>in</w:t>
      </w:r>
      <w:r>
        <w:rPr>
          <w:spacing w:val="40"/>
        </w:rPr>
        <w:t> </w:t>
      </w:r>
      <w:r>
        <w:rPr/>
        <w:t>which</w:t>
      </w:r>
      <w:r>
        <w:rPr>
          <w:spacing w:val="-3"/>
        </w:rPr>
        <w:t> </w:t>
      </w:r>
      <w:r>
        <w:rPr/>
        <w:t>their</w:t>
      </w:r>
      <w:r>
        <w:rPr>
          <w:spacing w:val="-3"/>
        </w:rPr>
        <w:t> </w:t>
      </w:r>
      <w:r>
        <w:rPr/>
        <w:t>immediate supervisor behaved in an uncivil manner. The terminology used to refer to the “supervisor” in all subsequent prompts was manipulated to reflect the assigned “leader” or</w:t>
      </w:r>
      <w:r>
        <w:rPr>
          <w:spacing w:val="40"/>
        </w:rPr>
        <w:t> </w:t>
      </w:r>
      <w:r>
        <w:rPr/>
        <w:t>“manager” condition.</w:t>
      </w:r>
    </w:p>
    <w:p>
      <w:pPr>
        <w:pStyle w:val="BodyText"/>
        <w:spacing w:before="56"/>
      </w:pPr>
    </w:p>
    <w:p>
      <w:pPr>
        <w:pStyle w:val="BodyText"/>
        <w:ind w:left="352" w:right="1621"/>
      </w:pPr>
      <w:r>
        <w:rPr/>
        <w:t>After</w:t>
      </w:r>
      <w:r>
        <w:rPr>
          <w:spacing w:val="-3"/>
        </w:rPr>
        <w:t> </w:t>
      </w:r>
      <w:r>
        <w:rPr/>
        <w:t>providing</w:t>
      </w:r>
      <w:r>
        <w:rPr>
          <w:spacing w:val="-3"/>
        </w:rPr>
        <w:t> </w:t>
      </w:r>
      <w:r>
        <w:rPr/>
        <w:t>a</w:t>
      </w:r>
      <w:r>
        <w:rPr>
          <w:spacing w:val="-3"/>
        </w:rPr>
        <w:t> </w:t>
      </w:r>
      <w:r>
        <w:rPr/>
        <w:t>written</w:t>
      </w:r>
      <w:r>
        <w:rPr>
          <w:spacing w:val="-3"/>
        </w:rPr>
        <w:t> </w:t>
      </w:r>
      <w:r>
        <w:rPr/>
        <w:t>description</w:t>
      </w:r>
      <w:r>
        <w:rPr>
          <w:spacing w:val="-3"/>
        </w:rPr>
        <w:t> </w:t>
      </w:r>
      <w:r>
        <w:rPr/>
        <w:t>of</w:t>
      </w:r>
      <w:r>
        <w:rPr>
          <w:spacing w:val="-3"/>
        </w:rPr>
        <w:t> </w:t>
      </w:r>
      <w:r>
        <w:rPr/>
        <w:t>the</w:t>
      </w:r>
      <w:r>
        <w:rPr>
          <w:spacing w:val="-3"/>
        </w:rPr>
        <w:t> </w:t>
      </w:r>
      <w:r>
        <w:rPr/>
        <w:t>uncivil</w:t>
      </w:r>
      <w:r>
        <w:rPr>
          <w:spacing w:val="-3"/>
        </w:rPr>
        <w:t> </w:t>
      </w:r>
      <w:r>
        <w:rPr/>
        <w:t>incident,</w:t>
      </w:r>
      <w:r>
        <w:rPr>
          <w:spacing w:val="-3"/>
        </w:rPr>
        <w:t> </w:t>
      </w:r>
      <w:r>
        <w:rPr/>
        <w:t>participants</w:t>
      </w:r>
      <w:r>
        <w:rPr>
          <w:spacing w:val="-3"/>
        </w:rPr>
        <w:t> </w:t>
      </w:r>
      <w:r>
        <w:rPr/>
        <w:t>were</w:t>
      </w:r>
      <w:r>
        <w:rPr>
          <w:spacing w:val="-3"/>
        </w:rPr>
        <w:t> </w:t>
      </w:r>
      <w:r>
        <w:rPr/>
        <w:t>asked</w:t>
      </w:r>
      <w:r>
        <w:rPr>
          <w:spacing w:val="-3"/>
        </w:rPr>
        <w:t> </w:t>
      </w:r>
      <w:r>
        <w:rPr/>
        <w:t>to</w:t>
      </w:r>
      <w:r>
        <w:rPr>
          <w:spacing w:val="-3"/>
        </w:rPr>
        <w:t> </w:t>
      </w:r>
      <w:r>
        <w:rPr/>
        <w:t>generate</w:t>
      </w:r>
      <w:r>
        <w:rPr>
          <w:spacing w:val="40"/>
        </w:rPr>
        <w:t> </w:t>
      </w:r>
      <w:r>
        <w:rPr/>
        <w:t>an open-ended explanation for why they believed their supervisor behaved in that way. They</w:t>
      </w:r>
      <w:r>
        <w:rPr>
          <w:spacing w:val="40"/>
        </w:rPr>
        <w:t> </w:t>
      </w:r>
      <w:r>
        <w:rPr/>
        <w:t>then completed a series of closed-ended items assessing perceived intentionality, relationship identification with the supervisor, and frequency of experienced supervisory incivility. Finally, participants completed a background questionnaire capturing demographic information.</w:t>
      </w:r>
    </w:p>
    <w:p>
      <w:pPr>
        <w:pStyle w:val="BodyText"/>
        <w:spacing w:after="0"/>
        <w:sectPr>
          <w:pgSz w:w="12240" w:h="15840"/>
          <w:pgMar w:header="0" w:footer="707" w:top="640" w:bottom="960" w:left="720" w:right="0"/>
        </w:sectPr>
      </w:pPr>
    </w:p>
    <w:p>
      <w:pPr>
        <w:pStyle w:val="BodyText"/>
        <w:spacing w:before="60"/>
        <w:ind w:left="352" w:right="1619"/>
      </w:pPr>
      <w:r>
        <w:rPr/>
        <w:t>Participants</w:t>
      </w:r>
      <w:r>
        <w:rPr>
          <w:spacing w:val="-4"/>
        </w:rPr>
        <w:t> </w:t>
      </w:r>
      <w:r>
        <w:rPr/>
        <w:t>indicated</w:t>
      </w:r>
      <w:r>
        <w:rPr>
          <w:spacing w:val="-4"/>
        </w:rPr>
        <w:t> </w:t>
      </w:r>
      <w:r>
        <w:rPr/>
        <w:t>whether</w:t>
      </w:r>
      <w:r>
        <w:rPr>
          <w:spacing w:val="-4"/>
        </w:rPr>
        <w:t> </w:t>
      </w:r>
      <w:r>
        <w:rPr/>
        <w:t>they</w:t>
      </w:r>
      <w:r>
        <w:rPr>
          <w:spacing w:val="-4"/>
        </w:rPr>
        <w:t> </w:t>
      </w:r>
      <w:r>
        <w:rPr/>
        <w:t>believed</w:t>
      </w:r>
      <w:r>
        <w:rPr>
          <w:spacing w:val="-4"/>
        </w:rPr>
        <w:t> </w:t>
      </w:r>
      <w:r>
        <w:rPr/>
        <w:t>the</w:t>
      </w:r>
      <w:r>
        <w:rPr>
          <w:spacing w:val="-4"/>
        </w:rPr>
        <w:t> </w:t>
      </w:r>
      <w:r>
        <w:rPr/>
        <w:t>uncivil</w:t>
      </w:r>
      <w:r>
        <w:rPr>
          <w:spacing w:val="-4"/>
        </w:rPr>
        <w:t> </w:t>
      </w:r>
      <w:r>
        <w:rPr/>
        <w:t>behavior</w:t>
      </w:r>
      <w:r>
        <w:rPr>
          <w:spacing w:val="-4"/>
        </w:rPr>
        <w:t> </w:t>
      </w:r>
      <w:r>
        <w:rPr/>
        <w:t>was</w:t>
      </w:r>
      <w:r>
        <w:rPr>
          <w:spacing w:val="-4"/>
        </w:rPr>
        <w:t> </w:t>
      </w:r>
      <w:r>
        <w:rPr/>
        <w:t>intentional</w:t>
      </w:r>
      <w:r>
        <w:rPr>
          <w:spacing w:val="-4"/>
        </w:rPr>
        <w:t> </w:t>
      </w:r>
      <w:r>
        <w:rPr/>
        <w:t>or</w:t>
      </w:r>
      <w:r>
        <w:rPr>
          <w:spacing w:val="-4"/>
        </w:rPr>
        <w:t> </w:t>
      </w:r>
      <w:r>
        <w:rPr/>
        <w:t>unintentional with a single-item prompt and dichotomous response (1 = intentional, 0 = unintentional).</w:t>
      </w:r>
    </w:p>
    <w:p>
      <w:pPr>
        <w:pStyle w:val="BodyText"/>
        <w:spacing w:before="56"/>
      </w:pPr>
    </w:p>
    <w:p>
      <w:pPr>
        <w:pStyle w:val="BodyText"/>
        <w:spacing w:before="1"/>
        <w:ind w:left="352" w:right="1725"/>
      </w:pPr>
      <w:r>
        <w:rPr/>
        <w:t>Participants also completed validated measures assessing identification with supervisor (higher scores</w:t>
      </w:r>
      <w:r>
        <w:rPr>
          <w:spacing w:val="-5"/>
        </w:rPr>
        <w:t> </w:t>
      </w:r>
      <w:r>
        <w:rPr/>
        <w:t>indicating</w:t>
      </w:r>
      <w:r>
        <w:rPr>
          <w:spacing w:val="-5"/>
        </w:rPr>
        <w:t> </w:t>
      </w:r>
      <w:r>
        <w:rPr/>
        <w:t>stronger</w:t>
      </w:r>
      <w:r>
        <w:rPr>
          <w:spacing w:val="-5"/>
        </w:rPr>
        <w:t> </w:t>
      </w:r>
      <w:r>
        <w:rPr/>
        <w:t>relational</w:t>
      </w:r>
      <w:r>
        <w:rPr>
          <w:spacing w:val="-5"/>
        </w:rPr>
        <w:t> </w:t>
      </w:r>
      <w:r>
        <w:rPr/>
        <w:t>identification)</w:t>
      </w:r>
      <w:r>
        <w:rPr>
          <w:spacing w:val="-5"/>
        </w:rPr>
        <w:t> </w:t>
      </w:r>
      <w:r>
        <w:rPr/>
        <w:t>(Walumbwa</w:t>
      </w:r>
      <w:r>
        <w:rPr>
          <w:spacing w:val="-5"/>
        </w:rPr>
        <w:t> </w:t>
      </w:r>
      <w:r>
        <w:rPr/>
        <w:t>and</w:t>
      </w:r>
      <w:r>
        <w:rPr>
          <w:spacing w:val="-5"/>
        </w:rPr>
        <w:t> </w:t>
      </w:r>
      <w:r>
        <w:rPr/>
        <w:t>Hartnell,</w:t>
      </w:r>
      <w:r>
        <w:rPr>
          <w:spacing w:val="-5"/>
        </w:rPr>
        <w:t> </w:t>
      </w:r>
      <w:r>
        <w:rPr/>
        <w:t>2011)</w:t>
      </w:r>
      <w:r>
        <w:rPr>
          <w:spacing w:val="-5"/>
        </w:rPr>
        <w:t> </w:t>
      </w:r>
      <w:r>
        <w:rPr/>
        <w:t>and</w:t>
      </w:r>
      <w:r>
        <w:rPr>
          <w:spacing w:val="40"/>
        </w:rPr>
        <w:t> </w:t>
      </w:r>
      <w:r>
        <w:rPr/>
        <w:t>incivility frequency (frequency of uncivil supervisory behaviors) (Cortina et al., 2001). These</w:t>
      </w:r>
      <w:r>
        <w:rPr>
          <w:spacing w:val="40"/>
        </w:rPr>
        <w:t> </w:t>
      </w:r>
      <w:r>
        <w:rPr/>
        <w:t>variables were</w:t>
      </w:r>
      <w:r>
        <w:rPr>
          <w:spacing w:val="-5"/>
        </w:rPr>
        <w:t> </w:t>
      </w:r>
      <w:r>
        <w:rPr/>
        <w:t>used</w:t>
      </w:r>
      <w:r>
        <w:rPr>
          <w:spacing w:val="-5"/>
        </w:rPr>
        <w:t> </w:t>
      </w:r>
      <w:r>
        <w:rPr/>
        <w:t>to</w:t>
      </w:r>
      <w:r>
        <w:rPr>
          <w:spacing w:val="-5"/>
        </w:rPr>
        <w:t> </w:t>
      </w:r>
      <w:r>
        <w:rPr/>
        <w:t>examine</w:t>
      </w:r>
      <w:r>
        <w:rPr>
          <w:spacing w:val="-5"/>
        </w:rPr>
        <w:t> </w:t>
      </w:r>
      <w:r>
        <w:rPr/>
        <w:t>direct</w:t>
      </w:r>
      <w:r>
        <w:rPr>
          <w:spacing w:val="-5"/>
        </w:rPr>
        <w:t> </w:t>
      </w:r>
      <w:r>
        <w:rPr/>
        <w:t>associations</w:t>
      </w:r>
      <w:r>
        <w:rPr>
          <w:spacing w:val="-5"/>
        </w:rPr>
        <w:t> </w:t>
      </w:r>
      <w:r>
        <w:rPr/>
        <w:t>with</w:t>
      </w:r>
      <w:r>
        <w:rPr>
          <w:spacing w:val="-5"/>
        </w:rPr>
        <w:t> </w:t>
      </w:r>
      <w:r>
        <w:rPr/>
        <w:t>explanation</w:t>
      </w:r>
      <w:r>
        <w:rPr>
          <w:spacing w:val="-5"/>
        </w:rPr>
        <w:t> </w:t>
      </w:r>
      <w:r>
        <w:rPr/>
        <w:t>structures</w:t>
      </w:r>
      <w:r>
        <w:rPr>
          <w:spacing w:val="-5"/>
        </w:rPr>
        <w:t> </w:t>
      </w:r>
      <w:r>
        <w:rPr/>
        <w:t>and</w:t>
      </w:r>
      <w:r>
        <w:rPr>
          <w:spacing w:val="-5"/>
        </w:rPr>
        <w:t> </w:t>
      </w:r>
      <w:r>
        <w:rPr/>
        <w:t>perceived</w:t>
      </w:r>
      <w:r>
        <w:rPr>
          <w:spacing w:val="40"/>
        </w:rPr>
        <w:t> </w:t>
      </w:r>
      <w:r>
        <w:rPr/>
        <w:t>intentionality, consistent with Research Question 3.</w:t>
      </w:r>
    </w:p>
    <w:p>
      <w:pPr>
        <w:pStyle w:val="BodyText"/>
        <w:spacing w:before="53"/>
      </w:pPr>
    </w:p>
    <w:p>
      <w:pPr>
        <w:pStyle w:val="BodyText"/>
        <w:ind w:left="352" w:right="1619"/>
      </w:pPr>
      <w:r>
        <w:rPr/>
        <w:t>Open-ended explanations were coded using Malle’s (2004) Folk Theory of Mind (FTOM) framework.</w:t>
      </w:r>
      <w:r>
        <w:rPr>
          <w:spacing w:val="-4"/>
        </w:rPr>
        <w:t> </w:t>
      </w:r>
      <w:r>
        <w:rPr/>
        <w:t>Explanations</w:t>
      </w:r>
      <w:r>
        <w:rPr>
          <w:spacing w:val="-4"/>
        </w:rPr>
        <w:t> </w:t>
      </w:r>
      <w:r>
        <w:rPr/>
        <w:t>were</w:t>
      </w:r>
      <w:r>
        <w:rPr>
          <w:spacing w:val="-4"/>
        </w:rPr>
        <w:t> </w:t>
      </w:r>
      <w:r>
        <w:rPr/>
        <w:t>coded</w:t>
      </w:r>
      <w:r>
        <w:rPr>
          <w:spacing w:val="-4"/>
        </w:rPr>
        <w:t> </w:t>
      </w:r>
      <w:r>
        <w:rPr/>
        <w:t>for</w:t>
      </w:r>
      <w:r>
        <w:rPr>
          <w:spacing w:val="-4"/>
        </w:rPr>
        <w:t> </w:t>
      </w:r>
      <w:r>
        <w:rPr/>
        <w:t>representation</w:t>
      </w:r>
      <w:r>
        <w:rPr>
          <w:spacing w:val="-4"/>
        </w:rPr>
        <w:t> </w:t>
      </w:r>
      <w:r>
        <w:rPr/>
        <w:t>(0/1)</w:t>
      </w:r>
      <w:r>
        <w:rPr>
          <w:spacing w:val="-4"/>
        </w:rPr>
        <w:t> </w:t>
      </w:r>
      <w:r>
        <w:rPr/>
        <w:t>of</w:t>
      </w:r>
      <w:r>
        <w:rPr>
          <w:spacing w:val="-4"/>
        </w:rPr>
        <w:t> </w:t>
      </w:r>
      <w:r>
        <w:rPr/>
        <w:t>four</w:t>
      </w:r>
      <w:r>
        <w:rPr>
          <w:spacing w:val="-4"/>
        </w:rPr>
        <w:t> </w:t>
      </w:r>
      <w:r>
        <w:rPr/>
        <w:t>mutually</w:t>
      </w:r>
      <w:r>
        <w:rPr>
          <w:spacing w:val="-4"/>
        </w:rPr>
        <w:t> </w:t>
      </w:r>
      <w:r>
        <w:rPr/>
        <w:t>nonexclusive </w:t>
      </w:r>
      <w:r>
        <w:rPr>
          <w:spacing w:val="-2"/>
        </w:rPr>
        <w:t>categories:</w:t>
      </w:r>
    </w:p>
    <w:p>
      <w:pPr>
        <w:pStyle w:val="ListParagraph"/>
        <w:numPr>
          <w:ilvl w:val="0"/>
          <w:numId w:val="33"/>
        </w:numPr>
        <w:tabs>
          <w:tab w:pos="1306" w:val="left" w:leader="none"/>
        </w:tabs>
        <w:spacing w:line="240" w:lineRule="auto" w:before="12" w:after="0"/>
        <w:ind w:left="1306" w:right="0" w:hanging="204"/>
        <w:jc w:val="left"/>
        <w:rPr>
          <w:sz w:val="24"/>
        </w:rPr>
      </w:pPr>
      <w:r>
        <w:rPr>
          <w:sz w:val="24"/>
        </w:rPr>
        <w:t>Reasons</w:t>
      </w:r>
      <w:r>
        <w:rPr>
          <w:spacing w:val="-1"/>
          <w:sz w:val="24"/>
        </w:rPr>
        <w:t> </w:t>
      </w:r>
      <w:r>
        <w:rPr>
          <w:sz w:val="24"/>
        </w:rPr>
        <w:t>–</w:t>
      </w:r>
      <w:r>
        <w:rPr>
          <w:spacing w:val="-1"/>
          <w:sz w:val="24"/>
        </w:rPr>
        <w:t> </w:t>
      </w:r>
      <w:r>
        <w:rPr>
          <w:sz w:val="24"/>
        </w:rPr>
        <w:t>the</w:t>
      </w:r>
      <w:r>
        <w:rPr>
          <w:spacing w:val="-1"/>
          <w:sz w:val="24"/>
        </w:rPr>
        <w:t> </w:t>
      </w:r>
      <w:r>
        <w:rPr>
          <w:sz w:val="24"/>
        </w:rPr>
        <w:t>supervisor’s</w:t>
      </w:r>
      <w:r>
        <w:rPr>
          <w:spacing w:val="-1"/>
          <w:sz w:val="24"/>
        </w:rPr>
        <w:t> </w:t>
      </w:r>
      <w:r>
        <w:rPr>
          <w:sz w:val="24"/>
        </w:rPr>
        <w:t>goals,</w:t>
      </w:r>
      <w:r>
        <w:rPr>
          <w:spacing w:val="-1"/>
          <w:sz w:val="24"/>
        </w:rPr>
        <w:t> </w:t>
      </w:r>
      <w:r>
        <w:rPr>
          <w:sz w:val="24"/>
        </w:rPr>
        <w:t>motives,</w:t>
      </w:r>
      <w:r>
        <w:rPr>
          <w:spacing w:val="-1"/>
          <w:sz w:val="24"/>
        </w:rPr>
        <w:t> </w:t>
      </w:r>
      <w:r>
        <w:rPr>
          <w:sz w:val="24"/>
        </w:rPr>
        <w:t>or </w:t>
      </w:r>
      <w:r>
        <w:rPr>
          <w:spacing w:val="-2"/>
          <w:sz w:val="24"/>
        </w:rPr>
        <w:t>intentions</w:t>
      </w:r>
    </w:p>
    <w:p>
      <w:pPr>
        <w:pStyle w:val="ListParagraph"/>
        <w:numPr>
          <w:ilvl w:val="0"/>
          <w:numId w:val="33"/>
        </w:numPr>
        <w:tabs>
          <w:tab w:pos="1306" w:val="left" w:leader="none"/>
          <w:tab w:pos="1447" w:val="left" w:leader="none"/>
        </w:tabs>
        <w:spacing w:line="240" w:lineRule="auto" w:before="36" w:after="0"/>
        <w:ind w:left="1447" w:right="1751" w:hanging="345"/>
        <w:jc w:val="left"/>
        <w:rPr>
          <w:sz w:val="24"/>
        </w:rPr>
      </w:pPr>
      <w:r>
        <w:rPr>
          <w:sz w:val="24"/>
        </w:rPr>
        <w:t>Causal</w:t>
      </w:r>
      <w:r>
        <w:rPr>
          <w:spacing w:val="-4"/>
          <w:sz w:val="24"/>
        </w:rPr>
        <w:t> </w:t>
      </w:r>
      <w:r>
        <w:rPr>
          <w:sz w:val="24"/>
        </w:rPr>
        <w:t>Histories</w:t>
      </w:r>
      <w:r>
        <w:rPr>
          <w:spacing w:val="-4"/>
          <w:sz w:val="24"/>
        </w:rPr>
        <w:t> </w:t>
      </w:r>
      <w:r>
        <w:rPr>
          <w:sz w:val="24"/>
        </w:rPr>
        <w:t>of</w:t>
      </w:r>
      <w:r>
        <w:rPr>
          <w:spacing w:val="-4"/>
          <w:sz w:val="24"/>
        </w:rPr>
        <w:t> </w:t>
      </w:r>
      <w:r>
        <w:rPr>
          <w:sz w:val="24"/>
        </w:rPr>
        <w:t>Reasons</w:t>
      </w:r>
      <w:r>
        <w:rPr>
          <w:spacing w:val="-4"/>
          <w:sz w:val="24"/>
        </w:rPr>
        <w:t> </w:t>
      </w:r>
      <w:r>
        <w:rPr>
          <w:sz w:val="24"/>
        </w:rPr>
        <w:t>(CHR)</w:t>
      </w:r>
      <w:r>
        <w:rPr>
          <w:spacing w:val="-4"/>
          <w:sz w:val="24"/>
        </w:rPr>
        <w:t> </w:t>
      </w:r>
      <w:r>
        <w:rPr>
          <w:sz w:val="24"/>
        </w:rPr>
        <w:t>–</w:t>
      </w:r>
      <w:r>
        <w:rPr>
          <w:spacing w:val="-4"/>
          <w:sz w:val="24"/>
        </w:rPr>
        <w:t> </w:t>
      </w:r>
      <w:r>
        <w:rPr>
          <w:sz w:val="24"/>
        </w:rPr>
        <w:t>dispositional</w:t>
      </w:r>
      <w:r>
        <w:rPr>
          <w:spacing w:val="-4"/>
          <w:sz w:val="24"/>
        </w:rPr>
        <w:t> </w:t>
      </w:r>
      <w:r>
        <w:rPr>
          <w:sz w:val="24"/>
        </w:rPr>
        <w:t>or</w:t>
      </w:r>
      <w:r>
        <w:rPr>
          <w:spacing w:val="-4"/>
          <w:sz w:val="24"/>
        </w:rPr>
        <w:t> </w:t>
      </w:r>
      <w:r>
        <w:rPr>
          <w:sz w:val="24"/>
        </w:rPr>
        <w:t>situational</w:t>
      </w:r>
      <w:r>
        <w:rPr>
          <w:spacing w:val="-4"/>
          <w:sz w:val="24"/>
        </w:rPr>
        <w:t> </w:t>
      </w:r>
      <w:r>
        <w:rPr>
          <w:sz w:val="24"/>
        </w:rPr>
        <w:t>factors</w:t>
      </w:r>
      <w:r>
        <w:rPr>
          <w:spacing w:val="-4"/>
          <w:sz w:val="24"/>
        </w:rPr>
        <w:t> </w:t>
      </w:r>
      <w:r>
        <w:rPr>
          <w:sz w:val="24"/>
        </w:rPr>
        <w:t>explaining</w:t>
      </w:r>
      <w:r>
        <w:rPr>
          <w:spacing w:val="-4"/>
          <w:sz w:val="24"/>
        </w:rPr>
        <w:t> </w:t>
      </w:r>
      <w:r>
        <w:rPr>
          <w:sz w:val="24"/>
        </w:rPr>
        <w:t>why the supervisor had those motives</w:t>
      </w:r>
    </w:p>
    <w:p>
      <w:pPr>
        <w:pStyle w:val="ListParagraph"/>
        <w:numPr>
          <w:ilvl w:val="0"/>
          <w:numId w:val="33"/>
        </w:numPr>
        <w:tabs>
          <w:tab w:pos="1306" w:val="left" w:leader="none"/>
        </w:tabs>
        <w:spacing w:line="240" w:lineRule="auto" w:before="15" w:after="0"/>
        <w:ind w:left="1306" w:right="0" w:hanging="204"/>
        <w:jc w:val="left"/>
        <w:rPr>
          <w:sz w:val="24"/>
        </w:rPr>
      </w:pPr>
      <w:r>
        <w:rPr>
          <w:sz w:val="24"/>
        </w:rPr>
        <w:t>Enabling Factors – conditions that allowed the behavior to </w:t>
      </w:r>
      <w:r>
        <w:rPr>
          <w:spacing w:val="-2"/>
          <w:sz w:val="24"/>
        </w:rPr>
        <w:t>occur</w:t>
      </w:r>
    </w:p>
    <w:p>
      <w:pPr>
        <w:pStyle w:val="ListParagraph"/>
        <w:numPr>
          <w:ilvl w:val="0"/>
          <w:numId w:val="33"/>
        </w:numPr>
        <w:tabs>
          <w:tab w:pos="1306" w:val="left" w:leader="none"/>
        </w:tabs>
        <w:spacing w:line="256" w:lineRule="auto" w:before="37" w:after="0"/>
        <w:ind w:left="352" w:right="2632" w:firstLine="750"/>
        <w:jc w:val="left"/>
        <w:rPr>
          <w:sz w:val="24"/>
        </w:rPr>
      </w:pPr>
      <w:r>
        <w:rPr>
          <w:sz w:val="24"/>
        </w:rPr>
        <w:t>Markers</w:t>
      </w:r>
      <w:r>
        <w:rPr>
          <w:spacing w:val="-5"/>
          <w:sz w:val="24"/>
        </w:rPr>
        <w:t> </w:t>
      </w:r>
      <w:r>
        <w:rPr>
          <w:sz w:val="24"/>
        </w:rPr>
        <w:t>–</w:t>
      </w:r>
      <w:r>
        <w:rPr>
          <w:spacing w:val="-5"/>
          <w:sz w:val="24"/>
        </w:rPr>
        <w:t> </w:t>
      </w:r>
      <w:r>
        <w:rPr>
          <w:sz w:val="24"/>
        </w:rPr>
        <w:t>linguistic</w:t>
      </w:r>
      <w:r>
        <w:rPr>
          <w:spacing w:val="-5"/>
          <w:sz w:val="24"/>
        </w:rPr>
        <w:t> </w:t>
      </w:r>
      <w:r>
        <w:rPr>
          <w:sz w:val="24"/>
        </w:rPr>
        <w:t>cues</w:t>
      </w:r>
      <w:r>
        <w:rPr>
          <w:spacing w:val="-5"/>
          <w:sz w:val="24"/>
        </w:rPr>
        <w:t> </w:t>
      </w:r>
      <w:r>
        <w:rPr>
          <w:sz w:val="24"/>
        </w:rPr>
        <w:t>showing</w:t>
      </w:r>
      <w:r>
        <w:rPr>
          <w:spacing w:val="-5"/>
          <w:sz w:val="24"/>
        </w:rPr>
        <w:t> </w:t>
      </w:r>
      <w:r>
        <w:rPr>
          <w:sz w:val="24"/>
        </w:rPr>
        <w:t>justification,</w:t>
      </w:r>
      <w:r>
        <w:rPr>
          <w:spacing w:val="-5"/>
          <w:sz w:val="24"/>
        </w:rPr>
        <w:t> </w:t>
      </w:r>
      <w:r>
        <w:rPr>
          <w:sz w:val="24"/>
        </w:rPr>
        <w:t>agreement,</w:t>
      </w:r>
      <w:r>
        <w:rPr>
          <w:spacing w:val="-5"/>
          <w:sz w:val="24"/>
        </w:rPr>
        <w:t> </w:t>
      </w:r>
      <w:r>
        <w:rPr>
          <w:sz w:val="24"/>
        </w:rPr>
        <w:t>or</w:t>
      </w:r>
      <w:r>
        <w:rPr>
          <w:spacing w:val="-5"/>
          <w:sz w:val="24"/>
        </w:rPr>
        <w:t> </w:t>
      </w:r>
      <w:r>
        <w:rPr>
          <w:sz w:val="24"/>
        </w:rPr>
        <w:t>social</w:t>
      </w:r>
      <w:r>
        <w:rPr>
          <w:spacing w:val="-5"/>
          <w:sz w:val="24"/>
        </w:rPr>
        <w:t> </w:t>
      </w:r>
      <w:r>
        <w:rPr>
          <w:sz w:val="24"/>
        </w:rPr>
        <w:t>alignment Each explanation was coded by two independent coders, with a third coder available for reconciliation when needed.</w:t>
      </w:r>
    </w:p>
    <w:p>
      <w:pPr>
        <w:pStyle w:val="BodyText"/>
        <w:spacing w:before="35"/>
      </w:pPr>
    </w:p>
    <w:p>
      <w:pPr>
        <w:spacing w:before="0"/>
        <w:ind w:left="352" w:right="0" w:firstLine="0"/>
        <w:jc w:val="left"/>
        <w:rPr>
          <w:i/>
          <w:sz w:val="24"/>
        </w:rPr>
      </w:pPr>
      <w:r>
        <w:rPr>
          <w:i/>
          <w:sz w:val="24"/>
        </w:rPr>
        <w:t>Subsample B Survey </w:t>
      </w:r>
      <w:r>
        <w:rPr>
          <w:i/>
          <w:spacing w:val="-2"/>
          <w:sz w:val="24"/>
        </w:rPr>
        <w:t>Methods</w:t>
      </w:r>
    </w:p>
    <w:p>
      <w:pPr>
        <w:pStyle w:val="BodyText"/>
        <w:spacing w:before="37"/>
        <w:ind w:left="352" w:right="1936"/>
      </w:pPr>
      <w:r>
        <w:rPr/>
        <w:t>Respondents who neither experienced nor observed supervisor incivility in the past six months participated</w:t>
      </w:r>
      <w:r>
        <w:rPr>
          <w:spacing w:val="-2"/>
        </w:rPr>
        <w:t> </w:t>
      </w:r>
      <w:r>
        <w:rPr/>
        <w:t>in</w:t>
      </w:r>
      <w:r>
        <w:rPr>
          <w:spacing w:val="-1"/>
        </w:rPr>
        <w:t> </w:t>
      </w:r>
      <w:r>
        <w:rPr/>
        <w:t>a</w:t>
      </w:r>
      <w:r>
        <w:rPr>
          <w:spacing w:val="-1"/>
        </w:rPr>
        <w:t> </w:t>
      </w:r>
      <w:r>
        <w:rPr/>
        <w:t>general</w:t>
      </w:r>
      <w:r>
        <w:rPr>
          <w:spacing w:val="-1"/>
        </w:rPr>
        <w:t> </w:t>
      </w:r>
      <w:r>
        <w:rPr/>
        <w:t>survey</w:t>
      </w:r>
      <w:r>
        <w:rPr>
          <w:spacing w:val="-2"/>
        </w:rPr>
        <w:t> </w:t>
      </w:r>
      <w:r>
        <w:rPr/>
        <w:t>study.</w:t>
      </w:r>
      <w:r>
        <w:rPr>
          <w:spacing w:val="-1"/>
        </w:rPr>
        <w:t> </w:t>
      </w:r>
      <w:r>
        <w:rPr/>
        <w:t>These</w:t>
      </w:r>
      <w:r>
        <w:rPr>
          <w:spacing w:val="-1"/>
        </w:rPr>
        <w:t> </w:t>
      </w:r>
      <w:r>
        <w:rPr/>
        <w:t>respondents</w:t>
      </w:r>
      <w:r>
        <w:rPr>
          <w:spacing w:val="-1"/>
        </w:rPr>
        <w:t> </w:t>
      </w:r>
      <w:r>
        <w:rPr/>
        <w:t>were</w:t>
      </w:r>
      <w:r>
        <w:rPr>
          <w:spacing w:val="-2"/>
        </w:rPr>
        <w:t> </w:t>
      </w:r>
      <w:r>
        <w:rPr/>
        <w:t>randomly</w:t>
      </w:r>
      <w:r>
        <w:rPr>
          <w:spacing w:val="-1"/>
        </w:rPr>
        <w:t> </w:t>
      </w:r>
      <w:r>
        <w:rPr/>
        <w:t>and</w:t>
      </w:r>
      <w:r>
        <w:rPr>
          <w:spacing w:val="-1"/>
        </w:rPr>
        <w:t> </w:t>
      </w:r>
      <w:r>
        <w:rPr/>
        <w:t>evenly</w:t>
      </w:r>
      <w:r>
        <w:rPr>
          <w:spacing w:val="-1"/>
        </w:rPr>
        <w:t> </w:t>
      </w:r>
      <w:r>
        <w:rPr/>
        <w:t>assigned</w:t>
      </w:r>
      <w:r>
        <w:rPr>
          <w:spacing w:val="-1"/>
        </w:rPr>
        <w:t> </w:t>
      </w:r>
      <w:r>
        <w:rPr>
          <w:spacing w:val="-5"/>
        </w:rPr>
        <w:t>to</w:t>
      </w:r>
    </w:p>
    <w:p>
      <w:pPr>
        <w:pStyle w:val="BodyText"/>
        <w:ind w:left="352" w:right="1191"/>
      </w:pPr>
      <w:r>
        <w:rPr/>
        <w:t>one</w:t>
      </w:r>
      <w:r>
        <w:rPr>
          <w:spacing w:val="-3"/>
        </w:rPr>
        <w:t> </w:t>
      </w:r>
      <w:r>
        <w:rPr/>
        <w:t>of</w:t>
      </w:r>
      <w:r>
        <w:rPr>
          <w:spacing w:val="-3"/>
        </w:rPr>
        <w:t> </w:t>
      </w:r>
      <w:r>
        <w:rPr/>
        <w:t>two</w:t>
      </w:r>
      <w:r>
        <w:rPr>
          <w:spacing w:val="-3"/>
        </w:rPr>
        <w:t> </w:t>
      </w:r>
      <w:r>
        <w:rPr/>
        <w:t>general</w:t>
      </w:r>
      <w:r>
        <w:rPr>
          <w:spacing w:val="-3"/>
        </w:rPr>
        <w:t> </w:t>
      </w:r>
      <w:r>
        <w:rPr/>
        <w:t>perception</w:t>
      </w:r>
      <w:r>
        <w:rPr>
          <w:spacing w:val="-3"/>
        </w:rPr>
        <w:t> </w:t>
      </w:r>
      <w:r>
        <w:rPr/>
        <w:t>survey</w:t>
      </w:r>
      <w:r>
        <w:rPr>
          <w:spacing w:val="-3"/>
        </w:rPr>
        <w:t> </w:t>
      </w:r>
      <w:r>
        <w:rPr/>
        <w:t>conditions</w:t>
      </w:r>
      <w:r>
        <w:rPr>
          <w:spacing w:val="-3"/>
        </w:rPr>
        <w:t> </w:t>
      </w:r>
      <w:r>
        <w:rPr/>
        <w:t>in</w:t>
      </w:r>
      <w:r>
        <w:rPr>
          <w:spacing w:val="-3"/>
        </w:rPr>
        <w:t> </w:t>
      </w:r>
      <w:r>
        <w:rPr/>
        <w:t>which</w:t>
      </w:r>
      <w:r>
        <w:rPr>
          <w:spacing w:val="-3"/>
        </w:rPr>
        <w:t> </w:t>
      </w:r>
      <w:r>
        <w:rPr/>
        <w:t>supervisory</w:t>
      </w:r>
      <w:r>
        <w:rPr>
          <w:spacing w:val="-3"/>
        </w:rPr>
        <w:t> </w:t>
      </w:r>
      <w:r>
        <w:rPr/>
        <w:t>behavior</w:t>
      </w:r>
      <w:r>
        <w:rPr>
          <w:spacing w:val="-3"/>
        </w:rPr>
        <w:t> </w:t>
      </w:r>
      <w:r>
        <w:rPr/>
        <w:t>was</w:t>
      </w:r>
      <w:r>
        <w:rPr>
          <w:spacing w:val="-3"/>
        </w:rPr>
        <w:t> </w:t>
      </w:r>
      <w:r>
        <w:rPr/>
        <w:t>described</w:t>
      </w:r>
      <w:r>
        <w:rPr>
          <w:spacing w:val="40"/>
        </w:rPr>
        <w:t> </w:t>
      </w:r>
      <w:r>
        <w:rPr/>
        <w:t>using either leader or manager terminology. Respondents provided the same demographic</w:t>
      </w:r>
      <w:r>
        <w:rPr>
          <w:spacing w:val="40"/>
        </w:rPr>
        <w:t> </w:t>
      </w:r>
      <w:r>
        <w:rPr/>
        <w:t>information as Subsample A.</w:t>
      </w:r>
    </w:p>
    <w:p>
      <w:pPr>
        <w:pStyle w:val="BodyText"/>
        <w:spacing w:before="55"/>
      </w:pPr>
    </w:p>
    <w:p>
      <w:pPr>
        <w:pStyle w:val="BodyText"/>
        <w:ind w:left="352" w:right="1381"/>
      </w:pPr>
      <w:r>
        <w:rPr/>
        <w:t>The</w:t>
      </w:r>
      <w:r>
        <w:rPr>
          <w:spacing w:val="-5"/>
        </w:rPr>
        <w:t> </w:t>
      </w:r>
      <w:r>
        <w:rPr/>
        <w:t>general</w:t>
      </w:r>
      <w:r>
        <w:rPr>
          <w:spacing w:val="-5"/>
        </w:rPr>
        <w:t> </w:t>
      </w:r>
      <w:r>
        <w:rPr/>
        <w:t>survey</w:t>
      </w:r>
      <w:r>
        <w:rPr>
          <w:spacing w:val="-5"/>
        </w:rPr>
        <w:t> </w:t>
      </w:r>
      <w:r>
        <w:rPr/>
        <w:t>assessed</w:t>
      </w:r>
      <w:r>
        <w:rPr>
          <w:spacing w:val="-5"/>
        </w:rPr>
        <w:t> </w:t>
      </w:r>
      <w:r>
        <w:rPr/>
        <w:t>respondents’</w:t>
      </w:r>
      <w:r>
        <w:rPr>
          <w:spacing w:val="-5"/>
        </w:rPr>
        <w:t> </w:t>
      </w:r>
      <w:r>
        <w:rPr/>
        <w:t>perceptions</w:t>
      </w:r>
      <w:r>
        <w:rPr>
          <w:spacing w:val="-5"/>
        </w:rPr>
        <w:t> </w:t>
      </w:r>
      <w:r>
        <w:rPr/>
        <w:t>of</w:t>
      </w:r>
      <w:r>
        <w:rPr>
          <w:spacing w:val="-5"/>
        </w:rPr>
        <w:t> </w:t>
      </w:r>
      <w:r>
        <w:rPr/>
        <w:t>the</w:t>
      </w:r>
      <w:r>
        <w:rPr>
          <w:spacing w:val="-5"/>
        </w:rPr>
        <w:t> </w:t>
      </w:r>
      <w:r>
        <w:rPr/>
        <w:t>acceptability,</w:t>
      </w:r>
      <w:r>
        <w:rPr>
          <w:spacing w:val="-5"/>
        </w:rPr>
        <w:t> </w:t>
      </w:r>
      <w:r>
        <w:rPr/>
        <w:t>allowance,</w:t>
      </w:r>
      <w:r>
        <w:rPr>
          <w:spacing w:val="-5"/>
        </w:rPr>
        <w:t> </w:t>
      </w:r>
      <w:r>
        <w:rPr/>
        <w:t>and</w:t>
      </w:r>
      <w:r>
        <w:rPr>
          <w:spacing w:val="40"/>
        </w:rPr>
        <w:t> </w:t>
      </w:r>
      <w:r>
        <w:rPr/>
        <w:t>perceived prevalence of supervisor incivility. Acceptability was measured by asking respondents</w:t>
      </w:r>
      <w:r>
        <w:rPr>
          <w:spacing w:val="40"/>
        </w:rPr>
        <w:t> </w:t>
      </w:r>
      <w:r>
        <w:rPr/>
        <w:t>to rate the extent to which it was acceptable for leaders or managers to engage in the seven</w:t>
      </w:r>
      <w:r>
        <w:rPr>
          <w:spacing w:val="40"/>
        </w:rPr>
        <w:t> </w:t>
      </w:r>
      <w:r>
        <w:rPr/>
        <w:t>uncivil behaviors from Cortina et al.’s (2001) incivility measure. General allowance was assessed using three items: perceived acceptability, potential misconstrual, and necessity of</w:t>
      </w:r>
      <w:r>
        <w:rPr>
          <w:spacing w:val="40"/>
        </w:rPr>
        <w:t> </w:t>
      </w:r>
      <w:r>
        <w:rPr/>
        <w:t>supervisor incivility. One item assessed perceptions of the prevalence of supervisor incivility in</w:t>
      </w:r>
      <w:r>
        <w:rPr>
          <w:spacing w:val="40"/>
        </w:rPr>
        <w:t> </w:t>
      </w:r>
      <w:r>
        <w:rPr/>
        <w:t>the United States.</w:t>
      </w:r>
    </w:p>
    <w:p>
      <w:pPr>
        <w:pStyle w:val="BodyText"/>
        <w:spacing w:before="15"/>
      </w:pPr>
    </w:p>
    <w:p>
      <w:pPr>
        <w:pStyle w:val="Heading4"/>
        <w:spacing w:before="1"/>
        <w:ind w:left="352"/>
      </w:pPr>
      <w:r>
        <w:rPr/>
        <w:t>Subsample A Results and </w:t>
      </w:r>
      <w:r>
        <w:rPr>
          <w:spacing w:val="-2"/>
        </w:rPr>
        <w:t>Implications</w:t>
      </w:r>
    </w:p>
    <w:p>
      <w:pPr>
        <w:pStyle w:val="BodyText"/>
        <w:spacing w:before="276"/>
        <w:ind w:left="352" w:right="1381"/>
      </w:pPr>
      <w:r>
        <w:rPr/>
        <w:t>Analyses proceeded in three stages, aligned with the research questions. All analyses used</w:t>
      </w:r>
      <w:r>
        <w:rPr>
          <w:spacing w:val="40"/>
        </w:rPr>
        <w:t> </w:t>
      </w:r>
      <w:r>
        <w:rPr/>
        <w:t>binomial logistic regression, consistent with prior FTOM work. Research Question 1 examined</w:t>
      </w:r>
      <w:r>
        <w:rPr>
          <w:spacing w:val="40"/>
        </w:rPr>
        <w:t> </w:t>
      </w:r>
      <w:r>
        <w:rPr/>
        <w:t>whether supervisor titling (leader vs. manager) influenced the structure of explanations or</w:t>
      </w:r>
      <w:r>
        <w:rPr>
          <w:spacing w:val="40"/>
        </w:rPr>
        <w:t> </w:t>
      </w:r>
      <w:r>
        <w:rPr/>
        <w:t>perceptions of intentionality</w:t>
      </w:r>
      <w:r>
        <w:rPr>
          <w:spacing w:val="-5"/>
        </w:rPr>
        <w:t> </w:t>
      </w:r>
      <w:r>
        <w:rPr/>
        <w:t>when</w:t>
      </w:r>
      <w:r>
        <w:rPr>
          <w:spacing w:val="-5"/>
        </w:rPr>
        <w:t> </w:t>
      </w:r>
      <w:r>
        <w:rPr/>
        <w:t>employees</w:t>
      </w:r>
      <w:r>
        <w:rPr>
          <w:spacing w:val="-5"/>
        </w:rPr>
        <w:t> </w:t>
      </w:r>
      <w:r>
        <w:rPr/>
        <w:t>described</w:t>
      </w:r>
      <w:r>
        <w:rPr>
          <w:spacing w:val="-5"/>
        </w:rPr>
        <w:t> </w:t>
      </w:r>
      <w:r>
        <w:rPr/>
        <w:t>experiences</w:t>
      </w:r>
      <w:r>
        <w:rPr>
          <w:spacing w:val="-5"/>
        </w:rPr>
        <w:t> </w:t>
      </w:r>
      <w:r>
        <w:rPr/>
        <w:t>of</w:t>
      </w:r>
      <w:r>
        <w:rPr>
          <w:spacing w:val="-5"/>
        </w:rPr>
        <w:t> </w:t>
      </w:r>
      <w:r>
        <w:rPr/>
        <w:t>supervisor</w:t>
      </w:r>
      <w:r>
        <w:rPr>
          <w:spacing w:val="-5"/>
        </w:rPr>
        <w:t> </w:t>
      </w:r>
      <w:r>
        <w:rPr/>
        <w:t>incivility.</w:t>
      </w:r>
      <w:r>
        <w:rPr>
          <w:spacing w:val="40"/>
        </w:rPr>
        <w:t> </w:t>
      </w:r>
      <w:r>
        <w:rPr/>
        <w:t>Results</w:t>
      </w:r>
      <w:r>
        <w:rPr>
          <w:spacing w:val="-5"/>
        </w:rPr>
        <w:t> </w:t>
      </w:r>
      <w:r>
        <w:rPr/>
        <w:t>from</w:t>
      </w:r>
      <w:r>
        <w:rPr>
          <w:spacing w:val="-5"/>
        </w:rPr>
        <w:t> </w:t>
      </w:r>
      <w:r>
        <w:rPr/>
        <w:t>binomial logistic regression models indicated supervisor titling did not significantly</w:t>
      </w:r>
      <w:r>
        <w:rPr>
          <w:spacing w:val="40"/>
        </w:rPr>
        <w:t> </w:t>
      </w:r>
      <w:r>
        <w:rPr/>
        <w:t>predict any FTOM explanation structure or perceived intentionality. Participants were just as</w:t>
      </w:r>
      <w:r>
        <w:rPr>
          <w:spacing w:val="40"/>
        </w:rPr>
        <w:t> </w:t>
      </w:r>
      <w:r>
        <w:rPr/>
        <w:t>likely to attribute intentionality</w:t>
      </w:r>
      <w:r>
        <w:rPr>
          <w:spacing w:val="-2"/>
        </w:rPr>
        <w:t> </w:t>
      </w:r>
      <w:r>
        <w:rPr/>
        <w:t>and</w:t>
      </w:r>
      <w:r>
        <w:rPr>
          <w:spacing w:val="-2"/>
        </w:rPr>
        <w:t> </w:t>
      </w:r>
      <w:r>
        <w:rPr/>
        <w:t>to</w:t>
      </w:r>
      <w:r>
        <w:rPr>
          <w:spacing w:val="-2"/>
        </w:rPr>
        <w:t> </w:t>
      </w:r>
      <w:r>
        <w:rPr/>
        <w:t>use</w:t>
      </w:r>
      <w:r>
        <w:rPr>
          <w:spacing w:val="-2"/>
        </w:rPr>
        <w:t> </w:t>
      </w:r>
      <w:r>
        <w:rPr/>
        <w:t>FTOM</w:t>
      </w:r>
      <w:r>
        <w:rPr>
          <w:spacing w:val="-2"/>
        </w:rPr>
        <w:t> </w:t>
      </w:r>
      <w:r>
        <w:rPr/>
        <w:t>components</w:t>
      </w:r>
      <w:r>
        <w:rPr>
          <w:spacing w:val="-2"/>
        </w:rPr>
        <w:t> </w:t>
      </w:r>
      <w:r>
        <w:rPr/>
        <w:t>regardless</w:t>
      </w:r>
      <w:r>
        <w:rPr>
          <w:spacing w:val="-2"/>
        </w:rPr>
        <w:t> </w:t>
      </w:r>
      <w:r>
        <w:rPr/>
        <w:t>of</w:t>
      </w:r>
      <w:r>
        <w:rPr>
          <w:spacing w:val="-2"/>
        </w:rPr>
        <w:t> </w:t>
      </w:r>
      <w:r>
        <w:rPr/>
        <w:t>whether</w:t>
      </w:r>
      <w:r>
        <w:rPr>
          <w:spacing w:val="-2"/>
        </w:rPr>
        <w:t> </w:t>
      </w:r>
      <w:r>
        <w:rPr/>
        <w:t>the</w:t>
      </w:r>
      <w:r>
        <w:rPr>
          <w:spacing w:val="40"/>
        </w:rPr>
        <w:t> </w:t>
      </w:r>
      <w:r>
        <w:rPr/>
        <w:t>supervisor</w:t>
      </w:r>
      <w:r>
        <w:rPr>
          <w:spacing w:val="-2"/>
        </w:rPr>
        <w:t> </w:t>
      </w:r>
      <w:r>
        <w:rPr/>
        <w:t>was</w:t>
      </w:r>
      <w:r>
        <w:rPr>
          <w:spacing w:val="-2"/>
        </w:rPr>
        <w:t> </w:t>
      </w:r>
      <w:r>
        <w:rPr/>
        <w:t>titled</w:t>
      </w:r>
      <w:r>
        <w:rPr>
          <w:spacing w:val="-2"/>
        </w:rPr>
        <w:t> </w:t>
      </w:r>
      <w:r>
        <w:rPr/>
        <w:t>a</w:t>
      </w:r>
      <w:r>
        <w:rPr>
          <w:spacing w:val="-2"/>
        </w:rPr>
        <w:t> </w:t>
      </w:r>
      <w:r>
        <w:rPr/>
        <w:t>leader or a manager. These findings indicate that titling alone did not</w:t>
      </w:r>
      <w:r>
        <w:rPr>
          <w:spacing w:val="40"/>
        </w:rPr>
        <w:t> </w:t>
      </w:r>
      <w:r>
        <w:rPr/>
        <w:t>shape how participants explained or interpreted supervisor incivility. Full results are presented in</w:t>
      </w:r>
      <w:r>
        <w:rPr>
          <w:spacing w:val="40"/>
        </w:rPr>
        <w:t> </w:t>
      </w:r>
      <w:r>
        <w:rPr/>
        <w:t>Table 1.</w:t>
      </w:r>
    </w:p>
    <w:p>
      <w:pPr>
        <w:pStyle w:val="BodyText"/>
        <w:spacing w:after="0"/>
        <w:sectPr>
          <w:pgSz w:w="12240" w:h="15840"/>
          <w:pgMar w:header="0" w:footer="707" w:top="640" w:bottom="960" w:left="720" w:right="0"/>
        </w:sectPr>
      </w:pPr>
    </w:p>
    <w:p>
      <w:pPr>
        <w:spacing w:line="240" w:lineRule="auto"/>
        <w:ind w:left="764" w:right="0" w:firstLine="0"/>
        <w:rPr>
          <w:sz w:val="20"/>
        </w:rPr>
      </w:pPr>
      <w:r>
        <w:rPr>
          <w:sz w:val="20"/>
        </w:rPr>
        <w:drawing>
          <wp:inline distT="0" distB="0" distL="0" distR="0">
            <wp:extent cx="3773316" cy="1570481"/>
            <wp:effectExtent l="0" t="0" r="0" b="0"/>
            <wp:docPr id="66" name="Image 66"/>
            <wp:cNvGraphicFramePr>
              <a:graphicFrameLocks/>
            </wp:cNvGraphicFramePr>
            <a:graphic>
              <a:graphicData uri="http://schemas.openxmlformats.org/drawingml/2006/picture">
                <pic:pic>
                  <pic:nvPicPr>
                    <pic:cNvPr id="66" name="Image 66"/>
                    <pic:cNvPicPr/>
                  </pic:nvPicPr>
                  <pic:blipFill>
                    <a:blip r:embed="rId249" cstate="print"/>
                    <a:stretch>
                      <a:fillRect/>
                    </a:stretch>
                  </pic:blipFill>
                  <pic:spPr>
                    <a:xfrm>
                      <a:off x="0" y="0"/>
                      <a:ext cx="3773316" cy="1570481"/>
                    </a:xfrm>
                    <a:prstGeom prst="rect">
                      <a:avLst/>
                    </a:prstGeom>
                  </pic:spPr>
                </pic:pic>
              </a:graphicData>
            </a:graphic>
          </wp:inline>
        </w:drawing>
      </w:r>
      <w:r>
        <w:rPr>
          <w:sz w:val="20"/>
        </w:rPr>
      </w:r>
    </w:p>
    <w:p>
      <w:pPr>
        <w:pStyle w:val="Heading4"/>
        <w:spacing w:before="102"/>
        <w:ind w:left="712"/>
      </w:pPr>
      <w:r>
        <w:rPr/>
        <w:t>Table</w:t>
      </w:r>
      <w:r>
        <w:rPr>
          <w:spacing w:val="-6"/>
        </w:rPr>
        <w:t> </w:t>
      </w:r>
      <w:r>
        <w:rPr/>
        <w:t>1.</w:t>
      </w:r>
      <w:r>
        <w:rPr>
          <w:spacing w:val="-3"/>
        </w:rPr>
        <w:t> </w:t>
      </w:r>
      <w:r>
        <w:rPr/>
        <w:t>Comparing</w:t>
      </w:r>
      <w:r>
        <w:rPr>
          <w:spacing w:val="-3"/>
        </w:rPr>
        <w:t> </w:t>
      </w:r>
      <w:r>
        <w:rPr/>
        <w:t>Explanation</w:t>
      </w:r>
      <w:r>
        <w:rPr>
          <w:spacing w:val="-3"/>
        </w:rPr>
        <w:t> </w:t>
      </w:r>
      <w:r>
        <w:rPr/>
        <w:t>Structures</w:t>
      </w:r>
      <w:r>
        <w:rPr>
          <w:spacing w:val="-3"/>
        </w:rPr>
        <w:t> </w:t>
      </w:r>
      <w:r>
        <w:rPr/>
        <w:t>Between</w:t>
      </w:r>
      <w:r>
        <w:rPr>
          <w:spacing w:val="-3"/>
        </w:rPr>
        <w:t> </w:t>
      </w:r>
      <w:r>
        <w:rPr/>
        <w:t>“Leader”</w:t>
      </w:r>
      <w:r>
        <w:rPr>
          <w:spacing w:val="-3"/>
        </w:rPr>
        <w:t> </w:t>
      </w:r>
      <w:r>
        <w:rPr/>
        <w:t>and</w:t>
      </w:r>
      <w:r>
        <w:rPr>
          <w:spacing w:val="-3"/>
        </w:rPr>
        <w:t> </w:t>
      </w:r>
      <w:r>
        <w:rPr/>
        <w:t>“Manager”</w:t>
      </w:r>
      <w:r>
        <w:rPr>
          <w:spacing w:val="-3"/>
        </w:rPr>
        <w:t> </w:t>
      </w:r>
      <w:r>
        <w:rPr>
          <w:spacing w:val="-2"/>
        </w:rPr>
        <w:t>Conditions</w:t>
      </w:r>
    </w:p>
    <w:p>
      <w:pPr>
        <w:pStyle w:val="BodyText"/>
        <w:spacing w:before="92"/>
        <w:rPr>
          <w:b/>
        </w:rPr>
      </w:pPr>
    </w:p>
    <w:p>
      <w:pPr>
        <w:pStyle w:val="BodyText"/>
        <w:spacing w:line="264" w:lineRule="auto"/>
        <w:ind w:left="352" w:right="1191"/>
      </w:pPr>
      <w:r>
        <w:rPr/>
        <w:t>Research Question 2 asked whether FTOM explanation structures were associated with direct perceptions</w:t>
      </w:r>
      <w:r>
        <w:rPr>
          <w:spacing w:val="-5"/>
        </w:rPr>
        <w:t> </w:t>
      </w:r>
      <w:r>
        <w:rPr/>
        <w:t>of</w:t>
      </w:r>
      <w:r>
        <w:rPr>
          <w:spacing w:val="-5"/>
        </w:rPr>
        <w:t> </w:t>
      </w:r>
      <w:r>
        <w:rPr/>
        <w:t>supervisor</w:t>
      </w:r>
      <w:r>
        <w:rPr>
          <w:spacing w:val="-5"/>
        </w:rPr>
        <w:t> </w:t>
      </w:r>
      <w:r>
        <w:rPr/>
        <w:t>intentionality.</w:t>
      </w:r>
      <w:r>
        <w:rPr>
          <w:spacing w:val="-5"/>
        </w:rPr>
        <w:t> </w:t>
      </w:r>
      <w:r>
        <w:rPr/>
        <w:t>Perceived</w:t>
      </w:r>
      <w:r>
        <w:rPr>
          <w:spacing w:val="-5"/>
        </w:rPr>
        <w:t> </w:t>
      </w:r>
      <w:r>
        <w:rPr/>
        <w:t>intentionality</w:t>
      </w:r>
      <w:r>
        <w:rPr>
          <w:spacing w:val="-5"/>
        </w:rPr>
        <w:t> </w:t>
      </w:r>
      <w:r>
        <w:rPr/>
        <w:t>was</w:t>
      </w:r>
      <w:r>
        <w:rPr>
          <w:spacing w:val="-5"/>
        </w:rPr>
        <w:t> </w:t>
      </w:r>
      <w:r>
        <w:rPr/>
        <w:t>regressed</w:t>
      </w:r>
      <w:r>
        <w:rPr>
          <w:spacing w:val="-5"/>
        </w:rPr>
        <w:t> </w:t>
      </w:r>
      <w:r>
        <w:rPr/>
        <w:t>onto</w:t>
      </w:r>
      <w:r>
        <w:rPr>
          <w:spacing w:val="-5"/>
        </w:rPr>
        <w:t> </w:t>
      </w:r>
      <w:r>
        <w:rPr/>
        <w:t>the</w:t>
      </w:r>
      <w:r>
        <w:rPr>
          <w:spacing w:val="-5"/>
        </w:rPr>
        <w:t> </w:t>
      </w:r>
      <w:r>
        <w:rPr/>
        <w:t>four</w:t>
      </w:r>
      <w:r>
        <w:rPr>
          <w:spacing w:val="40"/>
        </w:rPr>
        <w:t> </w:t>
      </w:r>
      <w:r>
        <w:rPr/>
        <w:t>FTOM components using binomial logistic regression. This analysis tested whether specific</w:t>
      </w:r>
      <w:r>
        <w:rPr>
          <w:spacing w:val="40"/>
        </w:rPr>
        <w:t> </w:t>
      </w:r>
      <w:r>
        <w:rPr/>
        <w:t>explanatory features corresponded with judgments that supervisor incivility was intentional. Of</w:t>
      </w:r>
      <w:r>
        <w:rPr>
          <w:spacing w:val="40"/>
        </w:rPr>
        <w:t> </w:t>
      </w:r>
      <w:r>
        <w:rPr/>
        <w:t>the four FTOM components, marker use emerged as the only significant predictor of perceived</w:t>
      </w:r>
      <w:r>
        <w:rPr>
          <w:spacing w:val="40"/>
        </w:rPr>
        <w:t> </w:t>
      </w:r>
      <w:r>
        <w:rPr/>
        <w:t>intentionality (p &lt;</w:t>
      </w:r>
    </w:p>
    <w:p>
      <w:pPr>
        <w:pStyle w:val="BodyText"/>
        <w:spacing w:line="264" w:lineRule="auto" w:before="3"/>
        <w:ind w:left="352" w:right="1191"/>
      </w:pPr>
      <w:r>
        <w:rPr/>
        <w:t>.05).</w:t>
      </w:r>
      <w:r>
        <w:rPr>
          <w:spacing w:val="-3"/>
        </w:rPr>
        <w:t> </w:t>
      </w:r>
      <w:r>
        <w:rPr/>
        <w:t>The</w:t>
      </w:r>
      <w:r>
        <w:rPr>
          <w:spacing w:val="-3"/>
        </w:rPr>
        <w:t> </w:t>
      </w:r>
      <w:r>
        <w:rPr/>
        <w:t>presence</w:t>
      </w:r>
      <w:r>
        <w:rPr>
          <w:spacing w:val="-3"/>
        </w:rPr>
        <w:t> </w:t>
      </w:r>
      <w:r>
        <w:rPr/>
        <w:t>of</w:t>
      </w:r>
      <w:r>
        <w:rPr>
          <w:spacing w:val="-3"/>
        </w:rPr>
        <w:t> </w:t>
      </w:r>
      <w:r>
        <w:rPr/>
        <w:t>a</w:t>
      </w:r>
      <w:r>
        <w:rPr>
          <w:spacing w:val="-3"/>
        </w:rPr>
        <w:t> </w:t>
      </w:r>
      <w:r>
        <w:rPr/>
        <w:t>marker</w:t>
      </w:r>
      <w:r>
        <w:rPr>
          <w:spacing w:val="-3"/>
        </w:rPr>
        <w:t> </w:t>
      </w:r>
      <w:r>
        <w:rPr/>
        <w:t>was</w:t>
      </w:r>
      <w:r>
        <w:rPr>
          <w:spacing w:val="-3"/>
        </w:rPr>
        <w:t> </w:t>
      </w:r>
      <w:r>
        <w:rPr/>
        <w:t>associated</w:t>
      </w:r>
      <w:r>
        <w:rPr>
          <w:spacing w:val="-3"/>
        </w:rPr>
        <w:t> </w:t>
      </w:r>
      <w:r>
        <w:rPr/>
        <w:t>with</w:t>
      </w:r>
      <w:r>
        <w:rPr>
          <w:spacing w:val="-3"/>
        </w:rPr>
        <w:t> </w:t>
      </w:r>
      <w:r>
        <w:rPr/>
        <w:t>a</w:t>
      </w:r>
      <w:r>
        <w:rPr>
          <w:spacing w:val="-3"/>
        </w:rPr>
        <w:t> </w:t>
      </w:r>
      <w:r>
        <w:rPr/>
        <w:t>lower</w:t>
      </w:r>
      <w:r>
        <w:rPr>
          <w:spacing w:val="-3"/>
        </w:rPr>
        <w:t> </w:t>
      </w:r>
      <w:r>
        <w:rPr/>
        <w:t>likelihood</w:t>
      </w:r>
      <w:r>
        <w:rPr>
          <w:spacing w:val="-3"/>
        </w:rPr>
        <w:t> </w:t>
      </w:r>
      <w:r>
        <w:rPr/>
        <w:t>of</w:t>
      </w:r>
      <w:r>
        <w:rPr>
          <w:spacing w:val="40"/>
        </w:rPr>
        <w:t> </w:t>
      </w:r>
      <w:r>
        <w:rPr/>
        <w:t>perceiving</w:t>
      </w:r>
      <w:r>
        <w:rPr>
          <w:spacing w:val="-3"/>
        </w:rPr>
        <w:t> </w:t>
      </w:r>
      <w:r>
        <w:rPr/>
        <w:t>the</w:t>
      </w:r>
      <w:r>
        <w:rPr>
          <w:spacing w:val="-3"/>
        </w:rPr>
        <w:t> </w:t>
      </w:r>
      <w:r>
        <w:rPr/>
        <w:t>incivility</w:t>
      </w:r>
      <w:r>
        <w:rPr>
          <w:spacing w:val="-3"/>
        </w:rPr>
        <w:t> </w:t>
      </w:r>
      <w:r>
        <w:rPr/>
        <w:t>as unintentional, indicating greater attribution of intentional harm. None</w:t>
      </w:r>
      <w:r>
        <w:rPr>
          <w:spacing w:val="40"/>
        </w:rPr>
        <w:t> </w:t>
      </w:r>
      <w:r>
        <w:rPr/>
        <w:t>of the remaining FTOM components</w:t>
      </w:r>
      <w:r>
        <w:rPr>
          <w:spacing w:val="-1"/>
        </w:rPr>
        <w:t> </w:t>
      </w:r>
      <w:r>
        <w:rPr/>
        <w:t>significantly</w:t>
      </w:r>
      <w:r>
        <w:rPr>
          <w:spacing w:val="-1"/>
        </w:rPr>
        <w:t> </w:t>
      </w:r>
      <w:r>
        <w:rPr/>
        <w:t>predicted</w:t>
      </w:r>
      <w:r>
        <w:rPr>
          <w:spacing w:val="-1"/>
        </w:rPr>
        <w:t> </w:t>
      </w:r>
      <w:r>
        <w:rPr/>
        <w:t>perceived</w:t>
      </w:r>
      <w:r>
        <w:rPr>
          <w:spacing w:val="-1"/>
        </w:rPr>
        <w:t> </w:t>
      </w:r>
      <w:r>
        <w:rPr/>
        <w:t>intentionality.</w:t>
      </w:r>
      <w:r>
        <w:rPr>
          <w:spacing w:val="-1"/>
        </w:rPr>
        <w:t> </w:t>
      </w:r>
      <w:r>
        <w:rPr/>
        <w:t>Results</w:t>
      </w:r>
      <w:r>
        <w:rPr>
          <w:spacing w:val="-1"/>
        </w:rPr>
        <w:t> </w:t>
      </w:r>
      <w:r>
        <w:rPr/>
        <w:t>are</w:t>
      </w:r>
      <w:r>
        <w:rPr>
          <w:spacing w:val="40"/>
        </w:rPr>
        <w:t> </w:t>
      </w:r>
      <w:r>
        <w:rPr/>
        <w:t>summarized</w:t>
      </w:r>
      <w:r>
        <w:rPr>
          <w:spacing w:val="-1"/>
        </w:rPr>
        <w:t> </w:t>
      </w:r>
      <w:r>
        <w:rPr/>
        <w:t>in</w:t>
      </w:r>
      <w:r>
        <w:rPr>
          <w:spacing w:val="-1"/>
        </w:rPr>
        <w:t> </w:t>
      </w:r>
      <w:r>
        <w:rPr/>
        <w:t>Table</w:t>
      </w:r>
      <w:r>
        <w:rPr>
          <w:spacing w:val="-1"/>
        </w:rPr>
        <w:t> </w:t>
      </w:r>
      <w:r>
        <w:rPr/>
        <w:t>2</w:t>
      </w:r>
      <w:r>
        <w:rPr>
          <w:spacing w:val="-1"/>
        </w:rPr>
        <w:t> </w:t>
      </w:r>
      <w:r>
        <w:rPr/>
        <w:t>and Figure 1.</w:t>
      </w:r>
    </w:p>
    <w:p>
      <w:pPr>
        <w:pStyle w:val="BodyText"/>
        <w:rPr>
          <w:sz w:val="20"/>
        </w:rPr>
      </w:pPr>
    </w:p>
    <w:p>
      <w:pPr>
        <w:pStyle w:val="BodyText"/>
        <w:rPr>
          <w:sz w:val="20"/>
        </w:rPr>
      </w:pPr>
    </w:p>
    <w:p>
      <w:pPr>
        <w:pStyle w:val="BodyText"/>
        <w:spacing w:before="9"/>
        <w:rPr>
          <w:sz w:val="20"/>
        </w:rPr>
      </w:pPr>
      <w:r>
        <w:rPr>
          <w:sz w:val="20"/>
        </w:rPr>
        <w:drawing>
          <wp:anchor distT="0" distB="0" distL="0" distR="0" allowOverlap="1" layoutInCell="1" locked="0" behindDoc="1" simplePos="0" relativeHeight="487603712">
            <wp:simplePos x="0" y="0"/>
            <wp:positionH relativeFrom="page">
              <wp:posOffset>936219</wp:posOffset>
            </wp:positionH>
            <wp:positionV relativeFrom="paragraph">
              <wp:posOffset>167265</wp:posOffset>
            </wp:positionV>
            <wp:extent cx="3939366" cy="1928907"/>
            <wp:effectExtent l="0" t="0" r="0" b="0"/>
            <wp:wrapTopAndBottom/>
            <wp:docPr id="67" name="Image 67"/>
            <wp:cNvGraphicFramePr>
              <a:graphicFrameLocks/>
            </wp:cNvGraphicFramePr>
            <a:graphic>
              <a:graphicData uri="http://schemas.openxmlformats.org/drawingml/2006/picture">
                <pic:pic>
                  <pic:nvPicPr>
                    <pic:cNvPr id="67" name="Image 67"/>
                    <pic:cNvPicPr/>
                  </pic:nvPicPr>
                  <pic:blipFill>
                    <a:blip r:embed="rId250" cstate="print"/>
                    <a:stretch>
                      <a:fillRect/>
                    </a:stretch>
                  </pic:blipFill>
                  <pic:spPr>
                    <a:xfrm>
                      <a:off x="0" y="0"/>
                      <a:ext cx="3939366" cy="1928907"/>
                    </a:xfrm>
                    <a:prstGeom prst="rect">
                      <a:avLst/>
                    </a:prstGeom>
                  </pic:spPr>
                </pic:pic>
              </a:graphicData>
            </a:graphic>
          </wp:anchor>
        </w:drawing>
      </w:r>
    </w:p>
    <w:p>
      <w:pPr>
        <w:pStyle w:val="BodyText"/>
        <w:spacing w:before="25"/>
      </w:pPr>
    </w:p>
    <w:p>
      <w:pPr>
        <w:pStyle w:val="Heading4"/>
        <w:ind w:left="712"/>
      </w:pPr>
      <w:r>
        <w:rPr/>
        <w:t>Table</w:t>
      </w:r>
      <w:r>
        <w:rPr>
          <w:spacing w:val="-5"/>
        </w:rPr>
        <w:t> </w:t>
      </w:r>
      <w:r>
        <w:rPr/>
        <w:t>2.</w:t>
      </w:r>
      <w:r>
        <w:rPr>
          <w:spacing w:val="-4"/>
        </w:rPr>
        <w:t> </w:t>
      </w:r>
      <w:r>
        <w:rPr/>
        <w:t>Relationship</w:t>
      </w:r>
      <w:r>
        <w:rPr>
          <w:spacing w:val="-4"/>
        </w:rPr>
        <w:t> </w:t>
      </w:r>
      <w:r>
        <w:rPr/>
        <w:t>Between</w:t>
      </w:r>
      <w:r>
        <w:rPr>
          <w:spacing w:val="-4"/>
        </w:rPr>
        <w:t> </w:t>
      </w:r>
      <w:r>
        <w:rPr/>
        <w:t>Explanation</w:t>
      </w:r>
      <w:r>
        <w:rPr>
          <w:spacing w:val="-4"/>
        </w:rPr>
        <w:t> </w:t>
      </w:r>
      <w:r>
        <w:rPr/>
        <w:t>Structure</w:t>
      </w:r>
      <w:r>
        <w:rPr>
          <w:spacing w:val="-4"/>
        </w:rPr>
        <w:t> </w:t>
      </w:r>
      <w:r>
        <w:rPr/>
        <w:t>and</w:t>
      </w:r>
      <w:r>
        <w:rPr>
          <w:spacing w:val="-4"/>
        </w:rPr>
        <w:t> </w:t>
      </w:r>
      <w:r>
        <w:rPr/>
        <w:t>Perceived</w:t>
      </w:r>
      <w:r>
        <w:rPr>
          <w:spacing w:val="-4"/>
        </w:rPr>
        <w:t> </w:t>
      </w:r>
      <w:r>
        <w:rPr>
          <w:spacing w:val="-2"/>
        </w:rPr>
        <w:t>Intentionality</w:t>
      </w:r>
    </w:p>
    <w:p>
      <w:pPr>
        <w:pStyle w:val="BodyText"/>
        <w:spacing w:before="5"/>
        <w:rPr>
          <w:b/>
          <w:sz w:val="3"/>
        </w:rPr>
      </w:pPr>
      <w:r>
        <w:rPr>
          <w:b/>
          <w:sz w:val="3"/>
        </w:rPr>
        <w:drawing>
          <wp:anchor distT="0" distB="0" distL="0" distR="0" allowOverlap="1" layoutInCell="1" locked="0" behindDoc="1" simplePos="0" relativeHeight="487604224">
            <wp:simplePos x="0" y="0"/>
            <wp:positionH relativeFrom="page">
              <wp:posOffset>982885</wp:posOffset>
            </wp:positionH>
            <wp:positionV relativeFrom="paragraph">
              <wp:posOffset>40881</wp:posOffset>
            </wp:positionV>
            <wp:extent cx="2538991" cy="2062638"/>
            <wp:effectExtent l="0" t="0" r="0" b="0"/>
            <wp:wrapTopAndBottom/>
            <wp:docPr id="68" name="Image 68"/>
            <wp:cNvGraphicFramePr>
              <a:graphicFrameLocks/>
            </wp:cNvGraphicFramePr>
            <a:graphic>
              <a:graphicData uri="http://schemas.openxmlformats.org/drawingml/2006/picture">
                <pic:pic>
                  <pic:nvPicPr>
                    <pic:cNvPr id="68" name="Image 68"/>
                    <pic:cNvPicPr/>
                  </pic:nvPicPr>
                  <pic:blipFill>
                    <a:blip r:embed="rId251" cstate="print"/>
                    <a:stretch>
                      <a:fillRect/>
                    </a:stretch>
                  </pic:blipFill>
                  <pic:spPr>
                    <a:xfrm>
                      <a:off x="0" y="0"/>
                      <a:ext cx="2538991" cy="2062638"/>
                    </a:xfrm>
                    <a:prstGeom prst="rect">
                      <a:avLst/>
                    </a:prstGeom>
                  </pic:spPr>
                </pic:pic>
              </a:graphicData>
            </a:graphic>
          </wp:anchor>
        </w:drawing>
      </w:r>
    </w:p>
    <w:p>
      <w:pPr>
        <w:pStyle w:val="Heading4"/>
        <w:spacing w:before="106"/>
        <w:ind w:left="727"/>
      </w:pPr>
      <w:r>
        <w:rPr/>
        <w:t>Figure</w:t>
      </w:r>
      <w:r>
        <w:rPr>
          <w:spacing w:val="-2"/>
        </w:rPr>
        <w:t> </w:t>
      </w:r>
      <w:r>
        <w:rPr/>
        <w:t>1.</w:t>
      </w:r>
      <w:r>
        <w:rPr>
          <w:spacing w:val="-2"/>
        </w:rPr>
        <w:t> </w:t>
      </w:r>
      <w:r>
        <w:rPr/>
        <w:t>Estimated</w:t>
      </w:r>
      <w:r>
        <w:rPr>
          <w:spacing w:val="-1"/>
        </w:rPr>
        <w:t> </w:t>
      </w:r>
      <w:r>
        <w:rPr/>
        <w:t>Marginal</w:t>
      </w:r>
      <w:r>
        <w:rPr>
          <w:spacing w:val="-2"/>
        </w:rPr>
        <w:t> </w:t>
      </w:r>
      <w:r>
        <w:rPr/>
        <w:t>Means</w:t>
      </w:r>
      <w:r>
        <w:rPr>
          <w:spacing w:val="-2"/>
        </w:rPr>
        <w:t> </w:t>
      </w:r>
      <w:r>
        <w:rPr/>
        <w:t>Difference</w:t>
      </w:r>
      <w:r>
        <w:rPr>
          <w:spacing w:val="-1"/>
        </w:rPr>
        <w:t> </w:t>
      </w:r>
      <w:r>
        <w:rPr/>
        <w:t>Between</w:t>
      </w:r>
      <w:r>
        <w:rPr>
          <w:spacing w:val="-2"/>
        </w:rPr>
        <w:t> </w:t>
      </w:r>
      <w:r>
        <w:rPr/>
        <w:t>Perceived</w:t>
      </w:r>
      <w:r>
        <w:rPr>
          <w:spacing w:val="-2"/>
        </w:rPr>
        <w:t> </w:t>
      </w:r>
      <w:r>
        <w:rPr/>
        <w:t>Unintentionality</w:t>
      </w:r>
      <w:r>
        <w:rPr>
          <w:spacing w:val="-1"/>
        </w:rPr>
        <w:t> </w:t>
      </w:r>
      <w:r>
        <w:rPr>
          <w:spacing w:val="-5"/>
        </w:rPr>
        <w:t>for</w:t>
      </w:r>
    </w:p>
    <w:p>
      <w:pPr>
        <w:pStyle w:val="Heading4"/>
        <w:spacing w:after="0"/>
        <w:sectPr>
          <w:pgSz w:w="12240" w:h="15840"/>
          <w:pgMar w:header="0" w:footer="707" w:top="720" w:bottom="960" w:left="720" w:right="0"/>
        </w:sectPr>
      </w:pPr>
    </w:p>
    <w:p>
      <w:pPr>
        <w:spacing w:before="60"/>
        <w:ind w:left="727" w:right="0" w:firstLine="0"/>
        <w:jc w:val="left"/>
        <w:rPr>
          <w:b/>
          <w:sz w:val="24"/>
        </w:rPr>
      </w:pPr>
      <w:r>
        <w:rPr>
          <w:b/>
          <w:sz w:val="24"/>
        </w:rPr>
        <w:t>Marked and Unmarked </w:t>
      </w:r>
      <w:r>
        <w:rPr>
          <w:b/>
          <w:spacing w:val="-2"/>
          <w:sz w:val="24"/>
        </w:rPr>
        <w:t>Explanations</w:t>
      </w:r>
    </w:p>
    <w:p>
      <w:pPr>
        <w:pStyle w:val="BodyText"/>
        <w:spacing w:before="84"/>
        <w:rPr>
          <w:b/>
        </w:rPr>
      </w:pPr>
    </w:p>
    <w:p>
      <w:pPr>
        <w:pStyle w:val="BodyText"/>
        <w:spacing w:line="264" w:lineRule="auto"/>
        <w:ind w:left="712" w:right="1619" w:firstLine="15"/>
      </w:pPr>
      <w:r>
        <w:rPr/>
        <w:t>Research Question 3 examined whether relationship and contextual variables were associated with perceived supervisor incivility intent and explanation use. Binomial logistic regression analyses were conducted to examine the effects of identification with supervisor and incivility frequency on employees’ explanatory judgments. First, identification with supervisor (ESID) was</w:t>
      </w:r>
      <w:r>
        <w:rPr>
          <w:spacing w:val="-3"/>
        </w:rPr>
        <w:t> </w:t>
      </w:r>
      <w:r>
        <w:rPr/>
        <w:t>negatively</w:t>
      </w:r>
      <w:r>
        <w:rPr>
          <w:spacing w:val="-3"/>
        </w:rPr>
        <w:t> </w:t>
      </w:r>
      <w:r>
        <w:rPr/>
        <w:t>associated</w:t>
      </w:r>
      <w:r>
        <w:rPr>
          <w:spacing w:val="-3"/>
        </w:rPr>
        <w:t> </w:t>
      </w:r>
      <w:r>
        <w:rPr/>
        <w:t>with</w:t>
      </w:r>
      <w:r>
        <w:rPr>
          <w:spacing w:val="-3"/>
        </w:rPr>
        <w:t> </w:t>
      </w:r>
      <w:r>
        <w:rPr/>
        <w:t>the</w:t>
      </w:r>
      <w:r>
        <w:rPr>
          <w:spacing w:val="-3"/>
        </w:rPr>
        <w:t> </w:t>
      </w:r>
      <w:r>
        <w:rPr/>
        <w:t>use</w:t>
      </w:r>
      <w:r>
        <w:rPr>
          <w:spacing w:val="-3"/>
        </w:rPr>
        <w:t> </w:t>
      </w:r>
      <w:r>
        <w:rPr/>
        <w:t>of</w:t>
      </w:r>
      <w:r>
        <w:rPr>
          <w:spacing w:val="-3"/>
        </w:rPr>
        <w:t> </w:t>
      </w:r>
      <w:r>
        <w:rPr/>
        <w:t>causal</w:t>
      </w:r>
      <w:r>
        <w:rPr>
          <w:spacing w:val="-3"/>
        </w:rPr>
        <w:t> </w:t>
      </w:r>
      <w:r>
        <w:rPr/>
        <w:t>history</w:t>
      </w:r>
      <w:r>
        <w:rPr>
          <w:spacing w:val="-3"/>
        </w:rPr>
        <w:t> </w:t>
      </w:r>
      <w:r>
        <w:rPr/>
        <w:t>of</w:t>
      </w:r>
      <w:r>
        <w:rPr>
          <w:spacing w:val="-3"/>
        </w:rPr>
        <w:t> </w:t>
      </w:r>
      <w:r>
        <w:rPr/>
        <w:t>reasons</w:t>
      </w:r>
      <w:r>
        <w:rPr>
          <w:spacing w:val="-3"/>
        </w:rPr>
        <w:t> </w:t>
      </w:r>
      <w:r>
        <w:rPr/>
        <w:t>(CHR)</w:t>
      </w:r>
      <w:r>
        <w:rPr>
          <w:spacing w:val="-3"/>
        </w:rPr>
        <w:t> </w:t>
      </w:r>
      <w:r>
        <w:rPr/>
        <w:t>explanations.</w:t>
      </w:r>
      <w:r>
        <w:rPr>
          <w:spacing w:val="-3"/>
        </w:rPr>
        <w:t> </w:t>
      </w:r>
      <w:r>
        <w:rPr/>
        <w:t>Higher levels of identification corresponded to a lower probability of CHR attribution, indicating that employees who felt more connected to their supervisor were less likely to explain incivility in terms of stable, internal causes. This effect was statistically significant as seen in Table 3 (</w:t>
      </w:r>
      <w:r>
        <w:rPr>
          <w:i/>
        </w:rPr>
        <w:t>p </w:t>
      </w:r>
      <w:r>
        <w:rPr/>
        <w:t>=</w:t>
      </w:r>
    </w:p>
    <w:p>
      <w:pPr>
        <w:pStyle w:val="BodyText"/>
        <w:spacing w:line="266" w:lineRule="auto" w:before="3"/>
        <w:ind w:left="712" w:right="1381"/>
      </w:pPr>
      <w:r>
        <w:rPr/>
        <w:t>.006)</w:t>
      </w:r>
      <w:r>
        <w:rPr>
          <w:spacing w:val="-3"/>
        </w:rPr>
        <w:t> </w:t>
      </w:r>
      <w:r>
        <w:rPr/>
        <w:t>and</w:t>
      </w:r>
      <w:r>
        <w:rPr>
          <w:spacing w:val="-3"/>
        </w:rPr>
        <w:t> </w:t>
      </w:r>
      <w:r>
        <w:rPr/>
        <w:t>Figure</w:t>
      </w:r>
      <w:r>
        <w:rPr>
          <w:spacing w:val="-3"/>
        </w:rPr>
        <w:t> </w:t>
      </w:r>
      <w:r>
        <w:rPr/>
        <w:t>2.</w:t>
      </w:r>
      <w:r>
        <w:rPr>
          <w:spacing w:val="-3"/>
        </w:rPr>
        <w:t> </w:t>
      </w:r>
      <w:r>
        <w:rPr/>
        <w:t>Second,</w:t>
      </w:r>
      <w:r>
        <w:rPr>
          <w:spacing w:val="-3"/>
        </w:rPr>
        <w:t> </w:t>
      </w:r>
      <w:r>
        <w:rPr/>
        <w:t>identification</w:t>
      </w:r>
      <w:r>
        <w:rPr>
          <w:spacing w:val="-3"/>
        </w:rPr>
        <w:t> </w:t>
      </w:r>
      <w:r>
        <w:rPr/>
        <w:t>with</w:t>
      </w:r>
      <w:r>
        <w:rPr>
          <w:spacing w:val="-3"/>
        </w:rPr>
        <w:t> </w:t>
      </w:r>
      <w:r>
        <w:rPr/>
        <w:t>supervisor</w:t>
      </w:r>
      <w:r>
        <w:rPr>
          <w:spacing w:val="-3"/>
        </w:rPr>
        <w:t> </w:t>
      </w:r>
      <w:r>
        <w:rPr/>
        <w:t>(ESID)</w:t>
      </w:r>
      <w:r>
        <w:rPr>
          <w:spacing w:val="-3"/>
        </w:rPr>
        <w:t> </w:t>
      </w:r>
      <w:r>
        <w:rPr/>
        <w:t>was</w:t>
      </w:r>
      <w:r>
        <w:rPr>
          <w:spacing w:val="-3"/>
        </w:rPr>
        <w:t> </w:t>
      </w:r>
      <w:r>
        <w:rPr/>
        <w:t>negatively</w:t>
      </w:r>
      <w:r>
        <w:rPr>
          <w:spacing w:val="-3"/>
        </w:rPr>
        <w:t> </w:t>
      </w:r>
      <w:r>
        <w:rPr/>
        <w:t>associated</w:t>
      </w:r>
      <w:r>
        <w:rPr>
          <w:spacing w:val="-3"/>
        </w:rPr>
        <w:t> </w:t>
      </w:r>
      <w:r>
        <w:rPr/>
        <w:t>with perceived intentionality (ExpIntent). As illustrated in Table 4 and Figure 3, higher levels of supervisor identification were associated with a lower likelihood that incivility was perceived as intentional (</w:t>
      </w:r>
      <w:r>
        <w:rPr>
          <w:i/>
        </w:rPr>
        <w:t>p </w:t>
      </w:r>
      <w:r>
        <w:rPr/>
        <w:t>= .001). This finding suggests that stronger relational ties may reduce employees’ tendency to attribute hostile intent to supervisor behavior. Finally, incivility frequency (ESINC) was</w:t>
      </w:r>
      <w:r>
        <w:rPr>
          <w:spacing w:val="-5"/>
        </w:rPr>
        <w:t> </w:t>
      </w:r>
      <w:r>
        <w:rPr/>
        <w:t>positively</w:t>
      </w:r>
      <w:r>
        <w:rPr>
          <w:spacing w:val="-5"/>
        </w:rPr>
        <w:t> </w:t>
      </w:r>
      <w:r>
        <w:rPr/>
        <w:t>associated</w:t>
      </w:r>
      <w:r>
        <w:rPr>
          <w:spacing w:val="-5"/>
        </w:rPr>
        <w:t> </w:t>
      </w:r>
      <w:r>
        <w:rPr/>
        <w:t>with</w:t>
      </w:r>
      <w:r>
        <w:rPr>
          <w:spacing w:val="-5"/>
        </w:rPr>
        <w:t> </w:t>
      </w:r>
      <w:r>
        <w:rPr/>
        <w:t>perceived</w:t>
      </w:r>
      <w:r>
        <w:rPr>
          <w:spacing w:val="-5"/>
        </w:rPr>
        <w:t> </w:t>
      </w:r>
      <w:r>
        <w:rPr/>
        <w:t>intentionality.</w:t>
      </w:r>
      <w:r>
        <w:rPr>
          <w:spacing w:val="-5"/>
        </w:rPr>
        <w:t> </w:t>
      </w:r>
      <w:r>
        <w:rPr/>
        <w:t>As</w:t>
      </w:r>
      <w:r>
        <w:rPr>
          <w:spacing w:val="-5"/>
        </w:rPr>
        <w:t> </w:t>
      </w:r>
      <w:r>
        <w:rPr/>
        <w:t>shown</w:t>
      </w:r>
      <w:r>
        <w:rPr>
          <w:spacing w:val="-5"/>
        </w:rPr>
        <w:t> </w:t>
      </w:r>
      <w:r>
        <w:rPr/>
        <w:t>in</w:t>
      </w:r>
      <w:r>
        <w:rPr>
          <w:spacing w:val="-5"/>
        </w:rPr>
        <w:t> </w:t>
      </w:r>
      <w:r>
        <w:rPr/>
        <w:t>Table</w:t>
      </w:r>
      <w:r>
        <w:rPr>
          <w:spacing w:val="-5"/>
        </w:rPr>
        <w:t> </w:t>
      </w:r>
      <w:r>
        <w:rPr/>
        <w:t>4</w:t>
      </w:r>
      <w:r>
        <w:rPr>
          <w:spacing w:val="-5"/>
        </w:rPr>
        <w:t> </w:t>
      </w:r>
      <w:r>
        <w:rPr/>
        <w:t>and</w:t>
      </w:r>
      <w:r>
        <w:rPr>
          <w:spacing w:val="-5"/>
        </w:rPr>
        <w:t> </w:t>
      </w:r>
      <w:r>
        <w:rPr/>
        <w:t>Figure</w:t>
      </w:r>
      <w:r>
        <w:rPr>
          <w:spacing w:val="-5"/>
        </w:rPr>
        <w:t> </w:t>
      </w:r>
      <w:r>
        <w:rPr/>
        <w:t>4,</w:t>
      </w:r>
      <w:r>
        <w:rPr>
          <w:spacing w:val="-5"/>
        </w:rPr>
        <w:t> </w:t>
      </w:r>
      <w:r>
        <w:rPr/>
        <w:t>higher frequencies of experienced incivility were linked to a greater likelihood of perceiving supervisor behavior as intentional (</w:t>
      </w:r>
      <w:r>
        <w:rPr>
          <w:i/>
        </w:rPr>
        <w:t>p </w:t>
      </w:r>
      <w:r>
        <w:rPr/>
        <w:t>= .015).</w:t>
      </w:r>
    </w:p>
    <w:p>
      <w:pPr>
        <w:pStyle w:val="BodyText"/>
        <w:spacing w:before="146"/>
        <w:rPr>
          <w:sz w:val="20"/>
        </w:rPr>
      </w:pPr>
      <w:r>
        <w:rPr>
          <w:sz w:val="20"/>
        </w:rPr>
        <w:drawing>
          <wp:anchor distT="0" distB="0" distL="0" distR="0" allowOverlap="1" layoutInCell="1" locked="0" behindDoc="1" simplePos="0" relativeHeight="487604736">
            <wp:simplePos x="0" y="0"/>
            <wp:positionH relativeFrom="page">
              <wp:posOffset>952772</wp:posOffset>
            </wp:positionH>
            <wp:positionV relativeFrom="paragraph">
              <wp:posOffset>254489</wp:posOffset>
            </wp:positionV>
            <wp:extent cx="3655007" cy="2384298"/>
            <wp:effectExtent l="0" t="0" r="0" b="0"/>
            <wp:wrapTopAndBottom/>
            <wp:docPr id="69" name="Image 69"/>
            <wp:cNvGraphicFramePr>
              <a:graphicFrameLocks/>
            </wp:cNvGraphicFramePr>
            <a:graphic>
              <a:graphicData uri="http://schemas.openxmlformats.org/drawingml/2006/picture">
                <pic:pic>
                  <pic:nvPicPr>
                    <pic:cNvPr id="69" name="Image 69"/>
                    <pic:cNvPicPr/>
                  </pic:nvPicPr>
                  <pic:blipFill>
                    <a:blip r:embed="rId252" cstate="print"/>
                    <a:stretch>
                      <a:fillRect/>
                    </a:stretch>
                  </pic:blipFill>
                  <pic:spPr>
                    <a:xfrm>
                      <a:off x="0" y="0"/>
                      <a:ext cx="3655007" cy="2384298"/>
                    </a:xfrm>
                    <a:prstGeom prst="rect">
                      <a:avLst/>
                    </a:prstGeom>
                  </pic:spPr>
                </pic:pic>
              </a:graphicData>
            </a:graphic>
          </wp:anchor>
        </w:drawing>
      </w:r>
    </w:p>
    <w:p>
      <w:pPr>
        <w:pStyle w:val="Heading4"/>
        <w:spacing w:before="149"/>
        <w:ind w:left="727"/>
      </w:pPr>
      <w:r>
        <w:rPr/>
        <w:t>Table</w:t>
      </w:r>
      <w:r>
        <w:rPr>
          <w:spacing w:val="-7"/>
        </w:rPr>
        <w:t> </w:t>
      </w:r>
      <w:r>
        <w:rPr/>
        <w:t>3.</w:t>
      </w:r>
      <w:r>
        <w:rPr>
          <w:spacing w:val="-5"/>
        </w:rPr>
        <w:t> </w:t>
      </w:r>
      <w:r>
        <w:rPr/>
        <w:t>Relationship</w:t>
      </w:r>
      <w:r>
        <w:rPr>
          <w:spacing w:val="-4"/>
        </w:rPr>
        <w:t> </w:t>
      </w:r>
      <w:r>
        <w:rPr/>
        <w:t>Between</w:t>
      </w:r>
      <w:r>
        <w:rPr>
          <w:spacing w:val="-5"/>
        </w:rPr>
        <w:t> </w:t>
      </w:r>
      <w:r>
        <w:rPr/>
        <w:t>Relationship</w:t>
      </w:r>
      <w:r>
        <w:rPr>
          <w:spacing w:val="-4"/>
        </w:rPr>
        <w:t> </w:t>
      </w:r>
      <w:r>
        <w:rPr/>
        <w:t>Variables</w:t>
      </w:r>
      <w:r>
        <w:rPr>
          <w:spacing w:val="-5"/>
        </w:rPr>
        <w:t> </w:t>
      </w:r>
      <w:r>
        <w:rPr/>
        <w:t>and</w:t>
      </w:r>
      <w:r>
        <w:rPr>
          <w:spacing w:val="-5"/>
        </w:rPr>
        <w:t> </w:t>
      </w:r>
      <w:r>
        <w:rPr/>
        <w:t>Causal</w:t>
      </w:r>
      <w:r>
        <w:rPr>
          <w:spacing w:val="-4"/>
        </w:rPr>
        <w:t> </w:t>
      </w:r>
      <w:r>
        <w:rPr/>
        <w:t>History</w:t>
      </w:r>
      <w:r>
        <w:rPr>
          <w:spacing w:val="-5"/>
        </w:rPr>
        <w:t> </w:t>
      </w:r>
      <w:r>
        <w:rPr/>
        <w:t>of</w:t>
      </w:r>
      <w:r>
        <w:rPr>
          <w:spacing w:val="-4"/>
        </w:rPr>
        <w:t> </w:t>
      </w:r>
      <w:r>
        <w:rPr>
          <w:spacing w:val="-2"/>
        </w:rPr>
        <w:t>Explanations.</w:t>
      </w:r>
    </w:p>
    <w:p>
      <w:pPr>
        <w:pStyle w:val="Heading4"/>
        <w:spacing w:after="0"/>
        <w:sectPr>
          <w:pgSz w:w="12240" w:h="15840"/>
          <w:pgMar w:header="0" w:footer="707" w:top="640" w:bottom="960" w:left="720" w:right="0"/>
        </w:sectPr>
      </w:pPr>
    </w:p>
    <w:p>
      <w:pPr>
        <w:spacing w:line="240" w:lineRule="auto"/>
        <w:ind w:left="772" w:right="0" w:firstLine="0"/>
        <w:rPr>
          <w:sz w:val="20"/>
        </w:rPr>
      </w:pPr>
      <w:r>
        <w:rPr>
          <w:sz w:val="20"/>
        </w:rPr>
        <w:drawing>
          <wp:inline distT="0" distB="0" distL="0" distR="0">
            <wp:extent cx="2740471" cy="2400300"/>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253" cstate="print"/>
                    <a:stretch>
                      <a:fillRect/>
                    </a:stretch>
                  </pic:blipFill>
                  <pic:spPr>
                    <a:xfrm>
                      <a:off x="0" y="0"/>
                      <a:ext cx="2740471" cy="2400300"/>
                    </a:xfrm>
                    <a:prstGeom prst="rect">
                      <a:avLst/>
                    </a:prstGeom>
                  </pic:spPr>
                </pic:pic>
              </a:graphicData>
            </a:graphic>
          </wp:inline>
        </w:drawing>
      </w:r>
      <w:r>
        <w:rPr>
          <w:sz w:val="20"/>
        </w:rPr>
      </w:r>
    </w:p>
    <w:p>
      <w:pPr>
        <w:pStyle w:val="Heading4"/>
        <w:spacing w:line="264" w:lineRule="auto" w:before="88"/>
        <w:ind w:left="727" w:right="1619"/>
      </w:pPr>
      <w:r>
        <w:rPr/>
        <w:t>Figure</w:t>
      </w:r>
      <w:r>
        <w:rPr>
          <w:spacing w:val="-5"/>
        </w:rPr>
        <w:t> </w:t>
      </w:r>
      <w:r>
        <w:rPr/>
        <w:t>2.</w:t>
      </w:r>
      <w:r>
        <w:rPr>
          <w:spacing w:val="-5"/>
        </w:rPr>
        <w:t> </w:t>
      </w:r>
      <w:r>
        <w:rPr/>
        <w:t>Relationship</w:t>
      </w:r>
      <w:r>
        <w:rPr>
          <w:spacing w:val="-5"/>
        </w:rPr>
        <w:t> </w:t>
      </w:r>
      <w:r>
        <w:rPr/>
        <w:t>Between</w:t>
      </w:r>
      <w:r>
        <w:rPr>
          <w:spacing w:val="-5"/>
        </w:rPr>
        <w:t> </w:t>
      </w:r>
      <w:r>
        <w:rPr/>
        <w:t>Identification</w:t>
      </w:r>
      <w:r>
        <w:rPr>
          <w:spacing w:val="-5"/>
        </w:rPr>
        <w:t> </w:t>
      </w:r>
      <w:r>
        <w:rPr/>
        <w:t>with</w:t>
      </w:r>
      <w:r>
        <w:rPr>
          <w:spacing w:val="-5"/>
        </w:rPr>
        <w:t> </w:t>
      </w:r>
      <w:r>
        <w:rPr/>
        <w:t>Supervisor</w:t>
      </w:r>
      <w:r>
        <w:rPr>
          <w:spacing w:val="-5"/>
        </w:rPr>
        <w:t> </w:t>
      </w:r>
      <w:r>
        <w:rPr/>
        <w:t>and</w:t>
      </w:r>
      <w:r>
        <w:rPr>
          <w:spacing w:val="-5"/>
        </w:rPr>
        <w:t> </w:t>
      </w:r>
      <w:r>
        <w:rPr/>
        <w:t>Causal</w:t>
      </w:r>
      <w:r>
        <w:rPr>
          <w:spacing w:val="-5"/>
        </w:rPr>
        <w:t> </w:t>
      </w:r>
      <w:r>
        <w:rPr/>
        <w:t>History</w:t>
      </w:r>
      <w:r>
        <w:rPr>
          <w:spacing w:val="-5"/>
        </w:rPr>
        <w:t> </w:t>
      </w:r>
      <w:r>
        <w:rPr/>
        <w:t>of Reason Explanation</w:t>
      </w:r>
    </w:p>
    <w:p>
      <w:pPr>
        <w:pStyle w:val="BodyText"/>
        <w:spacing w:before="141"/>
        <w:rPr>
          <w:b/>
          <w:sz w:val="20"/>
        </w:rPr>
      </w:pPr>
      <w:r>
        <w:rPr>
          <w:b/>
          <w:sz w:val="20"/>
        </w:rPr>
        <w:drawing>
          <wp:anchor distT="0" distB="0" distL="0" distR="0" allowOverlap="1" layoutInCell="1" locked="0" behindDoc="1" simplePos="0" relativeHeight="487605248">
            <wp:simplePos x="0" y="0"/>
            <wp:positionH relativeFrom="page">
              <wp:posOffset>968831</wp:posOffset>
            </wp:positionH>
            <wp:positionV relativeFrom="paragraph">
              <wp:posOffset>251432</wp:posOffset>
            </wp:positionV>
            <wp:extent cx="3501026" cy="2408301"/>
            <wp:effectExtent l="0" t="0" r="0" b="0"/>
            <wp:wrapTopAndBottom/>
            <wp:docPr id="71" name="Image 71"/>
            <wp:cNvGraphicFramePr>
              <a:graphicFrameLocks/>
            </wp:cNvGraphicFramePr>
            <a:graphic>
              <a:graphicData uri="http://schemas.openxmlformats.org/drawingml/2006/picture">
                <pic:pic>
                  <pic:nvPicPr>
                    <pic:cNvPr id="71" name="Image 71"/>
                    <pic:cNvPicPr/>
                  </pic:nvPicPr>
                  <pic:blipFill>
                    <a:blip r:embed="rId254" cstate="print"/>
                    <a:stretch>
                      <a:fillRect/>
                    </a:stretch>
                  </pic:blipFill>
                  <pic:spPr>
                    <a:xfrm>
                      <a:off x="0" y="0"/>
                      <a:ext cx="3501026" cy="2408301"/>
                    </a:xfrm>
                    <a:prstGeom prst="rect">
                      <a:avLst/>
                    </a:prstGeom>
                  </pic:spPr>
                </pic:pic>
              </a:graphicData>
            </a:graphic>
          </wp:anchor>
        </w:drawing>
      </w:r>
    </w:p>
    <w:p>
      <w:pPr>
        <w:pStyle w:val="Heading4"/>
        <w:spacing w:before="108"/>
        <w:ind w:left="727"/>
      </w:pPr>
      <w:r>
        <w:rPr/>
        <w:t>Table</w:t>
      </w:r>
      <w:r>
        <w:rPr>
          <w:spacing w:val="-7"/>
        </w:rPr>
        <w:t> </w:t>
      </w:r>
      <w:r>
        <w:rPr/>
        <w:t>4.</w:t>
      </w:r>
      <w:r>
        <w:rPr>
          <w:spacing w:val="-6"/>
        </w:rPr>
        <w:t> </w:t>
      </w:r>
      <w:r>
        <w:rPr/>
        <w:t>Relationship</w:t>
      </w:r>
      <w:r>
        <w:rPr>
          <w:spacing w:val="-7"/>
        </w:rPr>
        <w:t> </w:t>
      </w:r>
      <w:r>
        <w:rPr/>
        <w:t>Between</w:t>
      </w:r>
      <w:r>
        <w:rPr>
          <w:spacing w:val="-6"/>
        </w:rPr>
        <w:t> </w:t>
      </w:r>
      <w:r>
        <w:rPr/>
        <w:t>Relationship</w:t>
      </w:r>
      <w:r>
        <w:rPr>
          <w:spacing w:val="-6"/>
        </w:rPr>
        <w:t> </w:t>
      </w:r>
      <w:r>
        <w:rPr/>
        <w:t>Variables</w:t>
      </w:r>
      <w:r>
        <w:rPr>
          <w:spacing w:val="-7"/>
        </w:rPr>
        <w:t> </w:t>
      </w:r>
      <w:r>
        <w:rPr/>
        <w:t>and</w:t>
      </w:r>
      <w:r>
        <w:rPr>
          <w:spacing w:val="-6"/>
        </w:rPr>
        <w:t> </w:t>
      </w:r>
      <w:r>
        <w:rPr/>
        <w:t>Perceived</w:t>
      </w:r>
      <w:r>
        <w:rPr>
          <w:spacing w:val="-6"/>
        </w:rPr>
        <w:t> </w:t>
      </w:r>
      <w:r>
        <w:rPr>
          <w:spacing w:val="-2"/>
        </w:rPr>
        <w:t>Intent</w:t>
      </w:r>
    </w:p>
    <w:p>
      <w:pPr>
        <w:pStyle w:val="BodyText"/>
        <w:spacing w:before="67"/>
        <w:rPr>
          <w:b/>
          <w:sz w:val="20"/>
        </w:rPr>
      </w:pPr>
      <w:r>
        <w:rPr>
          <w:b/>
          <w:sz w:val="20"/>
        </w:rPr>
        <w:drawing>
          <wp:anchor distT="0" distB="0" distL="0" distR="0" allowOverlap="1" layoutInCell="1" locked="0" behindDoc="1" simplePos="0" relativeHeight="487605760">
            <wp:simplePos x="0" y="0"/>
            <wp:positionH relativeFrom="page">
              <wp:posOffset>986027</wp:posOffset>
            </wp:positionH>
            <wp:positionV relativeFrom="paragraph">
              <wp:posOffset>203877</wp:posOffset>
            </wp:positionV>
            <wp:extent cx="2676525" cy="2486025"/>
            <wp:effectExtent l="0" t="0" r="0" b="0"/>
            <wp:wrapTopAndBottom/>
            <wp:docPr id="72" name="Image 72"/>
            <wp:cNvGraphicFramePr>
              <a:graphicFrameLocks/>
            </wp:cNvGraphicFramePr>
            <a:graphic>
              <a:graphicData uri="http://schemas.openxmlformats.org/drawingml/2006/picture">
                <pic:pic>
                  <pic:nvPicPr>
                    <pic:cNvPr id="72" name="Image 72"/>
                    <pic:cNvPicPr/>
                  </pic:nvPicPr>
                  <pic:blipFill>
                    <a:blip r:embed="rId255" cstate="print"/>
                    <a:stretch>
                      <a:fillRect/>
                    </a:stretch>
                  </pic:blipFill>
                  <pic:spPr>
                    <a:xfrm>
                      <a:off x="0" y="0"/>
                      <a:ext cx="2676525" cy="2486025"/>
                    </a:xfrm>
                    <a:prstGeom prst="rect">
                      <a:avLst/>
                    </a:prstGeom>
                  </pic:spPr>
                </pic:pic>
              </a:graphicData>
            </a:graphic>
          </wp:anchor>
        </w:drawing>
      </w:r>
    </w:p>
    <w:p>
      <w:pPr>
        <w:pStyle w:val="Heading4"/>
        <w:spacing w:before="127"/>
        <w:ind w:left="712" w:right="3268" w:firstLine="15"/>
      </w:pPr>
      <w:r>
        <w:rPr/>
        <w:t>Figure</w:t>
      </w:r>
      <w:r>
        <w:rPr>
          <w:spacing w:val="-6"/>
        </w:rPr>
        <w:t> </w:t>
      </w:r>
      <w:r>
        <w:rPr/>
        <w:t>3.</w:t>
      </w:r>
      <w:r>
        <w:rPr>
          <w:spacing w:val="-6"/>
        </w:rPr>
        <w:t> </w:t>
      </w:r>
      <w:r>
        <w:rPr/>
        <w:t>Relationship</w:t>
      </w:r>
      <w:r>
        <w:rPr>
          <w:spacing w:val="-6"/>
        </w:rPr>
        <w:t> </w:t>
      </w:r>
      <w:r>
        <w:rPr/>
        <w:t>Between</w:t>
      </w:r>
      <w:r>
        <w:rPr>
          <w:spacing w:val="-6"/>
        </w:rPr>
        <w:t> </w:t>
      </w:r>
      <w:r>
        <w:rPr/>
        <w:t>Identification</w:t>
      </w:r>
      <w:r>
        <w:rPr>
          <w:spacing w:val="-6"/>
        </w:rPr>
        <w:t> </w:t>
      </w:r>
      <w:r>
        <w:rPr/>
        <w:t>with</w:t>
      </w:r>
      <w:r>
        <w:rPr>
          <w:spacing w:val="-6"/>
        </w:rPr>
        <w:t> </w:t>
      </w:r>
      <w:r>
        <w:rPr/>
        <w:t>Supervisor</w:t>
      </w:r>
      <w:r>
        <w:rPr>
          <w:spacing w:val="-6"/>
        </w:rPr>
        <w:t> </w:t>
      </w:r>
      <w:r>
        <w:rPr/>
        <w:t>and Perceptions of</w:t>
      </w:r>
      <w:r>
        <w:rPr>
          <w:spacing w:val="40"/>
        </w:rPr>
        <w:t> </w:t>
      </w:r>
      <w:r>
        <w:rPr/>
        <w:t>Unintentionality.</w:t>
      </w:r>
    </w:p>
    <w:p>
      <w:pPr>
        <w:pStyle w:val="Heading4"/>
        <w:spacing w:after="0"/>
        <w:sectPr>
          <w:pgSz w:w="12240" w:h="15840"/>
          <w:pgMar w:header="0" w:footer="707" w:top="860" w:bottom="920" w:left="720" w:right="0"/>
        </w:sectPr>
      </w:pPr>
    </w:p>
    <w:p>
      <w:pPr>
        <w:spacing w:line="240" w:lineRule="auto"/>
        <w:ind w:left="802" w:right="0" w:firstLine="0"/>
        <w:rPr>
          <w:sz w:val="20"/>
        </w:rPr>
      </w:pPr>
      <w:r>
        <w:rPr>
          <w:sz w:val="20"/>
        </w:rPr>
        <w:drawing>
          <wp:inline distT="0" distB="0" distL="0" distR="0">
            <wp:extent cx="2901941" cy="2724150"/>
            <wp:effectExtent l="0" t="0" r="0" b="0"/>
            <wp:docPr id="73" name="Image 73"/>
            <wp:cNvGraphicFramePr>
              <a:graphicFrameLocks/>
            </wp:cNvGraphicFramePr>
            <a:graphic>
              <a:graphicData uri="http://schemas.openxmlformats.org/drawingml/2006/picture">
                <pic:pic>
                  <pic:nvPicPr>
                    <pic:cNvPr id="73" name="Image 73"/>
                    <pic:cNvPicPr/>
                  </pic:nvPicPr>
                  <pic:blipFill>
                    <a:blip r:embed="rId256" cstate="print"/>
                    <a:stretch>
                      <a:fillRect/>
                    </a:stretch>
                  </pic:blipFill>
                  <pic:spPr>
                    <a:xfrm>
                      <a:off x="0" y="0"/>
                      <a:ext cx="2901941" cy="2724150"/>
                    </a:xfrm>
                    <a:prstGeom prst="rect">
                      <a:avLst/>
                    </a:prstGeom>
                  </pic:spPr>
                </pic:pic>
              </a:graphicData>
            </a:graphic>
          </wp:inline>
        </w:drawing>
      </w:r>
      <w:r>
        <w:rPr>
          <w:sz w:val="20"/>
        </w:rPr>
      </w:r>
    </w:p>
    <w:p>
      <w:pPr>
        <w:pStyle w:val="Heading4"/>
        <w:spacing w:before="99"/>
        <w:ind w:left="727"/>
      </w:pPr>
      <w:r>
        <w:rPr/>
        <w:t>Figure</w:t>
      </w:r>
      <w:r>
        <w:rPr>
          <w:spacing w:val="-2"/>
        </w:rPr>
        <w:t> </w:t>
      </w:r>
      <w:r>
        <w:rPr/>
        <w:t>4.</w:t>
      </w:r>
      <w:r>
        <w:rPr>
          <w:spacing w:val="-2"/>
        </w:rPr>
        <w:t> </w:t>
      </w:r>
      <w:r>
        <w:rPr/>
        <w:t>Relationship</w:t>
      </w:r>
      <w:r>
        <w:rPr>
          <w:spacing w:val="-1"/>
        </w:rPr>
        <w:t> </w:t>
      </w:r>
      <w:r>
        <w:rPr/>
        <w:t>Between</w:t>
      </w:r>
      <w:r>
        <w:rPr>
          <w:spacing w:val="-2"/>
        </w:rPr>
        <w:t> </w:t>
      </w:r>
      <w:r>
        <w:rPr/>
        <w:t>Incivility</w:t>
      </w:r>
      <w:r>
        <w:rPr>
          <w:spacing w:val="-2"/>
        </w:rPr>
        <w:t> </w:t>
      </w:r>
      <w:r>
        <w:rPr/>
        <w:t>Frequency</w:t>
      </w:r>
      <w:r>
        <w:rPr>
          <w:spacing w:val="-1"/>
        </w:rPr>
        <w:t> </w:t>
      </w:r>
      <w:r>
        <w:rPr/>
        <w:t>and</w:t>
      </w:r>
      <w:r>
        <w:rPr>
          <w:spacing w:val="-2"/>
        </w:rPr>
        <w:t> </w:t>
      </w:r>
      <w:r>
        <w:rPr/>
        <w:t>Perceptions</w:t>
      </w:r>
      <w:r>
        <w:rPr>
          <w:spacing w:val="-2"/>
        </w:rPr>
        <w:t> </w:t>
      </w:r>
      <w:r>
        <w:rPr/>
        <w:t>of</w:t>
      </w:r>
      <w:r>
        <w:rPr>
          <w:spacing w:val="-1"/>
        </w:rPr>
        <w:t> </w:t>
      </w:r>
      <w:r>
        <w:rPr>
          <w:spacing w:val="-2"/>
        </w:rPr>
        <w:t>Unintentionality.</w:t>
      </w:r>
    </w:p>
    <w:p>
      <w:pPr>
        <w:pStyle w:val="BodyText"/>
        <w:rPr>
          <w:b/>
        </w:rPr>
      </w:pPr>
    </w:p>
    <w:p>
      <w:pPr>
        <w:pStyle w:val="BodyText"/>
        <w:spacing w:before="121"/>
        <w:rPr>
          <w:b/>
        </w:rPr>
      </w:pPr>
    </w:p>
    <w:p>
      <w:pPr>
        <w:spacing w:before="0"/>
        <w:ind w:left="727" w:right="0" w:firstLine="0"/>
        <w:jc w:val="left"/>
        <w:rPr>
          <w:b/>
          <w:sz w:val="24"/>
        </w:rPr>
      </w:pPr>
      <w:r>
        <w:rPr>
          <w:b/>
          <w:sz w:val="24"/>
        </w:rPr>
        <w:t>Subsample B Results and </w:t>
      </w:r>
      <w:r>
        <w:rPr>
          <w:b/>
          <w:spacing w:val="-2"/>
          <w:sz w:val="24"/>
        </w:rPr>
        <w:t>Implications</w:t>
      </w:r>
    </w:p>
    <w:p>
      <w:pPr>
        <w:pStyle w:val="BodyText"/>
        <w:spacing w:before="36"/>
        <w:rPr>
          <w:b/>
        </w:rPr>
      </w:pPr>
    </w:p>
    <w:p>
      <w:pPr>
        <w:pStyle w:val="BodyText"/>
        <w:spacing w:line="230" w:lineRule="auto"/>
        <w:ind w:left="712" w:right="1461" w:firstLine="15"/>
      </w:pPr>
      <w:r>
        <w:rPr/>
        <w:t>Independent samples t-tests were conducted to examine whether leader versus manager terminology influenced general perceptions. No significant differences emerged between the leader and manager conditions with respect to perceived acceptability of supervisor incivility or perceptions</w:t>
      </w:r>
      <w:r>
        <w:rPr>
          <w:spacing w:val="-5"/>
        </w:rPr>
        <w:t> </w:t>
      </w:r>
      <w:r>
        <w:rPr/>
        <w:t>of</w:t>
      </w:r>
      <w:r>
        <w:rPr>
          <w:spacing w:val="-5"/>
        </w:rPr>
        <w:t> </w:t>
      </w:r>
      <w:r>
        <w:rPr/>
        <w:t>its</w:t>
      </w:r>
      <w:r>
        <w:rPr>
          <w:spacing w:val="-5"/>
        </w:rPr>
        <w:t> </w:t>
      </w:r>
      <w:r>
        <w:rPr/>
        <w:t>general</w:t>
      </w:r>
      <w:r>
        <w:rPr>
          <w:spacing w:val="-5"/>
        </w:rPr>
        <w:t> </w:t>
      </w:r>
      <w:r>
        <w:rPr/>
        <w:t>prevalence.</w:t>
      </w:r>
      <w:r>
        <w:rPr>
          <w:spacing w:val="-5"/>
        </w:rPr>
        <w:t> </w:t>
      </w:r>
      <w:r>
        <w:rPr/>
        <w:t>However,</w:t>
      </w:r>
      <w:r>
        <w:rPr>
          <w:spacing w:val="-5"/>
        </w:rPr>
        <w:t> </w:t>
      </w:r>
      <w:r>
        <w:rPr/>
        <w:t>a</w:t>
      </w:r>
      <w:r>
        <w:rPr>
          <w:spacing w:val="-5"/>
        </w:rPr>
        <w:t> </w:t>
      </w:r>
      <w:r>
        <w:rPr/>
        <w:t>significant</w:t>
      </w:r>
      <w:r>
        <w:rPr>
          <w:spacing w:val="-5"/>
        </w:rPr>
        <w:t> </w:t>
      </w:r>
      <w:r>
        <w:rPr/>
        <w:t>difference</w:t>
      </w:r>
      <w:r>
        <w:rPr>
          <w:spacing w:val="-5"/>
        </w:rPr>
        <w:t> </w:t>
      </w:r>
      <w:r>
        <w:rPr/>
        <w:t>was</w:t>
      </w:r>
      <w:r>
        <w:rPr>
          <w:spacing w:val="-5"/>
        </w:rPr>
        <w:t> </w:t>
      </w:r>
      <w:r>
        <w:rPr/>
        <w:t>observed</w:t>
      </w:r>
      <w:r>
        <w:rPr>
          <w:spacing w:val="-5"/>
        </w:rPr>
        <w:t> </w:t>
      </w:r>
      <w:r>
        <w:rPr/>
        <w:t>for</w:t>
      </w:r>
      <w:r>
        <w:rPr>
          <w:spacing w:val="-5"/>
        </w:rPr>
        <w:t> </w:t>
      </w:r>
      <w:r>
        <w:rPr/>
        <w:t>general allowance of supervisor incivility. Specifically, respondents in the manager terminology condition reported higher agreement with statements reflecting general allowance, potential misconstrual, and necessity of incivility compared to respondents in the leader terminology </w:t>
      </w:r>
      <w:r>
        <w:rPr>
          <w:spacing w:val="-2"/>
        </w:rPr>
        <w:t>condition.</w:t>
      </w:r>
    </w:p>
    <w:p>
      <w:pPr>
        <w:pStyle w:val="BodyText"/>
        <w:spacing w:before="2"/>
      </w:pPr>
    </w:p>
    <w:p>
      <w:pPr>
        <w:pStyle w:val="Heading4"/>
        <w:ind w:left="727"/>
      </w:pPr>
      <w:r>
        <w:rPr>
          <w:spacing w:val="-2"/>
        </w:rPr>
        <w:t>Conclusion</w:t>
      </w:r>
    </w:p>
    <w:p>
      <w:pPr>
        <w:pStyle w:val="BodyText"/>
        <w:rPr>
          <w:b/>
        </w:rPr>
      </w:pPr>
    </w:p>
    <w:p>
      <w:pPr>
        <w:pStyle w:val="BodyText"/>
        <w:spacing w:before="6"/>
        <w:rPr>
          <w:b/>
        </w:rPr>
      </w:pPr>
    </w:p>
    <w:p>
      <w:pPr>
        <w:pStyle w:val="BodyText"/>
        <w:spacing w:line="230" w:lineRule="auto"/>
        <w:ind w:left="727" w:right="1378"/>
        <w:jc w:val="both"/>
      </w:pPr>
      <w:r>
        <w:rPr/>
        <w:t>This study contributed to the supervisor workplace incivility literature, the critical language of leadership literature, and methodological applications of folk theory of mind. By examining whether leader versus manager terminology</w:t>
      </w:r>
      <w:r>
        <w:rPr>
          <w:spacing w:val="-3"/>
        </w:rPr>
        <w:t> </w:t>
      </w:r>
      <w:r>
        <w:rPr/>
        <w:t>influenced</w:t>
      </w:r>
      <w:r>
        <w:rPr>
          <w:spacing w:val="-3"/>
        </w:rPr>
        <w:t> </w:t>
      </w:r>
      <w:r>
        <w:rPr/>
        <w:t>how</w:t>
      </w:r>
      <w:r>
        <w:rPr>
          <w:spacing w:val="-3"/>
        </w:rPr>
        <w:t> </w:t>
      </w:r>
      <w:r>
        <w:rPr/>
        <w:t>employees</w:t>
      </w:r>
      <w:r>
        <w:rPr>
          <w:spacing w:val="-3"/>
        </w:rPr>
        <w:t> </w:t>
      </w:r>
      <w:r>
        <w:rPr/>
        <w:t>explained</w:t>
      </w:r>
      <w:r>
        <w:rPr>
          <w:spacing w:val="-3"/>
        </w:rPr>
        <w:t> </w:t>
      </w:r>
      <w:r>
        <w:rPr/>
        <w:t>and</w:t>
      </w:r>
      <w:r>
        <w:rPr>
          <w:spacing w:val="-3"/>
        </w:rPr>
        <w:t> </w:t>
      </w:r>
      <w:r>
        <w:rPr/>
        <w:t>interpreted supervisor incivility, the findings highlighted the limited role supervisory titling has in </w:t>
      </w:r>
      <w:r>
        <w:rPr/>
        <w:t>shaping incivility explanations, while highlighting the</w:t>
      </w:r>
      <w:r>
        <w:rPr>
          <w:spacing w:val="-3"/>
        </w:rPr>
        <w:t> </w:t>
      </w:r>
      <w:r>
        <w:rPr/>
        <w:t>importance</w:t>
      </w:r>
      <w:r>
        <w:rPr>
          <w:spacing w:val="-3"/>
        </w:rPr>
        <w:t> </w:t>
      </w:r>
      <w:r>
        <w:rPr/>
        <w:t>of</w:t>
      </w:r>
      <w:r>
        <w:rPr>
          <w:spacing w:val="-3"/>
        </w:rPr>
        <w:t> </w:t>
      </w:r>
      <w:r>
        <w:rPr/>
        <w:t>explanatory</w:t>
      </w:r>
      <w:r>
        <w:rPr>
          <w:spacing w:val="-3"/>
        </w:rPr>
        <w:t> </w:t>
      </w:r>
      <w:r>
        <w:rPr/>
        <w:t>structures</w:t>
      </w:r>
      <w:r>
        <w:rPr>
          <w:spacing w:val="-3"/>
        </w:rPr>
        <w:t> </w:t>
      </w:r>
      <w:r>
        <w:rPr/>
        <w:t>and</w:t>
      </w:r>
      <w:r>
        <w:rPr>
          <w:spacing w:val="-3"/>
        </w:rPr>
        <w:t> </w:t>
      </w:r>
      <w:r>
        <w:rPr/>
        <w:t>relational context. In addition, the study demonstrates the value of the folk theory of mind framework in helping explain how employees interpret supervisors’ actions in the workplace. Presentation of this work at ARBS is expected to create discussion</w:t>
      </w:r>
      <w:r>
        <w:rPr>
          <w:spacing w:val="-2"/>
        </w:rPr>
        <w:t> </w:t>
      </w:r>
      <w:r>
        <w:rPr/>
        <w:t>regarding</w:t>
      </w:r>
      <w:r>
        <w:rPr>
          <w:spacing w:val="-2"/>
        </w:rPr>
        <w:t> </w:t>
      </w:r>
      <w:r>
        <w:rPr/>
        <w:t>the</w:t>
      </w:r>
      <w:r>
        <w:rPr>
          <w:spacing w:val="-2"/>
        </w:rPr>
        <w:t> </w:t>
      </w:r>
      <w:r>
        <w:rPr/>
        <w:t>methodological</w:t>
      </w:r>
      <w:r>
        <w:rPr>
          <w:spacing w:val="-2"/>
        </w:rPr>
        <w:t> </w:t>
      </w:r>
      <w:r>
        <w:rPr/>
        <w:t>implications</w:t>
      </w:r>
      <w:r>
        <w:rPr>
          <w:spacing w:val="-2"/>
        </w:rPr>
        <w:t> </w:t>
      </w:r>
      <w:r>
        <w:rPr/>
        <w:t>of leadership language in organizational research and the practical consequences of how organizations use leader and manager titles in everyday workplace contexts.</w:t>
      </w:r>
    </w:p>
    <w:p>
      <w:pPr>
        <w:pStyle w:val="Heading4"/>
        <w:spacing w:before="271"/>
        <w:ind w:left="727"/>
      </w:pPr>
      <w:r>
        <w:rPr>
          <w:spacing w:val="-2"/>
        </w:rPr>
        <w:t>References</w:t>
      </w:r>
    </w:p>
    <w:p>
      <w:pPr>
        <w:pStyle w:val="BodyText"/>
        <w:spacing w:line="230" w:lineRule="auto" w:before="271"/>
        <w:ind w:left="727" w:right="1191"/>
      </w:pPr>
      <w:r>
        <w:rPr/>
        <w:t>Andersson,</w:t>
      </w:r>
      <w:r>
        <w:rPr>
          <w:spacing w:val="-3"/>
        </w:rPr>
        <w:t> </w:t>
      </w:r>
      <w:r>
        <w:rPr/>
        <w:t>L.</w:t>
      </w:r>
      <w:r>
        <w:rPr>
          <w:spacing w:val="-3"/>
        </w:rPr>
        <w:t> </w:t>
      </w:r>
      <w:r>
        <w:rPr/>
        <w:t>M.,</w:t>
      </w:r>
      <w:r>
        <w:rPr>
          <w:spacing w:val="-3"/>
        </w:rPr>
        <w:t> </w:t>
      </w:r>
      <w:r>
        <w:rPr/>
        <w:t>&amp;</w:t>
      </w:r>
      <w:r>
        <w:rPr>
          <w:spacing w:val="-3"/>
        </w:rPr>
        <w:t> </w:t>
      </w:r>
      <w:r>
        <w:rPr/>
        <w:t>Pearson,</w:t>
      </w:r>
      <w:r>
        <w:rPr>
          <w:spacing w:val="-3"/>
        </w:rPr>
        <w:t> </w:t>
      </w:r>
      <w:r>
        <w:rPr/>
        <w:t>C.</w:t>
      </w:r>
      <w:r>
        <w:rPr>
          <w:spacing w:val="-3"/>
        </w:rPr>
        <w:t> </w:t>
      </w:r>
      <w:r>
        <w:rPr/>
        <w:t>M.</w:t>
      </w:r>
      <w:r>
        <w:rPr>
          <w:spacing w:val="-3"/>
        </w:rPr>
        <w:t> </w:t>
      </w:r>
      <w:r>
        <w:rPr/>
        <w:t>(1999).</w:t>
      </w:r>
      <w:r>
        <w:rPr>
          <w:spacing w:val="-3"/>
        </w:rPr>
        <w:t> </w:t>
      </w:r>
      <w:r>
        <w:rPr/>
        <w:t>Tit</w:t>
      </w:r>
      <w:r>
        <w:rPr>
          <w:spacing w:val="-3"/>
        </w:rPr>
        <w:t> </w:t>
      </w:r>
      <w:r>
        <w:rPr/>
        <w:t>for</w:t>
      </w:r>
      <w:r>
        <w:rPr>
          <w:spacing w:val="-3"/>
        </w:rPr>
        <w:t> </w:t>
      </w:r>
      <w:r>
        <w:rPr/>
        <w:t>tat?</w:t>
      </w:r>
      <w:r>
        <w:rPr>
          <w:spacing w:val="-3"/>
        </w:rPr>
        <w:t> </w:t>
      </w:r>
      <w:r>
        <w:rPr/>
        <w:t>The</w:t>
      </w:r>
      <w:r>
        <w:rPr>
          <w:spacing w:val="-3"/>
        </w:rPr>
        <w:t> </w:t>
      </w:r>
      <w:r>
        <w:rPr/>
        <w:t>spiraling</w:t>
      </w:r>
      <w:r>
        <w:rPr>
          <w:spacing w:val="-3"/>
        </w:rPr>
        <w:t> </w:t>
      </w:r>
      <w:r>
        <w:rPr/>
        <w:t>effect</w:t>
      </w:r>
      <w:r>
        <w:rPr>
          <w:spacing w:val="-3"/>
        </w:rPr>
        <w:t> </w:t>
      </w:r>
      <w:r>
        <w:rPr/>
        <w:t>of</w:t>
      </w:r>
      <w:r>
        <w:rPr>
          <w:spacing w:val="-3"/>
        </w:rPr>
        <w:t> </w:t>
      </w:r>
      <w:r>
        <w:rPr/>
        <w:t>incivility</w:t>
      </w:r>
      <w:r>
        <w:rPr>
          <w:spacing w:val="-3"/>
        </w:rPr>
        <w:t> </w:t>
      </w:r>
      <w:r>
        <w:rPr/>
        <w:t>in</w:t>
      </w:r>
      <w:r>
        <w:rPr>
          <w:spacing w:val="-3"/>
        </w:rPr>
        <w:t> </w:t>
      </w:r>
      <w:r>
        <w:rPr/>
        <w:t>the workplace. </w:t>
      </w:r>
      <w:r>
        <w:rPr>
          <w:i/>
        </w:rPr>
        <w:t>Academy of Management Review</w:t>
      </w:r>
      <w:r>
        <w:rPr/>
        <w:t>, </w:t>
      </w:r>
      <w:r>
        <w:rPr>
          <w:i/>
        </w:rPr>
        <w:t>24</w:t>
      </w:r>
      <w:r>
        <w:rPr/>
        <w:t>(3), 452-471.</w:t>
      </w:r>
    </w:p>
    <w:p>
      <w:pPr>
        <w:pStyle w:val="BodyText"/>
        <w:spacing w:before="5"/>
      </w:pPr>
    </w:p>
    <w:p>
      <w:pPr>
        <w:spacing w:line="230" w:lineRule="auto" w:before="0"/>
        <w:ind w:left="727" w:right="1381" w:firstLine="0"/>
        <w:jc w:val="left"/>
        <w:rPr>
          <w:sz w:val="24"/>
        </w:rPr>
      </w:pPr>
      <w:r>
        <w:rPr>
          <w:sz w:val="24"/>
        </w:rPr>
        <w:t>Cortina,</w:t>
      </w:r>
      <w:r>
        <w:rPr>
          <w:spacing w:val="-6"/>
          <w:sz w:val="24"/>
        </w:rPr>
        <w:t> </w:t>
      </w:r>
      <w:r>
        <w:rPr>
          <w:sz w:val="24"/>
        </w:rPr>
        <w:t>L.</w:t>
      </w:r>
      <w:r>
        <w:rPr>
          <w:spacing w:val="-6"/>
          <w:sz w:val="24"/>
        </w:rPr>
        <w:t> </w:t>
      </w:r>
      <w:r>
        <w:rPr>
          <w:sz w:val="24"/>
        </w:rPr>
        <w:t>M.,</w:t>
      </w:r>
      <w:r>
        <w:rPr>
          <w:spacing w:val="-6"/>
          <w:sz w:val="24"/>
        </w:rPr>
        <w:t> </w:t>
      </w:r>
      <w:r>
        <w:rPr>
          <w:sz w:val="24"/>
        </w:rPr>
        <w:t>Magley,</w:t>
      </w:r>
      <w:r>
        <w:rPr>
          <w:spacing w:val="-6"/>
          <w:sz w:val="24"/>
        </w:rPr>
        <w:t> </w:t>
      </w:r>
      <w:r>
        <w:rPr>
          <w:sz w:val="24"/>
        </w:rPr>
        <w:t>V.</w:t>
      </w:r>
      <w:r>
        <w:rPr>
          <w:spacing w:val="-6"/>
          <w:sz w:val="24"/>
        </w:rPr>
        <w:t> </w:t>
      </w:r>
      <w:r>
        <w:rPr>
          <w:sz w:val="24"/>
        </w:rPr>
        <w:t>J.,</w:t>
      </w:r>
      <w:r>
        <w:rPr>
          <w:spacing w:val="-6"/>
          <w:sz w:val="24"/>
        </w:rPr>
        <w:t> </w:t>
      </w:r>
      <w:r>
        <w:rPr>
          <w:sz w:val="24"/>
        </w:rPr>
        <w:t>Williams,</w:t>
      </w:r>
      <w:r>
        <w:rPr>
          <w:spacing w:val="-6"/>
          <w:sz w:val="24"/>
        </w:rPr>
        <w:t> </w:t>
      </w:r>
      <w:r>
        <w:rPr>
          <w:sz w:val="24"/>
        </w:rPr>
        <w:t>J.</w:t>
      </w:r>
      <w:r>
        <w:rPr>
          <w:spacing w:val="-6"/>
          <w:sz w:val="24"/>
        </w:rPr>
        <w:t> </w:t>
      </w:r>
      <w:r>
        <w:rPr>
          <w:sz w:val="24"/>
        </w:rPr>
        <w:t>H.,</w:t>
      </w:r>
      <w:r>
        <w:rPr>
          <w:spacing w:val="-6"/>
          <w:sz w:val="24"/>
        </w:rPr>
        <w:t> </w:t>
      </w:r>
      <w:r>
        <w:rPr>
          <w:sz w:val="24"/>
        </w:rPr>
        <w:t>&amp;</w:t>
      </w:r>
      <w:r>
        <w:rPr>
          <w:spacing w:val="-6"/>
          <w:sz w:val="24"/>
        </w:rPr>
        <w:t> </w:t>
      </w:r>
      <w:r>
        <w:rPr>
          <w:sz w:val="24"/>
        </w:rPr>
        <w:t>Langhout,</w:t>
      </w:r>
      <w:r>
        <w:rPr>
          <w:spacing w:val="-6"/>
          <w:sz w:val="24"/>
        </w:rPr>
        <w:t> </w:t>
      </w:r>
      <w:r>
        <w:rPr>
          <w:sz w:val="24"/>
        </w:rPr>
        <w:t>R.</w:t>
      </w:r>
      <w:r>
        <w:rPr>
          <w:spacing w:val="-6"/>
          <w:sz w:val="24"/>
        </w:rPr>
        <w:t> </w:t>
      </w:r>
      <w:r>
        <w:rPr>
          <w:sz w:val="24"/>
        </w:rPr>
        <w:t>D.</w:t>
      </w:r>
      <w:r>
        <w:rPr>
          <w:spacing w:val="-6"/>
          <w:sz w:val="24"/>
        </w:rPr>
        <w:t> </w:t>
      </w:r>
      <w:r>
        <w:rPr>
          <w:sz w:val="24"/>
        </w:rPr>
        <w:t>(2001).</w:t>
      </w:r>
      <w:r>
        <w:rPr>
          <w:spacing w:val="-6"/>
          <w:sz w:val="24"/>
        </w:rPr>
        <w:t> </w:t>
      </w:r>
      <w:r>
        <w:rPr>
          <w:sz w:val="24"/>
        </w:rPr>
        <w:t>Incivility</w:t>
      </w:r>
      <w:r>
        <w:rPr>
          <w:spacing w:val="-6"/>
          <w:sz w:val="24"/>
        </w:rPr>
        <w:t> </w:t>
      </w:r>
      <w:r>
        <w:rPr>
          <w:sz w:val="24"/>
        </w:rPr>
        <w:t>in</w:t>
      </w:r>
      <w:r>
        <w:rPr>
          <w:spacing w:val="-6"/>
          <w:sz w:val="24"/>
        </w:rPr>
        <w:t> </w:t>
      </w:r>
      <w:r>
        <w:rPr>
          <w:sz w:val="24"/>
        </w:rPr>
        <w:t>the workplace: incidence and impact. </w:t>
      </w:r>
      <w:r>
        <w:rPr>
          <w:i/>
          <w:sz w:val="24"/>
        </w:rPr>
        <w:t>Journal of Occupational Health Psychology, 6</w:t>
      </w:r>
      <w:r>
        <w:rPr>
          <w:sz w:val="24"/>
        </w:rPr>
        <w:t>(1), 64.</w:t>
      </w:r>
    </w:p>
    <w:p>
      <w:pPr>
        <w:spacing w:after="0" w:line="230" w:lineRule="auto"/>
        <w:jc w:val="left"/>
        <w:rPr>
          <w:sz w:val="24"/>
        </w:rPr>
        <w:sectPr>
          <w:pgSz w:w="12240" w:h="15840"/>
          <w:pgMar w:header="0" w:footer="707" w:top="740" w:bottom="960" w:left="720" w:right="0"/>
        </w:sectPr>
      </w:pPr>
    </w:p>
    <w:p>
      <w:pPr>
        <w:pStyle w:val="BodyText"/>
        <w:spacing w:line="225" w:lineRule="auto" w:before="52"/>
        <w:ind w:left="727" w:right="1378"/>
        <w:jc w:val="both"/>
      </w:pPr>
      <w:r>
        <w:rPr/>
        <w:t>Han, S., Harold, C.</w:t>
      </w:r>
      <w:r>
        <w:rPr>
          <w:spacing w:val="-1"/>
        </w:rPr>
        <w:t> </w:t>
      </w:r>
      <w:r>
        <w:rPr/>
        <w:t>M.,</w:t>
      </w:r>
      <w:r>
        <w:rPr>
          <w:spacing w:val="-1"/>
        </w:rPr>
        <w:t> </w:t>
      </w:r>
      <w:r>
        <w:rPr/>
        <w:t>Oh,</w:t>
      </w:r>
      <w:r>
        <w:rPr>
          <w:spacing w:val="-1"/>
        </w:rPr>
        <w:t> </w:t>
      </w:r>
      <w:r>
        <w:rPr/>
        <w:t>I.</w:t>
      </w:r>
      <w:r>
        <w:rPr>
          <w:spacing w:val="-1"/>
        </w:rPr>
        <w:t> </w:t>
      </w:r>
      <w:r>
        <w:rPr/>
        <w:t>S.,</w:t>
      </w:r>
      <w:r>
        <w:rPr>
          <w:spacing w:val="-1"/>
        </w:rPr>
        <w:t> </w:t>
      </w:r>
      <w:r>
        <w:rPr/>
        <w:t>Kim,</w:t>
      </w:r>
      <w:r>
        <w:rPr>
          <w:spacing w:val="-1"/>
        </w:rPr>
        <w:t> </w:t>
      </w:r>
      <w:r>
        <w:rPr/>
        <w:t>J.</w:t>
      </w:r>
      <w:r>
        <w:rPr>
          <w:spacing w:val="-1"/>
        </w:rPr>
        <w:t> </w:t>
      </w:r>
      <w:r>
        <w:rPr/>
        <w:t>K.,</w:t>
      </w:r>
      <w:r>
        <w:rPr>
          <w:spacing w:val="-1"/>
        </w:rPr>
        <w:t> </w:t>
      </w:r>
      <w:r>
        <w:rPr/>
        <w:t>&amp;</w:t>
      </w:r>
      <w:r>
        <w:rPr>
          <w:spacing w:val="-1"/>
        </w:rPr>
        <w:t> </w:t>
      </w:r>
      <w:r>
        <w:rPr/>
        <w:t>Agolli,</w:t>
      </w:r>
      <w:r>
        <w:rPr>
          <w:spacing w:val="-1"/>
        </w:rPr>
        <w:t> </w:t>
      </w:r>
      <w:r>
        <w:rPr/>
        <w:t>A.</w:t>
      </w:r>
      <w:r>
        <w:rPr>
          <w:spacing w:val="-1"/>
        </w:rPr>
        <w:t> </w:t>
      </w:r>
      <w:r>
        <w:rPr/>
        <w:t>(2022).</w:t>
      </w:r>
      <w:r>
        <w:rPr>
          <w:spacing w:val="-1"/>
        </w:rPr>
        <w:t> </w:t>
      </w:r>
      <w:r>
        <w:rPr/>
        <w:t>A</w:t>
      </w:r>
      <w:r>
        <w:rPr>
          <w:spacing w:val="-1"/>
        </w:rPr>
        <w:t> </w:t>
      </w:r>
      <w:r>
        <w:rPr/>
        <w:t>meta</w:t>
      </w:r>
      <w:r>
        <w:rPr>
          <w:rFonts w:ascii="Segoe UI Symbol"/>
        </w:rPr>
        <w:t>-</w:t>
      </w:r>
      <w:r>
        <w:rPr/>
        <w:t>analysis</w:t>
      </w:r>
      <w:r>
        <w:rPr>
          <w:spacing w:val="-1"/>
        </w:rPr>
        <w:t> </w:t>
      </w:r>
      <w:r>
        <w:rPr/>
        <w:t>integrating</w:t>
      </w:r>
      <w:r>
        <w:rPr>
          <w:spacing w:val="-1"/>
        </w:rPr>
        <w:t> </w:t>
      </w:r>
      <w:r>
        <w:rPr/>
        <w:t>20 years of workplace incivility research: Antecedents, consequences, and boundary</w:t>
      </w:r>
      <w:r>
        <w:rPr>
          <w:spacing w:val="40"/>
        </w:rPr>
        <w:t> </w:t>
      </w:r>
      <w:r>
        <w:rPr/>
        <w:t>conditions. </w:t>
      </w:r>
      <w:r>
        <w:rPr>
          <w:i/>
        </w:rPr>
        <w:t>Journal of Organizational Behavior</w:t>
      </w:r>
      <w:r>
        <w:rPr/>
        <w:t>, </w:t>
      </w:r>
      <w:r>
        <w:rPr>
          <w:i/>
        </w:rPr>
        <w:t>43</w:t>
      </w:r>
      <w:r>
        <w:rPr/>
        <w:t>(3), 497-523.</w:t>
      </w:r>
    </w:p>
    <w:p>
      <w:pPr>
        <w:pStyle w:val="BodyText"/>
        <w:spacing w:before="8"/>
      </w:pPr>
    </w:p>
    <w:p>
      <w:pPr>
        <w:spacing w:line="230" w:lineRule="auto" w:before="0"/>
        <w:ind w:left="727" w:right="1191" w:firstLine="0"/>
        <w:jc w:val="left"/>
        <w:rPr>
          <w:sz w:val="24"/>
        </w:rPr>
      </w:pPr>
      <w:r>
        <w:rPr>
          <w:sz w:val="24"/>
        </w:rPr>
        <w:t>Kotter,</w:t>
      </w:r>
      <w:r>
        <w:rPr>
          <w:spacing w:val="-7"/>
          <w:sz w:val="24"/>
        </w:rPr>
        <w:t> </w:t>
      </w:r>
      <w:r>
        <w:rPr>
          <w:sz w:val="24"/>
        </w:rPr>
        <w:t>J.</w:t>
      </w:r>
      <w:r>
        <w:rPr>
          <w:spacing w:val="-7"/>
          <w:sz w:val="24"/>
        </w:rPr>
        <w:t> </w:t>
      </w:r>
      <w:r>
        <w:rPr>
          <w:sz w:val="24"/>
        </w:rPr>
        <w:t>P.</w:t>
      </w:r>
      <w:r>
        <w:rPr>
          <w:spacing w:val="-7"/>
          <w:sz w:val="24"/>
        </w:rPr>
        <w:t> </w:t>
      </w:r>
      <w:r>
        <w:rPr>
          <w:sz w:val="24"/>
        </w:rPr>
        <w:t>(1990).</w:t>
      </w:r>
      <w:r>
        <w:rPr>
          <w:spacing w:val="-7"/>
          <w:sz w:val="24"/>
        </w:rPr>
        <w:t> </w:t>
      </w:r>
      <w:r>
        <w:rPr>
          <w:i/>
          <w:sz w:val="24"/>
        </w:rPr>
        <w:t>A</w:t>
      </w:r>
      <w:r>
        <w:rPr>
          <w:i/>
          <w:spacing w:val="-7"/>
          <w:sz w:val="24"/>
        </w:rPr>
        <w:t> </w:t>
      </w:r>
      <w:r>
        <w:rPr>
          <w:i/>
          <w:sz w:val="24"/>
        </w:rPr>
        <w:t>force</w:t>
      </w:r>
      <w:r>
        <w:rPr>
          <w:i/>
          <w:spacing w:val="-7"/>
          <w:sz w:val="24"/>
        </w:rPr>
        <w:t> </w:t>
      </w:r>
      <w:r>
        <w:rPr>
          <w:i/>
          <w:sz w:val="24"/>
        </w:rPr>
        <w:t>for</w:t>
      </w:r>
      <w:r>
        <w:rPr>
          <w:i/>
          <w:spacing w:val="-7"/>
          <w:sz w:val="24"/>
        </w:rPr>
        <w:t> </w:t>
      </w:r>
      <w:r>
        <w:rPr>
          <w:i/>
          <w:sz w:val="24"/>
        </w:rPr>
        <w:t>change:</w:t>
      </w:r>
      <w:r>
        <w:rPr>
          <w:i/>
          <w:spacing w:val="-7"/>
          <w:sz w:val="24"/>
        </w:rPr>
        <w:t> </w:t>
      </w:r>
      <w:r>
        <w:rPr>
          <w:i/>
          <w:sz w:val="24"/>
        </w:rPr>
        <w:t>How</w:t>
      </w:r>
      <w:r>
        <w:rPr>
          <w:i/>
          <w:spacing w:val="-7"/>
          <w:sz w:val="24"/>
        </w:rPr>
        <w:t> </w:t>
      </w:r>
      <w:r>
        <w:rPr>
          <w:i/>
          <w:sz w:val="24"/>
        </w:rPr>
        <w:t>leadership</w:t>
      </w:r>
      <w:r>
        <w:rPr>
          <w:i/>
          <w:spacing w:val="-7"/>
          <w:sz w:val="24"/>
        </w:rPr>
        <w:t> </w:t>
      </w:r>
      <w:r>
        <w:rPr>
          <w:i/>
          <w:sz w:val="24"/>
        </w:rPr>
        <w:t>differs</w:t>
      </w:r>
      <w:r>
        <w:rPr>
          <w:i/>
          <w:spacing w:val="-7"/>
          <w:sz w:val="24"/>
        </w:rPr>
        <w:t> </w:t>
      </w:r>
      <w:r>
        <w:rPr>
          <w:i/>
          <w:sz w:val="24"/>
        </w:rPr>
        <w:t>from</w:t>
      </w:r>
      <w:r>
        <w:rPr>
          <w:i/>
          <w:spacing w:val="-7"/>
          <w:sz w:val="24"/>
        </w:rPr>
        <w:t> </w:t>
      </w:r>
      <w:r>
        <w:rPr>
          <w:i/>
          <w:sz w:val="24"/>
        </w:rPr>
        <w:t>management</w:t>
      </w:r>
      <w:r>
        <w:rPr>
          <w:sz w:val="24"/>
        </w:rPr>
        <w:t>.</w:t>
      </w:r>
      <w:r>
        <w:rPr>
          <w:spacing w:val="-7"/>
          <w:sz w:val="24"/>
        </w:rPr>
        <w:t> </w:t>
      </w:r>
      <w:r>
        <w:rPr>
          <w:sz w:val="24"/>
        </w:rPr>
        <w:t>Simon</w:t>
      </w:r>
      <w:r>
        <w:rPr>
          <w:spacing w:val="-7"/>
          <w:sz w:val="24"/>
        </w:rPr>
        <w:t> </w:t>
      </w:r>
      <w:r>
        <w:rPr>
          <w:sz w:val="24"/>
        </w:rPr>
        <w:t>and Schuster: New York.</w:t>
      </w:r>
    </w:p>
    <w:p>
      <w:pPr>
        <w:pStyle w:val="BodyText"/>
        <w:spacing w:before="5"/>
      </w:pPr>
    </w:p>
    <w:p>
      <w:pPr>
        <w:pStyle w:val="BodyText"/>
        <w:spacing w:line="230" w:lineRule="auto"/>
        <w:ind w:left="727" w:right="3254"/>
      </w:pPr>
      <w:r>
        <w:rPr/>
        <w:t>Kotter, J.P. (2013). Management Is (Still) Not Leadership. Retrieved from: </w:t>
      </w:r>
      <w:hyperlink r:id="rId257">
        <w:r>
          <w:rPr>
            <w:spacing w:val="-2"/>
          </w:rPr>
          <w:t>https://hbr.org/2013/01/management-is-still-not-</w:t>
        </w:r>
        <w:r>
          <w:rPr>
            <w:spacing w:val="-2"/>
          </w:rPr>
          <w:t>leadership?autocomplete=true</w:t>
        </w:r>
      </w:hyperlink>
    </w:p>
    <w:p>
      <w:pPr>
        <w:pStyle w:val="BodyText"/>
        <w:spacing w:before="5"/>
      </w:pPr>
    </w:p>
    <w:p>
      <w:pPr>
        <w:pStyle w:val="BodyText"/>
        <w:spacing w:line="230" w:lineRule="auto"/>
        <w:ind w:left="727" w:right="1619"/>
      </w:pPr>
      <w:r>
        <w:rPr/>
        <w:t>Learmonth,</w:t>
      </w:r>
      <w:r>
        <w:rPr>
          <w:spacing w:val="-4"/>
        </w:rPr>
        <w:t> </w:t>
      </w:r>
      <w:r>
        <w:rPr/>
        <w:t>M.,</w:t>
      </w:r>
      <w:r>
        <w:rPr>
          <w:spacing w:val="-4"/>
        </w:rPr>
        <w:t> </w:t>
      </w:r>
      <w:r>
        <w:rPr/>
        <w:t>&amp;</w:t>
      </w:r>
      <w:r>
        <w:rPr>
          <w:spacing w:val="-4"/>
        </w:rPr>
        <w:t> </w:t>
      </w:r>
      <w:r>
        <w:rPr/>
        <w:t>Morrell,</w:t>
      </w:r>
      <w:r>
        <w:rPr>
          <w:spacing w:val="-4"/>
        </w:rPr>
        <w:t> </w:t>
      </w:r>
      <w:r>
        <w:rPr/>
        <w:t>K.</w:t>
      </w:r>
      <w:r>
        <w:rPr>
          <w:spacing w:val="-4"/>
        </w:rPr>
        <w:t> </w:t>
      </w:r>
      <w:r>
        <w:rPr/>
        <w:t>(2021).</w:t>
      </w:r>
      <w:r>
        <w:rPr>
          <w:spacing w:val="-4"/>
        </w:rPr>
        <w:t> </w:t>
      </w:r>
      <w:r>
        <w:rPr/>
        <w:t>Leadership</w:t>
      </w:r>
      <w:r>
        <w:rPr>
          <w:spacing w:val="-4"/>
        </w:rPr>
        <w:t> </w:t>
      </w:r>
      <w:r>
        <w:rPr/>
        <w:t>as</w:t>
      </w:r>
      <w:r>
        <w:rPr>
          <w:spacing w:val="-4"/>
        </w:rPr>
        <w:t> </w:t>
      </w:r>
      <w:r>
        <w:rPr/>
        <w:t>a</w:t>
      </w:r>
      <w:r>
        <w:rPr>
          <w:spacing w:val="-4"/>
        </w:rPr>
        <w:t> </w:t>
      </w:r>
      <w:r>
        <w:rPr/>
        <w:t>Project:</w:t>
      </w:r>
      <w:r>
        <w:rPr>
          <w:spacing w:val="-4"/>
        </w:rPr>
        <w:t> </w:t>
      </w:r>
      <w:r>
        <w:rPr/>
        <w:t>Neoliberalism</w:t>
      </w:r>
      <w:r>
        <w:rPr>
          <w:spacing w:val="-4"/>
        </w:rPr>
        <w:t> </w:t>
      </w:r>
      <w:r>
        <w:rPr/>
        <w:t>and</w:t>
      </w:r>
      <w:r>
        <w:rPr>
          <w:spacing w:val="-4"/>
        </w:rPr>
        <w:t> </w:t>
      </w:r>
      <w:r>
        <w:rPr/>
        <w:t>the Proliferation</w:t>
      </w:r>
      <w:r>
        <w:rPr>
          <w:spacing w:val="40"/>
        </w:rPr>
        <w:t> </w:t>
      </w:r>
      <w:r>
        <w:rPr/>
        <w:t>of ‘Leaders. </w:t>
      </w:r>
      <w:r>
        <w:rPr>
          <w:i/>
        </w:rPr>
        <w:t>Organization Theory, 2</w:t>
      </w:r>
      <w:r>
        <w:rPr/>
        <w:t>(4), 1-19.</w:t>
      </w:r>
    </w:p>
    <w:p>
      <w:pPr>
        <w:pStyle w:val="BodyText"/>
        <w:spacing w:before="5"/>
      </w:pPr>
    </w:p>
    <w:p>
      <w:pPr>
        <w:pStyle w:val="BodyText"/>
        <w:spacing w:line="230" w:lineRule="auto"/>
        <w:ind w:left="712" w:right="1379" w:firstLine="15"/>
        <w:jc w:val="both"/>
      </w:pPr>
      <w:r>
        <w:rPr/>
        <w:t>Liu, D., Liao,</w:t>
      </w:r>
      <w:r>
        <w:rPr>
          <w:spacing w:val="-2"/>
        </w:rPr>
        <w:t> </w:t>
      </w:r>
      <w:r>
        <w:rPr/>
        <w:t>H.,</w:t>
      </w:r>
      <w:r>
        <w:rPr>
          <w:spacing w:val="-2"/>
        </w:rPr>
        <w:t> </w:t>
      </w:r>
      <w:r>
        <w:rPr/>
        <w:t>&amp;</w:t>
      </w:r>
      <w:r>
        <w:rPr>
          <w:spacing w:val="-2"/>
        </w:rPr>
        <w:t> </w:t>
      </w:r>
      <w:r>
        <w:rPr/>
        <w:t>Loi,</w:t>
      </w:r>
      <w:r>
        <w:rPr>
          <w:spacing w:val="-2"/>
        </w:rPr>
        <w:t> </w:t>
      </w:r>
      <w:r>
        <w:rPr/>
        <w:t>R.</w:t>
      </w:r>
      <w:r>
        <w:rPr>
          <w:spacing w:val="-2"/>
        </w:rPr>
        <w:t> </w:t>
      </w:r>
      <w:r>
        <w:rPr/>
        <w:t>(2012).</w:t>
      </w:r>
      <w:r>
        <w:rPr>
          <w:spacing w:val="-2"/>
        </w:rPr>
        <w:t> </w:t>
      </w:r>
      <w:r>
        <w:rPr/>
        <w:t>The</w:t>
      </w:r>
      <w:r>
        <w:rPr>
          <w:spacing w:val="-2"/>
        </w:rPr>
        <w:t> </w:t>
      </w:r>
      <w:r>
        <w:rPr/>
        <w:t>dark</w:t>
      </w:r>
      <w:r>
        <w:rPr>
          <w:spacing w:val="-2"/>
        </w:rPr>
        <w:t> </w:t>
      </w:r>
      <w:r>
        <w:rPr/>
        <w:t>side</w:t>
      </w:r>
      <w:r>
        <w:rPr>
          <w:spacing w:val="-2"/>
        </w:rPr>
        <w:t> </w:t>
      </w:r>
      <w:r>
        <w:rPr/>
        <w:t>of</w:t>
      </w:r>
      <w:r>
        <w:rPr>
          <w:spacing w:val="-2"/>
        </w:rPr>
        <w:t> </w:t>
      </w:r>
      <w:r>
        <w:rPr/>
        <w:t>leadership:</w:t>
      </w:r>
      <w:r>
        <w:rPr>
          <w:spacing w:val="-2"/>
        </w:rPr>
        <w:t> </w:t>
      </w:r>
      <w:r>
        <w:rPr/>
        <w:t>A</w:t>
      </w:r>
      <w:r>
        <w:rPr>
          <w:spacing w:val="-2"/>
        </w:rPr>
        <w:t> </w:t>
      </w:r>
      <w:r>
        <w:rPr/>
        <w:t>three-level</w:t>
      </w:r>
      <w:r>
        <w:rPr>
          <w:spacing w:val="-2"/>
        </w:rPr>
        <w:t> </w:t>
      </w:r>
      <w:r>
        <w:rPr/>
        <w:t>investigation</w:t>
      </w:r>
      <w:r>
        <w:rPr>
          <w:spacing w:val="-2"/>
        </w:rPr>
        <w:t> </w:t>
      </w:r>
      <w:r>
        <w:rPr/>
        <w:t>of</w:t>
      </w:r>
      <w:r>
        <w:rPr>
          <w:spacing w:val="-2"/>
        </w:rPr>
        <w:t> </w:t>
      </w:r>
      <w:r>
        <w:rPr/>
        <w:t>the cascading effect of abusive supervision on employee creativity. </w:t>
      </w:r>
      <w:r>
        <w:rPr>
          <w:i/>
        </w:rPr>
        <w:t>Academy of </w:t>
      </w:r>
      <w:r>
        <w:rPr>
          <w:i/>
        </w:rPr>
        <w:t>Management</w:t>
      </w:r>
      <w:r>
        <w:rPr>
          <w:i/>
          <w:spacing w:val="40"/>
        </w:rPr>
        <w:t> </w:t>
      </w:r>
      <w:r>
        <w:rPr>
          <w:i/>
        </w:rPr>
        <w:t>Journal</w:t>
      </w:r>
      <w:r>
        <w:rPr/>
        <w:t>, </w:t>
      </w:r>
      <w:r>
        <w:rPr>
          <w:i/>
        </w:rPr>
        <w:t>55</w:t>
      </w:r>
      <w:r>
        <w:rPr/>
        <w:t>(5), 1187-1212.</w:t>
      </w:r>
    </w:p>
    <w:p>
      <w:pPr>
        <w:pStyle w:val="BodyText"/>
        <w:spacing w:before="4"/>
      </w:pPr>
    </w:p>
    <w:p>
      <w:pPr>
        <w:pStyle w:val="BodyText"/>
        <w:spacing w:line="230" w:lineRule="auto"/>
        <w:ind w:left="712" w:right="1383" w:firstLine="15"/>
        <w:jc w:val="both"/>
      </w:pPr>
      <w:r>
        <w:rPr/>
        <w:t>Low, C. H., Bordia, P., &amp; Bordia, S. (2016). What do employees want and why?</w:t>
      </w:r>
      <w:r>
        <w:rPr>
          <w:spacing w:val="-5"/>
        </w:rPr>
        <w:t> </w:t>
      </w:r>
      <w:r>
        <w:rPr/>
        <w:t>An</w:t>
      </w:r>
      <w:r>
        <w:rPr>
          <w:spacing w:val="-5"/>
        </w:rPr>
        <w:t> </w:t>
      </w:r>
      <w:r>
        <w:rPr/>
        <w:t>exploration of employees’ preferred psychological contract elements across career</w:t>
      </w:r>
      <w:r>
        <w:rPr>
          <w:spacing w:val="-3"/>
        </w:rPr>
        <w:t> </w:t>
      </w:r>
      <w:r>
        <w:rPr/>
        <w:t>stages.</w:t>
      </w:r>
      <w:r>
        <w:rPr>
          <w:spacing w:val="-3"/>
        </w:rPr>
        <w:t> </w:t>
      </w:r>
      <w:r>
        <w:rPr>
          <w:i/>
        </w:rPr>
        <w:t>Human</w:t>
      </w:r>
      <w:r>
        <w:rPr>
          <w:i/>
          <w:spacing w:val="40"/>
        </w:rPr>
        <w:t> </w:t>
      </w:r>
      <w:r>
        <w:rPr>
          <w:i/>
        </w:rPr>
        <w:t>Relations</w:t>
      </w:r>
      <w:r>
        <w:rPr/>
        <w:t>, </w:t>
      </w:r>
      <w:r>
        <w:rPr>
          <w:i/>
        </w:rPr>
        <w:t>69</w:t>
      </w:r>
      <w:r>
        <w:rPr/>
        <w:t>(7), 1457-1481.</w:t>
      </w:r>
    </w:p>
    <w:p>
      <w:pPr>
        <w:pStyle w:val="BodyText"/>
        <w:spacing w:before="4"/>
      </w:pPr>
    </w:p>
    <w:p>
      <w:pPr>
        <w:pStyle w:val="BodyText"/>
        <w:spacing w:line="230" w:lineRule="auto"/>
        <w:ind w:left="727" w:right="1191"/>
      </w:pPr>
      <w:r>
        <w:rPr/>
        <w:t>Malle,</w:t>
      </w:r>
      <w:r>
        <w:rPr>
          <w:spacing w:val="-5"/>
        </w:rPr>
        <w:t> </w:t>
      </w:r>
      <w:r>
        <w:rPr/>
        <w:t>B.</w:t>
      </w:r>
      <w:r>
        <w:rPr>
          <w:spacing w:val="-5"/>
        </w:rPr>
        <w:t> </w:t>
      </w:r>
      <w:r>
        <w:rPr/>
        <w:t>F.</w:t>
      </w:r>
      <w:r>
        <w:rPr>
          <w:spacing w:val="-5"/>
        </w:rPr>
        <w:t> </w:t>
      </w:r>
      <w:r>
        <w:rPr/>
        <w:t>(2004).</w:t>
      </w:r>
      <w:r>
        <w:rPr>
          <w:spacing w:val="-5"/>
        </w:rPr>
        <w:t> </w:t>
      </w:r>
      <w:r>
        <w:rPr/>
        <w:t>How</w:t>
      </w:r>
      <w:r>
        <w:rPr>
          <w:spacing w:val="-5"/>
        </w:rPr>
        <w:t> </w:t>
      </w:r>
      <w:r>
        <w:rPr/>
        <w:t>the</w:t>
      </w:r>
      <w:r>
        <w:rPr>
          <w:spacing w:val="-5"/>
        </w:rPr>
        <w:t> </w:t>
      </w:r>
      <w:r>
        <w:rPr/>
        <w:t>mind</w:t>
      </w:r>
      <w:r>
        <w:rPr>
          <w:spacing w:val="-5"/>
        </w:rPr>
        <w:t> </w:t>
      </w:r>
      <w:r>
        <w:rPr/>
        <w:t>explains</w:t>
      </w:r>
      <w:r>
        <w:rPr>
          <w:spacing w:val="-5"/>
        </w:rPr>
        <w:t> </w:t>
      </w:r>
      <w:r>
        <w:rPr/>
        <w:t>behavior:</w:t>
      </w:r>
      <w:r>
        <w:rPr>
          <w:spacing w:val="-5"/>
        </w:rPr>
        <w:t> </w:t>
      </w:r>
      <w:r>
        <w:rPr/>
        <w:t>Folk</w:t>
      </w:r>
      <w:r>
        <w:rPr>
          <w:spacing w:val="-5"/>
        </w:rPr>
        <w:t> </w:t>
      </w:r>
      <w:r>
        <w:rPr/>
        <w:t>explanations,</w:t>
      </w:r>
      <w:r>
        <w:rPr>
          <w:spacing w:val="-5"/>
        </w:rPr>
        <w:t> </w:t>
      </w:r>
      <w:r>
        <w:rPr/>
        <w:t>meaning,</w:t>
      </w:r>
      <w:r>
        <w:rPr>
          <w:spacing w:val="-5"/>
        </w:rPr>
        <w:t> </w:t>
      </w:r>
      <w:r>
        <w:rPr/>
        <w:t>and</w:t>
      </w:r>
      <w:r>
        <w:rPr>
          <w:spacing w:val="-5"/>
        </w:rPr>
        <w:t> </w:t>
      </w:r>
      <w:r>
        <w:rPr/>
        <w:t>social interaction. MIT Press: Cambridge.</w:t>
      </w:r>
    </w:p>
    <w:p>
      <w:pPr>
        <w:pStyle w:val="BodyText"/>
        <w:spacing w:before="5"/>
      </w:pPr>
    </w:p>
    <w:p>
      <w:pPr>
        <w:spacing w:line="230" w:lineRule="auto" w:before="1"/>
        <w:ind w:left="727" w:right="1375" w:firstLine="0"/>
        <w:jc w:val="left"/>
        <w:rPr>
          <w:sz w:val="24"/>
        </w:rPr>
      </w:pPr>
      <w:r>
        <w:rPr>
          <w:sz w:val="24"/>
        </w:rPr>
        <w:t>Malle, B. F. (2011). Time to give up the dogmas</w:t>
      </w:r>
      <w:r>
        <w:rPr>
          <w:spacing w:val="-4"/>
          <w:sz w:val="24"/>
        </w:rPr>
        <w:t> </w:t>
      </w:r>
      <w:r>
        <w:rPr>
          <w:sz w:val="24"/>
        </w:rPr>
        <w:t>of</w:t>
      </w:r>
      <w:r>
        <w:rPr>
          <w:spacing w:val="-4"/>
          <w:sz w:val="24"/>
        </w:rPr>
        <w:t> </w:t>
      </w:r>
      <w:r>
        <w:rPr>
          <w:sz w:val="24"/>
        </w:rPr>
        <w:t>attribution:</w:t>
      </w:r>
      <w:r>
        <w:rPr>
          <w:spacing w:val="-4"/>
          <w:sz w:val="24"/>
        </w:rPr>
        <w:t> </w:t>
      </w:r>
      <w:r>
        <w:rPr>
          <w:sz w:val="24"/>
        </w:rPr>
        <w:t>An</w:t>
      </w:r>
      <w:r>
        <w:rPr>
          <w:spacing w:val="-4"/>
          <w:sz w:val="24"/>
        </w:rPr>
        <w:t> </w:t>
      </w:r>
      <w:r>
        <w:rPr>
          <w:sz w:val="24"/>
        </w:rPr>
        <w:t>alternative</w:t>
      </w:r>
      <w:r>
        <w:rPr>
          <w:spacing w:val="-4"/>
          <w:sz w:val="24"/>
        </w:rPr>
        <w:t> </w:t>
      </w:r>
      <w:r>
        <w:rPr>
          <w:sz w:val="24"/>
        </w:rPr>
        <w:t>theory</w:t>
      </w:r>
      <w:r>
        <w:rPr>
          <w:spacing w:val="-4"/>
          <w:sz w:val="24"/>
        </w:rPr>
        <w:t> </w:t>
      </w:r>
      <w:r>
        <w:rPr>
          <w:sz w:val="24"/>
        </w:rPr>
        <w:t>of</w:t>
      </w:r>
      <w:r>
        <w:rPr>
          <w:spacing w:val="-4"/>
          <w:sz w:val="24"/>
        </w:rPr>
        <w:t> </w:t>
      </w:r>
      <w:r>
        <w:rPr>
          <w:sz w:val="24"/>
        </w:rPr>
        <w:t>behavior explanation.</w:t>
      </w:r>
      <w:r>
        <w:rPr>
          <w:spacing w:val="-6"/>
          <w:sz w:val="24"/>
        </w:rPr>
        <w:t> </w:t>
      </w:r>
      <w:r>
        <w:rPr>
          <w:sz w:val="24"/>
        </w:rPr>
        <w:t>In</w:t>
      </w:r>
      <w:r>
        <w:rPr>
          <w:spacing w:val="-5"/>
          <w:sz w:val="24"/>
        </w:rPr>
        <w:t> </w:t>
      </w:r>
      <w:r>
        <w:rPr>
          <w:i/>
          <w:sz w:val="24"/>
        </w:rPr>
        <w:t>Advances</w:t>
      </w:r>
      <w:r>
        <w:rPr>
          <w:i/>
          <w:spacing w:val="-5"/>
          <w:sz w:val="24"/>
        </w:rPr>
        <w:t> </w:t>
      </w:r>
      <w:r>
        <w:rPr>
          <w:i/>
          <w:sz w:val="24"/>
        </w:rPr>
        <w:t>in</w:t>
      </w:r>
      <w:r>
        <w:rPr>
          <w:i/>
          <w:spacing w:val="-5"/>
          <w:sz w:val="24"/>
        </w:rPr>
        <w:t> </w:t>
      </w:r>
      <w:r>
        <w:rPr>
          <w:i/>
          <w:sz w:val="24"/>
        </w:rPr>
        <w:t>Experimental</w:t>
      </w:r>
      <w:r>
        <w:rPr>
          <w:i/>
          <w:spacing w:val="-6"/>
          <w:sz w:val="24"/>
        </w:rPr>
        <w:t> </w:t>
      </w:r>
      <w:r>
        <w:rPr>
          <w:i/>
          <w:sz w:val="24"/>
        </w:rPr>
        <w:t>Social</w:t>
      </w:r>
      <w:r>
        <w:rPr>
          <w:i/>
          <w:spacing w:val="-5"/>
          <w:sz w:val="24"/>
        </w:rPr>
        <w:t> </w:t>
      </w:r>
      <w:r>
        <w:rPr>
          <w:i/>
          <w:sz w:val="24"/>
        </w:rPr>
        <w:t>Psychology,</w:t>
      </w:r>
      <w:r>
        <w:rPr>
          <w:i/>
          <w:spacing w:val="-5"/>
          <w:sz w:val="24"/>
        </w:rPr>
        <w:t> </w:t>
      </w:r>
      <w:r>
        <w:rPr>
          <w:sz w:val="24"/>
        </w:rPr>
        <w:t>Ed.</w:t>
      </w:r>
      <w:r>
        <w:rPr>
          <w:spacing w:val="-5"/>
          <w:sz w:val="24"/>
        </w:rPr>
        <w:t> </w:t>
      </w:r>
      <w:r>
        <w:rPr>
          <w:sz w:val="24"/>
        </w:rPr>
        <w:t>Zanna,</w:t>
      </w:r>
      <w:r>
        <w:rPr>
          <w:spacing w:val="-6"/>
          <w:sz w:val="24"/>
        </w:rPr>
        <w:t> </w:t>
      </w:r>
      <w:r>
        <w:rPr>
          <w:sz w:val="24"/>
        </w:rPr>
        <w:t>M.</w:t>
      </w:r>
      <w:r>
        <w:rPr>
          <w:spacing w:val="-5"/>
          <w:sz w:val="24"/>
        </w:rPr>
        <w:t> </w:t>
      </w:r>
      <w:r>
        <w:rPr>
          <w:sz w:val="24"/>
        </w:rPr>
        <w:t>P.,</w:t>
      </w:r>
      <w:r>
        <w:rPr>
          <w:spacing w:val="-5"/>
          <w:sz w:val="24"/>
        </w:rPr>
        <w:t> </w:t>
      </w:r>
      <w:r>
        <w:rPr>
          <w:sz w:val="24"/>
        </w:rPr>
        <w:t>Devine,</w:t>
      </w:r>
      <w:r>
        <w:rPr>
          <w:spacing w:val="-5"/>
          <w:sz w:val="24"/>
        </w:rPr>
        <w:t> </w:t>
      </w:r>
      <w:r>
        <w:rPr>
          <w:sz w:val="24"/>
        </w:rPr>
        <w:t>P.,</w:t>
      </w:r>
      <w:r>
        <w:rPr>
          <w:spacing w:val="-5"/>
          <w:sz w:val="24"/>
        </w:rPr>
        <w:t> </w:t>
      </w:r>
      <w:r>
        <w:rPr>
          <w:spacing w:val="-2"/>
          <w:sz w:val="24"/>
        </w:rPr>
        <w:t>Olson,</w:t>
      </w:r>
    </w:p>
    <w:p>
      <w:pPr>
        <w:pStyle w:val="BodyText"/>
        <w:spacing w:line="266" w:lineRule="exact"/>
        <w:ind w:left="727"/>
      </w:pPr>
      <w:r>
        <w:rPr/>
        <w:t>J.</w:t>
      </w:r>
      <w:r>
        <w:rPr>
          <w:spacing w:val="-3"/>
        </w:rPr>
        <w:t> </w:t>
      </w:r>
      <w:r>
        <w:rPr/>
        <w:t>M.,</w:t>
      </w:r>
      <w:r>
        <w:rPr>
          <w:spacing w:val="-3"/>
        </w:rPr>
        <w:t> </w:t>
      </w:r>
      <w:r>
        <w:rPr/>
        <w:t>Plant,</w:t>
      </w:r>
      <w:r>
        <w:rPr>
          <w:spacing w:val="-3"/>
        </w:rPr>
        <w:t> </w:t>
      </w:r>
      <w:r>
        <w:rPr/>
        <w:t>A.</w:t>
      </w:r>
      <w:r>
        <w:rPr>
          <w:spacing w:val="-3"/>
        </w:rPr>
        <w:t> </w:t>
      </w:r>
      <w:r>
        <w:rPr/>
        <w:t>(Vol.</w:t>
      </w:r>
      <w:r>
        <w:rPr>
          <w:spacing w:val="-3"/>
        </w:rPr>
        <w:t> </w:t>
      </w:r>
      <w:r>
        <w:rPr/>
        <w:t>44,</w:t>
      </w:r>
      <w:r>
        <w:rPr>
          <w:spacing w:val="-2"/>
        </w:rPr>
        <w:t> </w:t>
      </w:r>
      <w:r>
        <w:rPr/>
        <w:t>pp.</w:t>
      </w:r>
      <w:r>
        <w:rPr>
          <w:spacing w:val="-3"/>
        </w:rPr>
        <w:t> </w:t>
      </w:r>
      <w:r>
        <w:rPr/>
        <w:t>297-352).</w:t>
      </w:r>
      <w:r>
        <w:rPr>
          <w:spacing w:val="-3"/>
        </w:rPr>
        <w:t> </w:t>
      </w:r>
      <w:r>
        <w:rPr/>
        <w:t>Academic</w:t>
      </w:r>
      <w:r>
        <w:rPr>
          <w:spacing w:val="-3"/>
        </w:rPr>
        <w:t> </w:t>
      </w:r>
      <w:r>
        <w:rPr/>
        <w:t>Press:</w:t>
      </w:r>
      <w:r>
        <w:rPr>
          <w:spacing w:val="-3"/>
        </w:rPr>
        <w:t> </w:t>
      </w:r>
      <w:r>
        <w:rPr/>
        <w:t>San</w:t>
      </w:r>
      <w:r>
        <w:rPr>
          <w:spacing w:val="-2"/>
        </w:rPr>
        <w:t> Diego.</w:t>
      </w:r>
    </w:p>
    <w:p>
      <w:pPr>
        <w:pStyle w:val="BodyText"/>
        <w:spacing w:before="3"/>
      </w:pPr>
    </w:p>
    <w:p>
      <w:pPr>
        <w:pStyle w:val="BodyText"/>
        <w:spacing w:line="230" w:lineRule="auto"/>
        <w:ind w:left="727" w:right="1379"/>
        <w:jc w:val="both"/>
      </w:pPr>
      <w:r>
        <w:rPr/>
        <w:t>Marstand, A. F., Martin, R., &amp; Epitropaki, O. (2017). Complementary person-supervisor fit: An investigation of supplies-values (SV) fit, leader-member exchange (LMX) and work</w:t>
      </w:r>
      <w:r>
        <w:rPr>
          <w:spacing w:val="40"/>
        </w:rPr>
        <w:t> </w:t>
      </w:r>
      <w:r>
        <w:rPr/>
        <w:t>outcomes. </w:t>
      </w:r>
      <w:r>
        <w:rPr>
          <w:i/>
        </w:rPr>
        <w:t>The leadership quarterly</w:t>
      </w:r>
      <w:r>
        <w:rPr/>
        <w:t>, </w:t>
      </w:r>
      <w:r>
        <w:rPr>
          <w:i/>
        </w:rPr>
        <w:t>28</w:t>
      </w:r>
      <w:r>
        <w:rPr/>
        <w:t>(3), 418-437.</w:t>
      </w:r>
    </w:p>
    <w:p>
      <w:pPr>
        <w:pStyle w:val="BodyText"/>
        <w:spacing w:before="4"/>
      </w:pPr>
    </w:p>
    <w:p>
      <w:pPr>
        <w:spacing w:line="230" w:lineRule="auto" w:before="0"/>
        <w:ind w:left="727" w:right="1191" w:firstLine="0"/>
        <w:jc w:val="left"/>
        <w:rPr>
          <w:sz w:val="24"/>
        </w:rPr>
      </w:pPr>
      <w:r>
        <w:rPr>
          <w:sz w:val="24"/>
        </w:rPr>
        <w:t>McLaren,</w:t>
      </w:r>
      <w:r>
        <w:rPr>
          <w:spacing w:val="-5"/>
          <w:sz w:val="24"/>
        </w:rPr>
        <w:t> </w:t>
      </w:r>
      <w:r>
        <w:rPr>
          <w:sz w:val="24"/>
        </w:rPr>
        <w:t>P.</w:t>
      </w:r>
      <w:r>
        <w:rPr>
          <w:spacing w:val="-5"/>
          <w:sz w:val="24"/>
        </w:rPr>
        <w:t> </w:t>
      </w:r>
      <w:r>
        <w:rPr>
          <w:sz w:val="24"/>
        </w:rPr>
        <w:t>G.</w:t>
      </w:r>
      <w:r>
        <w:rPr>
          <w:spacing w:val="-5"/>
          <w:sz w:val="24"/>
        </w:rPr>
        <w:t> </w:t>
      </w:r>
      <w:r>
        <w:rPr>
          <w:sz w:val="24"/>
        </w:rPr>
        <w:t>(2013).</w:t>
      </w:r>
      <w:r>
        <w:rPr>
          <w:spacing w:val="-5"/>
          <w:sz w:val="24"/>
        </w:rPr>
        <w:t> </w:t>
      </w:r>
      <w:r>
        <w:rPr>
          <w:sz w:val="24"/>
        </w:rPr>
        <w:t>I</w:t>
      </w:r>
      <w:r>
        <w:rPr>
          <w:spacing w:val="-5"/>
          <w:sz w:val="24"/>
        </w:rPr>
        <w:t> </w:t>
      </w:r>
      <w:r>
        <w:rPr>
          <w:sz w:val="24"/>
        </w:rPr>
        <w:t>don't</w:t>
      </w:r>
      <w:r>
        <w:rPr>
          <w:spacing w:val="-5"/>
          <w:sz w:val="24"/>
        </w:rPr>
        <w:t> </w:t>
      </w:r>
      <w:r>
        <w:rPr>
          <w:sz w:val="24"/>
        </w:rPr>
        <w:t>need</w:t>
      </w:r>
      <w:r>
        <w:rPr>
          <w:spacing w:val="-5"/>
          <w:sz w:val="24"/>
        </w:rPr>
        <w:t> </w:t>
      </w:r>
      <w:r>
        <w:rPr>
          <w:sz w:val="24"/>
        </w:rPr>
        <w:t>leadership:</w:t>
      </w:r>
      <w:r>
        <w:rPr>
          <w:spacing w:val="-5"/>
          <w:sz w:val="24"/>
        </w:rPr>
        <w:t> </w:t>
      </w:r>
      <w:r>
        <w:rPr>
          <w:sz w:val="24"/>
        </w:rPr>
        <w:t>An</w:t>
      </w:r>
      <w:r>
        <w:rPr>
          <w:spacing w:val="-5"/>
          <w:sz w:val="24"/>
        </w:rPr>
        <w:t> </w:t>
      </w:r>
      <w:r>
        <w:rPr>
          <w:sz w:val="24"/>
        </w:rPr>
        <w:t>exploration</w:t>
      </w:r>
      <w:r>
        <w:rPr>
          <w:spacing w:val="-5"/>
          <w:sz w:val="24"/>
        </w:rPr>
        <w:t> </w:t>
      </w:r>
      <w:r>
        <w:rPr>
          <w:sz w:val="24"/>
        </w:rPr>
        <w:t>of</w:t>
      </w:r>
      <w:r>
        <w:rPr>
          <w:spacing w:val="-5"/>
          <w:sz w:val="24"/>
        </w:rPr>
        <w:t> </w:t>
      </w:r>
      <w:r>
        <w:rPr>
          <w:sz w:val="24"/>
        </w:rPr>
        <w:t>the</w:t>
      </w:r>
      <w:r>
        <w:rPr>
          <w:spacing w:val="-5"/>
          <w:sz w:val="24"/>
        </w:rPr>
        <w:t> </w:t>
      </w:r>
      <w:r>
        <w:rPr>
          <w:sz w:val="24"/>
        </w:rPr>
        <w:t>societal</w:t>
      </w:r>
      <w:r>
        <w:rPr>
          <w:spacing w:val="-5"/>
          <w:sz w:val="24"/>
        </w:rPr>
        <w:t> </w:t>
      </w:r>
      <w:r>
        <w:rPr>
          <w:sz w:val="24"/>
        </w:rPr>
        <w:t>discourse</w:t>
      </w:r>
      <w:r>
        <w:rPr>
          <w:spacing w:val="-5"/>
          <w:sz w:val="24"/>
        </w:rPr>
        <w:t> </w:t>
      </w:r>
      <w:r>
        <w:rPr>
          <w:sz w:val="24"/>
        </w:rPr>
        <w:t>of leadership. </w:t>
      </w:r>
      <w:r>
        <w:rPr>
          <w:i/>
          <w:sz w:val="24"/>
        </w:rPr>
        <w:t>Journal of Leadership Studies</w:t>
      </w:r>
      <w:r>
        <w:rPr>
          <w:sz w:val="24"/>
        </w:rPr>
        <w:t>, </w:t>
      </w:r>
      <w:r>
        <w:rPr>
          <w:i/>
          <w:sz w:val="24"/>
        </w:rPr>
        <w:t>7</w:t>
      </w:r>
      <w:r>
        <w:rPr>
          <w:sz w:val="24"/>
        </w:rPr>
        <w:t>(2), 35-41.</w:t>
      </w:r>
    </w:p>
    <w:p>
      <w:pPr>
        <w:pStyle w:val="BodyText"/>
        <w:spacing w:before="5"/>
      </w:pPr>
    </w:p>
    <w:p>
      <w:pPr>
        <w:spacing w:line="230" w:lineRule="auto" w:before="0"/>
        <w:ind w:left="727" w:right="1381" w:firstLine="0"/>
        <w:jc w:val="left"/>
        <w:rPr>
          <w:sz w:val="24"/>
        </w:rPr>
      </w:pPr>
      <w:r>
        <w:rPr>
          <w:sz w:val="24"/>
        </w:rPr>
        <w:t>Schilpzand,</w:t>
      </w:r>
      <w:r>
        <w:rPr>
          <w:spacing w:val="-6"/>
          <w:sz w:val="24"/>
        </w:rPr>
        <w:t> </w:t>
      </w:r>
      <w:r>
        <w:rPr>
          <w:sz w:val="24"/>
        </w:rPr>
        <w:t>P.,</w:t>
      </w:r>
      <w:r>
        <w:rPr>
          <w:spacing w:val="-6"/>
          <w:sz w:val="24"/>
        </w:rPr>
        <w:t> </w:t>
      </w:r>
      <w:r>
        <w:rPr>
          <w:sz w:val="24"/>
        </w:rPr>
        <w:t>De</w:t>
      </w:r>
      <w:r>
        <w:rPr>
          <w:spacing w:val="-6"/>
          <w:sz w:val="24"/>
        </w:rPr>
        <w:t> </w:t>
      </w:r>
      <w:r>
        <w:rPr>
          <w:sz w:val="24"/>
        </w:rPr>
        <w:t>Pater,</w:t>
      </w:r>
      <w:r>
        <w:rPr>
          <w:spacing w:val="-6"/>
          <w:sz w:val="24"/>
        </w:rPr>
        <w:t> </w:t>
      </w:r>
      <w:r>
        <w:rPr>
          <w:sz w:val="24"/>
        </w:rPr>
        <w:t>I.</w:t>
      </w:r>
      <w:r>
        <w:rPr>
          <w:spacing w:val="-6"/>
          <w:sz w:val="24"/>
        </w:rPr>
        <w:t> </w:t>
      </w:r>
      <w:r>
        <w:rPr>
          <w:sz w:val="24"/>
        </w:rPr>
        <w:t>E.,</w:t>
      </w:r>
      <w:r>
        <w:rPr>
          <w:spacing w:val="-6"/>
          <w:sz w:val="24"/>
        </w:rPr>
        <w:t> </w:t>
      </w:r>
      <w:r>
        <w:rPr>
          <w:sz w:val="24"/>
        </w:rPr>
        <w:t>&amp;</w:t>
      </w:r>
      <w:r>
        <w:rPr>
          <w:spacing w:val="-6"/>
          <w:sz w:val="24"/>
        </w:rPr>
        <w:t> </w:t>
      </w:r>
      <w:r>
        <w:rPr>
          <w:sz w:val="24"/>
        </w:rPr>
        <w:t>Erez,</w:t>
      </w:r>
      <w:r>
        <w:rPr>
          <w:spacing w:val="-6"/>
          <w:sz w:val="24"/>
        </w:rPr>
        <w:t> </w:t>
      </w:r>
      <w:r>
        <w:rPr>
          <w:sz w:val="24"/>
        </w:rPr>
        <w:t>A.</w:t>
      </w:r>
      <w:r>
        <w:rPr>
          <w:spacing w:val="-6"/>
          <w:sz w:val="24"/>
        </w:rPr>
        <w:t> </w:t>
      </w:r>
      <w:r>
        <w:rPr>
          <w:sz w:val="24"/>
        </w:rPr>
        <w:t>(2016).</w:t>
      </w:r>
      <w:r>
        <w:rPr>
          <w:spacing w:val="-6"/>
          <w:sz w:val="24"/>
        </w:rPr>
        <w:t> </w:t>
      </w:r>
      <w:r>
        <w:rPr>
          <w:sz w:val="24"/>
        </w:rPr>
        <w:t>Workplace</w:t>
      </w:r>
      <w:r>
        <w:rPr>
          <w:spacing w:val="-6"/>
          <w:sz w:val="24"/>
        </w:rPr>
        <w:t> </w:t>
      </w:r>
      <w:r>
        <w:rPr>
          <w:sz w:val="24"/>
        </w:rPr>
        <w:t>incivility:</w:t>
      </w:r>
      <w:r>
        <w:rPr>
          <w:spacing w:val="-6"/>
          <w:sz w:val="24"/>
        </w:rPr>
        <w:t> </w:t>
      </w:r>
      <w:r>
        <w:rPr>
          <w:sz w:val="24"/>
        </w:rPr>
        <w:t>A</w:t>
      </w:r>
      <w:r>
        <w:rPr>
          <w:spacing w:val="-6"/>
          <w:sz w:val="24"/>
        </w:rPr>
        <w:t> </w:t>
      </w:r>
      <w:r>
        <w:rPr>
          <w:sz w:val="24"/>
        </w:rPr>
        <w:t>review</w:t>
      </w:r>
      <w:r>
        <w:rPr>
          <w:spacing w:val="-6"/>
          <w:sz w:val="24"/>
        </w:rPr>
        <w:t> </w:t>
      </w:r>
      <w:r>
        <w:rPr>
          <w:sz w:val="24"/>
        </w:rPr>
        <w:t>of</w:t>
      </w:r>
      <w:r>
        <w:rPr>
          <w:spacing w:val="-6"/>
          <w:sz w:val="24"/>
        </w:rPr>
        <w:t> </w:t>
      </w:r>
      <w:r>
        <w:rPr>
          <w:sz w:val="24"/>
        </w:rPr>
        <w:t>the</w:t>
      </w:r>
      <w:r>
        <w:rPr>
          <w:spacing w:val="-6"/>
          <w:sz w:val="24"/>
        </w:rPr>
        <w:t> </w:t>
      </w:r>
      <w:r>
        <w:rPr>
          <w:sz w:val="24"/>
        </w:rPr>
        <w:t>literature and agenda for future research. </w:t>
      </w:r>
      <w:r>
        <w:rPr>
          <w:i/>
          <w:sz w:val="24"/>
        </w:rPr>
        <w:t>Journal of Organizational behavior, 37</w:t>
      </w:r>
      <w:r>
        <w:rPr>
          <w:sz w:val="24"/>
        </w:rPr>
        <w:t>, S57-S88.</w:t>
      </w:r>
    </w:p>
    <w:p>
      <w:pPr>
        <w:pStyle w:val="BodyText"/>
        <w:spacing w:before="5"/>
      </w:pPr>
    </w:p>
    <w:p>
      <w:pPr>
        <w:pStyle w:val="BodyText"/>
        <w:spacing w:line="230" w:lineRule="auto"/>
        <w:ind w:left="727" w:right="1191"/>
      </w:pPr>
      <w:r>
        <w:rPr/>
        <w:t>Watkins</w:t>
      </w:r>
      <w:r>
        <w:rPr>
          <w:spacing w:val="-5"/>
        </w:rPr>
        <w:t> </w:t>
      </w:r>
      <w:r>
        <w:rPr/>
        <w:t>M.D.</w:t>
      </w:r>
      <w:r>
        <w:rPr>
          <w:spacing w:val="-5"/>
        </w:rPr>
        <w:t> </w:t>
      </w:r>
      <w:r>
        <w:rPr/>
        <w:t>(2012)</w:t>
      </w:r>
      <w:r>
        <w:rPr>
          <w:spacing w:val="-5"/>
        </w:rPr>
        <w:t> </w:t>
      </w:r>
      <w:r>
        <w:rPr/>
        <w:t>How</w:t>
      </w:r>
      <w:r>
        <w:rPr>
          <w:spacing w:val="-5"/>
        </w:rPr>
        <w:t> </w:t>
      </w:r>
      <w:r>
        <w:rPr/>
        <w:t>managers</w:t>
      </w:r>
      <w:r>
        <w:rPr>
          <w:spacing w:val="-5"/>
        </w:rPr>
        <w:t> </w:t>
      </w:r>
      <w:r>
        <w:rPr/>
        <w:t>become</w:t>
      </w:r>
      <w:r>
        <w:rPr>
          <w:spacing w:val="-5"/>
        </w:rPr>
        <w:t> </w:t>
      </w:r>
      <w:r>
        <w:rPr/>
        <w:t>leaders.</w:t>
      </w:r>
      <w:r>
        <w:rPr>
          <w:spacing w:val="-5"/>
        </w:rPr>
        <w:t> </w:t>
      </w:r>
      <w:r>
        <w:rPr/>
        <w:t>The</w:t>
      </w:r>
      <w:r>
        <w:rPr>
          <w:spacing w:val="-5"/>
        </w:rPr>
        <w:t> </w:t>
      </w:r>
      <w:r>
        <w:rPr/>
        <w:t>seven</w:t>
      </w:r>
      <w:r>
        <w:rPr>
          <w:spacing w:val="-5"/>
        </w:rPr>
        <w:t> </w:t>
      </w:r>
      <w:r>
        <w:rPr/>
        <w:t>seismic</w:t>
      </w:r>
      <w:r>
        <w:rPr>
          <w:spacing w:val="-5"/>
        </w:rPr>
        <w:t> </w:t>
      </w:r>
      <w:r>
        <w:rPr/>
        <w:t>shifts</w:t>
      </w:r>
      <w:r>
        <w:rPr>
          <w:spacing w:val="-5"/>
        </w:rPr>
        <w:t> </w:t>
      </w:r>
      <w:r>
        <w:rPr/>
        <w:t>of</w:t>
      </w:r>
      <w:r>
        <w:rPr>
          <w:spacing w:val="-5"/>
        </w:rPr>
        <w:t> </w:t>
      </w:r>
      <w:r>
        <w:rPr/>
        <w:t>perspective</w:t>
      </w:r>
      <w:r>
        <w:rPr>
          <w:spacing w:val="-5"/>
        </w:rPr>
        <w:t> </w:t>
      </w:r>
      <w:r>
        <w:rPr/>
        <w:t>and responsibility. </w:t>
      </w:r>
      <w:r>
        <w:rPr>
          <w:i/>
        </w:rPr>
        <w:t>Harvard Business Review 90</w:t>
      </w:r>
      <w:r>
        <w:rPr/>
        <w:t>(6), 64–144.</w:t>
      </w:r>
    </w:p>
    <w:p>
      <w:pPr>
        <w:pStyle w:val="BodyText"/>
        <w:spacing w:before="5"/>
      </w:pPr>
    </w:p>
    <w:p>
      <w:pPr>
        <w:spacing w:line="230" w:lineRule="auto" w:before="0"/>
        <w:ind w:left="727" w:right="1191" w:firstLine="0"/>
        <w:jc w:val="left"/>
        <w:rPr>
          <w:sz w:val="24"/>
        </w:rPr>
      </w:pPr>
      <w:r>
        <w:rPr>
          <w:sz w:val="24"/>
        </w:rPr>
        <w:t>Wellman,</w:t>
      </w:r>
      <w:r>
        <w:rPr>
          <w:spacing w:val="-5"/>
          <w:sz w:val="24"/>
        </w:rPr>
        <w:t> </w:t>
      </w:r>
      <w:r>
        <w:rPr>
          <w:sz w:val="24"/>
        </w:rPr>
        <w:t>H.</w:t>
      </w:r>
      <w:r>
        <w:rPr>
          <w:spacing w:val="-5"/>
          <w:sz w:val="24"/>
        </w:rPr>
        <w:t> </w:t>
      </w:r>
      <w:r>
        <w:rPr>
          <w:sz w:val="24"/>
        </w:rPr>
        <w:t>M.</w:t>
      </w:r>
      <w:r>
        <w:rPr>
          <w:spacing w:val="-5"/>
          <w:sz w:val="24"/>
        </w:rPr>
        <w:t> </w:t>
      </w:r>
      <w:r>
        <w:rPr>
          <w:sz w:val="24"/>
        </w:rPr>
        <w:t>(2014).</w:t>
      </w:r>
      <w:r>
        <w:rPr>
          <w:spacing w:val="-5"/>
          <w:sz w:val="24"/>
        </w:rPr>
        <w:t> </w:t>
      </w:r>
      <w:r>
        <w:rPr>
          <w:i/>
          <w:sz w:val="24"/>
        </w:rPr>
        <w:t>Making</w:t>
      </w:r>
      <w:r>
        <w:rPr>
          <w:i/>
          <w:spacing w:val="-5"/>
          <w:sz w:val="24"/>
        </w:rPr>
        <w:t> </w:t>
      </w:r>
      <w:r>
        <w:rPr>
          <w:i/>
          <w:sz w:val="24"/>
        </w:rPr>
        <w:t>minds:</w:t>
      </w:r>
      <w:r>
        <w:rPr>
          <w:i/>
          <w:spacing w:val="-5"/>
          <w:sz w:val="24"/>
        </w:rPr>
        <w:t> </w:t>
      </w:r>
      <w:r>
        <w:rPr>
          <w:i/>
          <w:sz w:val="24"/>
        </w:rPr>
        <w:t>How</w:t>
      </w:r>
      <w:r>
        <w:rPr>
          <w:i/>
          <w:spacing w:val="-5"/>
          <w:sz w:val="24"/>
        </w:rPr>
        <w:t> </w:t>
      </w:r>
      <w:r>
        <w:rPr>
          <w:i/>
          <w:sz w:val="24"/>
        </w:rPr>
        <w:t>theory</w:t>
      </w:r>
      <w:r>
        <w:rPr>
          <w:i/>
          <w:spacing w:val="-5"/>
          <w:sz w:val="24"/>
        </w:rPr>
        <w:t> </w:t>
      </w:r>
      <w:r>
        <w:rPr>
          <w:i/>
          <w:sz w:val="24"/>
        </w:rPr>
        <w:t>of</w:t>
      </w:r>
      <w:r>
        <w:rPr>
          <w:i/>
          <w:spacing w:val="-5"/>
          <w:sz w:val="24"/>
        </w:rPr>
        <w:t> </w:t>
      </w:r>
      <w:r>
        <w:rPr>
          <w:i/>
          <w:sz w:val="24"/>
        </w:rPr>
        <w:t>mind</w:t>
      </w:r>
      <w:r>
        <w:rPr>
          <w:i/>
          <w:spacing w:val="-5"/>
          <w:sz w:val="24"/>
        </w:rPr>
        <w:t> </w:t>
      </w:r>
      <w:r>
        <w:rPr>
          <w:i/>
          <w:sz w:val="24"/>
        </w:rPr>
        <w:t>develops</w:t>
      </w:r>
      <w:r>
        <w:rPr>
          <w:sz w:val="24"/>
        </w:rPr>
        <w:t>.</w:t>
      </w:r>
      <w:r>
        <w:rPr>
          <w:spacing w:val="-5"/>
          <w:sz w:val="24"/>
        </w:rPr>
        <w:t> </w:t>
      </w:r>
      <w:r>
        <w:rPr>
          <w:sz w:val="24"/>
        </w:rPr>
        <w:t>Oxford</w:t>
      </w:r>
      <w:r>
        <w:rPr>
          <w:spacing w:val="-5"/>
          <w:sz w:val="24"/>
        </w:rPr>
        <w:t> </w:t>
      </w:r>
      <w:r>
        <w:rPr>
          <w:sz w:val="24"/>
        </w:rPr>
        <w:t>University</w:t>
      </w:r>
      <w:r>
        <w:rPr>
          <w:spacing w:val="-5"/>
          <w:sz w:val="24"/>
        </w:rPr>
        <w:t> </w:t>
      </w:r>
      <w:r>
        <w:rPr>
          <w:sz w:val="24"/>
        </w:rPr>
        <w:t>Press: </w:t>
      </w:r>
      <w:r>
        <w:rPr>
          <w:spacing w:val="-2"/>
          <w:sz w:val="24"/>
        </w:rPr>
        <w:t>Oxford.</w:t>
      </w:r>
    </w:p>
    <w:p>
      <w:pPr>
        <w:pStyle w:val="BodyText"/>
        <w:spacing w:before="5"/>
      </w:pPr>
    </w:p>
    <w:p>
      <w:pPr>
        <w:spacing w:line="230" w:lineRule="auto" w:before="0"/>
        <w:ind w:left="727" w:right="1506" w:firstLine="0"/>
        <w:jc w:val="left"/>
        <w:rPr>
          <w:sz w:val="24"/>
        </w:rPr>
      </w:pPr>
      <w:r>
        <w:rPr>
          <w:sz w:val="24"/>
        </w:rPr>
        <w:t>Zaleznik,</w:t>
      </w:r>
      <w:r>
        <w:rPr>
          <w:spacing w:val="-5"/>
          <w:sz w:val="24"/>
        </w:rPr>
        <w:t> </w:t>
      </w:r>
      <w:r>
        <w:rPr>
          <w:sz w:val="24"/>
        </w:rPr>
        <w:t>A.</w:t>
      </w:r>
      <w:r>
        <w:rPr>
          <w:spacing w:val="-5"/>
          <w:sz w:val="24"/>
        </w:rPr>
        <w:t> </w:t>
      </w:r>
      <w:r>
        <w:rPr>
          <w:sz w:val="24"/>
        </w:rPr>
        <w:t>(2004).</w:t>
      </w:r>
      <w:r>
        <w:rPr>
          <w:spacing w:val="-5"/>
          <w:sz w:val="24"/>
        </w:rPr>
        <w:t> </w:t>
      </w:r>
      <w:r>
        <w:rPr>
          <w:sz w:val="24"/>
        </w:rPr>
        <w:t>Managers</w:t>
      </w:r>
      <w:r>
        <w:rPr>
          <w:spacing w:val="-5"/>
          <w:sz w:val="24"/>
        </w:rPr>
        <w:t> </w:t>
      </w:r>
      <w:r>
        <w:rPr>
          <w:sz w:val="24"/>
        </w:rPr>
        <w:t>and</w:t>
      </w:r>
      <w:r>
        <w:rPr>
          <w:spacing w:val="-5"/>
          <w:sz w:val="24"/>
        </w:rPr>
        <w:t> </w:t>
      </w:r>
      <w:r>
        <w:rPr>
          <w:sz w:val="24"/>
        </w:rPr>
        <w:t>leaders:</w:t>
      </w:r>
      <w:r>
        <w:rPr>
          <w:spacing w:val="-5"/>
          <w:sz w:val="24"/>
        </w:rPr>
        <w:t> </w:t>
      </w:r>
      <w:r>
        <w:rPr>
          <w:sz w:val="24"/>
        </w:rPr>
        <w:t>Are</w:t>
      </w:r>
      <w:r>
        <w:rPr>
          <w:spacing w:val="-5"/>
          <w:sz w:val="24"/>
        </w:rPr>
        <w:t> </w:t>
      </w:r>
      <w:r>
        <w:rPr>
          <w:sz w:val="24"/>
        </w:rPr>
        <w:t>they</w:t>
      </w:r>
      <w:r>
        <w:rPr>
          <w:spacing w:val="-5"/>
          <w:sz w:val="24"/>
        </w:rPr>
        <w:t> </w:t>
      </w:r>
      <w:r>
        <w:rPr>
          <w:sz w:val="24"/>
        </w:rPr>
        <w:t>different?</w:t>
      </w:r>
      <w:r>
        <w:rPr>
          <w:spacing w:val="-5"/>
          <w:sz w:val="24"/>
        </w:rPr>
        <w:t> </w:t>
      </w:r>
      <w:r>
        <w:rPr>
          <w:i/>
          <w:sz w:val="24"/>
        </w:rPr>
        <w:t>Harvard</w:t>
      </w:r>
      <w:r>
        <w:rPr>
          <w:i/>
          <w:spacing w:val="-5"/>
          <w:sz w:val="24"/>
        </w:rPr>
        <w:t> </w:t>
      </w:r>
      <w:r>
        <w:rPr>
          <w:i/>
          <w:sz w:val="24"/>
        </w:rPr>
        <w:t>Business</w:t>
      </w:r>
      <w:r>
        <w:rPr>
          <w:i/>
          <w:spacing w:val="-5"/>
          <w:sz w:val="24"/>
        </w:rPr>
        <w:t> </w:t>
      </w:r>
      <w:r>
        <w:rPr>
          <w:i/>
          <w:sz w:val="24"/>
        </w:rPr>
        <w:t>Review</w:t>
      </w:r>
      <w:r>
        <w:rPr>
          <w:sz w:val="24"/>
        </w:rPr>
        <w:t>,</w:t>
      </w:r>
      <w:r>
        <w:rPr>
          <w:spacing w:val="-5"/>
          <w:sz w:val="24"/>
        </w:rPr>
        <w:t> </w:t>
      </w:r>
      <w:r>
        <w:rPr>
          <w:i/>
          <w:sz w:val="24"/>
        </w:rPr>
        <w:t>82</w:t>
      </w:r>
      <w:r>
        <w:rPr>
          <w:sz w:val="24"/>
        </w:rPr>
        <w:t>(1), </w:t>
      </w:r>
      <w:r>
        <w:rPr>
          <w:spacing w:val="-2"/>
          <w:sz w:val="24"/>
        </w:rPr>
        <w:t>74-74.</w:t>
      </w:r>
    </w:p>
    <w:p>
      <w:pPr>
        <w:spacing w:after="0" w:line="230" w:lineRule="auto"/>
        <w:jc w:val="left"/>
        <w:rPr>
          <w:sz w:val="24"/>
        </w:rPr>
        <w:sectPr>
          <w:pgSz w:w="12240" w:h="15840"/>
          <w:pgMar w:header="0" w:footer="707" w:top="620" w:bottom="960" w:left="720" w:right="0"/>
        </w:sectPr>
      </w:pPr>
    </w:p>
    <w:p>
      <w:pPr>
        <w:pStyle w:val="Heading4"/>
        <w:spacing w:before="60"/>
        <w:ind w:left="4188" w:right="1191" w:hanging="2829"/>
      </w:pPr>
      <w:bookmarkStart w:name="_TOC_250000" w:id="120"/>
      <w:bookmarkStart w:name="The Economic Costs of Disaster-Related P" w:id="121"/>
      <w:r>
        <w:rPr>
          <w:b w:val="0"/>
        </w:rPr>
      </w:r>
      <w:r>
        <w:rPr/>
        <w:t>The</w:t>
      </w:r>
      <w:r>
        <w:rPr>
          <w:spacing w:val="-8"/>
        </w:rPr>
        <w:t> </w:t>
      </w:r>
      <w:r>
        <w:rPr/>
        <w:t>Economic</w:t>
      </w:r>
      <w:r>
        <w:rPr>
          <w:spacing w:val="-8"/>
        </w:rPr>
        <w:t> </w:t>
      </w:r>
      <w:r>
        <w:rPr/>
        <w:t>Costs</w:t>
      </w:r>
      <w:r>
        <w:rPr>
          <w:spacing w:val="-8"/>
        </w:rPr>
        <w:t> </w:t>
      </w:r>
      <w:r>
        <w:rPr/>
        <w:t>of</w:t>
      </w:r>
      <w:r>
        <w:rPr>
          <w:spacing w:val="-8"/>
        </w:rPr>
        <w:t> </w:t>
      </w:r>
      <w:r>
        <w:rPr/>
        <w:t>Disaster-Related</w:t>
      </w:r>
      <w:r>
        <w:rPr>
          <w:spacing w:val="-8"/>
        </w:rPr>
        <w:t> </w:t>
      </w:r>
      <w:r>
        <w:rPr/>
        <w:t>Property</w:t>
      </w:r>
      <w:r>
        <w:rPr>
          <w:spacing w:val="-8"/>
        </w:rPr>
        <w:t> </w:t>
      </w:r>
      <w:r>
        <w:rPr/>
        <w:t>Damage:</w:t>
      </w:r>
      <w:r>
        <w:rPr>
          <w:spacing w:val="-8"/>
        </w:rPr>
        <w:t> </w:t>
      </w:r>
      <w:r>
        <w:rPr/>
        <w:t>Valuing</w:t>
      </w:r>
      <w:r>
        <w:rPr>
          <w:spacing w:val="-8"/>
        </w:rPr>
        <w:t> </w:t>
      </w:r>
      <w:r>
        <w:rPr/>
        <w:t>Mental</w:t>
      </w:r>
      <w:r>
        <w:rPr>
          <w:spacing w:val="-8"/>
        </w:rPr>
        <w:t> </w:t>
      </w:r>
      <w:bookmarkEnd w:id="120"/>
      <w:r>
        <w:rPr/>
        <w:t>Health Impacts of Climate Change</w:t>
      </w:r>
    </w:p>
    <w:p>
      <w:pPr>
        <w:pStyle w:val="BodyText"/>
        <w:spacing w:before="42"/>
        <w:rPr>
          <w:b/>
        </w:rPr>
      </w:pPr>
    </w:p>
    <w:p>
      <w:pPr>
        <w:pStyle w:val="BodyText"/>
        <w:ind w:left="113"/>
        <w:jc w:val="center"/>
      </w:pPr>
      <w:r>
        <w:rPr/>
        <w:t>Shishir </w:t>
      </w:r>
      <w:r>
        <w:rPr>
          <w:spacing w:val="-2"/>
        </w:rPr>
        <w:t>Shakya</w:t>
      </w:r>
    </w:p>
    <w:p>
      <w:pPr>
        <w:pStyle w:val="BodyText"/>
        <w:spacing w:before="82"/>
      </w:pPr>
    </w:p>
    <w:p>
      <w:pPr>
        <w:pStyle w:val="Heading4"/>
        <w:spacing w:before="1"/>
        <w:ind w:left="352"/>
      </w:pPr>
      <w:r>
        <w:rPr>
          <w:spacing w:val="-2"/>
        </w:rPr>
        <w:t>Abstract</w:t>
      </w:r>
    </w:p>
    <w:p>
      <w:pPr>
        <w:pStyle w:val="BodyText"/>
        <w:spacing w:before="93"/>
        <w:rPr>
          <w:b/>
        </w:rPr>
      </w:pPr>
    </w:p>
    <w:p>
      <w:pPr>
        <w:pStyle w:val="BodyText"/>
        <w:spacing w:line="237" w:lineRule="auto"/>
        <w:ind w:left="352" w:right="2353"/>
        <w:jc w:val="both"/>
      </w:pPr>
      <w:r>
        <w:rPr/>
        <w:t>As climate change intensifies natural disasters, understanding the full economic costs of disaster-related property damage becomes critical for environmental policy design and resource allocation. While direct property losses are well-documented, the</w:t>
      </w:r>
      <w:r>
        <w:rPr>
          <w:spacing w:val="-9"/>
        </w:rPr>
        <w:t> </w:t>
      </w:r>
      <w:r>
        <w:rPr/>
        <w:t>nonmarket</w:t>
      </w:r>
      <w:r>
        <w:rPr>
          <w:spacing w:val="-9"/>
        </w:rPr>
        <w:t> </w:t>
      </w:r>
      <w:r>
        <w:rPr/>
        <w:t>costs of mental health impacts remain poorly quantified. We analyze administrative data from 30,239 individuals across 48 contiguous US states (2008-2017) to estimate the plausible causal</w:t>
      </w:r>
      <w:r>
        <w:rPr>
          <w:spacing w:val="40"/>
        </w:rPr>
        <w:t> </w:t>
      </w:r>
      <w:r>
        <w:rPr/>
        <w:t>effect</w:t>
      </w:r>
      <w:r>
        <w:rPr>
          <w:spacing w:val="40"/>
        </w:rPr>
        <w:t> </w:t>
      </w:r>
      <w:r>
        <w:rPr/>
        <w:t>of</w:t>
      </w:r>
      <w:r>
        <w:rPr>
          <w:spacing w:val="40"/>
        </w:rPr>
        <w:t> </w:t>
      </w:r>
      <w:r>
        <w:rPr/>
        <w:t>disaster-related</w:t>
      </w:r>
      <w:r>
        <w:rPr>
          <w:spacing w:val="40"/>
        </w:rPr>
        <w:t> </w:t>
      </w:r>
      <w:r>
        <w:rPr/>
        <w:t>property</w:t>
      </w:r>
      <w:r>
        <w:rPr>
          <w:spacing w:val="40"/>
        </w:rPr>
        <w:t> </w:t>
      </w:r>
      <w:r>
        <w:rPr/>
        <w:t>damage</w:t>
      </w:r>
      <w:r>
        <w:rPr>
          <w:spacing w:val="40"/>
        </w:rPr>
        <w:t> </w:t>
      </w:r>
      <w:r>
        <w:rPr/>
        <w:t>on</w:t>
      </w:r>
      <w:r>
        <w:rPr>
          <w:spacing w:val="40"/>
        </w:rPr>
        <w:t> </w:t>
      </w:r>
      <w:r>
        <w:rPr/>
        <w:t>depressive</w:t>
      </w:r>
      <w:r>
        <w:rPr>
          <w:spacing w:val="40"/>
        </w:rPr>
        <w:t> </w:t>
      </w:r>
      <w:r>
        <w:rPr/>
        <w:t>symptoms.</w:t>
      </w:r>
      <w:r>
        <w:rPr>
          <w:spacing w:val="40"/>
        </w:rPr>
        <w:t> </w:t>
      </w:r>
      <w:r>
        <w:rPr/>
        <w:t>Using</w:t>
      </w:r>
      <w:r>
        <w:rPr>
          <w:spacing w:val="40"/>
        </w:rPr>
        <w:t> </w:t>
      </w:r>
      <w:r>
        <w:rPr/>
        <w:t>a quasi-experimental identification strategy that exploits unexpected single-disaster events between 2011-2014, we combine disaster property damage data from SHELDUS with individual-level mental health outcomes from the REGARDS study. Our generalized difference-in-differences</w:t>
      </w:r>
      <w:r>
        <w:rPr>
          <w:spacing w:val="-3"/>
        </w:rPr>
        <w:t> </w:t>
      </w:r>
      <w:r>
        <w:rPr/>
        <w:t>approach,</w:t>
      </w:r>
      <w:r>
        <w:rPr>
          <w:spacing w:val="-3"/>
        </w:rPr>
        <w:t> </w:t>
      </w:r>
      <w:r>
        <w:rPr/>
        <w:t>augmented</w:t>
      </w:r>
      <w:r>
        <w:rPr>
          <w:spacing w:val="-3"/>
        </w:rPr>
        <w:t> </w:t>
      </w:r>
      <w:r>
        <w:rPr/>
        <w:t>with</w:t>
      </w:r>
      <w:r>
        <w:rPr>
          <w:spacing w:val="-3"/>
        </w:rPr>
        <w:t> </w:t>
      </w:r>
      <w:r>
        <w:rPr/>
        <w:t>post-double-selection</w:t>
      </w:r>
      <w:r>
        <w:rPr>
          <w:spacing w:val="-3"/>
        </w:rPr>
        <w:t> </w:t>
      </w:r>
      <w:r>
        <w:rPr/>
        <w:t>LASSO</w:t>
      </w:r>
      <w:r>
        <w:rPr>
          <w:spacing w:val="-15"/>
        </w:rPr>
        <w:t> </w:t>
      </w:r>
      <w:r>
        <w:rPr/>
        <w:t>machine learning methods and event studies, reveals that individuals experiencing property damage report a persistent 7-10% increase in depressive symptoms. Using</w:t>
      </w:r>
      <w:r>
        <w:rPr>
          <w:spacing w:val="-9"/>
        </w:rPr>
        <w:t> </w:t>
      </w:r>
      <w:r>
        <w:rPr/>
        <w:t>cost-of-illness</w:t>
      </w:r>
      <w:r>
        <w:rPr>
          <w:spacing w:val="-9"/>
        </w:rPr>
        <w:t> </w:t>
      </w:r>
      <w:r>
        <w:rPr/>
        <w:t>estimates, we value these mental health impacts at approximately US$1,200-$1,700 per affected person annually, suggesting aggregate costs</w:t>
      </w:r>
      <w:r>
        <w:rPr>
          <w:spacing w:val="-8"/>
        </w:rPr>
        <w:t> </w:t>
      </w:r>
      <w:r>
        <w:rPr/>
        <w:t>of</w:t>
      </w:r>
      <w:r>
        <w:rPr>
          <w:spacing w:val="-8"/>
        </w:rPr>
        <w:t> </w:t>
      </w:r>
      <w:r>
        <w:rPr/>
        <w:t>roughly</w:t>
      </w:r>
      <w:r>
        <w:rPr>
          <w:spacing w:val="-8"/>
        </w:rPr>
        <w:t> </w:t>
      </w:r>
      <w:r>
        <w:rPr/>
        <w:t>US$2</w:t>
      </w:r>
      <w:r>
        <w:rPr>
          <w:spacing w:val="-8"/>
        </w:rPr>
        <w:t> </w:t>
      </w:r>
      <w:r>
        <w:rPr/>
        <w:t>billion</w:t>
      </w:r>
      <w:r>
        <w:rPr>
          <w:spacing w:val="-8"/>
        </w:rPr>
        <w:t> </w:t>
      </w:r>
      <w:r>
        <w:rPr/>
        <w:t>per</w:t>
      </w:r>
      <w:r>
        <w:rPr>
          <w:spacing w:val="-8"/>
        </w:rPr>
        <w:t> </w:t>
      </w:r>
      <w:r>
        <w:rPr/>
        <w:t>year</w:t>
      </w:r>
      <w:r>
        <w:rPr>
          <w:spacing w:val="-8"/>
        </w:rPr>
        <w:t> </w:t>
      </w:r>
      <w:r>
        <w:rPr/>
        <w:t>at</w:t>
      </w:r>
      <w:r>
        <w:rPr>
          <w:spacing w:val="-8"/>
        </w:rPr>
        <w:t> </w:t>
      </w:r>
      <w:r>
        <w:rPr/>
        <w:t>the</w:t>
      </w:r>
      <w:r>
        <w:rPr>
          <w:spacing w:val="-8"/>
        </w:rPr>
        <w:t> </w:t>
      </w:r>
      <w:r>
        <w:rPr/>
        <w:t>national level. These findings have important implications for nonmarket valuation of climate change impacts, disaster insurance design, and the cost-benefit analysis of climate adaptation policies. Our results suggest that standard damage assessments significantly underestimate the true social costs of natural disasters by omitting mental health </w:t>
      </w:r>
      <w:r>
        <w:rPr>
          <w:spacing w:val="-2"/>
        </w:rPr>
        <w:t>externalities.</w:t>
      </w:r>
    </w:p>
    <w:p>
      <w:pPr>
        <w:pStyle w:val="BodyText"/>
        <w:spacing w:before="220"/>
      </w:pPr>
    </w:p>
    <w:p>
      <w:pPr>
        <w:pStyle w:val="BodyText"/>
        <w:spacing w:before="1"/>
        <w:ind w:left="352" w:right="1381"/>
      </w:pPr>
      <w:r>
        <w:rPr/>
        <w:t>Keywords:</w:t>
      </w:r>
      <w:r>
        <w:rPr>
          <w:spacing w:val="40"/>
        </w:rPr>
        <w:t> </w:t>
      </w:r>
      <w:r>
        <w:rPr/>
        <w:t>Climate</w:t>
      </w:r>
      <w:r>
        <w:rPr>
          <w:spacing w:val="40"/>
        </w:rPr>
        <w:t> </w:t>
      </w:r>
      <w:r>
        <w:rPr/>
        <w:t>change,</w:t>
      </w:r>
      <w:r>
        <w:rPr>
          <w:spacing w:val="40"/>
        </w:rPr>
        <w:t> </w:t>
      </w:r>
      <w:r>
        <w:rPr/>
        <w:t>natural</w:t>
      </w:r>
      <w:r>
        <w:rPr>
          <w:spacing w:val="40"/>
        </w:rPr>
        <w:t> </w:t>
      </w:r>
      <w:r>
        <w:rPr/>
        <w:t>disasters,</w:t>
      </w:r>
      <w:r>
        <w:rPr>
          <w:spacing w:val="40"/>
        </w:rPr>
        <w:t> </w:t>
      </w:r>
      <w:r>
        <w:rPr/>
        <w:t>nonmarket</w:t>
      </w:r>
      <w:r>
        <w:rPr>
          <w:spacing w:val="40"/>
        </w:rPr>
        <w:t> </w:t>
      </w:r>
      <w:r>
        <w:rPr/>
        <w:t>valuation,</w:t>
      </w:r>
      <w:r>
        <w:rPr>
          <w:spacing w:val="40"/>
        </w:rPr>
        <w:t> </w:t>
      </w:r>
      <w:r>
        <w:rPr/>
        <w:t>mental</w:t>
      </w:r>
      <w:r>
        <w:rPr>
          <w:spacing w:val="40"/>
        </w:rPr>
        <w:t> </w:t>
      </w:r>
      <w:r>
        <w:rPr/>
        <w:t>health,</w:t>
      </w:r>
      <w:r>
        <w:rPr>
          <w:spacing w:val="40"/>
        </w:rPr>
        <w:t> </w:t>
      </w:r>
      <w:r>
        <w:rPr/>
        <w:t>property</w:t>
      </w:r>
      <w:r>
        <w:rPr>
          <w:spacing w:val="80"/>
        </w:rPr>
        <w:t> </w:t>
      </w:r>
      <w:r>
        <w:rPr/>
        <w:t>damage, environmental policy</w:t>
      </w:r>
    </w:p>
    <w:p>
      <w:pPr>
        <w:pStyle w:val="BodyText"/>
        <w:spacing w:before="16"/>
      </w:pPr>
    </w:p>
    <w:p>
      <w:pPr>
        <w:pStyle w:val="BodyText"/>
        <w:spacing w:line="480" w:lineRule="auto"/>
        <w:ind w:left="352" w:right="7352"/>
        <w:jc w:val="both"/>
      </w:pPr>
      <w:r>
        <w:rPr/>
        <w:t>JEL</w:t>
      </w:r>
      <w:r>
        <w:rPr>
          <w:spacing w:val="-8"/>
        </w:rPr>
        <w:t> </w:t>
      </w:r>
      <w:r>
        <w:rPr/>
        <w:t>Classification:</w:t>
      </w:r>
      <w:r>
        <w:rPr>
          <w:spacing w:val="-8"/>
        </w:rPr>
        <w:t> </w:t>
      </w:r>
      <w:r>
        <w:rPr/>
        <w:t>Q54,</w:t>
      </w:r>
      <w:r>
        <w:rPr>
          <w:spacing w:val="-8"/>
        </w:rPr>
        <w:t> </w:t>
      </w:r>
      <w:r>
        <w:rPr/>
        <w:t>Q51,</w:t>
      </w:r>
      <w:r>
        <w:rPr>
          <w:spacing w:val="-8"/>
        </w:rPr>
        <w:t> </w:t>
      </w:r>
      <w:r>
        <w:rPr/>
        <w:t>I12,</w:t>
      </w:r>
      <w:r>
        <w:rPr>
          <w:spacing w:val="-8"/>
        </w:rPr>
        <w:t> </w:t>
      </w:r>
      <w:r>
        <w:rPr/>
        <w:t>H84 1 Introduction</w:t>
      </w:r>
    </w:p>
    <w:p>
      <w:pPr>
        <w:pStyle w:val="BodyText"/>
        <w:spacing w:before="43"/>
        <w:ind w:left="352" w:right="1783"/>
        <w:jc w:val="both"/>
      </w:pPr>
      <w:r>
        <w:rPr/>
        <w:t>Climate change is increasing the frequency and intensity of natural disasters (</w:t>
      </w:r>
      <w:r>
        <w:rPr>
          <w:color w:val="0000FF"/>
        </w:rPr>
        <w:t>IPCC</w:t>
      </w:r>
      <w:r>
        <w:rPr/>
        <w:t>, </w:t>
      </w:r>
      <w:r>
        <w:rPr>
          <w:color w:val="0000FF"/>
        </w:rPr>
        <w:t>2021</w:t>
      </w:r>
      <w:r>
        <w:rPr/>
        <w:t>), imposing substantial economic costs on affected communities ( </w:t>
      </w:r>
      <w:r>
        <w:rPr>
          <w:color w:val="0000FF"/>
        </w:rPr>
        <w:t>Hallegatte e</w:t>
      </w:r>
      <w:r>
        <w:rPr>
          <w:color w:val="0000FF"/>
          <w:spacing w:val="-3"/>
        </w:rPr>
        <w:t> </w:t>
      </w:r>
      <w:r>
        <w:rPr>
          <w:color w:val="0000FF"/>
        </w:rPr>
        <w:t>t</w:t>
      </w:r>
      <w:r>
        <w:rPr>
          <w:color w:val="0000FF"/>
          <w:spacing w:val="-3"/>
        </w:rPr>
        <w:t> </w:t>
      </w:r>
      <w:r>
        <w:rPr>
          <w:color w:val="0000FF"/>
        </w:rPr>
        <w:t>al.</w:t>
      </w:r>
      <w:r>
        <w:rPr/>
        <w:t>,</w:t>
      </w:r>
      <w:r>
        <w:rPr>
          <w:spacing w:val="-3"/>
        </w:rPr>
        <w:t> </w:t>
      </w:r>
      <w:r>
        <w:rPr>
          <w:color w:val="0000FF"/>
        </w:rPr>
        <w:t>2014</w:t>
      </w:r>
      <w:r>
        <w:rPr/>
        <w:t>;</w:t>
      </w:r>
      <w:r>
        <w:rPr>
          <w:spacing w:val="-3"/>
        </w:rPr>
        <w:t> </w:t>
      </w:r>
      <w:r>
        <w:rPr>
          <w:color w:val="0000FF"/>
        </w:rPr>
        <w:t>Kousky</w:t>
      </w:r>
      <w:r>
        <w:rPr/>
        <w:t>, </w:t>
      </w:r>
      <w:r>
        <w:rPr>
          <w:color w:val="0000FF"/>
        </w:rPr>
        <w:t>2014</w:t>
      </w:r>
      <w:r>
        <w:rPr/>
        <w:t>). While direct property damage from disasters is routinely quantified for insurance claims and federal disaster relief, the broader economic consequences, particularly nonmarket impacts on human well-being, remain inadequately measured. This gap in valuation has important implications for environmental policy: cost-benefit analyses of climate adaptation investments, disaster insurance pricing, and resource allocation for disaster preparedness may systematically underestimate the true social costs of natural disasters (</w:t>
      </w:r>
      <w:r>
        <w:rPr>
          <w:color w:val="0000FF"/>
        </w:rPr>
        <w:t>Adger et al.</w:t>
      </w:r>
      <w:r>
        <w:rPr/>
        <w:t>, </w:t>
      </w:r>
      <w:r>
        <w:rPr>
          <w:color w:val="0000FF"/>
        </w:rPr>
        <w:t>2009</w:t>
      </w:r>
      <w:r>
        <w:rPr/>
        <w:t>; </w:t>
      </w:r>
      <w:r>
        <w:rPr>
          <w:color w:val="0000FF"/>
        </w:rPr>
        <w:t>Kunreuther et al.</w:t>
      </w:r>
      <w:r>
        <w:rPr/>
        <w:t>, </w:t>
      </w:r>
      <w:r>
        <w:rPr>
          <w:color w:val="0000FF"/>
          <w:spacing w:val="-2"/>
        </w:rPr>
        <w:t>2013</w:t>
      </w:r>
      <w:r>
        <w:rPr>
          <w:spacing w:val="-2"/>
        </w:rPr>
        <w:t>).</w:t>
      </w:r>
    </w:p>
    <w:p>
      <w:pPr>
        <w:pStyle w:val="BodyText"/>
        <w:spacing w:before="247"/>
        <w:ind w:left="352" w:right="1785"/>
        <w:jc w:val="both"/>
      </w:pPr>
      <w:r>
        <w:rPr/>
        <w:t>The environmental economics literature has made significant progress in valuing </w:t>
      </w:r>
      <w:r>
        <w:rPr/>
        <w:t>nonmarket environmental amenities and disamenities (</w:t>
      </w:r>
      <w:r>
        <w:rPr>
          <w:color w:val="0000FF"/>
        </w:rPr>
        <w:t>Freeman Iii</w:t>
      </w:r>
      <w:r>
        <w:rPr/>
        <w:t>, </w:t>
      </w:r>
      <w:r>
        <w:rPr>
          <w:color w:val="0000FF"/>
        </w:rPr>
        <w:t>2003</w:t>
      </w:r>
      <w:r>
        <w:rPr/>
        <w:t>; </w:t>
      </w:r>
      <w:r>
        <w:rPr>
          <w:color w:val="0000FF"/>
        </w:rPr>
        <w:t>Champ et al.</w:t>
      </w:r>
      <w:r>
        <w:rPr/>
        <w:t>, </w:t>
      </w:r>
      <w:r>
        <w:rPr>
          <w:color w:val="0000FF"/>
        </w:rPr>
        <w:t>2003</w:t>
      </w:r>
      <w:r>
        <w:rPr/>
        <w:t>), yet the</w:t>
      </w:r>
      <w:r>
        <w:rPr>
          <w:spacing w:val="40"/>
        </w:rPr>
        <w:t> </w:t>
      </w:r>
      <w:r>
        <w:rPr/>
        <w:t>mental health consequences of disaster-induced property loss represent an under explored dimension of environmental valuation. Standard damage assessments focus on market-valued losses,</w:t>
      </w:r>
      <w:r>
        <w:rPr>
          <w:spacing w:val="58"/>
        </w:rPr>
        <w:t> </w:t>
      </w:r>
      <w:r>
        <w:rPr/>
        <w:t>for</w:t>
      </w:r>
      <w:r>
        <w:rPr>
          <w:spacing w:val="59"/>
        </w:rPr>
        <w:t> </w:t>
      </w:r>
      <w:r>
        <w:rPr/>
        <w:t>example,</w:t>
      </w:r>
      <w:r>
        <w:rPr>
          <w:spacing w:val="58"/>
        </w:rPr>
        <w:t> </w:t>
      </w:r>
      <w:r>
        <w:rPr/>
        <w:t>property,</w:t>
      </w:r>
      <w:r>
        <w:rPr>
          <w:spacing w:val="44"/>
        </w:rPr>
        <w:t> </w:t>
      </w:r>
      <w:r>
        <w:rPr/>
        <w:t>infrastructure,</w:t>
      </w:r>
      <w:r>
        <w:rPr>
          <w:spacing w:val="44"/>
        </w:rPr>
        <w:t> </w:t>
      </w:r>
      <w:r>
        <w:rPr/>
        <w:t>crops</w:t>
      </w:r>
      <w:r>
        <w:rPr>
          <w:spacing w:val="43"/>
        </w:rPr>
        <w:t> </w:t>
      </w:r>
      <w:r>
        <w:rPr/>
        <w:t>(</w:t>
      </w:r>
      <w:r>
        <w:rPr>
          <w:color w:val="0000FF"/>
        </w:rPr>
        <w:t>Hallegatte</w:t>
      </w:r>
      <w:r>
        <w:rPr>
          <w:color w:val="0000FF"/>
          <w:spacing w:val="44"/>
        </w:rPr>
        <w:t> </w:t>
      </w:r>
      <w:r>
        <w:rPr>
          <w:color w:val="0000FF"/>
        </w:rPr>
        <w:t>et</w:t>
      </w:r>
      <w:r>
        <w:rPr>
          <w:color w:val="0000FF"/>
          <w:spacing w:val="44"/>
        </w:rPr>
        <w:t> </w:t>
      </w:r>
      <w:r>
        <w:rPr>
          <w:color w:val="0000FF"/>
        </w:rPr>
        <w:t>al.</w:t>
      </w:r>
      <w:r>
        <w:rPr/>
        <w:t>,</w:t>
      </w:r>
      <w:r>
        <w:rPr>
          <w:spacing w:val="43"/>
        </w:rPr>
        <w:t> </w:t>
      </w:r>
      <w:r>
        <w:rPr>
          <w:color w:val="0000FF"/>
        </w:rPr>
        <w:t>2014</w:t>
      </w:r>
      <w:r>
        <w:rPr/>
        <w:t>;</w:t>
      </w:r>
      <w:r>
        <w:rPr>
          <w:spacing w:val="44"/>
        </w:rPr>
        <w:t> </w:t>
      </w:r>
      <w:r>
        <w:rPr>
          <w:color w:val="0000FF"/>
        </w:rPr>
        <w:t>Deryugina</w:t>
      </w:r>
      <w:r>
        <w:rPr>
          <w:color w:val="0000FF"/>
          <w:spacing w:val="44"/>
        </w:rPr>
        <w:t> </w:t>
      </w:r>
      <w:r>
        <w:rPr>
          <w:color w:val="0000FF"/>
        </w:rPr>
        <w:t>et</w:t>
      </w:r>
      <w:r>
        <w:rPr>
          <w:color w:val="0000FF"/>
          <w:spacing w:val="44"/>
        </w:rPr>
        <w:t> </w:t>
      </w:r>
      <w:r>
        <w:rPr>
          <w:color w:val="0000FF"/>
          <w:spacing w:val="-4"/>
        </w:rPr>
        <w:t>al.</w:t>
      </w:r>
      <w:r>
        <w:rPr>
          <w:spacing w:val="-4"/>
        </w:rPr>
        <w:t>,</w:t>
      </w:r>
    </w:p>
    <w:p>
      <w:pPr>
        <w:pStyle w:val="BodyText"/>
        <w:spacing w:after="0"/>
        <w:jc w:val="both"/>
        <w:sectPr>
          <w:pgSz w:w="12240" w:h="15840"/>
          <w:pgMar w:header="0" w:footer="707" w:top="640" w:bottom="960" w:left="720" w:right="0"/>
        </w:sectPr>
      </w:pPr>
    </w:p>
    <w:p>
      <w:pPr>
        <w:pStyle w:val="BodyText"/>
        <w:spacing w:before="60"/>
        <w:ind w:left="352" w:right="1782"/>
        <w:jc w:val="both"/>
      </w:pPr>
      <w:r>
        <w:rPr>
          <w:color w:val="0000FF"/>
        </w:rPr>
        <w:t>2018</w:t>
      </w:r>
      <w:r>
        <w:rPr/>
        <w:t>) but omit the welfare losses associated with psychological</w:t>
      </w:r>
      <w:r>
        <w:rPr>
          <w:spacing w:val="-2"/>
        </w:rPr>
        <w:t> </w:t>
      </w:r>
      <w:r>
        <w:rPr/>
        <w:t>distress,</w:t>
      </w:r>
      <w:r>
        <w:rPr>
          <w:spacing w:val="-2"/>
        </w:rPr>
        <w:t> </w:t>
      </w:r>
      <w:r>
        <w:rPr/>
        <w:t>which</w:t>
      </w:r>
      <w:r>
        <w:rPr>
          <w:spacing w:val="-2"/>
        </w:rPr>
        <w:t> </w:t>
      </w:r>
      <w:r>
        <w:rPr/>
        <w:t>may</w:t>
      </w:r>
      <w:r>
        <w:rPr>
          <w:spacing w:val="-2"/>
        </w:rPr>
        <w:t> </w:t>
      </w:r>
      <w:r>
        <w:rPr/>
        <w:t>persist</w:t>
      </w:r>
      <w:r>
        <w:rPr>
          <w:spacing w:val="-2"/>
        </w:rPr>
        <w:t> </w:t>
      </w:r>
      <w:r>
        <w:rPr/>
        <w:t>long after physical recovery. Understanding these nonmarket costs is essential for </w:t>
      </w:r>
      <w:r>
        <w:rPr/>
        <w:t>efficient environmental policy design, particularly as policymakers grapple with increasing disaster frequency under climate change (</w:t>
      </w:r>
      <w:r>
        <w:rPr>
          <w:color w:val="0000FF"/>
        </w:rPr>
        <w:t>IPCC</w:t>
      </w:r>
      <w:r>
        <w:rPr/>
        <w:t>, </w:t>
      </w:r>
      <w:r>
        <w:rPr>
          <w:color w:val="0000FF"/>
        </w:rPr>
        <w:t>2021</w:t>
      </w:r>
      <w:r>
        <w:rPr/>
        <w:t>; </w:t>
      </w:r>
      <w:r>
        <w:rPr>
          <w:color w:val="0000FF"/>
        </w:rPr>
        <w:t>Burke et al.</w:t>
      </w:r>
      <w:r>
        <w:rPr/>
        <w:t>, </w:t>
      </w:r>
      <w:r>
        <w:rPr>
          <w:color w:val="0000FF"/>
        </w:rPr>
        <w:t>2015</w:t>
      </w:r>
      <w:r>
        <w:rPr/>
        <w:t>).</w:t>
      </w:r>
    </w:p>
    <w:p>
      <w:pPr>
        <w:pStyle w:val="BodyText"/>
        <w:spacing w:before="248"/>
        <w:ind w:left="352" w:right="1783"/>
        <w:jc w:val="both"/>
      </w:pPr>
      <w:r>
        <w:rPr/>
        <w:t>In</w:t>
      </w:r>
      <w:r>
        <w:rPr>
          <w:spacing w:val="40"/>
        </w:rPr>
        <w:t> </w:t>
      </w:r>
      <w:r>
        <w:rPr/>
        <w:t>this</w:t>
      </w:r>
      <w:r>
        <w:rPr>
          <w:spacing w:val="40"/>
        </w:rPr>
        <w:t> </w:t>
      </w:r>
      <w:r>
        <w:rPr/>
        <w:t>paper,</w:t>
      </w:r>
      <w:r>
        <w:rPr>
          <w:spacing w:val="40"/>
        </w:rPr>
        <w:t> </w:t>
      </w:r>
      <w:r>
        <w:rPr/>
        <w:t>we</w:t>
      </w:r>
      <w:r>
        <w:rPr>
          <w:spacing w:val="40"/>
        </w:rPr>
        <w:t> </w:t>
      </w:r>
      <w:r>
        <w:rPr/>
        <w:t>provide</w:t>
      </w:r>
      <w:r>
        <w:rPr>
          <w:spacing w:val="40"/>
        </w:rPr>
        <w:t> </w:t>
      </w:r>
      <w:r>
        <w:rPr/>
        <w:t>novel</w:t>
      </w:r>
      <w:r>
        <w:rPr>
          <w:spacing w:val="40"/>
        </w:rPr>
        <w:t> </w:t>
      </w:r>
      <w:r>
        <w:rPr/>
        <w:t>empirical</w:t>
      </w:r>
      <w:r>
        <w:rPr>
          <w:spacing w:val="40"/>
        </w:rPr>
        <w:t> </w:t>
      </w:r>
      <w:r>
        <w:rPr/>
        <w:t>evidence</w:t>
      </w:r>
      <w:r>
        <w:rPr>
          <w:spacing w:val="40"/>
        </w:rPr>
        <w:t> </w:t>
      </w:r>
      <w:r>
        <w:rPr/>
        <w:t>on</w:t>
      </w:r>
      <w:r>
        <w:rPr>
          <w:spacing w:val="40"/>
        </w:rPr>
        <w:t> </w:t>
      </w:r>
      <w:r>
        <w:rPr/>
        <w:t>the</w:t>
      </w:r>
      <w:r>
        <w:rPr>
          <w:spacing w:val="40"/>
        </w:rPr>
        <w:t> </w:t>
      </w:r>
      <w:r>
        <w:rPr/>
        <w:t>causal</w:t>
      </w:r>
      <w:r>
        <w:rPr>
          <w:spacing w:val="40"/>
        </w:rPr>
        <w:t> </w:t>
      </w:r>
      <w:r>
        <w:rPr/>
        <w:t>relationship</w:t>
      </w:r>
      <w:r>
        <w:rPr>
          <w:spacing w:val="40"/>
        </w:rPr>
        <w:t> </w:t>
      </w:r>
      <w:r>
        <w:rPr/>
        <w:t>between disaster-related property damage and mental health outcomes, with implications for non market valuation and environmental policy. We exploit quasi-experimental variation from unexpected single-disaster events to identify the causal effect of property damage on depressive symptoms. Our identification strategy leverages the fact that some counties experience disasters that are largely unexpected given their historical exposure patterns, creating plausibly exogenous variation in property damage. For instance, counties in regions historically unaccustomed to specific disaster types (such as inland areas experiencing unexpected hurricanes, or regions outside typical tornado alleys facing severe storms) may experience disasters that are largely unexpected, causing widespread property damage in communities with limited disaster preparedness infrastructure. In contrast, regions with frequent disaster exposure, such as coastal Florida, have developed adaptive capacity and institutional responses that may mitigate both physical and psychological impacts.</w:t>
      </w:r>
    </w:p>
    <w:p>
      <w:pPr>
        <w:pStyle w:val="BodyText"/>
        <w:spacing w:before="247"/>
        <w:ind w:left="352" w:right="1783"/>
        <w:jc w:val="both"/>
      </w:pPr>
      <w:r>
        <w:rPr/>
        <w:t>We analyze administrative data from 30,239 individuals across the 48 contiguous US states between 2008 and 2017. We identify long-term residents in counties that experienced </w:t>
      </w:r>
      <w:r>
        <w:rPr/>
        <w:t>an unexpected single disaster (treatment group) between 2011 and 2014, comparing them to residents in counties with no disasters (comparison</w:t>
      </w:r>
      <w:r>
        <w:rPr>
          <w:spacing w:val="-5"/>
        </w:rPr>
        <w:t> </w:t>
      </w:r>
      <w:r>
        <w:rPr/>
        <w:t>group).</w:t>
      </w:r>
      <w:r>
        <w:rPr>
          <w:spacing w:val="-5"/>
        </w:rPr>
        <w:t> </w:t>
      </w:r>
      <w:r>
        <w:rPr/>
        <w:t>We</w:t>
      </w:r>
      <w:r>
        <w:rPr>
          <w:spacing w:val="-5"/>
        </w:rPr>
        <w:t> </w:t>
      </w:r>
      <w:r>
        <w:rPr/>
        <w:t>combine</w:t>
      </w:r>
      <w:r>
        <w:rPr>
          <w:spacing w:val="-5"/>
        </w:rPr>
        <w:t> </w:t>
      </w:r>
      <w:r>
        <w:rPr/>
        <w:t>disaster</w:t>
      </w:r>
      <w:r>
        <w:rPr>
          <w:spacing w:val="-5"/>
        </w:rPr>
        <w:t> </w:t>
      </w:r>
      <w:r>
        <w:rPr/>
        <w:t>related</w:t>
      </w:r>
      <w:r>
        <w:rPr>
          <w:spacing w:val="-5"/>
        </w:rPr>
        <w:t> </w:t>
      </w:r>
      <w:r>
        <w:rPr/>
        <w:t>property damage data from the Spatial Hazard Events and Losses Database for the United States (SHELDUS)</w:t>
      </w:r>
      <w:r>
        <w:rPr>
          <w:spacing w:val="40"/>
        </w:rPr>
        <w:t> </w:t>
      </w:r>
      <w:r>
        <w:rPr/>
        <w:t>with</w:t>
      </w:r>
      <w:r>
        <w:rPr>
          <w:spacing w:val="40"/>
        </w:rPr>
        <w:t> </w:t>
      </w:r>
      <w:r>
        <w:rPr/>
        <w:t>depressive</w:t>
      </w:r>
      <w:r>
        <w:rPr>
          <w:spacing w:val="40"/>
        </w:rPr>
        <w:t> </w:t>
      </w:r>
      <w:r>
        <w:rPr/>
        <w:t>symptoms</w:t>
      </w:r>
      <w:r>
        <w:rPr>
          <w:spacing w:val="40"/>
        </w:rPr>
        <w:t> </w:t>
      </w:r>
      <w:r>
        <w:rPr/>
        <w:t>measured</w:t>
      </w:r>
      <w:r>
        <w:rPr>
          <w:spacing w:val="40"/>
        </w:rPr>
        <w:t> </w:t>
      </w:r>
      <w:r>
        <w:rPr/>
        <w:t>using</w:t>
      </w:r>
      <w:r>
        <w:rPr>
          <w:spacing w:val="40"/>
        </w:rPr>
        <w:t> </w:t>
      </w:r>
      <w:r>
        <w:rPr/>
        <w:t>the</w:t>
      </w:r>
      <w:r>
        <w:rPr>
          <w:spacing w:val="40"/>
        </w:rPr>
        <w:t> </w:t>
      </w:r>
      <w:r>
        <w:rPr/>
        <w:t>Center</w:t>
      </w:r>
      <w:r>
        <w:rPr>
          <w:spacing w:val="40"/>
        </w:rPr>
        <w:t> </w:t>
      </w:r>
      <w:r>
        <w:rPr/>
        <w:t>for Epidemiological Studies-Depression 4-item version (CES-D-4) from the REGARDS study. We also incorporate neighborhood-level environmental and socioeconomic characteristics from the Retail Environment and CardioVascular Disease (RECVD) database to control for potential </w:t>
      </w:r>
      <w:r>
        <w:rPr>
          <w:spacing w:val="-2"/>
        </w:rPr>
        <w:t>confounders.</w:t>
      </w:r>
    </w:p>
    <w:p>
      <w:pPr>
        <w:pStyle w:val="BodyText"/>
      </w:pPr>
    </w:p>
    <w:p>
      <w:pPr>
        <w:pStyle w:val="BodyText"/>
        <w:ind w:left="352" w:right="1723"/>
        <w:jc w:val="both"/>
      </w:pPr>
      <w:r>
        <w:rPr/>
        <w:t>Using a generalized difference-in-differences approach, post-double-selection LASSO-</w:t>
      </w:r>
      <w:r>
        <w:rPr/>
        <w:t>based machine learning methods, and event study methodologies, we find that individuals who experienced property damage report a persistent 7-10% increase in depressive symptoms compared to those who did not. This effect is particularly pronounced for lower-intensity disasters, suggesting that communities with limited disaster experience and preparedness infrastructure may face disproportionate psychological costs. To translate these findings into policy-relevant terms, we monetize these mental health impacts using cost-of-illness estimates from </w:t>
      </w:r>
      <w:r>
        <w:rPr>
          <w:color w:val="0000FF"/>
        </w:rPr>
        <w:t>Greenberg et al. </w:t>
      </w:r>
      <w:r>
        <w:rPr/>
        <w:t>(</w:t>
      </w:r>
      <w:r>
        <w:rPr>
          <w:color w:val="0000FF"/>
        </w:rPr>
        <w:t>2023</w:t>
      </w:r>
      <w:r>
        <w:rPr/>
        <w:t>), finding that disaster-induced depression costs approximately US$1,200-$1,700 per affected person annually. Scaling to the national level, we estimate aggregate mental health costs of roughly US$2 billion per year, representing 1-2% of measured property damages from natural disasters. These findings have direct implications for environmental policy: they suggest that standard damage assessments underestimate the true social costs of disasters, that disaster insurance markets may be inefficiently priced, and that climate adaptation policies should account for mental health externalities in cost-benefit analyses.</w:t>
      </w:r>
    </w:p>
    <w:p>
      <w:pPr>
        <w:pStyle w:val="BodyText"/>
        <w:spacing w:before="248"/>
        <w:ind w:left="352" w:right="1787"/>
        <w:jc w:val="both"/>
      </w:pPr>
      <w:r>
        <w:rPr/>
        <w:t>Our contribution to the environmental economics literature is threefold. First, we</w:t>
      </w:r>
      <w:r>
        <w:rPr>
          <w:spacing w:val="-3"/>
        </w:rPr>
        <w:t> </w:t>
      </w:r>
      <w:r>
        <w:rPr/>
        <w:t>provide</w:t>
      </w:r>
      <w:r>
        <w:rPr>
          <w:spacing w:val="-3"/>
        </w:rPr>
        <w:t> </w:t>
      </w:r>
      <w:r>
        <w:rPr/>
        <w:t>causal estimates of a previously unquantified nonmarket cost of natural disasters and translate these estimates</w:t>
      </w:r>
      <w:r>
        <w:rPr>
          <w:spacing w:val="-3"/>
        </w:rPr>
        <w:t> </w:t>
      </w:r>
      <w:r>
        <w:rPr/>
        <w:t>into</w:t>
      </w:r>
      <w:r>
        <w:rPr>
          <w:spacing w:val="-3"/>
        </w:rPr>
        <w:t> </w:t>
      </w:r>
      <w:r>
        <w:rPr/>
        <w:t>explicit</w:t>
      </w:r>
      <w:r>
        <w:rPr>
          <w:spacing w:val="-3"/>
        </w:rPr>
        <w:t> </w:t>
      </w:r>
      <w:r>
        <w:rPr/>
        <w:t>dollar</w:t>
      </w:r>
      <w:r>
        <w:rPr>
          <w:spacing w:val="-3"/>
        </w:rPr>
        <w:t> </w:t>
      </w:r>
      <w:r>
        <w:rPr/>
        <w:t>values,</w:t>
      </w:r>
      <w:r>
        <w:rPr>
          <w:spacing w:val="-3"/>
        </w:rPr>
        <w:t> </w:t>
      </w:r>
      <w:r>
        <w:rPr/>
        <w:t>advancing</w:t>
      </w:r>
      <w:r>
        <w:rPr>
          <w:spacing w:val="-3"/>
        </w:rPr>
        <w:t> </w:t>
      </w:r>
      <w:r>
        <w:rPr/>
        <w:t>the</w:t>
      </w:r>
      <w:r>
        <w:rPr>
          <w:spacing w:val="-3"/>
        </w:rPr>
        <w:t> </w:t>
      </w:r>
      <w:r>
        <w:rPr/>
        <w:t>literature</w:t>
      </w:r>
      <w:r>
        <w:rPr>
          <w:spacing w:val="-3"/>
        </w:rPr>
        <w:t> </w:t>
      </w:r>
      <w:r>
        <w:rPr/>
        <w:t>on</w:t>
      </w:r>
      <w:r>
        <w:rPr>
          <w:spacing w:val="-3"/>
        </w:rPr>
        <w:t> </w:t>
      </w:r>
      <w:r>
        <w:rPr/>
        <w:t>environmental</w:t>
      </w:r>
      <w:r>
        <w:rPr>
          <w:spacing w:val="-3"/>
        </w:rPr>
        <w:t> </w:t>
      </w:r>
      <w:r>
        <w:rPr/>
        <w:t>valuation.</w:t>
      </w:r>
      <w:r>
        <w:rPr>
          <w:spacing w:val="-3"/>
        </w:rPr>
        <w:t> </w:t>
      </w:r>
      <w:r>
        <w:rPr/>
        <w:t>Second, we demonstrate how machine learning methods can enhance causal inference in environmental economics by systematically selecting control variables from high-dimensional datasets. Third, our</w:t>
      </w:r>
      <w:r>
        <w:rPr>
          <w:spacing w:val="60"/>
        </w:rPr>
        <w:t> </w:t>
      </w:r>
      <w:r>
        <w:rPr/>
        <w:t>findings</w:t>
      </w:r>
      <w:r>
        <w:rPr>
          <w:spacing w:val="60"/>
        </w:rPr>
        <w:t> </w:t>
      </w:r>
      <w:r>
        <w:rPr/>
        <w:t>inform</w:t>
      </w:r>
      <w:r>
        <w:rPr>
          <w:spacing w:val="60"/>
        </w:rPr>
        <w:t> </w:t>
      </w:r>
      <w:r>
        <w:rPr/>
        <w:t>environmental</w:t>
      </w:r>
      <w:r>
        <w:rPr>
          <w:spacing w:val="60"/>
        </w:rPr>
        <w:t> </w:t>
      </w:r>
      <w:r>
        <w:rPr/>
        <w:t>policy</w:t>
      </w:r>
      <w:r>
        <w:rPr>
          <w:spacing w:val="60"/>
        </w:rPr>
        <w:t> </w:t>
      </w:r>
      <w:r>
        <w:rPr/>
        <w:t>design</w:t>
      </w:r>
      <w:r>
        <w:rPr>
          <w:spacing w:val="60"/>
        </w:rPr>
        <w:t> </w:t>
      </w:r>
      <w:r>
        <w:rPr/>
        <w:t>by</w:t>
      </w:r>
      <w:r>
        <w:rPr>
          <w:spacing w:val="60"/>
        </w:rPr>
        <w:t> </w:t>
      </w:r>
      <w:r>
        <w:rPr/>
        <w:t>quantifying</w:t>
      </w:r>
      <w:r>
        <w:rPr>
          <w:spacing w:val="60"/>
        </w:rPr>
        <w:t> </w:t>
      </w:r>
      <w:r>
        <w:rPr/>
        <w:t>mental</w:t>
      </w:r>
      <w:r>
        <w:rPr>
          <w:spacing w:val="60"/>
        </w:rPr>
        <w:t> </w:t>
      </w:r>
      <w:r>
        <w:rPr/>
        <w:t>health</w:t>
      </w:r>
      <w:r>
        <w:rPr>
          <w:spacing w:val="45"/>
        </w:rPr>
        <w:t> </w:t>
      </w:r>
      <w:r>
        <w:rPr>
          <w:spacing w:val="-2"/>
        </w:rPr>
        <w:t>externalities,</w:t>
      </w:r>
    </w:p>
    <w:p>
      <w:pPr>
        <w:pStyle w:val="BodyText"/>
        <w:spacing w:after="0"/>
        <w:jc w:val="both"/>
        <w:sectPr>
          <w:pgSz w:w="12240" w:h="15840"/>
          <w:pgMar w:header="0" w:footer="707" w:top="640" w:bottom="960" w:left="720" w:right="0"/>
        </w:sectPr>
      </w:pPr>
    </w:p>
    <w:p>
      <w:pPr>
        <w:pStyle w:val="BodyText"/>
        <w:spacing w:before="60"/>
        <w:ind w:left="352" w:right="1785"/>
        <w:jc w:val="both"/>
      </w:pPr>
      <w:r>
        <w:rPr/>
        <w:t>valued at approximately US$2 billion annually at the national level, that should be </w:t>
      </w:r>
      <w:r>
        <w:rPr/>
        <w:t>incorporated into climate adaptation cost-benefit analyses and disaster insurance mechanisms.</w:t>
      </w:r>
    </w:p>
    <w:p>
      <w:pPr>
        <w:pStyle w:val="BodyText"/>
        <w:spacing w:before="248"/>
        <w:ind w:left="352" w:right="1785"/>
        <w:jc w:val="both"/>
      </w:pPr>
      <w:r>
        <w:rPr/>
        <w:t>The remainder of this paper is organized as follows. Section </w:t>
      </w:r>
      <w:r>
        <w:rPr>
          <w:color w:val="0000FF"/>
        </w:rPr>
        <w:t>2 </w:t>
      </w:r>
      <w:r>
        <w:rPr/>
        <w:t>reviews the </w:t>
      </w:r>
      <w:r>
        <w:rPr/>
        <w:t>relevant</w:t>
      </w:r>
      <w:r>
        <w:rPr>
          <w:spacing w:val="40"/>
        </w:rPr>
        <w:t> </w:t>
      </w:r>
      <w:r>
        <w:rPr/>
        <w:t>environmental</w:t>
      </w:r>
      <w:r>
        <w:rPr>
          <w:spacing w:val="-3"/>
        </w:rPr>
        <w:t> </w:t>
      </w:r>
      <w:r>
        <w:rPr/>
        <w:t>economics</w:t>
      </w:r>
      <w:r>
        <w:rPr>
          <w:spacing w:val="-3"/>
        </w:rPr>
        <w:t> </w:t>
      </w:r>
      <w:r>
        <w:rPr/>
        <w:t>literature</w:t>
      </w:r>
      <w:r>
        <w:rPr>
          <w:spacing w:val="-3"/>
        </w:rPr>
        <w:t> </w:t>
      </w:r>
      <w:r>
        <w:rPr/>
        <w:t>on</w:t>
      </w:r>
      <w:r>
        <w:rPr>
          <w:spacing w:val="-3"/>
        </w:rPr>
        <w:t> </w:t>
      </w:r>
      <w:r>
        <w:rPr/>
        <w:t>disaster</w:t>
      </w:r>
      <w:r>
        <w:rPr>
          <w:spacing w:val="-3"/>
        </w:rPr>
        <w:t> </w:t>
      </w:r>
      <w:r>
        <w:rPr/>
        <w:t>impacts,</w:t>
      </w:r>
      <w:r>
        <w:rPr>
          <w:spacing w:val="-3"/>
        </w:rPr>
        <w:t> </w:t>
      </w:r>
      <w:r>
        <w:rPr/>
        <w:t>nonmarket</w:t>
      </w:r>
      <w:r>
        <w:rPr>
          <w:spacing w:val="-3"/>
        </w:rPr>
        <w:t> </w:t>
      </w:r>
      <w:r>
        <w:rPr/>
        <w:t>valuation,</w:t>
      </w:r>
      <w:r>
        <w:rPr>
          <w:spacing w:val="-3"/>
        </w:rPr>
        <w:t> </w:t>
      </w:r>
      <w:r>
        <w:rPr/>
        <w:t>and</w:t>
      </w:r>
      <w:r>
        <w:rPr>
          <w:spacing w:val="-3"/>
        </w:rPr>
        <w:t> </w:t>
      </w:r>
      <w:r>
        <w:rPr/>
        <w:t>climate</w:t>
      </w:r>
      <w:r>
        <w:rPr>
          <w:spacing w:val="-3"/>
        </w:rPr>
        <w:t> </w:t>
      </w:r>
      <w:r>
        <w:rPr/>
        <w:t>change adaptation. Section </w:t>
      </w:r>
      <w:r>
        <w:rPr>
          <w:color w:val="0000FF"/>
        </w:rPr>
        <w:t>3 </w:t>
      </w:r>
      <w:r>
        <w:rPr/>
        <w:t>describes our data sources and sample construction. Section </w:t>
      </w:r>
      <w:r>
        <w:rPr>
          <w:color w:val="0000FF"/>
        </w:rPr>
        <w:t>4</w:t>
      </w:r>
      <w:r>
        <w:rPr>
          <w:color w:val="0000FF"/>
          <w:spacing w:val="-2"/>
        </w:rPr>
        <w:t> </w:t>
      </w:r>
      <w:r>
        <w:rPr/>
        <w:t>outlines</w:t>
      </w:r>
      <w:r>
        <w:rPr>
          <w:spacing w:val="-2"/>
        </w:rPr>
        <w:t> </w:t>
      </w:r>
      <w:r>
        <w:rPr/>
        <w:t>our identification strategy and econometric methods. Section </w:t>
      </w:r>
      <w:r>
        <w:rPr>
          <w:color w:val="0000FF"/>
        </w:rPr>
        <w:t>5 </w:t>
      </w:r>
      <w:r>
        <w:rPr/>
        <w:t>presents our main results and robustness checks. Section </w:t>
      </w:r>
      <w:r>
        <w:rPr>
          <w:color w:val="0000FF"/>
        </w:rPr>
        <w:t>6 </w:t>
      </w:r>
      <w:r>
        <w:rPr/>
        <w:t>translates our estimates into dollar values using cost-of-illness and QALY-based approaches. Section </w:t>
      </w:r>
      <w:r>
        <w:rPr>
          <w:color w:val="0000FF"/>
        </w:rPr>
        <w:t>7 </w:t>
      </w:r>
      <w:r>
        <w:rPr/>
        <w:t>discusses policy implications and concludes.</w:t>
      </w:r>
    </w:p>
    <w:p>
      <w:pPr>
        <w:pStyle w:val="BodyText"/>
      </w:pPr>
    </w:p>
    <w:p>
      <w:pPr>
        <w:pStyle w:val="ListParagraph"/>
        <w:numPr>
          <w:ilvl w:val="0"/>
          <w:numId w:val="34"/>
        </w:numPr>
        <w:tabs>
          <w:tab w:pos="532" w:val="left" w:leader="none"/>
        </w:tabs>
        <w:spacing w:line="240" w:lineRule="auto" w:before="0" w:after="0"/>
        <w:ind w:left="532" w:right="0" w:hanging="180"/>
        <w:jc w:val="both"/>
        <w:rPr>
          <w:sz w:val="24"/>
        </w:rPr>
      </w:pPr>
      <w:r>
        <w:rPr>
          <w:sz w:val="24"/>
        </w:rPr>
        <w:t>Literature </w:t>
      </w:r>
      <w:r>
        <w:rPr>
          <w:spacing w:val="-2"/>
          <w:sz w:val="24"/>
        </w:rPr>
        <w:t>Review</w:t>
      </w:r>
    </w:p>
    <w:p>
      <w:pPr>
        <w:pStyle w:val="BodyText"/>
        <w:spacing w:before="67"/>
      </w:pPr>
    </w:p>
    <w:p>
      <w:pPr>
        <w:pStyle w:val="ListParagraph"/>
        <w:numPr>
          <w:ilvl w:val="1"/>
          <w:numId w:val="34"/>
        </w:numPr>
        <w:tabs>
          <w:tab w:pos="712" w:val="left" w:leader="none"/>
        </w:tabs>
        <w:spacing w:line="240" w:lineRule="auto" w:before="0" w:after="0"/>
        <w:ind w:left="712" w:right="0" w:hanging="360"/>
        <w:jc w:val="left"/>
        <w:rPr>
          <w:sz w:val="24"/>
        </w:rPr>
      </w:pPr>
      <w:r>
        <w:rPr>
          <w:sz w:val="24"/>
        </w:rPr>
        <w:t>Disaster Impacts and Environmental </w:t>
      </w:r>
      <w:r>
        <w:rPr>
          <w:spacing w:val="-2"/>
          <w:sz w:val="24"/>
        </w:rPr>
        <w:t>Economics</w:t>
      </w:r>
    </w:p>
    <w:p>
      <w:pPr>
        <w:pStyle w:val="BodyText"/>
        <w:spacing w:before="247"/>
        <w:ind w:left="352" w:right="1784"/>
        <w:jc w:val="both"/>
      </w:pPr>
      <w:r>
        <w:rPr/>
        <w:t>The environmental economics</w:t>
      </w:r>
      <w:r>
        <w:rPr>
          <w:spacing w:val="-3"/>
        </w:rPr>
        <w:t> </w:t>
      </w:r>
      <w:r>
        <w:rPr/>
        <w:t>literature</w:t>
      </w:r>
      <w:r>
        <w:rPr>
          <w:spacing w:val="-3"/>
        </w:rPr>
        <w:t> </w:t>
      </w:r>
      <w:r>
        <w:rPr/>
        <w:t>has</w:t>
      </w:r>
      <w:r>
        <w:rPr>
          <w:spacing w:val="-3"/>
        </w:rPr>
        <w:t> </w:t>
      </w:r>
      <w:r>
        <w:rPr/>
        <w:t>extensively</w:t>
      </w:r>
      <w:r>
        <w:rPr>
          <w:spacing w:val="-3"/>
        </w:rPr>
        <w:t> </w:t>
      </w:r>
      <w:r>
        <w:rPr/>
        <w:t>examined</w:t>
      </w:r>
      <w:r>
        <w:rPr>
          <w:spacing w:val="-3"/>
        </w:rPr>
        <w:t> </w:t>
      </w:r>
      <w:r>
        <w:rPr/>
        <w:t>the</w:t>
      </w:r>
      <w:r>
        <w:rPr>
          <w:spacing w:val="-3"/>
        </w:rPr>
        <w:t> </w:t>
      </w:r>
      <w:r>
        <w:rPr/>
        <w:t>economic</w:t>
      </w:r>
      <w:r>
        <w:rPr>
          <w:spacing w:val="-3"/>
        </w:rPr>
        <w:t> </w:t>
      </w:r>
      <w:r>
        <w:rPr/>
        <w:t>consequences</w:t>
      </w:r>
      <w:r>
        <w:rPr>
          <w:spacing w:val="-3"/>
        </w:rPr>
        <w:t> </w:t>
      </w:r>
      <w:r>
        <w:rPr/>
        <w:t>of natural</w:t>
      </w:r>
      <w:r>
        <w:rPr>
          <w:spacing w:val="40"/>
        </w:rPr>
        <w:t> </w:t>
      </w:r>
      <w:r>
        <w:rPr/>
        <w:t>disasters,</w:t>
      </w:r>
      <w:r>
        <w:rPr>
          <w:spacing w:val="40"/>
        </w:rPr>
        <w:t> </w:t>
      </w:r>
      <w:r>
        <w:rPr/>
        <w:t>with</w:t>
      </w:r>
      <w:r>
        <w:rPr>
          <w:spacing w:val="40"/>
        </w:rPr>
        <w:t> </w:t>
      </w:r>
      <w:r>
        <w:rPr/>
        <w:t>particular</w:t>
      </w:r>
      <w:r>
        <w:rPr>
          <w:spacing w:val="40"/>
        </w:rPr>
        <w:t> </w:t>
      </w:r>
      <w:r>
        <w:rPr/>
        <w:t>attention</w:t>
      </w:r>
      <w:r>
        <w:rPr>
          <w:spacing w:val="40"/>
        </w:rPr>
        <w:t> </w:t>
      </w:r>
      <w:r>
        <w:rPr/>
        <w:t>to</w:t>
      </w:r>
      <w:r>
        <w:rPr>
          <w:spacing w:val="40"/>
        </w:rPr>
        <w:t> </w:t>
      </w:r>
      <w:r>
        <w:rPr/>
        <w:t>property</w:t>
      </w:r>
      <w:r>
        <w:rPr>
          <w:spacing w:val="40"/>
        </w:rPr>
        <w:t> </w:t>
      </w:r>
      <w:r>
        <w:rPr/>
        <w:t>damage,</w:t>
      </w:r>
      <w:r>
        <w:rPr>
          <w:spacing w:val="40"/>
        </w:rPr>
        <w:t> </w:t>
      </w:r>
      <w:r>
        <w:rPr/>
        <w:t>labor</w:t>
      </w:r>
      <w:r>
        <w:rPr>
          <w:spacing w:val="40"/>
        </w:rPr>
        <w:t> </w:t>
      </w:r>
      <w:r>
        <w:rPr/>
        <w:t>market</w:t>
      </w:r>
      <w:r>
        <w:rPr>
          <w:spacing w:val="40"/>
        </w:rPr>
        <w:t> </w:t>
      </w:r>
      <w:r>
        <w:rPr/>
        <w:t>effects,</w:t>
      </w:r>
      <w:r>
        <w:rPr>
          <w:spacing w:val="40"/>
        </w:rPr>
        <w:t> </w:t>
      </w:r>
      <w:r>
        <w:rPr/>
        <w:t>and</w:t>
      </w:r>
      <w:r>
        <w:rPr>
          <w:spacing w:val="40"/>
        </w:rPr>
        <w:t> </w:t>
      </w:r>
      <w:r>
        <w:rPr/>
        <w:t>long-term economic growth (</w:t>
      </w:r>
      <w:r>
        <w:rPr>
          <w:color w:val="0000FF"/>
        </w:rPr>
        <w:t>Hallegatte et al.</w:t>
      </w:r>
      <w:r>
        <w:rPr/>
        <w:t>, </w:t>
      </w:r>
      <w:r>
        <w:rPr>
          <w:color w:val="0000FF"/>
        </w:rPr>
        <w:t>2014</w:t>
      </w:r>
      <w:r>
        <w:rPr/>
        <w:t>; </w:t>
      </w:r>
      <w:r>
        <w:rPr>
          <w:color w:val="0000FF"/>
        </w:rPr>
        <w:t>Kousky</w:t>
      </w:r>
      <w:r>
        <w:rPr/>
        <w:t>, </w:t>
      </w:r>
      <w:r>
        <w:rPr>
          <w:color w:val="0000FF"/>
        </w:rPr>
        <w:t>2 014</w:t>
      </w:r>
      <w:r>
        <w:rPr/>
        <w:t>). However, most studies focus on market-valued impacts, leaving nonmarket welfare losses, particularly mental health consequences, relatively unexplored from an economic perspective.</w:t>
      </w:r>
    </w:p>
    <w:p>
      <w:pPr>
        <w:pStyle w:val="BodyText"/>
        <w:spacing w:before="275"/>
        <w:ind w:left="352" w:right="1791"/>
        <w:jc w:val="both"/>
      </w:pPr>
      <w:r>
        <w:rPr/>
        <w:t>This gap is significant because mental health impacts represent a substantial component of </w:t>
      </w:r>
      <w:r>
        <w:rPr/>
        <w:t>the social cost of disasters that should be incorporated into environmental policy evaluation.</w:t>
      </w:r>
    </w:p>
    <w:p>
      <w:pPr>
        <w:pStyle w:val="BodyText"/>
        <w:spacing w:before="218"/>
        <w:ind w:left="352" w:right="1783"/>
        <w:jc w:val="both"/>
      </w:pPr>
      <w:r>
        <w:rPr/>
        <w:t>The literature on disaster economics has established several key findings. First, disasters </w:t>
      </w:r>
      <w:r>
        <w:rPr/>
        <w:t>cause substantial direct property damage, with climate change increasing both the frequency and intensity of extreme weather events (</w:t>
      </w:r>
      <w:r>
        <w:rPr>
          <w:color w:val="0000FF"/>
        </w:rPr>
        <w:t>IPCC</w:t>
      </w:r>
      <w:r>
        <w:rPr/>
        <w:t>, </w:t>
      </w:r>
      <w:r>
        <w:rPr>
          <w:color w:val="0000FF"/>
        </w:rPr>
        <w:t>2021</w:t>
      </w:r>
      <w:r>
        <w:rPr/>
        <w:t>). Research on the distribution of disaster damages reveals that tropical cyclone damages follow fat-tailed distributions with potentially infinite variance, highlighting the importance</w:t>
      </w:r>
      <w:r>
        <w:rPr>
          <w:spacing w:val="-3"/>
        </w:rPr>
        <w:t> </w:t>
      </w:r>
      <w:r>
        <w:rPr/>
        <w:t>of</w:t>
      </w:r>
      <w:r>
        <w:rPr>
          <w:spacing w:val="-3"/>
        </w:rPr>
        <w:t> </w:t>
      </w:r>
      <w:r>
        <w:rPr/>
        <w:t>understanding</w:t>
      </w:r>
      <w:r>
        <w:rPr>
          <w:spacing w:val="-3"/>
        </w:rPr>
        <w:t> </w:t>
      </w:r>
      <w:r>
        <w:rPr/>
        <w:t>extreme</w:t>
      </w:r>
      <w:r>
        <w:rPr>
          <w:spacing w:val="-3"/>
        </w:rPr>
        <w:t> </w:t>
      </w:r>
      <w:r>
        <w:rPr/>
        <w:t>events</w:t>
      </w:r>
      <w:r>
        <w:rPr>
          <w:spacing w:val="-3"/>
        </w:rPr>
        <w:t> </w:t>
      </w:r>
      <w:r>
        <w:rPr/>
        <w:t>(</w:t>
      </w:r>
      <w:r>
        <w:rPr>
          <w:color w:val="0000FF"/>
        </w:rPr>
        <w:t>Conte</w:t>
      </w:r>
      <w:r>
        <w:rPr>
          <w:color w:val="0000FF"/>
          <w:spacing w:val="-3"/>
        </w:rPr>
        <w:t> </w:t>
      </w:r>
      <w:r>
        <w:rPr>
          <w:color w:val="0000FF"/>
        </w:rPr>
        <w:t>and</w:t>
      </w:r>
      <w:r>
        <w:rPr>
          <w:color w:val="0000FF"/>
          <w:spacing w:val="-3"/>
        </w:rPr>
        <w:t> </w:t>
      </w:r>
      <w:r>
        <w:rPr>
          <w:color w:val="0000FF"/>
        </w:rPr>
        <w:t>Kelly</w:t>
      </w:r>
      <w:r>
        <w:rPr/>
        <w:t>, </w:t>
      </w:r>
      <w:r>
        <w:rPr>
          <w:color w:val="0000FF"/>
        </w:rPr>
        <w:t>2018</w:t>
      </w:r>
      <w:r>
        <w:rPr/>
        <w:t>). Second, disasters have heterogeneous impacts across communities, with vulnerable populations and regions with limited adaptive capacity facing disproportionate costs (</w:t>
      </w:r>
      <w:r>
        <w:rPr>
          <w:color w:val="0000FF"/>
        </w:rPr>
        <w:t>Hallegatte et al.</w:t>
      </w:r>
      <w:r>
        <w:rPr/>
        <w:t>, </w:t>
      </w:r>
      <w:r>
        <w:rPr>
          <w:color w:val="0000FF"/>
        </w:rPr>
        <w:t>2014</w:t>
      </w:r>
      <w:r>
        <w:rPr/>
        <w:t>). Studies examining property value impacts of environmental accidents find that events</w:t>
      </w:r>
      <w:r>
        <w:rPr>
          <w:spacing w:val="40"/>
        </w:rPr>
        <w:t> </w:t>
      </w:r>
      <w:r>
        <w:rPr/>
        <w:t>resulting</w:t>
      </w:r>
      <w:r>
        <w:rPr>
          <w:spacing w:val="40"/>
        </w:rPr>
        <w:t> </w:t>
      </w:r>
      <w:r>
        <w:rPr/>
        <w:t>in</w:t>
      </w:r>
      <w:r>
        <w:rPr>
          <w:spacing w:val="40"/>
        </w:rPr>
        <w:t> </w:t>
      </w:r>
      <w:r>
        <w:rPr/>
        <w:t>injuries, property damage, or evacuations lead to significant decreases in home values (</w:t>
      </w:r>
      <w:r>
        <w:rPr>
          <w:color w:val="0000FF"/>
        </w:rPr>
        <w:t>Guignet et al.</w:t>
      </w:r>
      <w:r>
        <w:rPr/>
        <w:t>, </w:t>
      </w:r>
      <w:r>
        <w:rPr>
          <w:color w:val="0000FF"/>
        </w:rPr>
        <w:t>2023</w:t>
      </w:r>
      <w:r>
        <w:rPr/>
        <w:t>). Third, the economic recovery from disasters varies substantially, with some communities experiencing persistent economic decline while others recover or even benefit from reconstruction spending (</w:t>
      </w:r>
      <w:r>
        <w:rPr>
          <w:color w:val="0000FF"/>
        </w:rPr>
        <w:t>Deryugina et al.</w:t>
      </w:r>
      <w:r>
        <w:rPr/>
        <w:t>, </w:t>
      </w:r>
      <w:r>
        <w:rPr>
          <w:color w:val="0000FF"/>
        </w:rPr>
        <w:t>2018</w:t>
      </w:r>
      <w:r>
        <w:rPr/>
        <w:t>).</w:t>
      </w:r>
    </w:p>
    <w:p>
      <w:pPr>
        <w:pStyle w:val="BodyText"/>
        <w:spacing w:before="218"/>
        <w:ind w:left="352" w:right="1783"/>
        <w:jc w:val="both"/>
      </w:pPr>
      <w:r>
        <w:rPr/>
        <w:t>However, this literature has largely overlooked the nonmarket costs of mental health impacts. From an environmental economics perspective, these impacts represent welfare losses that</w:t>
      </w:r>
      <w:r>
        <w:rPr>
          <w:spacing w:val="80"/>
        </w:rPr>
        <w:t> </w:t>
      </w:r>
      <w:r>
        <w:rPr/>
        <w:t>should be valued and incorporated into policy analysis. While recent work has examined the relationship between environmental hazards and mental health, focusing primarily on </w:t>
      </w:r>
      <w:r>
        <w:rPr/>
        <w:t>air pollution (</w:t>
      </w:r>
      <w:r>
        <w:rPr>
          <w:color w:val="0000FF"/>
        </w:rPr>
        <w:t>Zhang et al.</w:t>
      </w:r>
      <w:r>
        <w:rPr/>
        <w:t>, </w:t>
      </w:r>
      <w:r>
        <w:rPr>
          <w:color w:val="0000FF"/>
        </w:rPr>
        <w:t>2017</w:t>
      </w:r>
      <w:r>
        <w:rPr/>
        <w:t>; </w:t>
      </w:r>
      <w:r>
        <w:rPr>
          <w:color w:val="0000FF"/>
        </w:rPr>
        <w:t>Xie et</w:t>
      </w:r>
      <w:r>
        <w:rPr>
          <w:color w:val="0000FF"/>
          <w:spacing w:val="-3"/>
        </w:rPr>
        <w:t> </w:t>
      </w:r>
      <w:r>
        <w:rPr>
          <w:color w:val="0000FF"/>
        </w:rPr>
        <w:t>al.</w:t>
      </w:r>
      <w:r>
        <w:rPr/>
        <w:t>,</w:t>
      </w:r>
      <w:r>
        <w:rPr>
          <w:spacing w:val="-3"/>
        </w:rPr>
        <w:t> </w:t>
      </w:r>
      <w:r>
        <w:rPr>
          <w:color w:val="0000FF"/>
        </w:rPr>
        <w:t>2023</w:t>
      </w:r>
      <w:r>
        <w:rPr/>
        <w:t>;</w:t>
      </w:r>
      <w:r>
        <w:rPr>
          <w:spacing w:val="-3"/>
        </w:rPr>
        <w:t> </w:t>
      </w:r>
      <w:r>
        <w:rPr>
          <w:color w:val="0000FF"/>
        </w:rPr>
        <w:t>Barnor</w:t>
      </w:r>
      <w:r>
        <w:rPr/>
        <w:t>,</w:t>
      </w:r>
      <w:r>
        <w:rPr>
          <w:spacing w:val="-3"/>
        </w:rPr>
        <w:t> </w:t>
      </w:r>
      <w:r>
        <w:rPr>
          <w:color w:val="0000FF"/>
        </w:rPr>
        <w:t>2025</w:t>
      </w:r>
      <w:r>
        <w:rPr/>
        <w:t>),</w:t>
      </w:r>
      <w:r>
        <w:rPr>
          <w:spacing w:val="-3"/>
        </w:rPr>
        <w:t> </w:t>
      </w:r>
      <w:r>
        <w:rPr/>
        <w:t>the</w:t>
      </w:r>
      <w:r>
        <w:rPr>
          <w:spacing w:val="-3"/>
        </w:rPr>
        <w:t> </w:t>
      </w:r>
      <w:r>
        <w:rPr/>
        <w:t>application</w:t>
      </w:r>
      <w:r>
        <w:rPr>
          <w:spacing w:val="-3"/>
        </w:rPr>
        <w:t> </w:t>
      </w:r>
      <w:r>
        <w:rPr/>
        <w:t>of</w:t>
      </w:r>
      <w:r>
        <w:rPr>
          <w:spacing w:val="-3"/>
        </w:rPr>
        <w:t> </w:t>
      </w:r>
      <w:r>
        <w:rPr/>
        <w:t>these</w:t>
      </w:r>
      <w:r>
        <w:rPr>
          <w:spacing w:val="-3"/>
        </w:rPr>
        <w:t> </w:t>
      </w:r>
      <w:r>
        <w:rPr/>
        <w:t>methods</w:t>
      </w:r>
      <w:r>
        <w:rPr>
          <w:spacing w:val="-3"/>
        </w:rPr>
        <w:t> </w:t>
      </w:r>
      <w:r>
        <w:rPr/>
        <w:t>to disaster-induced mental health impacts presents unique challenges: disasters are rare events, mental health is difficult to ob serve, and the counterfactual (mental health in the absence of disaster) is unobservable.</w:t>
      </w:r>
    </w:p>
    <w:p>
      <w:pPr>
        <w:pStyle w:val="BodyText"/>
      </w:pPr>
    </w:p>
    <w:p>
      <w:pPr>
        <w:pStyle w:val="ListParagraph"/>
        <w:numPr>
          <w:ilvl w:val="1"/>
          <w:numId w:val="34"/>
        </w:numPr>
        <w:tabs>
          <w:tab w:pos="712" w:val="left" w:leader="none"/>
        </w:tabs>
        <w:spacing w:line="240" w:lineRule="auto" w:before="0" w:after="0"/>
        <w:ind w:left="712" w:right="0" w:hanging="360"/>
        <w:jc w:val="left"/>
        <w:rPr>
          <w:sz w:val="24"/>
        </w:rPr>
      </w:pPr>
      <w:r>
        <w:rPr>
          <w:sz w:val="24"/>
        </w:rPr>
        <w:t>Nonmarket</w:t>
      </w:r>
      <w:r>
        <w:rPr>
          <w:spacing w:val="-7"/>
          <w:sz w:val="24"/>
        </w:rPr>
        <w:t> </w:t>
      </w:r>
      <w:r>
        <w:rPr>
          <w:sz w:val="24"/>
        </w:rPr>
        <w:t>Valuation</w:t>
      </w:r>
      <w:r>
        <w:rPr>
          <w:spacing w:val="-7"/>
          <w:sz w:val="24"/>
        </w:rPr>
        <w:t> </w:t>
      </w:r>
      <w:r>
        <w:rPr>
          <w:sz w:val="24"/>
        </w:rPr>
        <w:t>of</w:t>
      </w:r>
      <w:r>
        <w:rPr>
          <w:spacing w:val="-7"/>
          <w:sz w:val="24"/>
        </w:rPr>
        <w:t> </w:t>
      </w:r>
      <w:r>
        <w:rPr>
          <w:sz w:val="24"/>
        </w:rPr>
        <w:t>Environmental</w:t>
      </w:r>
      <w:r>
        <w:rPr>
          <w:spacing w:val="-6"/>
          <w:sz w:val="24"/>
        </w:rPr>
        <w:t> </w:t>
      </w:r>
      <w:r>
        <w:rPr>
          <w:spacing w:val="-2"/>
          <w:sz w:val="24"/>
        </w:rPr>
        <w:t>Disamenities</w:t>
      </w:r>
    </w:p>
    <w:p>
      <w:pPr>
        <w:pStyle w:val="BodyText"/>
        <w:spacing w:before="202"/>
        <w:ind w:left="352" w:right="1785"/>
        <w:jc w:val="both"/>
      </w:pPr>
      <w:r>
        <w:rPr/>
        <w:t>The environmental economics literature has developed sophisticated methods for </w:t>
      </w:r>
      <w:r>
        <w:rPr/>
        <w:t>valuing nonmarket environmental goods and bads (</w:t>
      </w:r>
      <w:r>
        <w:rPr>
          <w:color w:val="0000FF"/>
        </w:rPr>
        <w:t>Freeman Iii</w:t>
      </w:r>
      <w:r>
        <w:rPr/>
        <w:t>, </w:t>
      </w:r>
      <w:r>
        <w:rPr>
          <w:color w:val="0000FF"/>
        </w:rPr>
        <w:t>2003</w:t>
      </w:r>
      <w:r>
        <w:rPr/>
        <w:t>; </w:t>
      </w:r>
      <w:r>
        <w:rPr>
          <w:color w:val="0000FF"/>
        </w:rPr>
        <w:t>Champ et al.</w:t>
      </w:r>
      <w:r>
        <w:rPr/>
        <w:t>, </w:t>
      </w:r>
      <w:r>
        <w:rPr>
          <w:color w:val="0000FF"/>
        </w:rPr>
        <w:t>2003</w:t>
      </w:r>
      <w:r>
        <w:rPr/>
        <w:t>). Hedonic pricing models have been used to value air quality, noise pollution, and proximity to environmental</w:t>
      </w:r>
      <w:r>
        <w:rPr>
          <w:spacing w:val="60"/>
        </w:rPr>
        <w:t> </w:t>
      </w:r>
      <w:r>
        <w:rPr/>
        <w:t>hazards,</w:t>
      </w:r>
      <w:r>
        <w:rPr>
          <w:spacing w:val="60"/>
        </w:rPr>
        <w:t> </w:t>
      </w:r>
      <w:r>
        <w:rPr/>
        <w:t>revealing</w:t>
      </w:r>
      <w:r>
        <w:rPr>
          <w:spacing w:val="45"/>
        </w:rPr>
        <w:t> </w:t>
      </w:r>
      <w:r>
        <w:rPr/>
        <w:t>that</w:t>
      </w:r>
      <w:r>
        <w:rPr>
          <w:spacing w:val="45"/>
        </w:rPr>
        <w:t> </w:t>
      </w:r>
      <w:r>
        <w:rPr/>
        <w:t>households</w:t>
      </w:r>
      <w:r>
        <w:rPr>
          <w:spacing w:val="45"/>
        </w:rPr>
        <w:t> </w:t>
      </w:r>
      <w:r>
        <w:rPr/>
        <w:t>are</w:t>
      </w:r>
      <w:r>
        <w:rPr>
          <w:spacing w:val="45"/>
        </w:rPr>
        <w:t> </w:t>
      </w:r>
      <w:r>
        <w:rPr/>
        <w:t>willing</w:t>
      </w:r>
      <w:r>
        <w:rPr>
          <w:spacing w:val="45"/>
        </w:rPr>
        <w:t> </w:t>
      </w:r>
      <w:r>
        <w:rPr/>
        <w:t>to</w:t>
      </w:r>
      <w:r>
        <w:rPr>
          <w:spacing w:val="45"/>
        </w:rPr>
        <w:t> </w:t>
      </w:r>
      <w:r>
        <w:rPr/>
        <w:t>pay</w:t>
      </w:r>
      <w:r>
        <w:rPr>
          <w:spacing w:val="45"/>
        </w:rPr>
        <w:t> </w:t>
      </w:r>
      <w:r>
        <w:rPr/>
        <w:t>substantial</w:t>
      </w:r>
      <w:r>
        <w:rPr>
          <w:spacing w:val="45"/>
        </w:rPr>
        <w:t> </w:t>
      </w:r>
      <w:r>
        <w:rPr/>
        <w:t>premiums</w:t>
      </w:r>
      <w:r>
        <w:rPr>
          <w:spacing w:val="45"/>
        </w:rPr>
        <w:t> </w:t>
      </w:r>
      <w:r>
        <w:rPr>
          <w:spacing w:val="-5"/>
        </w:rPr>
        <w:t>to</w:t>
      </w:r>
    </w:p>
    <w:p>
      <w:pPr>
        <w:pStyle w:val="BodyText"/>
        <w:spacing w:after="0"/>
        <w:jc w:val="both"/>
        <w:sectPr>
          <w:pgSz w:w="12240" w:h="15840"/>
          <w:pgMar w:header="0" w:footer="707" w:top="640" w:bottom="960" w:left="720" w:right="0"/>
        </w:sectPr>
      </w:pPr>
    </w:p>
    <w:p>
      <w:pPr>
        <w:pStyle w:val="BodyText"/>
        <w:spacing w:before="60"/>
        <w:ind w:left="352" w:right="1783"/>
        <w:jc w:val="both"/>
      </w:pPr>
      <w:r>
        <w:rPr/>
        <w:t>avoid environmental disamenities (</w:t>
      </w:r>
      <w:r>
        <w:rPr>
          <w:color w:val="0000FF"/>
        </w:rPr>
        <w:t>Chay and Greenstone</w:t>
      </w:r>
      <w:r>
        <w:rPr/>
        <w:t>, </w:t>
      </w:r>
      <w:r>
        <w:rPr>
          <w:color w:val="0000FF"/>
        </w:rPr>
        <w:t>2005</w:t>
      </w:r>
      <w:r>
        <w:rPr/>
        <w:t>; </w:t>
      </w:r>
      <w:r>
        <w:rPr>
          <w:color w:val="0000FF"/>
        </w:rPr>
        <w:t>Bayer et al.</w:t>
      </w:r>
      <w:r>
        <w:rPr/>
        <w:t>, </w:t>
      </w:r>
      <w:r>
        <w:rPr>
          <w:color w:val="0000FF"/>
        </w:rPr>
        <w:t>2009</w:t>
      </w:r>
      <w:r>
        <w:rPr/>
        <w:t>). </w:t>
      </w:r>
      <w:r>
        <w:rPr/>
        <w:t>Contingent valuation and choice experiments have been used to value environmental amenities that are not directly traded in markets. Recent empirical work has demonstrated causal links between environmental pollution and mental health outcomes, using quasi-experimental methods to identify the impact of air pollution on depression, anxiety, and subjective well-being (</w:t>
      </w:r>
      <w:r>
        <w:rPr>
          <w:color w:val="0000FF"/>
        </w:rPr>
        <w:t>Zhang et al.</w:t>
      </w:r>
      <w:r>
        <w:rPr/>
        <w:t>, </w:t>
      </w:r>
      <w:r>
        <w:rPr>
          <w:color w:val="0000FF"/>
        </w:rPr>
        <w:t>2017</w:t>
      </w:r>
      <w:r>
        <w:rPr/>
        <w:t>; </w:t>
      </w:r>
      <w:r>
        <w:rPr>
          <w:color w:val="0000FF"/>
        </w:rPr>
        <w:t>Xie et al.</w:t>
      </w:r>
      <w:r>
        <w:rPr/>
        <w:t>, </w:t>
      </w:r>
      <w:r>
        <w:rPr>
          <w:color w:val="0000FF"/>
        </w:rPr>
        <w:t>2023</w:t>
      </w:r>
      <w:r>
        <w:rPr/>
        <w:t>; </w:t>
      </w:r>
      <w:r>
        <w:rPr>
          <w:color w:val="0000FF"/>
        </w:rPr>
        <w:t>Barnor</w:t>
      </w:r>
      <w:r>
        <w:rPr/>
        <w:t>, </w:t>
      </w:r>
      <w:r>
        <w:rPr>
          <w:color w:val="0000FF"/>
        </w:rPr>
        <w:t>2025</w:t>
      </w:r>
      <w:r>
        <w:rPr/>
        <w:t>).</w:t>
      </w:r>
    </w:p>
    <w:p>
      <w:pPr>
        <w:pStyle w:val="BodyText"/>
        <w:spacing w:before="218"/>
        <w:ind w:left="352" w:right="1783"/>
        <w:jc w:val="both"/>
      </w:pPr>
      <w:r>
        <w:rPr/>
        <w:t>However, the application of these methods to disaster-induced mental health impacts is </w:t>
      </w:r>
      <w:r>
        <w:rPr/>
        <w:t>limited. Mental health represents a particularly challenging nonmarket good to value because it is not directly</w:t>
      </w:r>
      <w:r>
        <w:rPr>
          <w:spacing w:val="-3"/>
        </w:rPr>
        <w:t> </w:t>
      </w:r>
      <w:r>
        <w:rPr/>
        <w:t>observable,</w:t>
      </w:r>
      <w:r>
        <w:rPr>
          <w:spacing w:val="-3"/>
        </w:rPr>
        <w:t> </w:t>
      </w:r>
      <w:r>
        <w:rPr/>
        <w:t>its</w:t>
      </w:r>
      <w:r>
        <w:rPr>
          <w:spacing w:val="-3"/>
        </w:rPr>
        <w:t> </w:t>
      </w:r>
      <w:r>
        <w:rPr/>
        <w:t>relationship</w:t>
      </w:r>
      <w:r>
        <w:rPr>
          <w:spacing w:val="-3"/>
        </w:rPr>
        <w:t> </w:t>
      </w:r>
      <w:r>
        <w:rPr/>
        <w:t>to</w:t>
      </w:r>
      <w:r>
        <w:rPr>
          <w:spacing w:val="-3"/>
        </w:rPr>
        <w:t> </w:t>
      </w:r>
      <w:r>
        <w:rPr/>
        <w:t>welfare</w:t>
      </w:r>
      <w:r>
        <w:rPr>
          <w:spacing w:val="-3"/>
        </w:rPr>
        <w:t> </w:t>
      </w:r>
      <w:r>
        <w:rPr/>
        <w:t>is</w:t>
      </w:r>
      <w:r>
        <w:rPr>
          <w:spacing w:val="-3"/>
        </w:rPr>
        <w:t> </w:t>
      </w:r>
      <w:r>
        <w:rPr/>
        <w:t>complex,</w:t>
      </w:r>
      <w:r>
        <w:rPr>
          <w:spacing w:val="-3"/>
        </w:rPr>
        <w:t> </w:t>
      </w:r>
      <w:r>
        <w:rPr/>
        <w:t>and</w:t>
      </w:r>
      <w:r>
        <w:rPr>
          <w:spacing w:val="-3"/>
        </w:rPr>
        <w:t> </w:t>
      </w:r>
      <w:r>
        <w:rPr/>
        <w:t>it</w:t>
      </w:r>
      <w:r>
        <w:rPr>
          <w:spacing w:val="-3"/>
        </w:rPr>
        <w:t> </w:t>
      </w:r>
      <w:r>
        <w:rPr/>
        <w:t>may</w:t>
      </w:r>
      <w:r>
        <w:rPr>
          <w:spacing w:val="-3"/>
        </w:rPr>
        <w:t> </w:t>
      </w:r>
      <w:r>
        <w:rPr/>
        <w:t>have</w:t>
      </w:r>
      <w:r>
        <w:rPr>
          <w:spacing w:val="-3"/>
        </w:rPr>
        <w:t> </w:t>
      </w:r>
      <w:r>
        <w:rPr/>
        <w:t>both</w:t>
      </w:r>
      <w:r>
        <w:rPr>
          <w:spacing w:val="-3"/>
        </w:rPr>
        <w:t> </w:t>
      </w:r>
      <w:r>
        <w:rPr/>
        <w:t>use</w:t>
      </w:r>
      <w:r>
        <w:rPr>
          <w:spacing w:val="-3"/>
        </w:rPr>
        <w:t> </w:t>
      </w:r>
      <w:r>
        <w:rPr/>
        <w:t>and</w:t>
      </w:r>
      <w:r>
        <w:rPr>
          <w:spacing w:val="-3"/>
        </w:rPr>
        <w:t> </w:t>
      </w:r>
      <w:r>
        <w:rPr/>
        <w:t>existence value components. Our approach contributes to this literature by using quasi-experimental methods to identify the causal effect of property damage on mental health, providing a</w:t>
      </w:r>
      <w:r>
        <w:rPr>
          <w:spacing w:val="40"/>
        </w:rPr>
        <w:t> </w:t>
      </w:r>
      <w:r>
        <w:rPr/>
        <w:t>foundation for future nonmarket valuation exercises.</w:t>
      </w:r>
    </w:p>
    <w:p>
      <w:pPr>
        <w:pStyle w:val="BodyText"/>
      </w:pPr>
    </w:p>
    <w:p>
      <w:pPr>
        <w:pStyle w:val="ListParagraph"/>
        <w:numPr>
          <w:ilvl w:val="1"/>
          <w:numId w:val="34"/>
        </w:numPr>
        <w:tabs>
          <w:tab w:pos="712" w:val="left" w:leader="none"/>
        </w:tabs>
        <w:spacing w:line="240" w:lineRule="auto" w:before="0" w:after="0"/>
        <w:ind w:left="712" w:right="0" w:hanging="360"/>
        <w:jc w:val="left"/>
        <w:rPr>
          <w:sz w:val="24"/>
        </w:rPr>
      </w:pPr>
      <w:r>
        <w:rPr>
          <w:sz w:val="24"/>
        </w:rPr>
        <w:t>Climate Change Adaptation and Policy </w:t>
      </w:r>
      <w:r>
        <w:rPr>
          <w:spacing w:val="-2"/>
          <w:sz w:val="24"/>
        </w:rPr>
        <w:t>Design</w:t>
      </w:r>
    </w:p>
    <w:p>
      <w:pPr>
        <w:pStyle w:val="BodyText"/>
        <w:spacing w:before="247"/>
        <w:ind w:left="352" w:right="1786"/>
        <w:jc w:val="both"/>
      </w:pPr>
      <w:r>
        <w:rPr/>
        <w:t>The increasing frequency and intensity of natural disasters under climate change has </w:t>
      </w:r>
      <w:r>
        <w:rPr/>
        <w:t>generated substantial interest in adaptation policy design (</w:t>
      </w:r>
      <w:r>
        <w:rPr>
          <w:color w:val="0000FF"/>
        </w:rPr>
        <w:t>Adger et al.</w:t>
      </w:r>
      <w:r>
        <w:rPr/>
        <w:t>, </w:t>
      </w:r>
      <w:r>
        <w:rPr>
          <w:color w:val="0000FF"/>
        </w:rPr>
        <w:t>2009</w:t>
      </w:r>
      <w:r>
        <w:rPr/>
        <w:t>; </w:t>
      </w:r>
      <w:r>
        <w:rPr>
          <w:color w:val="0000FF"/>
        </w:rPr>
        <w:t>Burke et al.</w:t>
      </w:r>
      <w:r>
        <w:rPr/>
        <w:t>, </w:t>
      </w:r>
      <w:r>
        <w:rPr>
          <w:color w:val="0000FF"/>
        </w:rPr>
        <w:t>2015</w:t>
      </w:r>
      <w:r>
        <w:rPr/>
        <w:t>). Environmental economists have examined various adaptation mechanisms, including disaster insurance, infrastructure investment, land-use planning, and early warning systems (</w:t>
      </w:r>
      <w:r>
        <w:rPr>
          <w:color w:val="0000FF"/>
        </w:rPr>
        <w:t>Kunreuther</w:t>
      </w:r>
      <w:r>
        <w:rPr>
          <w:color w:val="0000FF"/>
          <w:spacing w:val="40"/>
        </w:rPr>
        <w:t> </w:t>
      </w:r>
      <w:r>
        <w:rPr>
          <w:color w:val="0000FF"/>
        </w:rPr>
        <w:t>et al.</w:t>
      </w:r>
      <w:r>
        <w:rPr/>
        <w:t>, </w:t>
      </w:r>
      <w:r>
        <w:rPr>
          <w:color w:val="0000FF"/>
        </w:rPr>
        <w:t>2013</w:t>
      </w:r>
      <w:r>
        <w:rPr/>
        <w:t>; </w:t>
      </w:r>
      <w:r>
        <w:rPr>
          <w:color w:val="0000FF"/>
        </w:rPr>
        <w:t>Hallegatte et al.</w:t>
      </w:r>
      <w:r>
        <w:rPr/>
        <w:t>, </w:t>
      </w:r>
      <w:r>
        <w:rPr>
          <w:color w:val="0000FF"/>
        </w:rPr>
        <w:t>2014</w:t>
      </w:r>
      <w:r>
        <w:rPr/>
        <w:t>). Empirical evidence suggests that ex-ante mitigation and planning investments yield higher returns than ex-post recovery spending, with FEMA risk reduction</w:t>
      </w:r>
      <w:r>
        <w:rPr>
          <w:spacing w:val="-5"/>
        </w:rPr>
        <w:t> </w:t>
      </w:r>
      <w:r>
        <w:rPr/>
        <w:t>projects</w:t>
      </w:r>
      <w:r>
        <w:rPr>
          <w:spacing w:val="-5"/>
        </w:rPr>
        <w:t> </w:t>
      </w:r>
      <w:r>
        <w:rPr/>
        <w:t>reducing</w:t>
      </w:r>
      <w:r>
        <w:rPr>
          <w:spacing w:val="-5"/>
        </w:rPr>
        <w:t> </w:t>
      </w:r>
      <w:r>
        <w:rPr/>
        <w:t>hurricane</w:t>
      </w:r>
      <w:r>
        <w:rPr>
          <w:spacing w:val="-5"/>
        </w:rPr>
        <w:t> </w:t>
      </w:r>
      <w:r>
        <w:rPr/>
        <w:t>property</w:t>
      </w:r>
      <w:r>
        <w:rPr>
          <w:spacing w:val="-5"/>
        </w:rPr>
        <w:t> </w:t>
      </w:r>
      <w:r>
        <w:rPr/>
        <w:t>losses</w:t>
      </w:r>
      <w:r>
        <w:rPr>
          <w:spacing w:val="-5"/>
        </w:rPr>
        <w:t> </w:t>
      </w:r>
      <w:r>
        <w:rPr/>
        <w:t>more</w:t>
      </w:r>
      <w:r>
        <w:rPr>
          <w:spacing w:val="-5"/>
        </w:rPr>
        <w:t> </w:t>
      </w:r>
      <w:r>
        <w:rPr/>
        <w:t>effectively</w:t>
      </w:r>
      <w:r>
        <w:rPr>
          <w:spacing w:val="-5"/>
        </w:rPr>
        <w:t> </w:t>
      </w:r>
      <w:r>
        <w:rPr/>
        <w:t>than</w:t>
      </w:r>
      <w:r>
        <w:rPr>
          <w:spacing w:val="-5"/>
        </w:rPr>
        <w:t> </w:t>
      </w:r>
      <w:r>
        <w:rPr/>
        <w:t>post-disaster</w:t>
      </w:r>
      <w:r>
        <w:rPr>
          <w:spacing w:val="-5"/>
        </w:rPr>
        <w:t> </w:t>
      </w:r>
      <w:r>
        <w:rPr/>
        <w:t>recovery programs ( </w:t>
      </w:r>
      <w:r>
        <w:rPr>
          <w:color w:val="0000FF"/>
        </w:rPr>
        <w:t>Davlasheridze e</w:t>
      </w:r>
      <w:r>
        <w:rPr>
          <w:color w:val="0000FF"/>
          <w:spacing w:val="-2"/>
        </w:rPr>
        <w:t> </w:t>
      </w:r>
      <w:r>
        <w:rPr>
          <w:color w:val="0000FF"/>
        </w:rPr>
        <w:t>t</w:t>
      </w:r>
      <w:r>
        <w:rPr>
          <w:color w:val="0000FF"/>
          <w:spacing w:val="-2"/>
        </w:rPr>
        <w:t> </w:t>
      </w:r>
      <w:r>
        <w:rPr>
          <w:color w:val="0000FF"/>
        </w:rPr>
        <w:t>a</w:t>
      </w:r>
      <w:r>
        <w:rPr>
          <w:color w:val="0000FF"/>
          <w:spacing w:val="-2"/>
        </w:rPr>
        <w:t> </w:t>
      </w:r>
      <w:r>
        <w:rPr>
          <w:color w:val="0000FF"/>
        </w:rPr>
        <w:t>l.</w:t>
      </w:r>
      <w:r>
        <w:rPr/>
        <w:t>,</w:t>
      </w:r>
      <w:r>
        <w:rPr>
          <w:spacing w:val="-2"/>
        </w:rPr>
        <w:t> </w:t>
      </w:r>
      <w:r>
        <w:rPr>
          <w:color w:val="0000FF"/>
        </w:rPr>
        <w:t>2</w:t>
      </w:r>
      <w:r>
        <w:rPr>
          <w:color w:val="0000FF"/>
          <w:spacing w:val="-2"/>
        </w:rPr>
        <w:t> </w:t>
      </w:r>
      <w:r>
        <w:rPr>
          <w:color w:val="0000FF"/>
        </w:rPr>
        <w:t>017</w:t>
      </w:r>
      <w:r>
        <w:rPr/>
        <w:t>).</w:t>
      </w:r>
      <w:r>
        <w:rPr>
          <w:spacing w:val="-2"/>
        </w:rPr>
        <w:t> </w:t>
      </w:r>
      <w:r>
        <w:rPr/>
        <w:t>A</w:t>
      </w:r>
      <w:r>
        <w:rPr>
          <w:spacing w:val="-2"/>
        </w:rPr>
        <w:t> </w:t>
      </w:r>
      <w:r>
        <w:rPr/>
        <w:t>key</w:t>
      </w:r>
      <w:r>
        <w:rPr>
          <w:spacing w:val="-2"/>
        </w:rPr>
        <w:t> </w:t>
      </w:r>
      <w:r>
        <w:rPr/>
        <w:t>challenge</w:t>
      </w:r>
      <w:r>
        <w:rPr>
          <w:spacing w:val="-2"/>
        </w:rPr>
        <w:t> </w:t>
      </w:r>
      <w:r>
        <w:rPr/>
        <w:t>in</w:t>
      </w:r>
      <w:r>
        <w:rPr>
          <w:spacing w:val="-2"/>
        </w:rPr>
        <w:t> </w:t>
      </w:r>
      <w:r>
        <w:rPr/>
        <w:t>this</w:t>
      </w:r>
      <w:r>
        <w:rPr>
          <w:spacing w:val="-2"/>
        </w:rPr>
        <w:t> </w:t>
      </w:r>
      <w:r>
        <w:rPr/>
        <w:t>literature</w:t>
      </w:r>
      <w:r>
        <w:rPr>
          <w:spacing w:val="-2"/>
        </w:rPr>
        <w:t> </w:t>
      </w:r>
      <w:r>
        <w:rPr/>
        <w:t>is</w:t>
      </w:r>
      <w:r>
        <w:rPr>
          <w:spacing w:val="-2"/>
        </w:rPr>
        <w:t> </w:t>
      </w:r>
      <w:r>
        <w:rPr/>
        <w:t>conducting</w:t>
      </w:r>
      <w:r>
        <w:rPr>
          <w:spacing w:val="-2"/>
        </w:rPr>
        <w:t> </w:t>
      </w:r>
      <w:r>
        <w:rPr/>
        <w:t>accurate cost-benefit analyses of adaptation investments, which requires quantifying both the costs of adaptation and the benefits of avoided damages.</w:t>
      </w:r>
    </w:p>
    <w:p>
      <w:pPr>
        <w:pStyle w:val="BodyText"/>
        <w:spacing w:before="247"/>
        <w:ind w:left="352" w:right="1788"/>
        <w:jc w:val="both"/>
      </w:pPr>
      <w:r>
        <w:rPr/>
        <w:t>Our findings contribute to this literature by quantifying a previously unmeasured component of disaster damages: mental health impacts. These impacts represent real</w:t>
      </w:r>
      <w:r>
        <w:rPr>
          <w:spacing w:val="-3"/>
        </w:rPr>
        <w:t> </w:t>
      </w:r>
      <w:r>
        <w:rPr/>
        <w:t>welfare</w:t>
      </w:r>
      <w:r>
        <w:rPr>
          <w:spacing w:val="-3"/>
        </w:rPr>
        <w:t> </w:t>
      </w:r>
      <w:r>
        <w:rPr/>
        <w:t>losses</w:t>
      </w:r>
      <w:r>
        <w:rPr>
          <w:spacing w:val="-3"/>
        </w:rPr>
        <w:t> </w:t>
      </w:r>
      <w:r>
        <w:rPr/>
        <w:t>that</w:t>
      </w:r>
      <w:r>
        <w:rPr>
          <w:spacing w:val="-3"/>
        </w:rPr>
        <w:t> </w:t>
      </w:r>
      <w:r>
        <w:rPr/>
        <w:t>should be incorporated into cost-benefit analyses of climate adaptation policies. For instance, investments</w:t>
      </w:r>
      <w:r>
        <w:rPr>
          <w:spacing w:val="-3"/>
        </w:rPr>
        <w:t> </w:t>
      </w:r>
      <w:r>
        <w:rPr/>
        <w:t>in</w:t>
      </w:r>
      <w:r>
        <w:rPr>
          <w:spacing w:val="-3"/>
        </w:rPr>
        <w:t> </w:t>
      </w:r>
      <w:r>
        <w:rPr/>
        <w:t>disaster</w:t>
      </w:r>
      <w:r>
        <w:rPr>
          <w:spacing w:val="-3"/>
        </w:rPr>
        <w:t> </w:t>
      </w:r>
      <w:r>
        <w:rPr/>
        <w:t>preparedness</w:t>
      </w:r>
      <w:r>
        <w:rPr>
          <w:spacing w:val="-3"/>
        </w:rPr>
        <w:t> </w:t>
      </w:r>
      <w:r>
        <w:rPr/>
        <w:t>infrastructure</w:t>
      </w:r>
      <w:r>
        <w:rPr>
          <w:spacing w:val="-3"/>
        </w:rPr>
        <w:t> </w:t>
      </w:r>
      <w:r>
        <w:rPr/>
        <w:t>may</w:t>
      </w:r>
      <w:r>
        <w:rPr>
          <w:spacing w:val="-3"/>
        </w:rPr>
        <w:t> </w:t>
      </w:r>
      <w:r>
        <w:rPr/>
        <w:t>reduce</w:t>
      </w:r>
      <w:r>
        <w:rPr>
          <w:spacing w:val="-3"/>
        </w:rPr>
        <w:t> </w:t>
      </w:r>
      <w:r>
        <w:rPr/>
        <w:t>not</w:t>
      </w:r>
      <w:r>
        <w:rPr>
          <w:spacing w:val="-3"/>
        </w:rPr>
        <w:t> </w:t>
      </w:r>
      <w:r>
        <w:rPr/>
        <w:t>only</w:t>
      </w:r>
      <w:r>
        <w:rPr>
          <w:spacing w:val="-3"/>
        </w:rPr>
        <w:t> </w:t>
      </w:r>
      <w:r>
        <w:rPr/>
        <w:t>property</w:t>
      </w:r>
      <w:r>
        <w:rPr>
          <w:spacing w:val="-3"/>
        </w:rPr>
        <w:t> </w:t>
      </w:r>
      <w:r>
        <w:rPr/>
        <w:t>damage</w:t>
      </w:r>
      <w:r>
        <w:rPr>
          <w:spacing w:val="-3"/>
        </w:rPr>
        <w:t> </w:t>
      </w:r>
      <w:r>
        <w:rPr/>
        <w:t>but</w:t>
      </w:r>
      <w:r>
        <w:rPr>
          <w:spacing w:val="-3"/>
        </w:rPr>
        <w:t> </w:t>
      </w:r>
      <w:r>
        <w:rPr/>
        <w:t>also the psychological distress associated</w:t>
      </w:r>
      <w:r>
        <w:rPr>
          <w:spacing w:val="-3"/>
        </w:rPr>
        <w:t> </w:t>
      </w:r>
      <w:r>
        <w:rPr/>
        <w:t>with</w:t>
      </w:r>
      <w:r>
        <w:rPr>
          <w:spacing w:val="-3"/>
        </w:rPr>
        <w:t> </w:t>
      </w:r>
      <w:r>
        <w:rPr/>
        <w:t>disasters,</w:t>
      </w:r>
      <w:r>
        <w:rPr>
          <w:spacing w:val="-3"/>
        </w:rPr>
        <w:t> </w:t>
      </w:r>
      <w:r>
        <w:rPr/>
        <w:t>generating</w:t>
      </w:r>
      <w:r>
        <w:rPr>
          <w:spacing w:val="-3"/>
        </w:rPr>
        <w:t> </w:t>
      </w:r>
      <w:r>
        <w:rPr/>
        <w:t>additional</w:t>
      </w:r>
      <w:r>
        <w:rPr>
          <w:spacing w:val="-3"/>
        </w:rPr>
        <w:t> </w:t>
      </w:r>
      <w:r>
        <w:rPr/>
        <w:t>benefits</w:t>
      </w:r>
      <w:r>
        <w:rPr>
          <w:spacing w:val="-3"/>
        </w:rPr>
        <w:t> </w:t>
      </w:r>
      <w:r>
        <w:rPr/>
        <w:t>that</w:t>
      </w:r>
      <w:r>
        <w:rPr>
          <w:spacing w:val="-3"/>
        </w:rPr>
        <w:t> </w:t>
      </w:r>
      <w:r>
        <w:rPr/>
        <w:t>should</w:t>
      </w:r>
      <w:r>
        <w:rPr>
          <w:spacing w:val="-3"/>
        </w:rPr>
        <w:t> </w:t>
      </w:r>
      <w:r>
        <w:rPr/>
        <w:t>b</w:t>
      </w:r>
      <w:r>
        <w:rPr>
          <w:spacing w:val="-3"/>
        </w:rPr>
        <w:t> </w:t>
      </w:r>
      <w:r>
        <w:rPr/>
        <w:t>e included in policy evaluation.</w:t>
      </w:r>
    </w:p>
    <w:p>
      <w:pPr>
        <w:pStyle w:val="BodyText"/>
      </w:pPr>
    </w:p>
    <w:p>
      <w:pPr>
        <w:pStyle w:val="ListParagraph"/>
        <w:numPr>
          <w:ilvl w:val="1"/>
          <w:numId w:val="34"/>
        </w:numPr>
        <w:tabs>
          <w:tab w:pos="712" w:val="left" w:leader="none"/>
        </w:tabs>
        <w:spacing w:line="240" w:lineRule="auto" w:before="1" w:after="0"/>
        <w:ind w:left="712" w:right="0" w:hanging="360"/>
        <w:jc w:val="left"/>
        <w:rPr>
          <w:sz w:val="24"/>
        </w:rPr>
      </w:pPr>
      <w:r>
        <w:rPr>
          <w:sz w:val="24"/>
        </w:rPr>
        <w:t>Economic</w:t>
      </w:r>
      <w:r>
        <w:rPr>
          <w:spacing w:val="-4"/>
          <w:sz w:val="24"/>
        </w:rPr>
        <w:t> </w:t>
      </w:r>
      <w:r>
        <w:rPr>
          <w:sz w:val="24"/>
        </w:rPr>
        <w:t>Theory</w:t>
      </w:r>
      <w:r>
        <w:rPr>
          <w:spacing w:val="-3"/>
          <w:sz w:val="24"/>
        </w:rPr>
        <w:t> </w:t>
      </w:r>
      <w:r>
        <w:rPr>
          <w:sz w:val="24"/>
        </w:rPr>
        <w:t>of</w:t>
      </w:r>
      <w:r>
        <w:rPr>
          <w:spacing w:val="-3"/>
          <w:sz w:val="24"/>
        </w:rPr>
        <w:t> </w:t>
      </w:r>
      <w:r>
        <w:rPr>
          <w:sz w:val="24"/>
        </w:rPr>
        <w:t>Resource</w:t>
      </w:r>
      <w:r>
        <w:rPr>
          <w:spacing w:val="-4"/>
          <w:sz w:val="24"/>
        </w:rPr>
        <w:t> </w:t>
      </w:r>
      <w:r>
        <w:rPr>
          <w:sz w:val="24"/>
        </w:rPr>
        <w:t>Loss</w:t>
      </w:r>
      <w:r>
        <w:rPr>
          <w:spacing w:val="-3"/>
          <w:sz w:val="24"/>
        </w:rPr>
        <w:t> </w:t>
      </w:r>
      <w:r>
        <w:rPr>
          <w:sz w:val="24"/>
        </w:rPr>
        <w:t>and</w:t>
      </w:r>
      <w:r>
        <w:rPr>
          <w:spacing w:val="-3"/>
          <w:sz w:val="24"/>
        </w:rPr>
        <w:t> </w:t>
      </w:r>
      <w:r>
        <w:rPr>
          <w:sz w:val="24"/>
        </w:rPr>
        <w:t>Well-</w:t>
      </w:r>
      <w:r>
        <w:rPr>
          <w:spacing w:val="-2"/>
          <w:sz w:val="24"/>
        </w:rPr>
        <w:t>being</w:t>
      </w:r>
    </w:p>
    <w:p>
      <w:pPr>
        <w:pStyle w:val="BodyText"/>
        <w:spacing w:before="247"/>
        <w:ind w:left="352" w:right="1772"/>
        <w:jc w:val="both"/>
      </w:pPr>
      <w:r>
        <w:rPr/>
        <w:t>From an economic perspective, disaster-induced property damage represents a loss of </w:t>
      </w:r>
      <w:r>
        <w:rPr/>
        <w:t>capital stock that affects both current consumption and future utility. Standard economic models of disaster impacts focus on the destruction of physical capital and its effects on production and consumption (</w:t>
      </w:r>
      <w:r>
        <w:rPr>
          <w:color w:val="0000FF"/>
        </w:rPr>
        <w:t>Hallegatte et al.</w:t>
      </w:r>
      <w:r>
        <w:rPr/>
        <w:t>, </w:t>
      </w:r>
      <w:r>
        <w:rPr>
          <w:color w:val="0000FF"/>
        </w:rPr>
        <w:t>2014</w:t>
      </w:r>
      <w:r>
        <w:rPr/>
        <w:t>). However, property also has nonmarket value: it provides utility directly through place attachment, serves as a store of wealth and security, and</w:t>
      </w:r>
      <w:r>
        <w:rPr>
          <w:spacing w:val="-3"/>
        </w:rPr>
        <w:t> </w:t>
      </w:r>
      <w:r>
        <w:rPr/>
        <w:t>represents accumulated investments in location-specific human and social capital.</w:t>
      </w:r>
    </w:p>
    <w:p>
      <w:pPr>
        <w:pStyle w:val="BodyText"/>
        <w:spacing w:before="247"/>
        <w:ind w:left="352" w:right="1783"/>
        <w:jc w:val="both"/>
      </w:pPr>
      <w:r>
        <w:rPr/>
        <w:t>The economic theory of resource loss suggests that individuals derive utility from a portfolio </w:t>
      </w:r>
      <w:r>
        <w:rPr/>
        <w:t>of resources,</w:t>
      </w:r>
      <w:r>
        <w:rPr>
          <w:spacing w:val="80"/>
        </w:rPr>
        <w:t> </w:t>
      </w:r>
      <w:r>
        <w:rPr/>
        <w:t>including</w:t>
      </w:r>
      <w:r>
        <w:rPr>
          <w:spacing w:val="80"/>
        </w:rPr>
        <w:t> </w:t>
      </w:r>
      <w:r>
        <w:rPr/>
        <w:t>physical</w:t>
      </w:r>
      <w:r>
        <w:rPr>
          <w:spacing w:val="80"/>
        </w:rPr>
        <w:t> </w:t>
      </w:r>
      <w:r>
        <w:rPr/>
        <w:t>assets,</w:t>
      </w:r>
      <w:r>
        <w:rPr>
          <w:spacing w:val="80"/>
        </w:rPr>
        <w:t> </w:t>
      </w:r>
      <w:r>
        <w:rPr/>
        <w:t>human</w:t>
      </w:r>
      <w:r>
        <w:rPr>
          <w:spacing w:val="80"/>
        </w:rPr>
        <w:t> </w:t>
      </w:r>
      <w:r>
        <w:rPr/>
        <w:t>capital,</w:t>
      </w:r>
      <w:r>
        <w:rPr>
          <w:spacing w:val="80"/>
        </w:rPr>
        <w:t> </w:t>
      </w:r>
      <w:r>
        <w:rPr/>
        <w:t>social</w:t>
      </w:r>
      <w:r>
        <w:rPr>
          <w:spacing w:val="80"/>
        </w:rPr>
        <w:t> </w:t>
      </w:r>
      <w:r>
        <w:rPr/>
        <w:t>networks,</w:t>
      </w:r>
      <w:r>
        <w:rPr>
          <w:spacing w:val="80"/>
        </w:rPr>
        <w:t> </w:t>
      </w:r>
      <w:r>
        <w:rPr/>
        <w:t>and</w:t>
      </w:r>
      <w:r>
        <w:rPr>
          <w:spacing w:val="80"/>
        </w:rPr>
        <w:t> </w:t>
      </w:r>
      <w:r>
        <w:rPr/>
        <w:t>psychological well-being (</w:t>
      </w:r>
      <w:r>
        <w:rPr>
          <w:color w:val="0000FF"/>
        </w:rPr>
        <w:t>Hobfoll</w:t>
      </w:r>
      <w:r>
        <w:rPr/>
        <w:t>, </w:t>
      </w:r>
      <w:r>
        <w:rPr>
          <w:color w:val="0000FF"/>
        </w:rPr>
        <w:t>2012</w:t>
      </w:r>
      <w:r>
        <w:rPr/>
        <w:t>). Disasters threaten this resource portfolio, and the loss of property may have spillover effects on other dimensions of well-being, including mental health. This perspective connects our work to the broader environmental economics literature on how environmental shocks affect human welfare through multiple channels.</w:t>
      </w:r>
    </w:p>
    <w:p>
      <w:pPr>
        <w:pStyle w:val="BodyText"/>
        <w:spacing w:before="248"/>
        <w:ind w:left="352" w:right="1788"/>
        <w:jc w:val="both"/>
      </w:pPr>
      <w:r>
        <w:rPr/>
        <w:t>For older adults in particular, property loss may be especially costly because they </w:t>
      </w:r>
      <w:r>
        <w:rPr/>
        <w:t>have accumulated</w:t>
      </w:r>
      <w:r>
        <w:rPr>
          <w:spacing w:val="60"/>
        </w:rPr>
        <w:t> </w:t>
      </w:r>
      <w:r>
        <w:rPr/>
        <w:t>substantial</w:t>
      </w:r>
      <w:r>
        <w:rPr>
          <w:spacing w:val="60"/>
        </w:rPr>
        <w:t> </w:t>
      </w:r>
      <w:r>
        <w:rPr/>
        <w:t>location-specific</w:t>
      </w:r>
      <w:r>
        <w:rPr>
          <w:spacing w:val="60"/>
        </w:rPr>
        <w:t> </w:t>
      </w:r>
      <w:r>
        <w:rPr/>
        <w:t>capital</w:t>
      </w:r>
      <w:r>
        <w:rPr>
          <w:spacing w:val="60"/>
        </w:rPr>
        <w:t> </w:t>
      </w:r>
      <w:r>
        <w:rPr/>
        <w:t>over</w:t>
      </w:r>
      <w:r>
        <w:rPr>
          <w:spacing w:val="60"/>
        </w:rPr>
        <w:t> </w:t>
      </w:r>
      <w:r>
        <w:rPr/>
        <w:t>their</w:t>
      </w:r>
      <w:r>
        <w:rPr>
          <w:spacing w:val="60"/>
        </w:rPr>
        <w:t> </w:t>
      </w:r>
      <w:r>
        <w:rPr/>
        <w:t>lifetimes,</w:t>
      </w:r>
      <w:r>
        <w:rPr>
          <w:spacing w:val="60"/>
        </w:rPr>
        <w:t> </w:t>
      </w:r>
      <w:r>
        <w:rPr/>
        <w:t>have</w:t>
      </w:r>
      <w:r>
        <w:rPr>
          <w:spacing w:val="60"/>
        </w:rPr>
        <w:t> </w:t>
      </w:r>
      <w:r>
        <w:rPr/>
        <w:t>limited</w:t>
      </w:r>
      <w:r>
        <w:rPr>
          <w:spacing w:val="60"/>
        </w:rPr>
        <w:t> </w:t>
      </w:r>
      <w:r>
        <w:rPr/>
        <w:t>ability</w:t>
      </w:r>
      <w:r>
        <w:rPr>
          <w:spacing w:val="60"/>
        </w:rPr>
        <w:t> </w:t>
      </w:r>
      <w:r>
        <w:rPr>
          <w:spacing w:val="-5"/>
        </w:rPr>
        <w:t>to</w:t>
      </w:r>
    </w:p>
    <w:p>
      <w:pPr>
        <w:pStyle w:val="BodyText"/>
        <w:spacing w:after="0"/>
        <w:jc w:val="both"/>
        <w:sectPr>
          <w:pgSz w:w="12240" w:h="15840"/>
          <w:pgMar w:header="0" w:footer="707" w:top="640" w:bottom="900" w:left="720" w:right="0"/>
        </w:sectPr>
      </w:pPr>
    </w:p>
    <w:p>
      <w:pPr>
        <w:pStyle w:val="BodyText"/>
        <w:spacing w:before="60"/>
        <w:ind w:left="352" w:right="1792"/>
        <w:jc w:val="both"/>
      </w:pPr>
      <w:r>
        <w:rPr/>
        <w:t>rebuild or relocate, and may face constraints in accessing credit or insurance markets. </w:t>
      </w:r>
      <w:r>
        <w:rPr/>
        <w:t>These economic constraints may exacerbate the mental health consequences of property damage, creating a feedback loop between economic vulnerability and psychological distress.</w:t>
      </w:r>
    </w:p>
    <w:p>
      <w:pPr>
        <w:pStyle w:val="BodyText"/>
      </w:pPr>
    </w:p>
    <w:p>
      <w:pPr>
        <w:pStyle w:val="ListParagraph"/>
        <w:numPr>
          <w:ilvl w:val="0"/>
          <w:numId w:val="34"/>
        </w:numPr>
        <w:tabs>
          <w:tab w:pos="532" w:val="left" w:leader="none"/>
        </w:tabs>
        <w:spacing w:line="240" w:lineRule="auto" w:before="0" w:after="0"/>
        <w:ind w:left="532" w:right="0" w:hanging="180"/>
        <w:jc w:val="both"/>
        <w:rPr>
          <w:sz w:val="24"/>
        </w:rPr>
      </w:pPr>
      <w:r>
        <w:rPr>
          <w:spacing w:val="-4"/>
          <w:sz w:val="24"/>
        </w:rPr>
        <w:t>Data</w:t>
      </w:r>
    </w:p>
    <w:p>
      <w:pPr>
        <w:pStyle w:val="BodyText"/>
        <w:spacing w:before="67"/>
      </w:pPr>
    </w:p>
    <w:p>
      <w:pPr>
        <w:pStyle w:val="ListParagraph"/>
        <w:numPr>
          <w:ilvl w:val="1"/>
          <w:numId w:val="34"/>
        </w:numPr>
        <w:tabs>
          <w:tab w:pos="712" w:val="left" w:leader="none"/>
        </w:tabs>
        <w:spacing w:line="240" w:lineRule="auto" w:before="0" w:after="0"/>
        <w:ind w:left="712" w:right="0" w:hanging="360"/>
        <w:jc w:val="left"/>
        <w:rPr>
          <w:sz w:val="24"/>
        </w:rPr>
      </w:pPr>
      <w:r>
        <w:rPr>
          <w:spacing w:val="-2"/>
          <w:sz w:val="24"/>
        </w:rPr>
        <w:t>SHELDUS</w:t>
      </w:r>
    </w:p>
    <w:p>
      <w:pPr>
        <w:pStyle w:val="BodyText"/>
        <w:spacing w:before="249"/>
        <w:ind w:left="352" w:right="1771"/>
        <w:jc w:val="both"/>
      </w:pPr>
      <w:r>
        <w:rPr/>
        <w:t>We use the Spatial Hazard Events and Losses Database for the United States (SHELDUS), </w:t>
      </w:r>
      <w:r>
        <w:rPr/>
        <w:t>a comprehensive database tracking natural hazard events and their economic impacts across the United States. SHELDUS includes data on 18 different natural hazard types, including thunderstorms, hurricanes, floods, wildfires, tornadoes, flash floods, and heavy</w:t>
      </w:r>
      <w:r>
        <w:rPr>
          <w:spacing w:val="-3"/>
        </w:rPr>
        <w:t> </w:t>
      </w:r>
      <w:r>
        <w:rPr/>
        <w:t>rainfall</w:t>
      </w:r>
      <w:r>
        <w:rPr>
          <w:spacing w:val="-3"/>
        </w:rPr>
        <w:t> </w:t>
      </w:r>
      <w:r>
        <w:rPr/>
        <w:t>(</w:t>
      </w:r>
      <w:r>
        <w:rPr>
          <w:color w:val="0000FF"/>
        </w:rPr>
        <w:t>Hazards &amp;</w:t>
      </w:r>
      <w:r>
        <w:rPr>
          <w:color w:val="0000FF"/>
          <w:spacing w:val="-5"/>
        </w:rPr>
        <w:t> </w:t>
      </w:r>
      <w:r>
        <w:rPr>
          <w:color w:val="0000FF"/>
        </w:rPr>
        <w:t>Vulnerability</w:t>
      </w:r>
      <w:r>
        <w:rPr>
          <w:color w:val="0000FF"/>
          <w:spacing w:val="-5"/>
        </w:rPr>
        <w:t> </w:t>
      </w:r>
      <w:r>
        <w:rPr>
          <w:color w:val="0000FF"/>
        </w:rPr>
        <w:t>Research</w:t>
      </w:r>
      <w:r>
        <w:rPr>
          <w:color w:val="0000FF"/>
          <w:spacing w:val="-5"/>
        </w:rPr>
        <w:t> </w:t>
      </w:r>
      <w:r>
        <w:rPr>
          <w:color w:val="0000FF"/>
        </w:rPr>
        <w:t>Institute</w:t>
      </w:r>
      <w:r>
        <w:rPr/>
        <w:t>,</w:t>
      </w:r>
      <w:r>
        <w:rPr>
          <w:spacing w:val="-5"/>
        </w:rPr>
        <w:t> </w:t>
      </w:r>
      <w:r>
        <w:rPr>
          <w:color w:val="0000FF"/>
        </w:rPr>
        <w:t>2024</w:t>
      </w:r>
      <w:r>
        <w:rPr/>
        <w:t>).</w:t>
      </w:r>
      <w:r>
        <w:rPr>
          <w:spacing w:val="-5"/>
        </w:rPr>
        <w:t> </w:t>
      </w:r>
      <w:r>
        <w:rPr/>
        <w:t>The</w:t>
      </w:r>
      <w:r>
        <w:rPr>
          <w:spacing w:val="-5"/>
        </w:rPr>
        <w:t> </w:t>
      </w:r>
      <w:r>
        <w:rPr/>
        <w:t>database</w:t>
      </w:r>
      <w:r>
        <w:rPr>
          <w:spacing w:val="-5"/>
        </w:rPr>
        <w:t> </w:t>
      </w:r>
      <w:r>
        <w:rPr/>
        <w:t>provides</w:t>
      </w:r>
      <w:r>
        <w:rPr>
          <w:spacing w:val="-5"/>
        </w:rPr>
        <w:t> </w:t>
      </w:r>
      <w:r>
        <w:rPr/>
        <w:t>detailed</w:t>
      </w:r>
      <w:r>
        <w:rPr>
          <w:spacing w:val="-5"/>
        </w:rPr>
        <w:t> </w:t>
      </w:r>
      <w:r>
        <w:rPr/>
        <w:t>county-level</w:t>
      </w:r>
      <w:r>
        <w:rPr>
          <w:spacing w:val="-5"/>
        </w:rPr>
        <w:t> </w:t>
      </w:r>
      <w:r>
        <w:rPr/>
        <w:t>records</w:t>
      </w:r>
      <w:r>
        <w:rPr>
          <w:spacing w:val="-5"/>
        </w:rPr>
        <w:t> </w:t>
      </w:r>
      <w:r>
        <w:rPr/>
        <w:t>on hazard events</w:t>
      </w:r>
      <w:r>
        <w:rPr>
          <w:spacing w:val="-2"/>
        </w:rPr>
        <w:t> </w:t>
      </w:r>
      <w:r>
        <w:rPr/>
        <w:t>from</w:t>
      </w:r>
      <w:r>
        <w:rPr>
          <w:spacing w:val="-2"/>
        </w:rPr>
        <w:t> </w:t>
      </w:r>
      <w:r>
        <w:rPr/>
        <w:t>1960</w:t>
      </w:r>
      <w:r>
        <w:rPr>
          <w:spacing w:val="-2"/>
        </w:rPr>
        <w:t> </w:t>
      </w:r>
      <w:r>
        <w:rPr/>
        <w:t>to</w:t>
      </w:r>
      <w:r>
        <w:rPr>
          <w:spacing w:val="-2"/>
        </w:rPr>
        <w:t> </w:t>
      </w:r>
      <w:r>
        <w:rPr/>
        <w:t>the</w:t>
      </w:r>
      <w:r>
        <w:rPr>
          <w:spacing w:val="-2"/>
        </w:rPr>
        <w:t> </w:t>
      </w:r>
      <w:r>
        <w:rPr/>
        <w:t>present,</w:t>
      </w:r>
      <w:r>
        <w:rPr>
          <w:spacing w:val="-2"/>
        </w:rPr>
        <w:t> </w:t>
      </w:r>
      <w:r>
        <w:rPr/>
        <w:t>with</w:t>
      </w:r>
      <w:r>
        <w:rPr>
          <w:spacing w:val="-2"/>
        </w:rPr>
        <w:t> </w:t>
      </w:r>
      <w:r>
        <w:rPr/>
        <w:t>regular</w:t>
      </w:r>
      <w:r>
        <w:rPr>
          <w:spacing w:val="-2"/>
        </w:rPr>
        <w:t> </w:t>
      </w:r>
      <w:r>
        <w:rPr/>
        <w:t>up</w:t>
      </w:r>
      <w:r>
        <w:rPr>
          <w:spacing w:val="-2"/>
        </w:rPr>
        <w:t> </w:t>
      </w:r>
      <w:r>
        <w:rPr/>
        <w:t>dates.</w:t>
      </w:r>
      <w:r>
        <w:rPr>
          <w:spacing w:val="-2"/>
        </w:rPr>
        <w:t> </w:t>
      </w:r>
      <w:r>
        <w:rPr/>
        <w:t>For</w:t>
      </w:r>
      <w:r>
        <w:rPr>
          <w:spacing w:val="-2"/>
        </w:rPr>
        <w:t> </w:t>
      </w:r>
      <w:r>
        <w:rPr/>
        <w:t>each</w:t>
      </w:r>
      <w:r>
        <w:rPr>
          <w:spacing w:val="-2"/>
        </w:rPr>
        <w:t> </w:t>
      </w:r>
      <w:r>
        <w:rPr/>
        <w:t>event,</w:t>
      </w:r>
      <w:r>
        <w:rPr>
          <w:spacing w:val="-2"/>
        </w:rPr>
        <w:t> </w:t>
      </w:r>
      <w:r>
        <w:rPr/>
        <w:t>SHELDUS</w:t>
      </w:r>
      <w:r>
        <w:rPr>
          <w:spacing w:val="-2"/>
        </w:rPr>
        <w:t> </w:t>
      </w:r>
      <w:r>
        <w:rPr/>
        <w:t>records the date, affected location (county and state), and direct economic</w:t>
      </w:r>
      <w:r>
        <w:rPr>
          <w:spacing w:val="-3"/>
        </w:rPr>
        <w:t> </w:t>
      </w:r>
      <w:r>
        <w:rPr/>
        <w:t>losses,</w:t>
      </w:r>
      <w:r>
        <w:rPr>
          <w:spacing w:val="-3"/>
        </w:rPr>
        <w:t> </w:t>
      </w:r>
      <w:r>
        <w:rPr/>
        <w:t>including</w:t>
      </w:r>
      <w:r>
        <w:rPr>
          <w:spacing w:val="-3"/>
        </w:rPr>
        <w:t> </w:t>
      </w:r>
      <w:r>
        <w:rPr/>
        <w:t>property</w:t>
      </w:r>
      <w:r>
        <w:rPr>
          <w:spacing w:val="-3"/>
        </w:rPr>
        <w:t> </w:t>
      </w:r>
      <w:r>
        <w:rPr/>
        <w:t>and crop losses (in nominal dollars), in juries, and fatalities.</w:t>
      </w:r>
    </w:p>
    <w:p>
      <w:pPr>
        <w:pStyle w:val="BodyText"/>
        <w:spacing w:before="247"/>
        <w:ind w:left="352" w:right="1789"/>
        <w:jc w:val="both"/>
      </w:pPr>
      <w:r>
        <w:rPr/>
        <w:t>We focus on property damage as our measure of disaster impact because it represents </w:t>
      </w:r>
      <w:r>
        <w:rPr/>
        <w:t>a quantifiable economic loss that can be causally linked to mental health outcomes. Property damage is measured in per capita terms (inflation-adjusted to 2022 dollars) to account for differences in county population size. This measure captures the intensity of disaster impact at</w:t>
      </w:r>
      <w:r>
        <w:rPr>
          <w:spacing w:val="40"/>
        </w:rPr>
        <w:t> </w:t>
      </w:r>
      <w:r>
        <w:rPr/>
        <w:t>the county level, which we use to construct our treatment and comparison groups.</w:t>
      </w:r>
    </w:p>
    <w:p>
      <w:pPr>
        <w:pStyle w:val="BodyText"/>
      </w:pPr>
    </w:p>
    <w:p>
      <w:pPr>
        <w:pStyle w:val="ListParagraph"/>
        <w:numPr>
          <w:ilvl w:val="1"/>
          <w:numId w:val="34"/>
        </w:numPr>
        <w:tabs>
          <w:tab w:pos="712" w:val="left" w:leader="none"/>
        </w:tabs>
        <w:spacing w:line="240" w:lineRule="auto" w:before="1" w:after="0"/>
        <w:ind w:left="712" w:right="0" w:hanging="360"/>
        <w:jc w:val="left"/>
        <w:rPr>
          <w:sz w:val="24"/>
        </w:rPr>
      </w:pPr>
      <w:r>
        <w:rPr>
          <w:sz w:val="24"/>
        </w:rPr>
        <w:t>Center for Epidemiological Studies Depression </w:t>
      </w:r>
      <w:r>
        <w:rPr>
          <w:spacing w:val="-2"/>
          <w:sz w:val="24"/>
        </w:rPr>
        <w:t>(CESD)</w:t>
      </w:r>
    </w:p>
    <w:p>
      <w:pPr>
        <w:pStyle w:val="BodyText"/>
        <w:spacing w:before="249"/>
        <w:ind w:left="352" w:right="1785"/>
        <w:jc w:val="both"/>
      </w:pPr>
      <w:r>
        <w:rPr/>
        <w:t>We use data from the REasons for Geographic and Racial Differences in Stroke (RE GARDS) study, a population-based cohort study that recruited 30,239 individuals from the 48 </w:t>
      </w:r>
      <w:r>
        <w:rPr/>
        <w:t>contiguous states, oversampling African Americans and residents of the Stroke Belt.</w:t>
      </w:r>
      <w:r>
        <w:rPr>
          <w:color w:val="0000FF"/>
          <w:vertAlign w:val="superscript"/>
        </w:rPr>
        <w:t>1</w:t>
      </w:r>
      <w:r>
        <w:rPr>
          <w:vertAlign w:val="baseline"/>
        </w:rPr>
        <w:t>From January 2003 to October 2007, participants were selected via commercial lists, contacted by mail and phone for consent, and self-reported demographics and cardio</w:t>
      </w:r>
      <w:r>
        <w:rPr>
          <w:spacing w:val="-5"/>
          <w:vertAlign w:val="baseline"/>
        </w:rPr>
        <w:t> </w:t>
      </w:r>
      <w:r>
        <w:rPr>
          <w:vertAlign w:val="baseline"/>
        </w:rPr>
        <w:t>vascular</w:t>
      </w:r>
      <w:r>
        <w:rPr>
          <w:spacing w:val="-5"/>
          <w:vertAlign w:val="baseline"/>
        </w:rPr>
        <w:t> </w:t>
      </w:r>
      <w:r>
        <w:rPr>
          <w:vertAlign w:val="baseline"/>
        </w:rPr>
        <w:t>history.</w:t>
      </w:r>
      <w:r>
        <w:rPr>
          <w:spacing w:val="-5"/>
          <w:vertAlign w:val="baseline"/>
        </w:rPr>
        <w:t> </w:t>
      </w:r>
      <w:r>
        <w:rPr>
          <w:vertAlign w:val="baseline"/>
        </w:rPr>
        <w:t>Approximately</w:t>
      </w:r>
      <w:r>
        <w:rPr>
          <w:spacing w:val="-5"/>
          <w:vertAlign w:val="baseline"/>
        </w:rPr>
        <w:t> </w:t>
      </w:r>
      <w:r>
        <w:rPr>
          <w:vertAlign w:val="baseline"/>
        </w:rPr>
        <w:t>70%</w:t>
      </w:r>
      <w:r>
        <w:rPr>
          <w:spacing w:val="-5"/>
          <w:vertAlign w:val="baseline"/>
        </w:rPr>
        <w:t> </w:t>
      </w:r>
      <w:r>
        <w:rPr>
          <w:vertAlign w:val="baseline"/>
        </w:rPr>
        <w:t>agreed to in-home</w:t>
      </w:r>
      <w:r>
        <w:rPr>
          <w:spacing w:val="-4"/>
          <w:vertAlign w:val="baseline"/>
        </w:rPr>
        <w:t> </w:t>
      </w:r>
      <w:r>
        <w:rPr>
          <w:vertAlign w:val="baseline"/>
        </w:rPr>
        <w:t>visits</w:t>
      </w:r>
      <w:r>
        <w:rPr>
          <w:spacing w:val="-4"/>
          <w:vertAlign w:val="baseline"/>
        </w:rPr>
        <w:t> </w:t>
      </w:r>
      <w:r>
        <w:rPr>
          <w:vertAlign w:val="baseline"/>
        </w:rPr>
        <w:t>for</w:t>
      </w:r>
      <w:r>
        <w:rPr>
          <w:spacing w:val="-4"/>
          <w:vertAlign w:val="baseline"/>
        </w:rPr>
        <w:t> </w:t>
      </w:r>
      <w:r>
        <w:rPr>
          <w:vertAlign w:val="baseline"/>
        </w:rPr>
        <w:t>clinical</w:t>
      </w:r>
      <w:r>
        <w:rPr>
          <w:spacing w:val="-4"/>
          <w:vertAlign w:val="baseline"/>
        </w:rPr>
        <w:t> </w:t>
      </w:r>
      <w:r>
        <w:rPr>
          <w:vertAlign w:val="baseline"/>
        </w:rPr>
        <w:t>measurements</w:t>
      </w:r>
      <w:r>
        <w:rPr>
          <w:spacing w:val="-4"/>
          <w:vertAlign w:val="baseline"/>
        </w:rPr>
        <w:t> </w:t>
      </w:r>
      <w:r>
        <w:rPr>
          <w:vertAlign w:val="baseline"/>
        </w:rPr>
        <w:t>(blood</w:t>
      </w:r>
      <w:r>
        <w:rPr>
          <w:spacing w:val="-4"/>
          <w:vertAlign w:val="baseline"/>
        </w:rPr>
        <w:t> </w:t>
      </w:r>
      <w:r>
        <w:rPr>
          <w:vertAlign w:val="baseline"/>
        </w:rPr>
        <w:t>pressure,</w:t>
      </w:r>
      <w:r>
        <w:rPr>
          <w:spacing w:val="-4"/>
          <w:vertAlign w:val="baseline"/>
        </w:rPr>
        <w:t> </w:t>
      </w:r>
      <w:r>
        <w:rPr>
          <w:vertAlign w:val="baseline"/>
        </w:rPr>
        <w:t>height,</w:t>
      </w:r>
      <w:r>
        <w:rPr>
          <w:spacing w:val="-4"/>
          <w:vertAlign w:val="baseline"/>
        </w:rPr>
        <w:t> </w:t>
      </w:r>
      <w:r>
        <w:rPr>
          <w:vertAlign w:val="baseline"/>
        </w:rPr>
        <w:t>weight,</w:t>
      </w:r>
      <w:r>
        <w:rPr>
          <w:spacing w:val="-4"/>
          <w:vertAlign w:val="baseline"/>
        </w:rPr>
        <w:t> </w:t>
      </w:r>
      <w:r>
        <w:rPr>
          <w:vertAlign w:val="baseline"/>
        </w:rPr>
        <w:t>blood</w:t>
      </w:r>
      <w:r>
        <w:rPr>
          <w:spacing w:val="-4"/>
          <w:vertAlign w:val="baseline"/>
        </w:rPr>
        <w:t> </w:t>
      </w:r>
      <w:r>
        <w:rPr>
          <w:vertAlign w:val="baseline"/>
        </w:rPr>
        <w:t>samples,</w:t>
      </w:r>
      <w:r>
        <w:rPr>
          <w:spacing w:val="-4"/>
          <w:vertAlign w:val="baseline"/>
        </w:rPr>
        <w:t> </w:t>
      </w:r>
      <w:r>
        <w:rPr>
          <w:vertAlign w:val="baseline"/>
        </w:rPr>
        <w:t>EKG, medication inventory) and completed self-administered questionnaires. Follow-ups occurred every 6 months to monitor health and cardiovascular outcomes.</w:t>
      </w:r>
    </w:p>
    <w:p>
      <w:pPr>
        <w:pStyle w:val="BodyText"/>
        <w:spacing w:before="252"/>
        <w:ind w:left="352" w:right="1649"/>
        <w:jc w:val="both"/>
      </w:pPr>
      <w:r>
        <w:rPr/>
        <w:t>We retrieve time-varying depressive symptoms from the Center for Epidemiological Studies Depression 4-item version (CES-D-4) (</w:t>
      </w:r>
      <w:r>
        <w:rPr>
          <w:color w:val="0000FF"/>
        </w:rPr>
        <w:t>Melchior et al.</w:t>
      </w:r>
      <w:r>
        <w:rPr/>
        <w:t>, </w:t>
      </w:r>
      <w:r>
        <w:rPr>
          <w:color w:val="0000FF"/>
        </w:rPr>
        <w:t>1993</w:t>
      </w:r>
      <w:r>
        <w:rPr/>
        <w:t>). The scale asks participants to rate the number of days over the past week they</w:t>
      </w:r>
      <w:r>
        <w:rPr>
          <w:spacing w:val="-4"/>
        </w:rPr>
        <w:t> </w:t>
      </w:r>
      <w:r>
        <w:rPr/>
        <w:t>experienced:</w:t>
      </w:r>
      <w:r>
        <w:rPr>
          <w:spacing w:val="-4"/>
        </w:rPr>
        <w:t> </w:t>
      </w:r>
      <w:r>
        <w:rPr/>
        <w:t>feeling</w:t>
      </w:r>
      <w:r>
        <w:rPr>
          <w:spacing w:val="-4"/>
        </w:rPr>
        <w:t> </w:t>
      </w:r>
      <w:r>
        <w:rPr/>
        <w:t>depressed,</w:t>
      </w:r>
      <w:r>
        <w:rPr>
          <w:spacing w:val="-4"/>
        </w:rPr>
        <w:t> </w:t>
      </w:r>
      <w:r>
        <w:rPr/>
        <w:t>feeling</w:t>
      </w:r>
      <w:r>
        <w:rPr>
          <w:spacing w:val="-4"/>
        </w:rPr>
        <w:t> </w:t>
      </w:r>
      <w:r>
        <w:rPr/>
        <w:t>lonely,</w:t>
      </w:r>
      <w:r>
        <w:rPr>
          <w:spacing w:val="-4"/>
        </w:rPr>
        <w:t> </w:t>
      </w:r>
      <w:r>
        <w:rPr/>
        <w:t>having crying spells, and feeling sad. Each item is scored from 0 to 3 based on response categories: “Rarely or none of the time (less than 1 day)” = 0; “Some or a little of the time (1-2 days)” = 1; “Occasionally or a moderate amount of the time (3-4 days)” = 2; “Most or all of the time (5-7 days)” = 3. Total scores range from 0 to 12, with scores greater than 4 indicating clinically significant psychological distress. Approximately 20% of the general population would be expected to score in this range, though exceeding this threshold does not necessarily imply a clinical diagnosis of depression.</w:t>
      </w:r>
    </w:p>
    <w:p>
      <w:pPr>
        <w:pStyle w:val="ListParagraph"/>
        <w:numPr>
          <w:ilvl w:val="1"/>
          <w:numId w:val="34"/>
        </w:numPr>
        <w:tabs>
          <w:tab w:pos="712" w:val="left" w:leader="none"/>
        </w:tabs>
        <w:spacing w:line="240" w:lineRule="auto" w:before="276" w:after="0"/>
        <w:ind w:left="712" w:right="0" w:hanging="360"/>
        <w:jc w:val="left"/>
        <w:rPr>
          <w:sz w:val="24"/>
        </w:rPr>
      </w:pPr>
      <w:r>
        <w:rPr>
          <w:sz w:val="24"/>
        </w:rPr>
        <w:t>The</w:t>
      </w:r>
      <w:r>
        <w:rPr>
          <w:spacing w:val="-7"/>
          <w:sz w:val="24"/>
        </w:rPr>
        <w:t> </w:t>
      </w:r>
      <w:r>
        <w:rPr>
          <w:sz w:val="24"/>
        </w:rPr>
        <w:t>Retail</w:t>
      </w:r>
      <w:r>
        <w:rPr>
          <w:spacing w:val="-4"/>
          <w:sz w:val="24"/>
        </w:rPr>
        <w:t> </w:t>
      </w:r>
      <w:r>
        <w:rPr>
          <w:sz w:val="24"/>
        </w:rPr>
        <w:t>Environment</w:t>
      </w:r>
      <w:r>
        <w:rPr>
          <w:spacing w:val="-5"/>
          <w:sz w:val="24"/>
        </w:rPr>
        <w:t> </w:t>
      </w:r>
      <w:r>
        <w:rPr>
          <w:sz w:val="24"/>
        </w:rPr>
        <w:t>and</w:t>
      </w:r>
      <w:r>
        <w:rPr>
          <w:spacing w:val="-4"/>
          <w:sz w:val="24"/>
        </w:rPr>
        <w:t> </w:t>
      </w:r>
      <w:r>
        <w:rPr>
          <w:sz w:val="24"/>
        </w:rPr>
        <w:t>CardioVascular</w:t>
      </w:r>
      <w:r>
        <w:rPr>
          <w:spacing w:val="-5"/>
          <w:sz w:val="24"/>
        </w:rPr>
        <w:t> </w:t>
      </w:r>
      <w:r>
        <w:rPr>
          <w:sz w:val="24"/>
        </w:rPr>
        <w:t>Disease</w:t>
      </w:r>
      <w:r>
        <w:rPr>
          <w:spacing w:val="-4"/>
          <w:sz w:val="24"/>
        </w:rPr>
        <w:t> </w:t>
      </w:r>
      <w:r>
        <w:rPr>
          <w:spacing w:val="-2"/>
          <w:sz w:val="24"/>
        </w:rPr>
        <w:t>(RECVD)</w:t>
      </w:r>
    </w:p>
    <w:p>
      <w:pPr>
        <w:pStyle w:val="BodyText"/>
        <w:spacing w:before="237"/>
        <w:ind w:left="352" w:right="1786"/>
        <w:jc w:val="both"/>
      </w:pPr>
      <w:r>
        <w:rPr/>
        <w:t>The Retail Environment and Cardiovascular Disease (RECVD) study compiles </w:t>
      </w:r>
      <w:r>
        <w:rPr/>
        <w:t>extensive longitudinal geographic data to examine disparities in access and predict health and aging outcomes. Over the past 25 years, detailed data have been collected on retail, land cover, and social</w:t>
      </w:r>
      <w:r>
        <w:rPr>
          <w:spacing w:val="45"/>
        </w:rPr>
        <w:t> </w:t>
      </w:r>
      <w:r>
        <w:rPr/>
        <w:t>environmental</w:t>
      </w:r>
      <w:r>
        <w:rPr>
          <w:spacing w:val="45"/>
        </w:rPr>
        <w:t> </w:t>
      </w:r>
      <w:r>
        <w:rPr/>
        <w:t>variables</w:t>
      </w:r>
      <w:r>
        <w:rPr>
          <w:spacing w:val="45"/>
        </w:rPr>
        <w:t> </w:t>
      </w:r>
      <w:r>
        <w:rPr/>
        <w:t>covering</w:t>
      </w:r>
      <w:r>
        <w:rPr>
          <w:spacing w:val="45"/>
        </w:rPr>
        <w:t> </w:t>
      </w:r>
      <w:r>
        <w:rPr/>
        <w:t>72,246</w:t>
      </w:r>
      <w:r>
        <w:rPr>
          <w:spacing w:val="45"/>
        </w:rPr>
        <w:t> </w:t>
      </w:r>
      <w:r>
        <w:rPr/>
        <w:t>census</w:t>
      </w:r>
      <w:r>
        <w:rPr>
          <w:spacing w:val="45"/>
        </w:rPr>
        <w:t> </w:t>
      </w:r>
      <w:r>
        <w:rPr/>
        <w:t>tracts</w:t>
      </w:r>
      <w:r>
        <w:rPr>
          <w:spacing w:val="45"/>
        </w:rPr>
        <w:t> </w:t>
      </w:r>
      <w:r>
        <w:rPr/>
        <w:t>and</w:t>
      </w:r>
      <w:r>
        <w:rPr>
          <w:spacing w:val="45"/>
        </w:rPr>
        <w:t> </w:t>
      </w:r>
      <w:r>
        <w:rPr/>
        <w:t>32,170</w:t>
      </w:r>
      <w:r>
        <w:rPr>
          <w:spacing w:val="45"/>
        </w:rPr>
        <w:t> </w:t>
      </w:r>
      <w:r>
        <w:rPr/>
        <w:t>ZIP</w:t>
      </w:r>
      <w:r>
        <w:rPr>
          <w:spacing w:val="30"/>
        </w:rPr>
        <w:t> </w:t>
      </w:r>
      <w:r>
        <w:rPr/>
        <w:t>code</w:t>
      </w:r>
      <w:r>
        <w:rPr>
          <w:spacing w:val="30"/>
        </w:rPr>
        <w:t> </w:t>
      </w:r>
      <w:r>
        <w:rPr>
          <w:spacing w:val="-2"/>
        </w:rPr>
        <w:t>tabulation</w:t>
      </w:r>
    </w:p>
    <w:p>
      <w:pPr>
        <w:pStyle w:val="BodyText"/>
        <w:spacing w:after="0"/>
        <w:jc w:val="both"/>
        <w:sectPr>
          <w:pgSz w:w="12240" w:h="15840"/>
          <w:pgMar w:header="0" w:footer="707" w:top="640" w:bottom="960" w:left="720" w:right="0"/>
        </w:sectPr>
      </w:pPr>
    </w:p>
    <w:p>
      <w:pPr>
        <w:pStyle w:val="BodyText"/>
        <w:spacing w:before="60"/>
        <w:ind w:left="352" w:right="1788"/>
        <w:jc w:val="both"/>
      </w:pPr>
      <w:r>
        <w:rPr/>
        <w:t>areas (ZCTAs) across the contiguous United States. Additionally, 1-km and 5-km radial buffers have been created around the retail, land cover, and social environments of 55,309 </w:t>
      </w:r>
      <w:r>
        <w:rPr/>
        <w:t>participant addresses, including all 30,239 individuals from the REGARDS Study.</w:t>
      </w:r>
    </w:p>
    <w:p>
      <w:pPr>
        <w:pStyle w:val="BodyText"/>
        <w:spacing w:before="240"/>
        <w:ind w:left="352" w:right="1785"/>
        <w:jc w:val="both"/>
      </w:pPr>
      <w:r>
        <w:rPr/>
        <w:t>We use RECVD data to construct a rich set of neighborhood-level control variables that </w:t>
      </w:r>
      <w:r>
        <w:rPr/>
        <w:t>may confound the relationship between property damage and mental health. These include measures of neighborhood</w:t>
      </w:r>
      <w:r>
        <w:rPr>
          <w:spacing w:val="-4"/>
        </w:rPr>
        <w:t> </w:t>
      </w:r>
      <w:r>
        <w:rPr/>
        <w:t>socioeconomic</w:t>
      </w:r>
      <w:r>
        <w:rPr>
          <w:spacing w:val="-4"/>
        </w:rPr>
        <w:t> </w:t>
      </w:r>
      <w:r>
        <w:rPr/>
        <w:t>status,</w:t>
      </w:r>
      <w:r>
        <w:rPr>
          <w:spacing w:val="-4"/>
        </w:rPr>
        <w:t> </w:t>
      </w:r>
      <w:r>
        <w:rPr/>
        <w:t>access</w:t>
      </w:r>
      <w:r>
        <w:rPr>
          <w:spacing w:val="-4"/>
        </w:rPr>
        <w:t> </w:t>
      </w:r>
      <w:r>
        <w:rPr/>
        <w:t>to</w:t>
      </w:r>
      <w:r>
        <w:rPr>
          <w:spacing w:val="-4"/>
        </w:rPr>
        <w:t> </w:t>
      </w:r>
      <w:r>
        <w:rPr/>
        <w:t>healthcare</w:t>
      </w:r>
      <w:r>
        <w:rPr>
          <w:spacing w:val="-4"/>
        </w:rPr>
        <w:t> </w:t>
      </w:r>
      <w:r>
        <w:rPr/>
        <w:t>facilities,</w:t>
      </w:r>
      <w:r>
        <w:rPr>
          <w:spacing w:val="-4"/>
        </w:rPr>
        <w:t> </w:t>
      </w:r>
      <w:r>
        <w:rPr/>
        <w:t>food</w:t>
      </w:r>
      <w:r>
        <w:rPr>
          <w:spacing w:val="-4"/>
        </w:rPr>
        <w:t> </w:t>
      </w:r>
      <w:r>
        <w:rPr/>
        <w:t>environment,</w:t>
      </w:r>
      <w:r>
        <w:rPr>
          <w:spacing w:val="-4"/>
        </w:rPr>
        <w:t> </w:t>
      </w:r>
      <w:r>
        <w:rPr/>
        <w:t>physical activity infrastructure, and demographic composition. Controlling for these factors is important because neighborhoods with certain characteristics may be both more likely to experience disasters (e.g., coastal areas, floodplains) and have different baseline mental health outcomes (e.g., due to socioeconomic status, access to healthcare).</w:t>
      </w:r>
    </w:p>
    <w:p>
      <w:pPr>
        <w:pStyle w:val="BodyText"/>
      </w:pPr>
    </w:p>
    <w:p>
      <w:pPr>
        <w:pStyle w:val="ListParagraph"/>
        <w:numPr>
          <w:ilvl w:val="0"/>
          <w:numId w:val="34"/>
        </w:numPr>
        <w:tabs>
          <w:tab w:pos="532" w:val="left" w:leader="none"/>
        </w:tabs>
        <w:spacing w:line="240" w:lineRule="auto" w:before="0" w:after="0"/>
        <w:ind w:left="532" w:right="0" w:hanging="180"/>
        <w:jc w:val="both"/>
        <w:rPr>
          <w:sz w:val="24"/>
        </w:rPr>
      </w:pPr>
      <w:r>
        <w:rPr>
          <w:spacing w:val="-2"/>
          <w:sz w:val="24"/>
        </w:rPr>
        <w:t>Method</w:t>
      </w:r>
    </w:p>
    <w:p>
      <w:pPr>
        <w:pStyle w:val="BodyText"/>
        <w:spacing w:before="54"/>
      </w:pPr>
    </w:p>
    <w:p>
      <w:pPr>
        <w:pStyle w:val="ListParagraph"/>
        <w:numPr>
          <w:ilvl w:val="1"/>
          <w:numId w:val="34"/>
        </w:numPr>
        <w:tabs>
          <w:tab w:pos="712" w:val="left" w:leader="none"/>
        </w:tabs>
        <w:spacing w:line="240" w:lineRule="auto" w:before="1" w:after="0"/>
        <w:ind w:left="712" w:right="0" w:hanging="360"/>
        <w:jc w:val="left"/>
        <w:rPr>
          <w:sz w:val="24"/>
        </w:rPr>
      </w:pPr>
      <w:r>
        <w:rPr>
          <w:sz w:val="24"/>
        </w:rPr>
        <w:t>Baseline </w:t>
      </w:r>
      <w:r>
        <w:rPr>
          <w:spacing w:val="-2"/>
          <w:sz w:val="24"/>
        </w:rPr>
        <w:t>regression</w:t>
      </w:r>
    </w:p>
    <w:p>
      <w:pPr>
        <w:pStyle w:val="BodyText"/>
        <w:spacing w:before="237"/>
        <w:ind w:left="352" w:right="1785"/>
        <w:jc w:val="both"/>
      </w:pPr>
      <w:r>
        <w:rPr/>
        <w:t>We begin with a baseline regression model that relates depressive symptoms to per </w:t>
      </w:r>
      <w:r>
        <w:rPr/>
        <w:t>capita property damage:</w:t>
      </w:r>
    </w:p>
    <w:p>
      <w:pPr>
        <w:pStyle w:val="BodyText"/>
        <w:spacing w:before="133"/>
        <w:rPr>
          <w:sz w:val="20"/>
        </w:rPr>
      </w:pPr>
      <w:r>
        <w:rPr>
          <w:sz w:val="20"/>
        </w:rPr>
        <w:drawing>
          <wp:anchor distT="0" distB="0" distL="0" distR="0" allowOverlap="1" layoutInCell="1" locked="0" behindDoc="1" simplePos="0" relativeHeight="487606272">
            <wp:simplePos x="0" y="0"/>
            <wp:positionH relativeFrom="page">
              <wp:posOffset>1271778</wp:posOffset>
            </wp:positionH>
            <wp:positionV relativeFrom="paragraph">
              <wp:posOffset>245784</wp:posOffset>
            </wp:positionV>
            <wp:extent cx="5067300" cy="219075"/>
            <wp:effectExtent l="0" t="0" r="0" b="0"/>
            <wp:wrapTopAndBottom/>
            <wp:docPr id="74" name="Image 74"/>
            <wp:cNvGraphicFramePr>
              <a:graphicFrameLocks/>
            </wp:cNvGraphicFramePr>
            <a:graphic>
              <a:graphicData uri="http://schemas.openxmlformats.org/drawingml/2006/picture">
                <pic:pic>
                  <pic:nvPicPr>
                    <pic:cNvPr id="74" name="Image 74"/>
                    <pic:cNvPicPr/>
                  </pic:nvPicPr>
                  <pic:blipFill>
                    <a:blip r:embed="rId258" cstate="print"/>
                    <a:stretch>
                      <a:fillRect/>
                    </a:stretch>
                  </pic:blipFill>
                  <pic:spPr>
                    <a:xfrm>
                      <a:off x="0" y="0"/>
                      <a:ext cx="5067300" cy="219075"/>
                    </a:xfrm>
                    <a:prstGeom prst="rect">
                      <a:avLst/>
                    </a:prstGeom>
                  </pic:spPr>
                </pic:pic>
              </a:graphicData>
            </a:graphic>
          </wp:anchor>
        </w:drawing>
      </w:r>
    </w:p>
    <w:p>
      <w:pPr>
        <w:pStyle w:val="BodyText"/>
        <w:spacing w:before="212"/>
      </w:pPr>
    </w:p>
    <w:p>
      <w:pPr>
        <w:pStyle w:val="BodyText"/>
        <w:ind w:left="352"/>
        <w:jc w:val="both"/>
      </w:pPr>
      <w:r>
        <w:rPr/>
        <w:t>where</w:t>
      </w:r>
      <w:r>
        <w:rPr>
          <w:spacing w:val="9"/>
        </w:rPr>
        <w:t> </w:t>
      </w:r>
      <w:r>
        <w:rPr/>
        <w:t>indices</w:t>
      </w:r>
      <w:r>
        <w:rPr>
          <w:spacing w:val="12"/>
        </w:rPr>
        <w:t> </w:t>
      </w:r>
      <w:r>
        <w:rPr>
          <w:i/>
        </w:rPr>
        <w:t>i</w:t>
      </w:r>
      <w:r>
        <w:rPr/>
        <w:t>,</w:t>
      </w:r>
      <w:r>
        <w:rPr>
          <w:spacing w:val="11"/>
        </w:rPr>
        <w:t> </w:t>
      </w:r>
      <w:r>
        <w:rPr>
          <w:i/>
        </w:rPr>
        <w:t>c</w:t>
      </w:r>
      <w:r>
        <w:rPr/>
        <w:t>,</w:t>
      </w:r>
      <w:r>
        <w:rPr>
          <w:spacing w:val="12"/>
        </w:rPr>
        <w:t> </w:t>
      </w:r>
      <w:r>
        <w:rPr/>
        <w:t>and</w:t>
      </w:r>
      <w:r>
        <w:rPr>
          <w:spacing w:val="11"/>
        </w:rPr>
        <w:t> </w:t>
      </w:r>
      <w:r>
        <w:rPr>
          <w:i/>
        </w:rPr>
        <w:t>t</w:t>
      </w:r>
      <w:r>
        <w:rPr>
          <w:i/>
          <w:spacing w:val="-2"/>
        </w:rPr>
        <w:t> </w:t>
      </w:r>
      <w:r>
        <w:rPr/>
        <w:t>represent</w:t>
      </w:r>
      <w:r>
        <w:rPr>
          <w:spacing w:val="-3"/>
        </w:rPr>
        <w:t> </w:t>
      </w:r>
      <w:r>
        <w:rPr/>
        <w:t>individual,</w:t>
      </w:r>
      <w:r>
        <w:rPr>
          <w:spacing w:val="-3"/>
        </w:rPr>
        <w:t> </w:t>
      </w:r>
      <w:r>
        <w:rPr/>
        <w:t>county,</w:t>
      </w:r>
      <w:r>
        <w:rPr>
          <w:spacing w:val="-3"/>
        </w:rPr>
        <w:t> </w:t>
      </w:r>
      <w:r>
        <w:rPr/>
        <w:t>and</w:t>
      </w:r>
      <w:r>
        <w:rPr>
          <w:spacing w:val="-2"/>
        </w:rPr>
        <w:t> </w:t>
      </w:r>
      <w:r>
        <w:rPr/>
        <w:t>year,</w:t>
      </w:r>
      <w:r>
        <w:rPr>
          <w:spacing w:val="-3"/>
        </w:rPr>
        <w:t> </w:t>
      </w:r>
      <w:r>
        <w:rPr/>
        <w:t>respectively.</w:t>
      </w:r>
      <w:r>
        <w:rPr>
          <w:spacing w:val="-3"/>
        </w:rPr>
        <w:t> </w:t>
      </w:r>
      <w:r>
        <w:rPr/>
        <w:t>The</w:t>
      </w:r>
      <w:r>
        <w:rPr>
          <w:spacing w:val="-3"/>
        </w:rPr>
        <w:t> </w:t>
      </w:r>
      <w:r>
        <w:rPr/>
        <w:t>dependent</w:t>
      </w:r>
      <w:r>
        <w:rPr>
          <w:spacing w:val="-2"/>
        </w:rPr>
        <w:t> </w:t>
      </w:r>
      <w:r>
        <w:rPr>
          <w:spacing w:val="-2"/>
          <w:vertAlign w:val="subscript"/>
        </w:rPr>
        <w:t>variable,</w:t>
      </w:r>
    </w:p>
    <w:p>
      <w:pPr>
        <w:pStyle w:val="BodyText"/>
        <w:ind w:left="352" w:right="1798" w:firstLine="295"/>
      </w:pPr>
      <w:r>
        <w:rPr/>
        <mc:AlternateContent>
          <mc:Choice Requires="wps">
            <w:drawing>
              <wp:anchor distT="0" distB="0" distL="0" distR="0" allowOverlap="1" layoutInCell="1" locked="0" behindDoc="1" simplePos="0" relativeHeight="483883008">
                <wp:simplePos x="0" y="0"/>
                <wp:positionH relativeFrom="page">
                  <wp:posOffset>681227</wp:posOffset>
                </wp:positionH>
                <wp:positionV relativeFrom="paragraph">
                  <wp:posOffset>87350</wp:posOffset>
                </wp:positionV>
                <wp:extent cx="660400" cy="10160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660400" cy="101600"/>
                        </a:xfrm>
                        <a:prstGeom prst="rect">
                          <a:avLst/>
                        </a:prstGeom>
                      </wps:spPr>
                      <wps:txbx>
                        <w:txbxContent>
                          <w:p>
                            <w:pPr>
                              <w:tabs>
                                <w:tab w:pos="895" w:val="left" w:leader="none"/>
                              </w:tabs>
                              <w:spacing w:line="159" w:lineRule="exact" w:before="0"/>
                              <w:ind w:left="0" w:right="0" w:firstLine="0"/>
                              <w:jc w:val="left"/>
                              <w:rPr>
                                <w:i/>
                                <w:sz w:val="14"/>
                              </w:rPr>
                            </w:pPr>
                            <w:r>
                              <w:rPr>
                                <w:i/>
                                <w:spacing w:val="-4"/>
                                <w:sz w:val="14"/>
                              </w:rPr>
                              <w:t>Depr</w:t>
                            </w:r>
                            <w:r>
                              <w:rPr>
                                <w:i/>
                                <w:sz w:val="14"/>
                              </w:rPr>
                              <w:tab/>
                            </w:r>
                            <w:r>
                              <w:rPr>
                                <w:i/>
                                <w:spacing w:val="-5"/>
                                <w:sz w:val="14"/>
                              </w:rPr>
                              <w:t>ict</w:t>
                            </w:r>
                          </w:p>
                        </w:txbxContent>
                      </wps:txbx>
                      <wps:bodyPr wrap="square" lIns="0" tIns="0" rIns="0" bIns="0" rtlCol="0">
                        <a:noAutofit/>
                      </wps:bodyPr>
                    </wps:wsp>
                  </a:graphicData>
                </a:graphic>
              </wp:anchor>
            </w:drawing>
          </mc:Choice>
          <mc:Fallback>
            <w:pict>
              <v:shape style="position:absolute;margin-left:53.639999pt;margin-top:6.87802pt;width:52pt;height:8pt;mso-position-horizontal-relative:page;mso-position-vertical-relative:paragraph;z-index:-19433472" type="#_x0000_t202" id="docshape28" filled="false" stroked="false">
                <v:textbox inset="0,0,0,0">
                  <w:txbxContent>
                    <w:p>
                      <w:pPr>
                        <w:tabs>
                          <w:tab w:pos="895" w:val="left" w:leader="none"/>
                        </w:tabs>
                        <w:spacing w:line="159" w:lineRule="exact" w:before="0"/>
                        <w:ind w:left="0" w:right="0" w:firstLine="0"/>
                        <w:jc w:val="left"/>
                        <w:rPr>
                          <w:i/>
                          <w:sz w:val="14"/>
                        </w:rPr>
                      </w:pPr>
                      <w:r>
                        <w:rPr>
                          <w:i/>
                          <w:spacing w:val="-4"/>
                          <w:sz w:val="14"/>
                        </w:rPr>
                        <w:t>Depr</w:t>
                      </w:r>
                      <w:r>
                        <w:rPr>
                          <w:i/>
                          <w:sz w:val="14"/>
                        </w:rPr>
                        <w:tab/>
                      </w:r>
                      <w:r>
                        <w:rPr>
                          <w:i/>
                          <w:spacing w:val="-5"/>
                          <w:sz w:val="14"/>
                        </w:rPr>
                        <w:t>ict</w:t>
                      </w:r>
                    </w:p>
                  </w:txbxContent>
                </v:textbox>
                <w10:wrap type="none"/>
              </v:shape>
            </w:pict>
          </mc:Fallback>
        </mc:AlternateContent>
      </w:r>
      <w:r>
        <w:rPr>
          <w:vertAlign w:val="superscript"/>
        </w:rPr>
        <w:t>̃</w:t>
      </w:r>
      <w:r>
        <w:rPr>
          <w:i/>
          <w:vertAlign w:val="baseline"/>
        </w:rPr>
        <w:t>ession</w:t>
      </w:r>
      <w:r>
        <w:rPr>
          <w:i/>
          <w:spacing w:val="40"/>
          <w:vertAlign w:val="baseline"/>
        </w:rPr>
        <w:t> </w:t>
      </w:r>
      <w:r>
        <w:rPr>
          <w:vertAlign w:val="baseline"/>
        </w:rPr>
        <w:t>, captures time-varying, individual-level depressive</w:t>
      </w:r>
      <w:r>
        <w:rPr>
          <w:spacing w:val="-4"/>
          <w:vertAlign w:val="baseline"/>
        </w:rPr>
        <w:t> </w:t>
      </w:r>
      <w:r>
        <w:rPr>
          <w:vertAlign w:val="baseline"/>
        </w:rPr>
        <w:t>symptoms</w:t>
      </w:r>
      <w:r>
        <w:rPr>
          <w:spacing w:val="-4"/>
          <w:vertAlign w:val="baseline"/>
        </w:rPr>
        <w:t> </w:t>
      </w:r>
      <w:r>
        <w:rPr>
          <w:vertAlign w:val="baseline"/>
        </w:rPr>
        <w:t>for</w:t>
      </w:r>
      <w:r>
        <w:rPr>
          <w:spacing w:val="-4"/>
          <w:vertAlign w:val="baseline"/>
        </w:rPr>
        <w:t> </w:t>
      </w:r>
      <w:r>
        <w:rPr>
          <w:vertAlign w:val="baseline"/>
        </w:rPr>
        <w:t>individuals</w:t>
      </w:r>
      <w:r>
        <w:rPr>
          <w:spacing w:val="-4"/>
          <w:vertAlign w:val="baseline"/>
        </w:rPr>
        <w:t> </w:t>
      </w:r>
      <w:r>
        <w:rPr>
          <w:vertAlign w:val="baseline"/>
        </w:rPr>
        <w:t>residing in county </w:t>
      </w:r>
      <w:r>
        <w:rPr>
          <w:i/>
          <w:vertAlign w:val="baseline"/>
        </w:rPr>
        <w:t>c</w:t>
      </w:r>
      <w:r>
        <w:rPr>
          <w:vertAlign w:val="baseline"/>
        </w:rPr>
        <w:t>, measured using the CES-D-4 scale from the RE GARDS study.</w:t>
      </w:r>
    </w:p>
    <w:p>
      <w:pPr>
        <w:pStyle w:val="BodyText"/>
        <w:spacing w:before="229"/>
        <w:ind w:left="352" w:right="1772"/>
        <w:jc w:val="both"/>
      </w:pPr>
      <w:r>
        <w:rPr/>
        <w:t>We apply the hyperbolic sine transformation to both</w:t>
      </w:r>
      <w:r>
        <w:rPr>
          <w:spacing w:val="-4"/>
        </w:rPr>
        <w:t> </w:t>
      </w:r>
      <w:r>
        <w:rPr/>
        <w:t>the</w:t>
      </w:r>
      <w:r>
        <w:rPr>
          <w:spacing w:val="-4"/>
        </w:rPr>
        <w:t> </w:t>
      </w:r>
      <w:r>
        <w:rPr/>
        <w:t>CES-D-4</w:t>
      </w:r>
      <w:r>
        <w:rPr>
          <w:spacing w:val="-4"/>
        </w:rPr>
        <w:t> </w:t>
      </w:r>
      <w:r>
        <w:rPr/>
        <w:t>depressive</w:t>
      </w:r>
      <w:r>
        <w:rPr>
          <w:spacing w:val="-4"/>
        </w:rPr>
        <w:t> </w:t>
      </w:r>
      <w:r>
        <w:rPr/>
        <w:t>symptoms</w:t>
      </w:r>
      <w:r>
        <w:rPr>
          <w:spacing w:val="-4"/>
        </w:rPr>
        <w:t> </w:t>
      </w:r>
      <w:r>
        <w:rPr/>
        <w:t>measure and per capita property damages (inflation-adjusted t o 2 022 dollars). This transformation effectively handles skewness, resulting in a more symmetric distribution suitable for analysis. Unlike the</w:t>
      </w:r>
      <w:r>
        <w:rPr>
          <w:spacing w:val="-3"/>
        </w:rPr>
        <w:t> </w:t>
      </w:r>
      <w:r>
        <w:rPr/>
        <w:t>logarithmic</w:t>
      </w:r>
      <w:r>
        <w:rPr>
          <w:spacing w:val="-3"/>
        </w:rPr>
        <w:t> </w:t>
      </w:r>
      <w:r>
        <w:rPr/>
        <w:t>transformation,</w:t>
      </w:r>
      <w:r>
        <w:rPr>
          <w:spacing w:val="-3"/>
        </w:rPr>
        <w:t> </w:t>
      </w:r>
      <w:r>
        <w:rPr/>
        <w:t>it</w:t>
      </w:r>
      <w:r>
        <w:rPr>
          <w:spacing w:val="-3"/>
        </w:rPr>
        <w:t> </w:t>
      </w:r>
      <w:r>
        <w:rPr/>
        <w:t>accommodates</w:t>
      </w:r>
      <w:r>
        <w:rPr>
          <w:spacing w:val="-3"/>
        </w:rPr>
        <w:t> </w:t>
      </w:r>
      <w:r>
        <w:rPr/>
        <w:t>zero</w:t>
      </w:r>
      <w:r>
        <w:rPr>
          <w:spacing w:val="-3"/>
        </w:rPr>
        <w:t> </w:t>
      </w:r>
      <w:r>
        <w:rPr/>
        <w:t>values</w:t>
      </w:r>
      <w:r>
        <w:rPr>
          <w:spacing w:val="-3"/>
        </w:rPr>
        <w:t> </w:t>
      </w:r>
      <w:r>
        <w:rPr/>
        <w:t>without</w:t>
      </w:r>
      <w:r>
        <w:rPr>
          <w:spacing w:val="-3"/>
        </w:rPr>
        <w:t> </w:t>
      </w:r>
      <w:r>
        <w:rPr/>
        <w:t>adjustments,</w:t>
      </w:r>
      <w:r>
        <w:rPr>
          <w:spacing w:val="-3"/>
        </w:rPr>
        <w:t> </w:t>
      </w:r>
      <w:r>
        <w:rPr/>
        <w:t>making it ideal for individuals with no depressive symptoms and counties</w:t>
      </w:r>
      <w:r>
        <w:rPr>
          <w:spacing w:val="-3"/>
        </w:rPr>
        <w:t> </w:t>
      </w:r>
      <w:r>
        <w:rPr/>
        <w:t>with</w:t>
      </w:r>
      <w:r>
        <w:rPr>
          <w:spacing w:val="-3"/>
        </w:rPr>
        <w:t> </w:t>
      </w:r>
      <w:r>
        <w:rPr/>
        <w:t>no</w:t>
      </w:r>
      <w:r>
        <w:rPr>
          <w:spacing w:val="-3"/>
        </w:rPr>
        <w:t> </w:t>
      </w:r>
      <w:r>
        <w:rPr/>
        <w:t>property</w:t>
      </w:r>
      <w:r>
        <w:rPr>
          <w:spacing w:val="-3"/>
        </w:rPr>
        <w:t> </w:t>
      </w:r>
      <w:r>
        <w:rPr/>
        <w:t>damage.</w:t>
      </w:r>
      <w:r>
        <w:rPr>
          <w:spacing w:val="-3"/>
        </w:rPr>
        <w:t> </w:t>
      </w:r>
      <w:r>
        <w:rPr/>
        <w:t>The transformation also facilitates comparisons across different scales, enhancing consistency and interpretability (</w:t>
      </w:r>
      <w:r>
        <w:rPr>
          <w:color w:val="0000FF"/>
        </w:rPr>
        <w:t>Bellemare and Wichman</w:t>
      </w:r>
      <w:r>
        <w:rPr/>
        <w:t>, </w:t>
      </w:r>
      <w:r>
        <w:rPr>
          <w:color w:val="0000FF"/>
        </w:rPr>
        <w:t>2020</w:t>
      </w:r>
      <w:r>
        <w:rPr/>
        <w:t>). We denote the hyperbolic sine transformation </w:t>
      </w:r>
      <w:r>
        <w:rPr>
          <w:spacing w:val="-4"/>
        </w:rPr>
        <w:t>as:</w:t>
      </w:r>
    </w:p>
    <w:p>
      <w:pPr>
        <w:pStyle w:val="BodyText"/>
        <w:spacing w:before="7"/>
        <w:rPr>
          <w:sz w:val="16"/>
        </w:rPr>
      </w:pPr>
      <w:r>
        <w:rPr>
          <w:sz w:val="16"/>
        </w:rPr>
        <w:drawing>
          <wp:anchor distT="0" distB="0" distL="0" distR="0" allowOverlap="1" layoutInCell="1" locked="0" behindDoc="1" simplePos="0" relativeHeight="487606784">
            <wp:simplePos x="0" y="0"/>
            <wp:positionH relativeFrom="page">
              <wp:posOffset>993801</wp:posOffset>
            </wp:positionH>
            <wp:positionV relativeFrom="paragraph">
              <wp:posOffset>136824</wp:posOffset>
            </wp:positionV>
            <wp:extent cx="5541771" cy="525780"/>
            <wp:effectExtent l="0" t="0" r="0" b="0"/>
            <wp:wrapTopAndBottom/>
            <wp:docPr id="76" name="Image 76"/>
            <wp:cNvGraphicFramePr>
              <a:graphicFrameLocks/>
            </wp:cNvGraphicFramePr>
            <a:graphic>
              <a:graphicData uri="http://schemas.openxmlformats.org/drawingml/2006/picture">
                <pic:pic>
                  <pic:nvPicPr>
                    <pic:cNvPr id="76" name="Image 76"/>
                    <pic:cNvPicPr/>
                  </pic:nvPicPr>
                  <pic:blipFill>
                    <a:blip r:embed="rId259" cstate="print"/>
                    <a:stretch>
                      <a:fillRect/>
                    </a:stretch>
                  </pic:blipFill>
                  <pic:spPr>
                    <a:xfrm>
                      <a:off x="0" y="0"/>
                      <a:ext cx="5541771" cy="525780"/>
                    </a:xfrm>
                    <a:prstGeom prst="rect">
                      <a:avLst/>
                    </a:prstGeom>
                  </pic:spPr>
                </pic:pic>
              </a:graphicData>
            </a:graphic>
          </wp:anchor>
        </w:drawing>
      </w:r>
    </w:p>
    <w:p>
      <w:pPr>
        <w:pStyle w:val="BodyText"/>
        <w:spacing w:before="84"/>
      </w:pPr>
    </w:p>
    <w:p>
      <w:pPr>
        <w:pStyle w:val="BodyText"/>
        <w:ind w:left="352" w:right="1784"/>
        <w:jc w:val="both"/>
      </w:pPr>
      <w:r>
        <w:rPr/>
        <w:t>Given that both the outcome and treatment variables use the hyperbolic sine transformation, </w:t>
      </w:r>
      <w:r>
        <w:rPr/>
        <w:t>the treatment effect coefficient </w:t>
      </w:r>
      <w:r>
        <w:rPr>
          <w:i/>
        </w:rPr>
        <w:t>α </w:t>
      </w:r>
      <w:r>
        <w:rPr/>
        <w:t>can be interpreted as an elasticity, approximating the percentage change in depressive symptoms associated with a percentage change in property damage (</w:t>
      </w:r>
      <w:r>
        <w:rPr>
          <w:color w:val="0000FF"/>
        </w:rPr>
        <w:t>Bellemare and Wichman</w:t>
      </w:r>
      <w:r>
        <w:rPr/>
        <w:t>, </w:t>
      </w:r>
      <w:r>
        <w:rPr>
          <w:color w:val="0000FF"/>
        </w:rPr>
        <w:t>2020</w:t>
      </w:r>
      <w:r>
        <w:rPr/>
        <w:t>).</w:t>
      </w:r>
    </w:p>
    <w:p>
      <w:pPr>
        <w:pStyle w:val="BodyText"/>
        <w:spacing w:before="248"/>
        <w:ind w:left="352" w:right="1783"/>
        <w:jc w:val="both"/>
      </w:pPr>
      <w:r>
        <w:rPr/>
        <w:t>The terms </w:t>
      </w:r>
      <w:r>
        <w:rPr>
          <w:i/>
        </w:rPr>
        <w:t>µ</w:t>
      </w:r>
      <w:r>
        <w:rPr>
          <w:i/>
          <w:vertAlign w:val="subscript"/>
        </w:rPr>
        <w:t>i</w:t>
      </w:r>
      <w:r>
        <w:rPr>
          <w:i/>
          <w:spacing w:val="-14"/>
          <w:vertAlign w:val="baseline"/>
        </w:rPr>
        <w:t> </w:t>
      </w:r>
      <w:r>
        <w:rPr>
          <w:vertAlign w:val="baseline"/>
        </w:rPr>
        <w:t>and </w:t>
      </w:r>
      <w:r>
        <w:rPr>
          <w:i/>
          <w:vertAlign w:val="baseline"/>
        </w:rPr>
        <w:t>ν</w:t>
      </w:r>
      <w:r>
        <w:rPr>
          <w:i/>
          <w:vertAlign w:val="subscript"/>
        </w:rPr>
        <w:t>t</w:t>
      </w:r>
      <w:r>
        <w:rPr>
          <w:i/>
          <w:spacing w:val="-14"/>
          <w:vertAlign w:val="baseline"/>
        </w:rPr>
        <w:t> </w:t>
      </w:r>
      <w:r>
        <w:rPr>
          <w:vertAlign w:val="baseline"/>
        </w:rPr>
        <w:t>denote individual and year</w:t>
      </w:r>
      <w:r>
        <w:rPr>
          <w:spacing w:val="-4"/>
          <w:vertAlign w:val="baseline"/>
        </w:rPr>
        <w:t> </w:t>
      </w:r>
      <w:r>
        <w:rPr>
          <w:vertAlign w:val="baseline"/>
        </w:rPr>
        <w:t>fixed</w:t>
      </w:r>
      <w:r>
        <w:rPr>
          <w:spacing w:val="-4"/>
          <w:vertAlign w:val="baseline"/>
        </w:rPr>
        <w:t> </w:t>
      </w:r>
      <w:r>
        <w:rPr>
          <w:vertAlign w:val="baseline"/>
        </w:rPr>
        <w:t>effects,</w:t>
      </w:r>
      <w:r>
        <w:rPr>
          <w:spacing w:val="-4"/>
          <w:vertAlign w:val="baseline"/>
        </w:rPr>
        <w:t> </w:t>
      </w:r>
      <w:r>
        <w:rPr>
          <w:vertAlign w:val="baseline"/>
        </w:rPr>
        <w:t>respectively.</w:t>
      </w:r>
      <w:r>
        <w:rPr>
          <w:spacing w:val="-4"/>
          <w:vertAlign w:val="baseline"/>
        </w:rPr>
        <w:t> </w:t>
      </w:r>
      <w:r>
        <w:rPr>
          <w:vertAlign w:val="baseline"/>
        </w:rPr>
        <w:t>Individual</w:t>
      </w:r>
      <w:r>
        <w:rPr>
          <w:spacing w:val="-4"/>
          <w:vertAlign w:val="baseline"/>
        </w:rPr>
        <w:t> </w:t>
      </w:r>
      <w:r>
        <w:rPr>
          <w:vertAlign w:val="baseline"/>
        </w:rPr>
        <w:t>fixed</w:t>
      </w:r>
      <w:r>
        <w:rPr>
          <w:spacing w:val="-4"/>
          <w:vertAlign w:val="baseline"/>
        </w:rPr>
        <w:t> </w:t>
      </w:r>
      <w:r>
        <w:rPr>
          <w:vertAlign w:val="baseline"/>
        </w:rPr>
        <w:t>effects eliminate variation in depressive symptoms correlated with time-invariant </w:t>
      </w:r>
      <w:r>
        <w:rPr>
          <w:vertAlign w:val="baseline"/>
        </w:rPr>
        <w:t>individual characteristics (gender, race, genetic factors, baseline socioeconomic status, baseline health conditions). Year fixed effects account for temporal variation that uniformly affects all individuals in a given year (overall economic conditions, policy changes, business cycle </w:t>
      </w:r>
      <w:r>
        <w:rPr>
          <w:spacing w:val="-2"/>
          <w:vertAlign w:val="baseline"/>
        </w:rPr>
        <w:t>fluctuations).</w:t>
      </w:r>
    </w:p>
    <w:p>
      <w:pPr>
        <w:pStyle w:val="BodyText"/>
        <w:spacing w:after="0"/>
        <w:jc w:val="both"/>
        <w:sectPr>
          <w:pgSz w:w="12240" w:h="15840"/>
          <w:pgMar w:header="0" w:footer="707" w:top="640" w:bottom="960" w:left="720" w:right="0"/>
        </w:sectPr>
      </w:pPr>
    </w:p>
    <w:p>
      <w:pPr>
        <w:pStyle w:val="ListParagraph"/>
        <w:numPr>
          <w:ilvl w:val="1"/>
          <w:numId w:val="34"/>
        </w:numPr>
        <w:tabs>
          <w:tab w:pos="712" w:val="left" w:leader="none"/>
        </w:tabs>
        <w:spacing w:line="240" w:lineRule="auto" w:before="60" w:after="0"/>
        <w:ind w:left="712" w:right="0" w:hanging="360"/>
        <w:jc w:val="both"/>
        <w:rPr>
          <w:sz w:val="24"/>
        </w:rPr>
      </w:pPr>
      <w:r>
        <w:rPr>
          <w:sz w:val="24"/>
        </w:rPr>
        <w:t>Generalized</w:t>
      </w:r>
      <w:r>
        <w:rPr>
          <w:spacing w:val="-5"/>
          <w:sz w:val="24"/>
        </w:rPr>
        <w:t> </w:t>
      </w:r>
      <w:r>
        <w:rPr>
          <w:sz w:val="24"/>
        </w:rPr>
        <w:t>difference-in-</w:t>
      </w:r>
      <w:r>
        <w:rPr>
          <w:spacing w:val="-2"/>
          <w:sz w:val="24"/>
        </w:rPr>
        <w:t>differences</w:t>
      </w:r>
    </w:p>
    <w:p>
      <w:pPr>
        <w:pStyle w:val="BodyText"/>
        <w:spacing w:before="250"/>
        <w:ind w:left="352" w:right="1786"/>
        <w:jc w:val="both"/>
      </w:pPr>
      <w:r>
        <w:rPr/>
        <w:t>Our main identification strategy uses a generalized difference-in-differences approach </w:t>
      </w:r>
      <w:r>
        <w:rPr/>
        <w:t>that exploits variation in the timing of unexpected single-disaster events:</w:t>
      </w:r>
    </w:p>
    <w:p>
      <w:pPr>
        <w:pStyle w:val="BodyText"/>
        <w:rPr>
          <w:sz w:val="20"/>
        </w:rPr>
      </w:pPr>
    </w:p>
    <w:p>
      <w:pPr>
        <w:pStyle w:val="BodyText"/>
        <w:spacing w:before="197"/>
        <w:rPr>
          <w:sz w:val="20"/>
        </w:rPr>
      </w:pPr>
      <w:r>
        <w:rPr>
          <w:sz w:val="20"/>
        </w:rPr>
        <w:drawing>
          <wp:anchor distT="0" distB="0" distL="0" distR="0" allowOverlap="1" layoutInCell="1" locked="0" behindDoc="1" simplePos="0" relativeHeight="487607808">
            <wp:simplePos x="0" y="0"/>
            <wp:positionH relativeFrom="page">
              <wp:posOffset>743018</wp:posOffset>
            </wp:positionH>
            <wp:positionV relativeFrom="paragraph">
              <wp:posOffset>286704</wp:posOffset>
            </wp:positionV>
            <wp:extent cx="4874909" cy="197167"/>
            <wp:effectExtent l="0" t="0" r="0" b="0"/>
            <wp:wrapTopAndBottom/>
            <wp:docPr id="77" name="Image 77"/>
            <wp:cNvGraphicFramePr>
              <a:graphicFrameLocks/>
            </wp:cNvGraphicFramePr>
            <a:graphic>
              <a:graphicData uri="http://schemas.openxmlformats.org/drawingml/2006/picture">
                <pic:pic>
                  <pic:nvPicPr>
                    <pic:cNvPr id="77" name="Image 77"/>
                    <pic:cNvPicPr/>
                  </pic:nvPicPr>
                  <pic:blipFill>
                    <a:blip r:embed="rId260" cstate="print"/>
                    <a:stretch>
                      <a:fillRect/>
                    </a:stretch>
                  </pic:blipFill>
                  <pic:spPr>
                    <a:xfrm>
                      <a:off x="0" y="0"/>
                      <a:ext cx="4874909" cy="197167"/>
                    </a:xfrm>
                    <a:prstGeom prst="rect">
                      <a:avLst/>
                    </a:prstGeom>
                  </pic:spPr>
                </pic:pic>
              </a:graphicData>
            </a:graphic>
          </wp:anchor>
        </w:drawing>
      </w:r>
    </w:p>
    <w:p>
      <w:pPr>
        <w:pStyle w:val="BodyText"/>
      </w:pPr>
    </w:p>
    <w:p>
      <w:pPr>
        <w:pStyle w:val="BodyText"/>
        <w:spacing w:before="10"/>
      </w:pPr>
    </w:p>
    <w:p>
      <w:pPr>
        <w:pStyle w:val="BodyText"/>
        <w:ind w:left="352" w:right="1786"/>
        <w:jc w:val="both"/>
      </w:pPr>
      <w:r>
        <w:rPr>
          <w:spacing w:val="-4"/>
        </w:rPr>
        <w:t>where</w:t>
      </w:r>
      <w:r>
        <w:rPr>
          <w:spacing w:val="-11"/>
        </w:rPr>
        <w:t> </w:t>
      </w:r>
      <w:r>
        <w:rPr>
          <w:i/>
          <w:spacing w:val="-4"/>
        </w:rPr>
        <w:t>Property</w:t>
      </w:r>
      <w:r>
        <w:rPr>
          <w:i/>
          <w:spacing w:val="-11"/>
        </w:rPr>
        <w:t> </w:t>
      </w:r>
      <w:r>
        <w:rPr>
          <w:i/>
          <w:spacing w:val="-4"/>
        </w:rPr>
        <w:t>damage</w:t>
      </w:r>
      <w:r>
        <w:rPr>
          <w:i/>
          <w:spacing w:val="-11"/>
        </w:rPr>
        <w:t> </w:t>
      </w:r>
      <w:r>
        <w:rPr>
          <w:i/>
          <w:spacing w:val="-4"/>
        </w:rPr>
        <w:t>indicator</w:t>
      </w:r>
      <w:r>
        <w:rPr>
          <w:i/>
          <w:spacing w:val="-4"/>
          <w:vertAlign w:val="subscript"/>
        </w:rPr>
        <w:t>ict</w:t>
      </w:r>
      <w:r>
        <w:rPr>
          <w:i/>
          <w:spacing w:val="-11"/>
          <w:vertAlign w:val="baseline"/>
        </w:rPr>
        <w:t> </w:t>
      </w:r>
      <w:r>
        <w:rPr>
          <w:spacing w:val="-4"/>
          <w:vertAlign w:val="superscript"/>
        </w:rPr>
        <w:t>is</w:t>
      </w:r>
      <w:r>
        <w:rPr>
          <w:spacing w:val="-11"/>
          <w:vertAlign w:val="baseline"/>
        </w:rPr>
        <w:t> </w:t>
      </w:r>
      <w:r>
        <w:rPr>
          <w:spacing w:val="-4"/>
          <w:vertAlign w:val="superscript"/>
        </w:rPr>
        <w:t>a</w:t>
      </w:r>
      <w:r>
        <w:rPr>
          <w:spacing w:val="-11"/>
          <w:vertAlign w:val="baseline"/>
        </w:rPr>
        <w:t> </w:t>
      </w:r>
      <w:r>
        <w:rPr>
          <w:spacing w:val="-4"/>
          <w:vertAlign w:val="superscript"/>
        </w:rPr>
        <w:t>binary</w:t>
      </w:r>
      <w:r>
        <w:rPr>
          <w:spacing w:val="-11"/>
          <w:vertAlign w:val="baseline"/>
        </w:rPr>
        <w:t> </w:t>
      </w:r>
      <w:r>
        <w:rPr>
          <w:spacing w:val="-4"/>
          <w:vertAlign w:val="superscript"/>
        </w:rPr>
        <w:t>indicator</w:t>
      </w:r>
      <w:r>
        <w:rPr>
          <w:spacing w:val="-11"/>
          <w:vertAlign w:val="baseline"/>
        </w:rPr>
        <w:t> </w:t>
      </w:r>
      <w:r>
        <w:rPr>
          <w:spacing w:val="-4"/>
          <w:vertAlign w:val="superscript"/>
        </w:rPr>
        <w:t>equal</w:t>
      </w:r>
      <w:r>
        <w:rPr>
          <w:spacing w:val="-11"/>
          <w:vertAlign w:val="baseline"/>
        </w:rPr>
        <w:t> </w:t>
      </w:r>
      <w:r>
        <w:rPr>
          <w:spacing w:val="-4"/>
          <w:vertAlign w:val="superscript"/>
        </w:rPr>
        <w:t>to</w:t>
      </w:r>
      <w:r>
        <w:rPr>
          <w:spacing w:val="-11"/>
          <w:vertAlign w:val="baseline"/>
        </w:rPr>
        <w:t> </w:t>
      </w:r>
      <w:r>
        <w:rPr>
          <w:spacing w:val="-4"/>
          <w:vertAlign w:val="superscript"/>
        </w:rPr>
        <w:t>1</w:t>
      </w:r>
      <w:r>
        <w:rPr>
          <w:spacing w:val="-11"/>
          <w:vertAlign w:val="baseline"/>
        </w:rPr>
        <w:t> </w:t>
      </w:r>
      <w:r>
        <w:rPr>
          <w:spacing w:val="-4"/>
          <w:vertAlign w:val="superscript"/>
        </w:rPr>
        <w:t>in</w:t>
      </w:r>
      <w:r>
        <w:rPr>
          <w:spacing w:val="-11"/>
          <w:vertAlign w:val="baseline"/>
        </w:rPr>
        <w:t> </w:t>
      </w:r>
      <w:r>
        <w:rPr>
          <w:spacing w:val="-4"/>
          <w:vertAlign w:val="superscript"/>
        </w:rPr>
        <w:t>periods</w:t>
      </w:r>
      <w:r>
        <w:rPr>
          <w:spacing w:val="-11"/>
          <w:vertAlign w:val="baseline"/>
        </w:rPr>
        <w:t> </w:t>
      </w:r>
      <w:r>
        <w:rPr>
          <w:spacing w:val="-4"/>
          <w:vertAlign w:val="superscript"/>
        </w:rPr>
        <w:t>after</w:t>
      </w:r>
      <w:r>
        <w:rPr>
          <w:spacing w:val="-11"/>
          <w:vertAlign w:val="baseline"/>
        </w:rPr>
        <w:t> </w:t>
      </w:r>
      <w:r>
        <w:rPr>
          <w:spacing w:val="-4"/>
          <w:vertAlign w:val="superscript"/>
        </w:rPr>
        <w:t>a</w:t>
      </w:r>
      <w:r>
        <w:rPr>
          <w:spacing w:val="-11"/>
          <w:vertAlign w:val="baseline"/>
        </w:rPr>
        <w:t> </w:t>
      </w:r>
      <w:r>
        <w:rPr>
          <w:spacing w:val="-4"/>
          <w:vertAlign w:val="superscript"/>
        </w:rPr>
        <w:t>one</w:t>
      </w:r>
      <w:r>
        <w:rPr>
          <w:spacing w:val="-11"/>
          <w:vertAlign w:val="baseline"/>
        </w:rPr>
        <w:t> </w:t>
      </w:r>
      <w:r>
        <w:rPr>
          <w:spacing w:val="-4"/>
          <w:vertAlign w:val="baseline"/>
        </w:rPr>
        <w:t>time</w:t>
      </w:r>
      <w:r>
        <w:rPr>
          <w:spacing w:val="-11"/>
          <w:vertAlign w:val="baseline"/>
        </w:rPr>
        <w:t> </w:t>
      </w:r>
      <w:r>
        <w:rPr>
          <w:spacing w:val="-4"/>
          <w:vertAlign w:val="baseline"/>
        </w:rPr>
        <w:t>disaster</w:t>
      </w:r>
      <w:r>
        <w:rPr>
          <w:spacing w:val="-11"/>
          <w:vertAlign w:val="baseline"/>
        </w:rPr>
        <w:t> </w:t>
      </w:r>
      <w:r>
        <w:rPr>
          <w:spacing w:val="-4"/>
          <w:vertAlign w:val="baseline"/>
        </w:rPr>
        <w:t>and</w:t>
      </w:r>
      <w:r>
        <w:rPr>
          <w:spacing w:val="-11"/>
          <w:vertAlign w:val="baseline"/>
        </w:rPr>
        <w:t> </w:t>
      </w:r>
      <w:r>
        <w:rPr>
          <w:spacing w:val="-4"/>
          <w:vertAlign w:val="baseline"/>
        </w:rPr>
        <w:t>0</w:t>
      </w:r>
      <w:r>
        <w:rPr>
          <w:spacing w:val="-1"/>
          <w:vertAlign w:val="baseline"/>
        </w:rPr>
        <w:t> </w:t>
      </w:r>
      <w:r>
        <w:rPr>
          <w:spacing w:val="-4"/>
          <w:vertAlign w:val="baseline"/>
        </w:rPr>
        <w:t>otherwise. </w:t>
      </w:r>
      <w:r>
        <w:rPr>
          <w:vertAlign w:val="baseline"/>
        </w:rPr>
        <w:t>Based on the extent of property damages, we categorize individuals into mutually exclusive comparison and treatment groups. The baseline comparison group consists of individuals</w:t>
      </w:r>
      <w:r>
        <w:rPr>
          <w:spacing w:val="40"/>
          <w:vertAlign w:val="baseline"/>
        </w:rPr>
        <w:t> </w:t>
      </w:r>
      <w:r>
        <w:rPr>
          <w:vertAlign w:val="baseline"/>
        </w:rPr>
        <w:t>residing in counties with per capita property damages less than $150 (inflation-adjusted to</w:t>
      </w:r>
      <w:r>
        <w:rPr>
          <w:spacing w:val="-2"/>
          <w:vertAlign w:val="baseline"/>
        </w:rPr>
        <w:t> </w:t>
      </w:r>
      <w:r>
        <w:rPr>
          <w:vertAlign w:val="baseline"/>
        </w:rPr>
        <w:t>2022 dollars), which aligns with the 5-year-average disaster cost per</w:t>
      </w:r>
      <w:r>
        <w:rPr>
          <w:spacing w:val="-3"/>
          <w:vertAlign w:val="baseline"/>
        </w:rPr>
        <w:t> </w:t>
      </w:r>
      <w:r>
        <w:rPr>
          <w:vertAlign w:val="baseline"/>
        </w:rPr>
        <w:t>capita</w:t>
      </w:r>
      <w:r>
        <w:rPr>
          <w:spacing w:val="-3"/>
          <w:vertAlign w:val="baseline"/>
        </w:rPr>
        <w:t> </w:t>
      </w:r>
      <w:r>
        <w:rPr>
          <w:vertAlign w:val="baseline"/>
        </w:rPr>
        <w:t>of</w:t>
      </w:r>
      <w:r>
        <w:rPr>
          <w:spacing w:val="-3"/>
          <w:vertAlign w:val="baseline"/>
        </w:rPr>
        <w:t> </w:t>
      </w:r>
      <w:r>
        <w:rPr>
          <w:vertAlign w:val="baseline"/>
        </w:rPr>
        <w:t>approximately</w:t>
      </w:r>
      <w:r>
        <w:rPr>
          <w:spacing w:val="-3"/>
          <w:vertAlign w:val="baseline"/>
        </w:rPr>
        <w:t> </w:t>
      </w:r>
      <w:r>
        <w:rPr>
          <w:vertAlign w:val="baseline"/>
        </w:rPr>
        <w:t>$150</w:t>
      </w:r>
      <w:r>
        <w:rPr>
          <w:spacing w:val="-3"/>
          <w:vertAlign w:val="baseline"/>
        </w:rPr>
        <w:t> </w:t>
      </w:r>
      <w:r>
        <w:rPr>
          <w:vertAlign w:val="baseline"/>
        </w:rPr>
        <w:t>per US resident in the early-2000s.</w:t>
      </w:r>
      <w:r>
        <w:rPr>
          <w:color w:val="0000FF"/>
          <w:vertAlign w:val="superscript"/>
        </w:rPr>
        <w:t>2</w:t>
      </w:r>
    </w:p>
    <w:p>
      <w:pPr>
        <w:pStyle w:val="BodyText"/>
        <w:spacing w:before="255"/>
        <w:ind w:left="352" w:right="1769"/>
        <w:jc w:val="both"/>
      </w:pPr>
      <w:r>
        <w:rPr/>
        <w:t>We divide treatment groups into multiple mutually exclusive categories based on per </w:t>
      </w:r>
      <w:r>
        <w:rPr/>
        <w:t>capita property damage: “minor damage” ($150-$299), “moderate damage” ($300-$599), “severe damage” ($600-$899), “very severe” ($900-$1,200),</w:t>
      </w:r>
      <w:r>
        <w:rPr>
          <w:spacing w:val="-4"/>
        </w:rPr>
        <w:t> </w:t>
      </w:r>
      <w:r>
        <w:rPr/>
        <w:t>and</w:t>
      </w:r>
      <w:r>
        <w:rPr>
          <w:spacing w:val="-4"/>
        </w:rPr>
        <w:t> </w:t>
      </w:r>
      <w:r>
        <w:rPr/>
        <w:t>“extreme</w:t>
      </w:r>
      <w:r>
        <w:rPr>
          <w:spacing w:val="-4"/>
        </w:rPr>
        <w:t> </w:t>
      </w:r>
      <w:r>
        <w:rPr/>
        <w:t>damage”</w:t>
      </w:r>
      <w:r>
        <w:rPr>
          <w:spacing w:val="-4"/>
        </w:rPr>
        <w:t> </w:t>
      </w:r>
      <w:r>
        <w:rPr/>
        <w:t>(ex</w:t>
      </w:r>
      <w:r>
        <w:rPr>
          <w:spacing w:val="-4"/>
        </w:rPr>
        <w:t> </w:t>
      </w:r>
      <w:r>
        <w:rPr/>
        <w:t>ceeding</w:t>
      </w:r>
      <w:r>
        <w:rPr>
          <w:spacing w:val="-4"/>
        </w:rPr>
        <w:t> </w:t>
      </w:r>
      <w:r>
        <w:rPr/>
        <w:t>$1,200). We conduct separate regressions</w:t>
      </w:r>
      <w:r>
        <w:rPr>
          <w:spacing w:val="-5"/>
        </w:rPr>
        <w:t> </w:t>
      </w:r>
      <w:r>
        <w:rPr/>
        <w:t>comparing</w:t>
      </w:r>
      <w:r>
        <w:rPr>
          <w:spacing w:val="-5"/>
        </w:rPr>
        <w:t> </w:t>
      </w:r>
      <w:r>
        <w:rPr/>
        <w:t>depressive</w:t>
      </w:r>
      <w:r>
        <w:rPr>
          <w:spacing w:val="-5"/>
        </w:rPr>
        <w:t> </w:t>
      </w:r>
      <w:r>
        <w:rPr/>
        <w:t>symptoms</w:t>
      </w:r>
      <w:r>
        <w:rPr>
          <w:spacing w:val="-5"/>
        </w:rPr>
        <w:t> </w:t>
      </w:r>
      <w:r>
        <w:rPr/>
        <w:t>between</w:t>
      </w:r>
      <w:r>
        <w:rPr>
          <w:spacing w:val="-5"/>
        </w:rPr>
        <w:t> </w:t>
      </w:r>
      <w:r>
        <w:rPr/>
        <w:t>the</w:t>
      </w:r>
      <w:r>
        <w:rPr>
          <w:spacing w:val="-5"/>
        </w:rPr>
        <w:t> </w:t>
      </w:r>
      <w:r>
        <w:rPr/>
        <w:t>comparison</w:t>
      </w:r>
      <w:r>
        <w:rPr>
          <w:spacing w:val="-5"/>
        </w:rPr>
        <w:t> </w:t>
      </w:r>
      <w:r>
        <w:rPr/>
        <w:t>group and each treatment category to examine whether the mental health impact varies with disaster </w:t>
      </w:r>
      <w:r>
        <w:rPr>
          <w:spacing w:val="-2"/>
        </w:rPr>
        <w:t>severity.</w:t>
      </w:r>
    </w:p>
    <w:p>
      <w:pPr>
        <w:pStyle w:val="BodyText"/>
        <w:spacing w:before="254"/>
      </w:pPr>
    </w:p>
    <w:p>
      <w:pPr>
        <w:pStyle w:val="BodyText"/>
        <w:spacing w:before="1"/>
        <w:ind w:left="352" w:right="1770"/>
        <w:jc w:val="both"/>
      </w:pPr>
      <w:r>
        <w:rPr/>
        <w:t>To ensure the validity of our difference-in-differences identification strategy, we restrict </w:t>
      </w:r>
      <w:r>
        <w:rPr/>
        <w:t>our sample to counties that experienced at most one disaster event with per capita property damage exceeding $150 during our sample period (2008-2017). This restriction avoids violations of the Stable Unit</w:t>
      </w:r>
      <w:r>
        <w:rPr>
          <w:spacing w:val="-9"/>
        </w:rPr>
        <w:t> </w:t>
      </w:r>
      <w:r>
        <w:rPr/>
        <w:t>Treatment</w:t>
      </w:r>
      <w:r>
        <w:rPr>
          <w:spacing w:val="-9"/>
        </w:rPr>
        <w:t> </w:t>
      </w:r>
      <w:r>
        <w:rPr/>
        <w:t>Value</w:t>
      </w:r>
      <w:r>
        <w:rPr>
          <w:spacing w:val="-9"/>
        </w:rPr>
        <w:t> </w:t>
      </w:r>
      <w:r>
        <w:rPr/>
        <w:t>Assumption</w:t>
      </w:r>
      <w:r>
        <w:rPr>
          <w:spacing w:val="-9"/>
        </w:rPr>
        <w:t> </w:t>
      </w:r>
      <w:r>
        <w:rPr/>
        <w:t>(SUTVA),</w:t>
      </w:r>
      <w:r>
        <w:rPr>
          <w:spacing w:val="-9"/>
        </w:rPr>
        <w:t> </w:t>
      </w:r>
      <w:r>
        <w:rPr/>
        <w:t>which</w:t>
      </w:r>
      <w:r>
        <w:rPr>
          <w:spacing w:val="-9"/>
        </w:rPr>
        <w:t> </w:t>
      </w:r>
      <w:r>
        <w:rPr/>
        <w:t>requires</w:t>
      </w:r>
      <w:r>
        <w:rPr>
          <w:spacing w:val="-9"/>
        </w:rPr>
        <w:t> </w:t>
      </w:r>
      <w:r>
        <w:rPr/>
        <w:t>no</w:t>
      </w:r>
      <w:r>
        <w:rPr>
          <w:spacing w:val="-9"/>
        </w:rPr>
        <w:t> </w:t>
      </w:r>
      <w:r>
        <w:rPr/>
        <w:t>interference</w:t>
      </w:r>
      <w:r>
        <w:rPr>
          <w:spacing w:val="-9"/>
        </w:rPr>
        <w:t> </w:t>
      </w:r>
      <w:r>
        <w:rPr/>
        <w:t>between</w:t>
      </w:r>
      <w:r>
        <w:rPr>
          <w:spacing w:val="-9"/>
        </w:rPr>
        <w:t> </w:t>
      </w:r>
      <w:r>
        <w:rPr/>
        <w:t>units and consistency in potential outcomes. Multiple disasters within a county could cause</w:t>
      </w:r>
      <w:r>
        <w:rPr>
          <w:spacing w:val="40"/>
        </w:rPr>
        <w:t> </w:t>
      </w:r>
      <w:r>
        <w:rPr/>
        <w:t>interference</w:t>
      </w:r>
      <w:r>
        <w:rPr>
          <w:spacing w:val="14"/>
        </w:rPr>
        <w:t> </w:t>
      </w:r>
      <w:r>
        <w:rPr/>
        <w:t>and</w:t>
      </w:r>
      <w:r>
        <w:rPr>
          <w:spacing w:val="14"/>
        </w:rPr>
        <w:t> </w:t>
      </w:r>
      <w:r>
        <w:rPr/>
        <w:t>inconsistent</w:t>
      </w:r>
      <w:r>
        <w:rPr>
          <w:spacing w:val="15"/>
        </w:rPr>
        <w:t> </w:t>
      </w:r>
      <w:r>
        <w:rPr/>
        <w:t>treatment</w:t>
      </w:r>
      <w:r>
        <w:rPr>
          <w:spacing w:val="-1"/>
        </w:rPr>
        <w:t> </w:t>
      </w:r>
      <w:r>
        <w:rPr/>
        <w:t>effects, compromising the</w:t>
      </w:r>
      <w:r>
        <w:rPr>
          <w:spacing w:val="-1"/>
        </w:rPr>
        <w:t> </w:t>
      </w:r>
      <w:r>
        <w:rPr/>
        <w:t>integrity of</w:t>
      </w:r>
      <w:r>
        <w:rPr>
          <w:spacing w:val="-1"/>
        </w:rPr>
        <w:t> </w:t>
      </w:r>
      <w:r>
        <w:rPr/>
        <w:t>the analysis. </w:t>
      </w:r>
      <w:r>
        <w:rPr>
          <w:spacing w:val="-2"/>
        </w:rPr>
        <w:t>Figure</w:t>
      </w:r>
    </w:p>
    <w:p>
      <w:pPr>
        <w:pStyle w:val="BodyText"/>
        <w:ind w:left="352" w:right="1772"/>
        <w:jc w:val="both"/>
      </w:pPr>
      <w:r>
        <w:rPr>
          <w:color w:val="0000FF"/>
        </w:rPr>
        <w:t>1 </w:t>
      </w:r>
      <w:r>
        <w:rPr/>
        <w:t>illustrates the geographic distribution of comparison, treatment, and excluded </w:t>
      </w:r>
      <w:r>
        <w:rPr/>
        <w:t>counties, demonstrating that these groups do not appear systematically clustered.</w:t>
      </w:r>
    </w:p>
    <w:p>
      <w:pPr>
        <w:pStyle w:val="BodyText"/>
        <w:spacing w:after="0"/>
        <w:jc w:val="both"/>
        <w:sectPr>
          <w:pgSz w:w="12240" w:h="15840"/>
          <w:pgMar w:header="0" w:footer="707" w:top="640" w:bottom="960" w:left="720" w:right="0"/>
        </w:sectPr>
      </w:pPr>
    </w:p>
    <w:p>
      <w:pPr>
        <w:pStyle w:val="BodyText"/>
        <w:spacing w:before="60"/>
        <w:ind w:left="2002"/>
      </w:pPr>
      <w:r>
        <w:rPr/>
        <w:t>Figure 1: Identification of comparison and treatment </w:t>
      </w:r>
      <w:r>
        <w:rPr>
          <w:spacing w:val="-2"/>
        </w:rPr>
        <w:t>counties</w:t>
      </w:r>
    </w:p>
    <w:p>
      <w:pPr>
        <w:pStyle w:val="BodyText"/>
        <w:spacing w:before="89"/>
        <w:rPr>
          <w:sz w:val="20"/>
        </w:rPr>
      </w:pPr>
      <w:r>
        <w:rPr>
          <w:sz w:val="20"/>
        </w:rPr>
        <w:drawing>
          <wp:anchor distT="0" distB="0" distL="0" distR="0" allowOverlap="1" layoutInCell="1" locked="0" behindDoc="1" simplePos="0" relativeHeight="487608320">
            <wp:simplePos x="0" y="0"/>
            <wp:positionH relativeFrom="page">
              <wp:posOffset>728853</wp:posOffset>
            </wp:positionH>
            <wp:positionV relativeFrom="paragraph">
              <wp:posOffset>218058</wp:posOffset>
            </wp:positionV>
            <wp:extent cx="6029324" cy="3962400"/>
            <wp:effectExtent l="0" t="0" r="0" b="0"/>
            <wp:wrapTopAndBottom/>
            <wp:docPr id="78" name="Image 78"/>
            <wp:cNvGraphicFramePr>
              <a:graphicFrameLocks/>
            </wp:cNvGraphicFramePr>
            <a:graphic>
              <a:graphicData uri="http://schemas.openxmlformats.org/drawingml/2006/picture">
                <pic:pic>
                  <pic:nvPicPr>
                    <pic:cNvPr id="78" name="Image 78"/>
                    <pic:cNvPicPr/>
                  </pic:nvPicPr>
                  <pic:blipFill>
                    <a:blip r:embed="rId261" cstate="print"/>
                    <a:stretch>
                      <a:fillRect/>
                    </a:stretch>
                  </pic:blipFill>
                  <pic:spPr>
                    <a:xfrm>
                      <a:off x="0" y="0"/>
                      <a:ext cx="6029324" cy="3962400"/>
                    </a:xfrm>
                    <a:prstGeom prst="rect">
                      <a:avLst/>
                    </a:prstGeom>
                  </pic:spPr>
                </pic:pic>
              </a:graphicData>
            </a:graphic>
          </wp:anchor>
        </w:drawing>
      </w:r>
    </w:p>
    <w:p>
      <w:pPr>
        <w:pStyle w:val="BodyText"/>
        <w:spacing w:before="208"/>
      </w:pPr>
    </w:p>
    <w:p>
      <w:pPr>
        <w:pStyle w:val="BodyText"/>
        <w:ind w:left="352" w:right="250"/>
        <w:jc w:val="both"/>
      </w:pPr>
      <w:r>
        <w:rPr>
          <w:i/>
        </w:rPr>
        <w:t>Notes: </w:t>
      </w:r>
      <w:r>
        <w:rPr/>
        <w:t>This figure shows the geographic distribution of counties in our analysis. Comparison counties </w:t>
      </w:r>
      <w:r>
        <w:rPr/>
        <w:t>(no disasters) are shown in one color, treatment</w:t>
      </w:r>
      <w:r>
        <w:rPr>
          <w:spacing w:val="-4"/>
        </w:rPr>
        <w:t> </w:t>
      </w:r>
      <w:r>
        <w:rPr/>
        <w:t>counties</w:t>
      </w:r>
      <w:r>
        <w:rPr>
          <w:spacing w:val="-4"/>
        </w:rPr>
        <w:t> </w:t>
      </w:r>
      <w:r>
        <w:rPr/>
        <w:t>(single</w:t>
      </w:r>
      <w:r>
        <w:rPr>
          <w:spacing w:val="-4"/>
        </w:rPr>
        <w:t> </w:t>
      </w:r>
      <w:r>
        <w:rPr/>
        <w:t>disaster)</w:t>
      </w:r>
      <w:r>
        <w:rPr>
          <w:spacing w:val="-4"/>
        </w:rPr>
        <w:t> </w:t>
      </w:r>
      <w:r>
        <w:rPr/>
        <w:t>in</w:t>
      </w:r>
      <w:r>
        <w:rPr>
          <w:spacing w:val="-4"/>
        </w:rPr>
        <w:t> </w:t>
      </w:r>
      <w:r>
        <w:rPr/>
        <w:t>another,</w:t>
      </w:r>
      <w:r>
        <w:rPr>
          <w:spacing w:val="-4"/>
        </w:rPr>
        <w:t> </w:t>
      </w:r>
      <w:r>
        <w:rPr/>
        <w:t>and</w:t>
      </w:r>
      <w:r>
        <w:rPr>
          <w:spacing w:val="-4"/>
        </w:rPr>
        <w:t> </w:t>
      </w:r>
      <w:r>
        <w:rPr/>
        <w:t>excluded</w:t>
      </w:r>
      <w:r>
        <w:rPr>
          <w:spacing w:val="-4"/>
        </w:rPr>
        <w:t> </w:t>
      </w:r>
      <w:r>
        <w:rPr/>
        <w:t>counties</w:t>
      </w:r>
      <w:r>
        <w:rPr>
          <w:spacing w:val="-4"/>
        </w:rPr>
        <w:t> </w:t>
      </w:r>
      <w:r>
        <w:rPr/>
        <w:t>(multiple disasters) in a third color.</w:t>
      </w:r>
    </w:p>
    <w:p>
      <w:pPr>
        <w:pStyle w:val="BodyText"/>
        <w:spacing w:before="11"/>
      </w:pPr>
    </w:p>
    <w:p>
      <w:pPr>
        <w:pStyle w:val="BodyText"/>
        <w:ind w:left="352" w:right="1783"/>
        <w:jc w:val="both"/>
      </w:pPr>
      <w:r>
        <w:rPr/>
        <w:t>Our treatment definition enhances the validity of our analysis by increasing the plausibility </w:t>
      </w:r>
      <w:r>
        <w:rPr/>
        <w:t>that disaster events are as good as randomly assigned. By focusing on</w:t>
      </w:r>
      <w:r>
        <w:rPr>
          <w:spacing w:val="-3"/>
        </w:rPr>
        <w:t> </w:t>
      </w:r>
      <w:r>
        <w:rPr/>
        <w:t>counties</w:t>
      </w:r>
      <w:r>
        <w:rPr>
          <w:spacing w:val="-3"/>
        </w:rPr>
        <w:t> </w:t>
      </w:r>
      <w:r>
        <w:rPr/>
        <w:t>experiencing</w:t>
      </w:r>
      <w:r>
        <w:rPr>
          <w:spacing w:val="-3"/>
        </w:rPr>
        <w:t> </w:t>
      </w:r>
      <w:r>
        <w:rPr/>
        <w:t>a</w:t>
      </w:r>
      <w:r>
        <w:rPr>
          <w:spacing w:val="-3"/>
        </w:rPr>
        <w:t> </w:t>
      </w:r>
      <w:r>
        <w:rPr/>
        <w:t>single unexpected disaster, we exploit variation that is more likely to be exogenous to pre-existing characteristics that might affect both disaster probability and mental health outcomes. This restriction serves two critical purposes. First, counties with multiple disasters are often systematically different—they tend to be located in high-risk areas (coastal regions,</w:t>
      </w:r>
      <w:r>
        <w:rPr>
          <w:spacing w:val="-3"/>
        </w:rPr>
        <w:t> </w:t>
      </w:r>
      <w:r>
        <w:rPr/>
        <w:t>floodplains, tornado alleys) with pre-existing vulnerabilities that could confound our estimates. Second,</w:t>
      </w:r>
      <w:r>
        <w:rPr>
          <w:spacing w:val="40"/>
        </w:rPr>
        <w:t> </w:t>
      </w:r>
      <w:r>
        <w:rPr/>
        <w:t>single disasters are more likely to</w:t>
      </w:r>
      <w:r>
        <w:rPr>
          <w:spacing w:val="-2"/>
        </w:rPr>
        <w:t> </w:t>
      </w:r>
      <w:r>
        <w:rPr/>
        <w:t>be</w:t>
      </w:r>
      <w:r>
        <w:rPr>
          <w:spacing w:val="-2"/>
        </w:rPr>
        <w:t> </w:t>
      </w:r>
      <w:r>
        <w:rPr/>
        <w:t>truly</w:t>
      </w:r>
      <w:r>
        <w:rPr>
          <w:spacing w:val="-2"/>
        </w:rPr>
        <w:t> </w:t>
      </w:r>
      <w:r>
        <w:rPr/>
        <w:t>unexpected</w:t>
      </w:r>
      <w:r>
        <w:rPr>
          <w:spacing w:val="-2"/>
        </w:rPr>
        <w:t> </w:t>
      </w:r>
      <w:r>
        <w:rPr/>
        <w:t>events,</w:t>
      </w:r>
      <w:r>
        <w:rPr>
          <w:spacing w:val="-2"/>
        </w:rPr>
        <w:t> </w:t>
      </w:r>
      <w:r>
        <w:rPr/>
        <w:t>approximating</w:t>
      </w:r>
      <w:r>
        <w:rPr>
          <w:spacing w:val="-2"/>
        </w:rPr>
        <w:t> </w:t>
      </w:r>
      <w:r>
        <w:rPr/>
        <w:t>the</w:t>
      </w:r>
      <w:r>
        <w:rPr>
          <w:spacing w:val="-2"/>
        </w:rPr>
        <w:t> </w:t>
      </w:r>
      <w:r>
        <w:rPr/>
        <w:t>ideal</w:t>
      </w:r>
      <w:r>
        <w:rPr>
          <w:spacing w:val="-2"/>
        </w:rPr>
        <w:t> </w:t>
      </w:r>
      <w:r>
        <w:rPr/>
        <w:t>of</w:t>
      </w:r>
      <w:r>
        <w:rPr>
          <w:spacing w:val="-2"/>
        </w:rPr>
        <w:t> </w:t>
      </w:r>
      <w:r>
        <w:rPr/>
        <w:t>random assignment. For instance, counties in regions</w:t>
      </w:r>
      <w:r>
        <w:rPr>
          <w:spacing w:val="-3"/>
        </w:rPr>
        <w:t> </w:t>
      </w:r>
      <w:r>
        <w:rPr/>
        <w:t>historically</w:t>
      </w:r>
      <w:r>
        <w:rPr>
          <w:spacing w:val="-3"/>
        </w:rPr>
        <w:t> </w:t>
      </w:r>
      <w:r>
        <w:rPr/>
        <w:t>unaccustomed</w:t>
      </w:r>
      <w:r>
        <w:rPr>
          <w:spacing w:val="-3"/>
        </w:rPr>
        <w:t> </w:t>
      </w:r>
      <w:r>
        <w:rPr/>
        <w:t>to</w:t>
      </w:r>
      <w:r>
        <w:rPr>
          <w:spacing w:val="-3"/>
        </w:rPr>
        <w:t> </w:t>
      </w:r>
      <w:r>
        <w:rPr/>
        <w:t>specific</w:t>
      </w:r>
      <w:r>
        <w:rPr>
          <w:spacing w:val="-3"/>
        </w:rPr>
        <w:t> </w:t>
      </w:r>
      <w:r>
        <w:rPr/>
        <w:t>disaster</w:t>
      </w:r>
      <w:r>
        <w:rPr>
          <w:spacing w:val="-3"/>
        </w:rPr>
        <w:t> </w:t>
      </w:r>
      <w:r>
        <w:rPr/>
        <w:t>types</w:t>
      </w:r>
      <w:r>
        <w:rPr>
          <w:spacing w:val="40"/>
        </w:rPr>
        <w:t> </w:t>
      </w:r>
      <w:r>
        <w:rPr/>
        <w:t>( such as inland areas experiencing unexpected hurricanes, or regions outside typical tornado alleys facing severe storms) provide plausibly exogenous variation, supporting the notion of quasi-random assignment. By excluding counties with multiple disasters, we avoid comparing funda mentally different types of counties and instead focus on a more homogeneous set where the single disaster event provides plausibly exogenous variation. This strategy is</w:t>
      </w:r>
      <w:r>
        <w:rPr>
          <w:spacing w:val="-2"/>
        </w:rPr>
        <w:t> </w:t>
      </w:r>
      <w:r>
        <w:rPr/>
        <w:t>consistent</w:t>
      </w:r>
      <w:r>
        <w:rPr>
          <w:spacing w:val="-2"/>
        </w:rPr>
        <w:t> </w:t>
      </w:r>
      <w:r>
        <w:rPr/>
        <w:t>with approaches in the disaster economics literature that exploit unexpected single events for causal identification (</w:t>
      </w:r>
      <w:r>
        <w:rPr>
          <w:color w:val="0000FF"/>
        </w:rPr>
        <w:t>Deryugina e t a l.</w:t>
      </w:r>
      <w:r>
        <w:rPr/>
        <w:t>, </w:t>
      </w:r>
      <w:r>
        <w:rPr>
          <w:color w:val="0000FF"/>
        </w:rPr>
        <w:t>2 018</w:t>
      </w:r>
      <w:r>
        <w:rPr/>
        <w:t>; </w:t>
      </w:r>
      <w:r>
        <w:rPr>
          <w:color w:val="0000FF"/>
        </w:rPr>
        <w:t>Kousky</w:t>
      </w:r>
      <w:r>
        <w:rPr/>
        <w:t>, </w:t>
      </w:r>
      <w:r>
        <w:rPr>
          <w:color w:val="0000FF"/>
        </w:rPr>
        <w:t>2 014</w:t>
      </w:r>
      <w:r>
        <w:rPr/>
        <w:t>). T he geographic distribution shown in Figure </w:t>
      </w:r>
      <w:r>
        <w:rPr>
          <w:color w:val="0000FF"/>
        </w:rPr>
        <w:t>1 </w:t>
      </w:r>
      <w:r>
        <w:rPr/>
        <w:t>further supports this approach, as excluded counties do not appear systematically clustered, suggesting that geographic selection bias is limited. This helps ensure that observed effects are more likely attributable to the disaster itself rather than underlying factors.</w:t>
      </w:r>
    </w:p>
    <w:p>
      <w:pPr>
        <w:pStyle w:val="BodyText"/>
        <w:spacing w:after="0"/>
        <w:jc w:val="both"/>
        <w:sectPr>
          <w:pgSz w:w="12240" w:h="15840"/>
          <w:pgMar w:header="0" w:footer="707" w:top="640" w:bottom="960" w:left="720" w:right="0"/>
        </w:sectPr>
      </w:pPr>
    </w:p>
    <w:p>
      <w:pPr>
        <w:pStyle w:val="BodyText"/>
        <w:spacing w:before="60"/>
        <w:ind w:left="352" w:right="1808"/>
        <w:jc w:val="both"/>
      </w:pPr>
      <w:r>
        <w:rPr/>
        <w:t>Given that the outcome variable uses the hyperbolic sine transformation and the </w:t>
      </w:r>
      <w:r>
        <w:rPr/>
        <w:t>treatment variable is binary, the treatment effect coefficient </w:t>
      </w:r>
      <w:r>
        <w:rPr>
          <w:i/>
        </w:rPr>
        <w:t>β </w:t>
      </w:r>
      <w:r>
        <w:rPr/>
        <w:t>can be approximated as the percentage change in depressive symptoms after disaster using </w:t>
      </w:r>
      <w:r>
        <w:rPr>
          <w:i/>
        </w:rPr>
        <w:t>exp</w:t>
      </w:r>
      <w:r>
        <w:rPr/>
        <w:t>(</w:t>
      </w:r>
      <w:r>
        <w:rPr>
          <w:i/>
        </w:rPr>
        <w:t>β</w:t>
      </w:r>
      <w:r>
        <w:rPr/>
        <w:t>) − 1 (</w:t>
      </w:r>
      <w:r>
        <w:rPr>
          <w:color w:val="0000FF"/>
        </w:rPr>
        <w:t>Bellemare and Wichman</w:t>
      </w:r>
      <w:r>
        <w:rPr/>
        <w:t>, </w:t>
      </w:r>
      <w:r>
        <w:rPr>
          <w:color w:val="0000FF"/>
        </w:rPr>
        <w:t>2020</w:t>
      </w:r>
      <w:r>
        <w:rPr/>
        <w:t>).</w:t>
      </w:r>
    </w:p>
    <w:p>
      <w:pPr>
        <w:pStyle w:val="BodyText"/>
      </w:pPr>
    </w:p>
    <w:p>
      <w:pPr>
        <w:pStyle w:val="ListParagraph"/>
        <w:numPr>
          <w:ilvl w:val="1"/>
          <w:numId w:val="34"/>
        </w:numPr>
        <w:tabs>
          <w:tab w:pos="712" w:val="left" w:leader="none"/>
        </w:tabs>
        <w:spacing w:line="240" w:lineRule="auto" w:before="0" w:after="0"/>
        <w:ind w:left="712" w:right="0" w:hanging="360"/>
        <w:jc w:val="left"/>
        <w:rPr>
          <w:sz w:val="24"/>
        </w:rPr>
      </w:pPr>
      <w:r>
        <w:rPr>
          <w:sz w:val="24"/>
        </w:rPr>
        <w:t>Selection on observables using high dimensional </w:t>
      </w:r>
      <w:r>
        <w:rPr>
          <w:spacing w:val="-2"/>
          <w:sz w:val="24"/>
        </w:rPr>
        <w:t>covariates</w:t>
      </w:r>
    </w:p>
    <w:p>
      <w:pPr>
        <w:pStyle w:val="BodyText"/>
        <w:spacing w:before="247"/>
        <w:ind w:left="352" w:right="1782"/>
        <w:jc w:val="both"/>
      </w:pPr>
      <w:r>
        <w:rPr/>
        <w:t>While our identification strategy exploits plausibly exogenous variation in disaster timing, we also address potential concerns about selection on observables by controlling for a rich set </w:t>
      </w:r>
      <w:r>
        <w:rPr/>
        <w:t>of covariates. We relax the assumption of strict exogeneity:</w:t>
      </w:r>
    </w:p>
    <w:p>
      <w:pPr>
        <w:pStyle w:val="BodyText"/>
        <w:rPr>
          <w:sz w:val="20"/>
        </w:rPr>
      </w:pPr>
    </w:p>
    <w:p>
      <w:pPr>
        <w:pStyle w:val="BodyText"/>
        <w:spacing w:before="127"/>
        <w:rPr>
          <w:sz w:val="20"/>
        </w:rPr>
      </w:pPr>
      <w:r>
        <w:rPr>
          <w:sz w:val="20"/>
        </w:rPr>
        <w:drawing>
          <wp:anchor distT="0" distB="0" distL="0" distR="0" allowOverlap="1" layoutInCell="1" locked="0" behindDoc="1" simplePos="0" relativeHeight="487608832">
            <wp:simplePos x="0" y="0"/>
            <wp:positionH relativeFrom="page">
              <wp:posOffset>2557652</wp:posOffset>
            </wp:positionH>
            <wp:positionV relativeFrom="paragraph">
              <wp:posOffset>242225</wp:posOffset>
            </wp:positionV>
            <wp:extent cx="3048000" cy="209550"/>
            <wp:effectExtent l="0" t="0" r="0" b="0"/>
            <wp:wrapTopAndBottom/>
            <wp:docPr id="79" name="Image 79"/>
            <wp:cNvGraphicFramePr>
              <a:graphicFrameLocks/>
            </wp:cNvGraphicFramePr>
            <a:graphic>
              <a:graphicData uri="http://schemas.openxmlformats.org/drawingml/2006/picture">
                <pic:pic>
                  <pic:nvPicPr>
                    <pic:cNvPr id="79" name="Image 79"/>
                    <pic:cNvPicPr/>
                  </pic:nvPicPr>
                  <pic:blipFill>
                    <a:blip r:embed="rId262" cstate="print"/>
                    <a:stretch>
                      <a:fillRect/>
                    </a:stretch>
                  </pic:blipFill>
                  <pic:spPr>
                    <a:xfrm>
                      <a:off x="0" y="0"/>
                      <a:ext cx="3048000" cy="209550"/>
                    </a:xfrm>
                    <a:prstGeom prst="rect">
                      <a:avLst/>
                    </a:prstGeom>
                  </pic:spPr>
                </pic:pic>
              </a:graphicData>
            </a:graphic>
          </wp:anchor>
        </w:drawing>
      </w:r>
    </w:p>
    <w:p>
      <w:pPr>
        <w:pStyle w:val="BodyText"/>
      </w:pPr>
    </w:p>
    <w:p>
      <w:pPr>
        <w:pStyle w:val="BodyText"/>
        <w:spacing w:before="22"/>
      </w:pPr>
    </w:p>
    <w:p>
      <w:pPr>
        <w:pStyle w:val="BodyText"/>
        <w:spacing w:before="1"/>
        <w:ind w:left="352"/>
        <w:jc w:val="both"/>
      </w:pPr>
      <w:r>
        <w:rPr/>
        <w:t>to a less restrictive unconfoundedness </w:t>
      </w:r>
      <w:r>
        <w:rPr>
          <w:spacing w:val="-2"/>
        </w:rPr>
        <w:t>assumption:</w:t>
      </w:r>
    </w:p>
    <w:p>
      <w:pPr>
        <w:pStyle w:val="BodyText"/>
        <w:rPr>
          <w:sz w:val="20"/>
        </w:rPr>
      </w:pPr>
    </w:p>
    <w:p>
      <w:pPr>
        <w:pStyle w:val="BodyText"/>
        <w:spacing w:before="215"/>
        <w:rPr>
          <w:sz w:val="20"/>
        </w:rPr>
      </w:pPr>
      <w:r>
        <w:rPr>
          <w:sz w:val="20"/>
        </w:rPr>
        <w:drawing>
          <wp:anchor distT="0" distB="0" distL="0" distR="0" allowOverlap="1" layoutInCell="1" locked="0" behindDoc="1" simplePos="0" relativeHeight="487609344">
            <wp:simplePos x="0" y="0"/>
            <wp:positionH relativeFrom="page">
              <wp:posOffset>2471928</wp:posOffset>
            </wp:positionH>
            <wp:positionV relativeFrom="paragraph">
              <wp:posOffset>298268</wp:posOffset>
            </wp:positionV>
            <wp:extent cx="3295650" cy="200025"/>
            <wp:effectExtent l="0" t="0" r="0" b="0"/>
            <wp:wrapTopAndBottom/>
            <wp:docPr id="80" name="Image 80"/>
            <wp:cNvGraphicFramePr>
              <a:graphicFrameLocks/>
            </wp:cNvGraphicFramePr>
            <a:graphic>
              <a:graphicData uri="http://schemas.openxmlformats.org/drawingml/2006/picture">
                <pic:pic>
                  <pic:nvPicPr>
                    <pic:cNvPr id="80" name="Image 80"/>
                    <pic:cNvPicPr/>
                  </pic:nvPicPr>
                  <pic:blipFill>
                    <a:blip r:embed="rId263" cstate="print"/>
                    <a:stretch>
                      <a:fillRect/>
                    </a:stretch>
                  </pic:blipFill>
                  <pic:spPr>
                    <a:xfrm>
                      <a:off x="0" y="0"/>
                      <a:ext cx="3295650" cy="200025"/>
                    </a:xfrm>
                    <a:prstGeom prst="rect">
                      <a:avLst/>
                    </a:prstGeom>
                  </pic:spPr>
                </pic:pic>
              </a:graphicData>
            </a:graphic>
          </wp:anchor>
        </w:drawing>
      </w:r>
    </w:p>
    <w:p>
      <w:pPr>
        <w:pStyle w:val="BodyText"/>
      </w:pPr>
    </w:p>
    <w:p>
      <w:pPr>
        <w:pStyle w:val="BodyText"/>
        <w:spacing w:before="51"/>
      </w:pPr>
    </w:p>
    <w:p>
      <w:pPr>
        <w:pStyle w:val="BodyText"/>
        <w:ind w:left="352" w:right="1791"/>
        <w:jc w:val="both"/>
      </w:pPr>
      <w:r>
        <w:rPr/>
        <w:t>where Γ is a matrix of control variables representing common causes or confounders </w:t>
      </w:r>
      <w:r>
        <w:rPr/>
        <w:t>between property damage and depressive symptoms. If property damage is truly exogenous, controlling for these covariates should not affect our estimates, but doing so provides robustness and may reduce standard errors.</w:t>
      </w:r>
    </w:p>
    <w:p>
      <w:pPr>
        <w:pStyle w:val="BodyText"/>
        <w:spacing w:before="247"/>
        <w:ind w:left="352" w:right="1783"/>
        <w:jc w:val="both"/>
      </w:pPr>
      <w:r>
        <w:rPr/>
        <w:t>The challenge in selecting control variables is that we do not observe the true data generating process. Failure to adequately control for relevant variables can lead to omitted variable bias, while overcontrolling</w:t>
      </w:r>
      <w:r>
        <w:rPr>
          <w:spacing w:val="-4"/>
        </w:rPr>
        <w:t> </w:t>
      </w:r>
      <w:r>
        <w:rPr/>
        <w:t>can</w:t>
      </w:r>
      <w:r>
        <w:rPr>
          <w:spacing w:val="-4"/>
        </w:rPr>
        <w:t> </w:t>
      </w:r>
      <w:r>
        <w:rPr/>
        <w:t>reduce</w:t>
      </w:r>
      <w:r>
        <w:rPr>
          <w:spacing w:val="-4"/>
        </w:rPr>
        <w:t> </w:t>
      </w:r>
      <w:r>
        <w:rPr/>
        <w:t>estimation</w:t>
      </w:r>
      <w:r>
        <w:rPr>
          <w:spacing w:val="-4"/>
        </w:rPr>
        <w:t> </w:t>
      </w:r>
      <w:r>
        <w:rPr/>
        <w:t>efficiency.</w:t>
      </w:r>
      <w:r>
        <w:rPr>
          <w:spacing w:val="-4"/>
        </w:rPr>
        <w:t> </w:t>
      </w:r>
      <w:r>
        <w:rPr/>
        <w:t>Rather</w:t>
      </w:r>
      <w:r>
        <w:rPr>
          <w:spacing w:val="-4"/>
        </w:rPr>
        <w:t> </w:t>
      </w:r>
      <w:r>
        <w:rPr/>
        <w:t>th</w:t>
      </w:r>
      <w:r>
        <w:rPr>
          <w:spacing w:val="-4"/>
        </w:rPr>
        <w:t> </w:t>
      </w:r>
      <w:r>
        <w:rPr/>
        <w:t>an</w:t>
      </w:r>
      <w:r>
        <w:rPr>
          <w:spacing w:val="-4"/>
        </w:rPr>
        <w:t> </w:t>
      </w:r>
      <w:r>
        <w:rPr/>
        <w:t>ad</w:t>
      </w:r>
      <w:r>
        <w:rPr>
          <w:spacing w:val="-4"/>
        </w:rPr>
        <w:t> </w:t>
      </w:r>
      <w:r>
        <w:rPr/>
        <w:t>hoc</w:t>
      </w:r>
      <w:r>
        <w:rPr>
          <w:spacing w:val="-4"/>
        </w:rPr>
        <w:t> </w:t>
      </w:r>
      <w:r>
        <w:rPr/>
        <w:t>variable</w:t>
      </w:r>
      <w:r>
        <w:rPr>
          <w:spacing w:val="-4"/>
        </w:rPr>
        <w:t> </w:t>
      </w:r>
      <w:r>
        <w:rPr/>
        <w:t>selection,</w:t>
      </w:r>
      <w:r>
        <w:rPr>
          <w:spacing w:val="-4"/>
        </w:rPr>
        <w:t> </w:t>
      </w:r>
      <w:r>
        <w:rPr/>
        <w:t>we use a systematic approach: the post-double-selection LASSO estimator (</w:t>
      </w:r>
      <w:r>
        <w:rPr>
          <w:color w:val="0000FF"/>
        </w:rPr>
        <w:t>Belloni et al.</w:t>
      </w:r>
      <w:r>
        <w:rPr/>
        <w:t>, </w:t>
      </w:r>
      <w:r>
        <w:rPr>
          <w:color w:val="0000FF"/>
        </w:rPr>
        <w:t>2014</w:t>
      </w:r>
      <w:r>
        <w:rPr/>
        <w:t>), which uses machine learning methods to select control variables from a high-dimensional set</w:t>
      </w:r>
      <w:r>
        <w:rPr>
          <w:spacing w:val="-2"/>
        </w:rPr>
        <w:t> </w:t>
      </w:r>
      <w:r>
        <w:rPr/>
        <w:t>of potential confounders.</w:t>
      </w:r>
    </w:p>
    <w:p>
      <w:pPr>
        <w:pStyle w:val="BodyText"/>
        <w:spacing w:before="3"/>
        <w:rPr>
          <w:sz w:val="7"/>
        </w:rPr>
      </w:pPr>
      <w:r>
        <w:rPr>
          <w:sz w:val="7"/>
        </w:rPr>
        <w:drawing>
          <wp:anchor distT="0" distB="0" distL="0" distR="0" allowOverlap="1" layoutInCell="1" locked="0" behindDoc="1" simplePos="0" relativeHeight="487609856">
            <wp:simplePos x="0" y="0"/>
            <wp:positionH relativeFrom="page">
              <wp:posOffset>1593631</wp:posOffset>
            </wp:positionH>
            <wp:positionV relativeFrom="paragraph">
              <wp:posOffset>68854</wp:posOffset>
            </wp:positionV>
            <wp:extent cx="4976466" cy="188404"/>
            <wp:effectExtent l="0" t="0" r="0" b="0"/>
            <wp:wrapTopAndBottom/>
            <wp:docPr id="81" name="Image 81"/>
            <wp:cNvGraphicFramePr>
              <a:graphicFrameLocks/>
            </wp:cNvGraphicFramePr>
            <a:graphic>
              <a:graphicData uri="http://schemas.openxmlformats.org/drawingml/2006/picture">
                <pic:pic>
                  <pic:nvPicPr>
                    <pic:cNvPr id="81" name="Image 81"/>
                    <pic:cNvPicPr/>
                  </pic:nvPicPr>
                  <pic:blipFill>
                    <a:blip r:embed="rId264" cstate="print"/>
                    <a:stretch>
                      <a:fillRect/>
                    </a:stretch>
                  </pic:blipFill>
                  <pic:spPr>
                    <a:xfrm>
                      <a:off x="0" y="0"/>
                      <a:ext cx="4976466" cy="188404"/>
                    </a:xfrm>
                    <a:prstGeom prst="rect">
                      <a:avLst/>
                    </a:prstGeom>
                  </pic:spPr>
                </pic:pic>
              </a:graphicData>
            </a:graphic>
          </wp:anchor>
        </w:drawing>
      </w:r>
    </w:p>
    <w:p>
      <w:pPr>
        <w:pStyle w:val="BodyText"/>
        <w:spacing w:before="141"/>
      </w:pPr>
    </w:p>
    <w:p>
      <w:pPr>
        <w:pStyle w:val="BodyText"/>
        <w:ind w:left="352" w:right="1767"/>
        <w:jc w:val="both"/>
      </w:pPr>
      <w:r>
        <w:rPr/>
        <w:t>where Θ</w:t>
      </w:r>
      <w:r>
        <w:rPr>
          <w:i/>
          <w:vertAlign w:val="subscript"/>
        </w:rPr>
        <w:t>ictk</w:t>
      </w:r>
      <w:r>
        <w:rPr>
          <w:i/>
          <w:vertAlign w:val="baseline"/>
        </w:rPr>
        <w:t> </w:t>
      </w:r>
      <w:r>
        <w:rPr>
          <w:vertAlign w:val="baseline"/>
        </w:rPr>
        <w:t>is a rich set of </w:t>
      </w:r>
      <w:r>
        <w:rPr>
          <w:i/>
          <w:vertAlign w:val="baseline"/>
        </w:rPr>
        <w:t>k </w:t>
      </w:r>
      <w:r>
        <w:rPr>
          <w:vertAlign w:val="baseline"/>
        </w:rPr>
        <w:t>different control variables selected using LASSO.</w:t>
      </w:r>
      <w:r>
        <w:rPr>
          <w:color w:val="0000FF"/>
          <w:vertAlign w:val="superscript"/>
        </w:rPr>
        <w:t>3</w:t>
      </w:r>
      <w:r>
        <w:rPr>
          <w:color w:val="0000FF"/>
          <w:spacing w:val="-13"/>
          <w:vertAlign w:val="baseline"/>
        </w:rPr>
        <w:t> </w:t>
      </w:r>
      <w:r>
        <w:rPr>
          <w:vertAlign w:val="baseline"/>
        </w:rPr>
        <w:t>LASSO </w:t>
      </w:r>
      <w:r>
        <w:rPr>
          <w:vertAlign w:val="baseline"/>
        </w:rPr>
        <w:t>selects variables whose coefficients are sufficiently large, dropping those closer to zero. However, LASSO</w:t>
      </w:r>
      <w:r>
        <w:rPr>
          <w:spacing w:val="80"/>
          <w:vertAlign w:val="baseline"/>
        </w:rPr>
        <w:t> </w:t>
      </w:r>
      <w:r>
        <w:rPr>
          <w:vertAlign w:val="baseline"/>
        </w:rPr>
        <w:t>alone</w:t>
      </w:r>
      <w:r>
        <w:rPr>
          <w:spacing w:val="80"/>
          <w:vertAlign w:val="baseline"/>
        </w:rPr>
        <w:t> </w:t>
      </w:r>
      <w:r>
        <w:rPr>
          <w:vertAlign w:val="baseline"/>
        </w:rPr>
        <w:t>is</w:t>
      </w:r>
      <w:r>
        <w:rPr>
          <w:spacing w:val="80"/>
          <w:vertAlign w:val="baseline"/>
        </w:rPr>
        <w:t> </w:t>
      </w:r>
      <w:r>
        <w:rPr>
          <w:vertAlign w:val="baseline"/>
        </w:rPr>
        <w:t>a</w:t>
      </w:r>
      <w:r>
        <w:rPr>
          <w:spacing w:val="80"/>
          <w:vertAlign w:val="baseline"/>
        </w:rPr>
        <w:t> </w:t>
      </w:r>
      <w:r>
        <w:rPr>
          <w:vertAlign w:val="baseline"/>
        </w:rPr>
        <w:t>predictive</w:t>
      </w:r>
      <w:r>
        <w:rPr>
          <w:spacing w:val="80"/>
          <w:vertAlign w:val="baseline"/>
        </w:rPr>
        <w:t> </w:t>
      </w:r>
      <w:r>
        <w:rPr>
          <w:vertAlign w:val="baseline"/>
        </w:rPr>
        <w:t>method</w:t>
      </w:r>
      <w:r>
        <w:rPr>
          <w:spacing w:val="80"/>
          <w:vertAlign w:val="baseline"/>
        </w:rPr>
        <w:t> </w:t>
      </w:r>
      <w:r>
        <w:rPr>
          <w:vertAlign w:val="baseline"/>
        </w:rPr>
        <w:t>and</w:t>
      </w:r>
      <w:r>
        <w:rPr>
          <w:spacing w:val="80"/>
          <w:vertAlign w:val="baseline"/>
        </w:rPr>
        <w:t> </w:t>
      </w:r>
      <w:r>
        <w:rPr>
          <w:vertAlign w:val="baseline"/>
        </w:rPr>
        <w:t>must</w:t>
      </w:r>
      <w:r>
        <w:rPr>
          <w:spacing w:val="80"/>
          <w:vertAlign w:val="baseline"/>
        </w:rPr>
        <w:t> </w:t>
      </w:r>
      <w:r>
        <w:rPr>
          <w:vertAlign w:val="baseline"/>
        </w:rPr>
        <w:t>be</w:t>
      </w:r>
      <w:r>
        <w:rPr>
          <w:spacing w:val="80"/>
          <w:vertAlign w:val="baseline"/>
        </w:rPr>
        <w:t> </w:t>
      </w:r>
      <w:r>
        <w:rPr>
          <w:vertAlign w:val="baseline"/>
        </w:rPr>
        <w:t>adjusted</w:t>
      </w:r>
      <w:r>
        <w:rPr>
          <w:spacing w:val="80"/>
          <w:vertAlign w:val="baseline"/>
        </w:rPr>
        <w:t> </w:t>
      </w:r>
      <w:r>
        <w:rPr>
          <w:vertAlign w:val="baseline"/>
        </w:rPr>
        <w:t>for</w:t>
      </w:r>
      <w:r>
        <w:rPr>
          <w:spacing w:val="80"/>
          <w:vertAlign w:val="baseline"/>
        </w:rPr>
        <w:t> </w:t>
      </w:r>
      <w:r>
        <w:rPr>
          <w:vertAlign w:val="baseline"/>
        </w:rPr>
        <w:t>causal</w:t>
      </w:r>
      <w:r>
        <w:rPr>
          <w:spacing w:val="80"/>
          <w:vertAlign w:val="baseline"/>
        </w:rPr>
        <w:t> </w:t>
      </w:r>
      <w:r>
        <w:rPr>
          <w:vertAlign w:val="baseline"/>
        </w:rPr>
        <w:t>inference.</w:t>
      </w:r>
      <w:r>
        <w:rPr>
          <w:spacing w:val="80"/>
          <w:vertAlign w:val="baseline"/>
        </w:rPr>
        <w:t> </w:t>
      </w:r>
      <w:r>
        <w:rPr>
          <w:vertAlign w:val="baseline"/>
        </w:rPr>
        <w:t>The post-double-selection</w:t>
      </w:r>
      <w:r>
        <w:rPr>
          <w:spacing w:val="-3"/>
          <w:vertAlign w:val="baseline"/>
        </w:rPr>
        <w:t> </w:t>
      </w:r>
      <w:r>
        <w:rPr>
          <w:vertAlign w:val="baseline"/>
        </w:rPr>
        <w:t>approach</w:t>
      </w:r>
      <w:r>
        <w:rPr>
          <w:spacing w:val="-3"/>
          <w:vertAlign w:val="baseline"/>
        </w:rPr>
        <w:t> </w:t>
      </w:r>
      <w:r>
        <w:rPr>
          <w:vertAlign w:val="baseline"/>
        </w:rPr>
        <w:t>addresses</w:t>
      </w:r>
      <w:r>
        <w:rPr>
          <w:spacing w:val="-3"/>
          <w:vertAlign w:val="baseline"/>
        </w:rPr>
        <w:t> </w:t>
      </w:r>
      <w:r>
        <w:rPr>
          <w:vertAlign w:val="baseline"/>
        </w:rPr>
        <w:t>this</w:t>
      </w:r>
      <w:r>
        <w:rPr>
          <w:spacing w:val="-3"/>
          <w:vertAlign w:val="baseline"/>
        </w:rPr>
        <w:t> </w:t>
      </w:r>
      <w:r>
        <w:rPr>
          <w:vertAlign w:val="baseline"/>
        </w:rPr>
        <w:t>by</w:t>
      </w:r>
      <w:r>
        <w:rPr>
          <w:spacing w:val="-3"/>
          <w:vertAlign w:val="baseline"/>
        </w:rPr>
        <w:t> </w:t>
      </w:r>
      <w:r>
        <w:rPr>
          <w:vertAlign w:val="baseline"/>
        </w:rPr>
        <w:t>performing</w:t>
      </w:r>
      <w:r>
        <w:rPr>
          <w:spacing w:val="-3"/>
          <w:vertAlign w:val="baseline"/>
        </w:rPr>
        <w:t> </w:t>
      </w:r>
      <w:r>
        <w:rPr>
          <w:vertAlign w:val="baseline"/>
        </w:rPr>
        <w:t>LASSO</w:t>
      </w:r>
      <w:r>
        <w:rPr>
          <w:spacing w:val="-3"/>
          <w:vertAlign w:val="baseline"/>
        </w:rPr>
        <w:t> </w:t>
      </w:r>
      <w:r>
        <w:rPr>
          <w:vertAlign w:val="baseline"/>
        </w:rPr>
        <w:t>selection</w:t>
      </w:r>
      <w:r>
        <w:rPr>
          <w:spacing w:val="-3"/>
          <w:vertAlign w:val="baseline"/>
        </w:rPr>
        <w:t> </w:t>
      </w:r>
      <w:r>
        <w:rPr>
          <w:vertAlign w:val="baseline"/>
        </w:rPr>
        <w:t>in</w:t>
      </w:r>
      <w:r>
        <w:rPr>
          <w:spacing w:val="-3"/>
          <w:vertAlign w:val="baseline"/>
        </w:rPr>
        <w:t> </w:t>
      </w:r>
      <w:r>
        <w:rPr>
          <w:vertAlign w:val="baseline"/>
        </w:rPr>
        <w:t>two</w:t>
      </w:r>
      <w:r>
        <w:rPr>
          <w:spacing w:val="-3"/>
          <w:vertAlign w:val="baseline"/>
        </w:rPr>
        <w:t> </w:t>
      </w:r>
      <w:r>
        <w:rPr>
          <w:vertAlign w:val="baseline"/>
        </w:rPr>
        <w:t>stages:</w:t>
      </w:r>
      <w:r>
        <w:rPr>
          <w:spacing w:val="-3"/>
          <w:vertAlign w:val="baseline"/>
        </w:rPr>
        <w:t> </w:t>
      </w:r>
      <w:r>
        <w:rPr>
          <w:vertAlign w:val="baseline"/>
        </w:rPr>
        <w:t>first on the outcome, then on the treatment, and finally including all variables selected in either stage.</w:t>
      </w:r>
    </w:p>
    <w:p>
      <w:pPr>
        <w:pStyle w:val="BodyText"/>
        <w:spacing w:line="228" w:lineRule="auto" w:before="264"/>
        <w:ind w:left="352" w:right="1775"/>
        <w:jc w:val="both"/>
      </w:pPr>
      <w:r>
        <w:rPr/>
        <w:t>Note that machine learning methods do not handle fixed effects directly. Therefore, </w:t>
      </w:r>
      <w:r>
        <w:rPr/>
        <w:t>before applying</w:t>
      </w:r>
      <w:r>
        <w:rPr>
          <w:spacing w:val="80"/>
        </w:rPr>
        <w:t> </w:t>
      </w:r>
      <w:r>
        <w:rPr/>
        <w:t>the</w:t>
      </w:r>
      <w:r>
        <w:rPr>
          <w:spacing w:val="80"/>
        </w:rPr>
        <w:t> </w:t>
      </w:r>
      <w:r>
        <w:rPr/>
        <w:t>double-selection</w:t>
      </w:r>
      <w:r>
        <w:rPr>
          <w:spacing w:val="40"/>
        </w:rPr>
        <w:t> </w:t>
      </w:r>
      <w:r>
        <w:rPr/>
        <w:t>LASSO</w:t>
      </w:r>
      <w:r>
        <w:rPr>
          <w:spacing w:val="40"/>
        </w:rPr>
        <w:t> </w:t>
      </w:r>
      <w:r>
        <w:rPr/>
        <w:t>approach,</w:t>
      </w:r>
      <w:r>
        <w:rPr>
          <w:spacing w:val="40"/>
        </w:rPr>
        <w:t> </w:t>
      </w:r>
      <w:r>
        <w:rPr/>
        <w:t>we</w:t>
      </w:r>
      <w:r>
        <w:rPr>
          <w:spacing w:val="40"/>
        </w:rPr>
        <w:t> </w:t>
      </w:r>
      <w:r>
        <w:rPr/>
        <w:t>manually</w:t>
      </w:r>
      <w:r>
        <w:rPr>
          <w:spacing w:val="40"/>
        </w:rPr>
        <w:t> </w:t>
      </w:r>
      <w:r>
        <w:rPr/>
        <w:t>construct</w:t>
      </w:r>
      <w:r>
        <w:rPr>
          <w:spacing w:val="40"/>
        </w:rPr>
        <w:t> </w:t>
      </w:r>
      <w:r>
        <w:rPr/>
        <w:t>individual-</w:t>
      </w:r>
      <w:r>
        <w:rPr>
          <w:spacing w:val="40"/>
        </w:rPr>
        <w:t> </w:t>
      </w:r>
      <w:r>
        <w:rPr/>
        <w:t>and</w:t>
      </w:r>
      <w:r>
        <w:rPr>
          <w:spacing w:val="40"/>
        </w:rPr>
        <w:t> </w:t>
      </w:r>
      <w:r>
        <w:rPr/>
        <w:t>year-level</w:t>
      </w:r>
      <w:r>
        <w:rPr>
          <w:spacing w:val="-12"/>
        </w:rPr>
        <w:t> </w:t>
      </w:r>
      <w:r>
        <w:rPr/>
        <w:t>fixed effects by double demeaning: </w:t>
      </w:r>
      <w:r>
        <w:rPr>
          <w:i/>
        </w:rPr>
        <w:t>x </w:t>
      </w:r>
      <w:r>
        <w:rPr/>
        <w:t>= x</w:t>
      </w:r>
      <w:r>
        <w:rPr>
          <w:i/>
          <w:vertAlign w:val="subscript"/>
        </w:rPr>
        <w:t>it</w:t>
      </w:r>
      <w:r>
        <w:rPr>
          <w:i/>
          <w:spacing w:val="-15"/>
          <w:vertAlign w:val="baseline"/>
        </w:rPr>
        <w:t> </w:t>
      </w:r>
      <w:r>
        <w:rPr>
          <w:vertAlign w:val="baseline"/>
        </w:rPr>
        <w:t>− </w:t>
      </w:r>
      <w:r>
        <w:rPr>
          <w:strike/>
          <w:vertAlign w:val="baseline"/>
        </w:rPr>
        <w:t>x</w:t>
      </w:r>
      <w:r>
        <w:rPr>
          <w:i/>
          <w:strike w:val="0"/>
          <w:vertAlign w:val="subscript"/>
        </w:rPr>
        <w:t>i</w:t>
      </w:r>
      <w:r>
        <w:rPr>
          <w:rFonts w:ascii="Segoe UI Symbol" w:hAnsi="Segoe UI Symbol"/>
          <w:strike w:val="0"/>
          <w:vertAlign w:val="subscript"/>
        </w:rPr>
        <w:t>⋅</w:t>
      </w:r>
      <w:r>
        <w:rPr>
          <w:rFonts w:ascii="Segoe UI Symbol" w:hAnsi="Segoe UI Symbol"/>
          <w:strike w:val="0"/>
          <w:spacing w:val="-17"/>
          <w:vertAlign w:val="baseline"/>
        </w:rPr>
        <w:t> </w:t>
      </w:r>
      <w:r>
        <w:rPr>
          <w:strike w:val="0"/>
          <w:vertAlign w:val="baseline"/>
        </w:rPr>
        <w:t>− </w:t>
      </w:r>
      <w:r>
        <w:rPr>
          <w:strike/>
          <w:vertAlign w:val="baseline"/>
        </w:rPr>
        <w:t>x</w:t>
      </w:r>
      <w:r>
        <w:rPr>
          <w:rFonts w:ascii="Segoe UI Symbol" w:hAnsi="Segoe UI Symbol"/>
          <w:strike w:val="0"/>
          <w:vertAlign w:val="subscript"/>
        </w:rPr>
        <w:t>⋅</w:t>
      </w:r>
      <w:r>
        <w:rPr>
          <w:i/>
          <w:strike w:val="0"/>
          <w:vertAlign w:val="subscript"/>
        </w:rPr>
        <w:t>t</w:t>
      </w:r>
      <w:r>
        <w:rPr>
          <w:i/>
          <w:strike w:val="0"/>
          <w:spacing w:val="-15"/>
          <w:vertAlign w:val="baseline"/>
        </w:rPr>
        <w:t> </w:t>
      </w:r>
      <w:r>
        <w:rPr>
          <w:strike w:val="0"/>
          <w:vertAlign w:val="baseline"/>
        </w:rPr>
        <w:t>+ </w:t>
      </w:r>
      <w:r>
        <w:rPr>
          <w:strike/>
          <w:vertAlign w:val="baseline"/>
        </w:rPr>
        <w:t>x</w:t>
      </w:r>
      <w:r>
        <w:rPr>
          <w:rFonts w:ascii="Segoe UI Symbol" w:hAnsi="Segoe UI Symbol"/>
          <w:strike w:val="0"/>
          <w:vertAlign w:val="subscript"/>
        </w:rPr>
        <w:t>⋅⋅</w:t>
      </w:r>
      <w:r>
        <w:rPr>
          <w:strike w:val="0"/>
          <w:vertAlign w:val="baseline"/>
        </w:rPr>
        <w:t>. The list of variables included as controls, along with summary statistics, are provided in Table </w:t>
      </w:r>
      <w:r>
        <w:rPr>
          <w:strike w:val="0"/>
          <w:color w:val="0000FF"/>
          <w:vertAlign w:val="baseline"/>
        </w:rPr>
        <w:t>1</w:t>
      </w:r>
      <w:r>
        <w:rPr>
          <w:strike w:val="0"/>
          <w:vertAlign w:val="baseline"/>
        </w:rPr>
        <w:t>.</w:t>
      </w:r>
    </w:p>
    <w:p>
      <w:pPr>
        <w:pStyle w:val="BodyText"/>
        <w:spacing w:before="3"/>
      </w:pPr>
    </w:p>
    <w:p>
      <w:pPr>
        <w:pStyle w:val="ListParagraph"/>
        <w:numPr>
          <w:ilvl w:val="1"/>
          <w:numId w:val="34"/>
        </w:numPr>
        <w:tabs>
          <w:tab w:pos="712" w:val="left" w:leader="none"/>
        </w:tabs>
        <w:spacing w:line="240" w:lineRule="auto" w:before="0" w:after="0"/>
        <w:ind w:left="712" w:right="0" w:hanging="360"/>
        <w:jc w:val="left"/>
        <w:rPr>
          <w:sz w:val="24"/>
        </w:rPr>
      </w:pPr>
      <w:r>
        <w:rPr>
          <w:sz w:val="24"/>
        </w:rPr>
        <w:t>Event </w:t>
      </w:r>
      <w:r>
        <w:rPr>
          <w:spacing w:val="-2"/>
          <w:sz w:val="24"/>
        </w:rPr>
        <w:t>study</w:t>
      </w:r>
    </w:p>
    <w:p>
      <w:pPr>
        <w:pStyle w:val="BodyText"/>
        <w:spacing w:before="246"/>
        <w:ind w:left="352" w:right="1795"/>
        <w:jc w:val="both"/>
      </w:pPr>
      <w:r>
        <w:rPr/>
        <w:t>We examine the dynamics of treatment effects using an event study framework that allows </w:t>
      </w:r>
      <w:r>
        <w:rPr/>
        <w:t>the effect to vary over time:</w:t>
      </w:r>
    </w:p>
    <w:p>
      <w:pPr>
        <w:pStyle w:val="BodyText"/>
        <w:spacing w:after="0"/>
        <w:jc w:val="both"/>
        <w:sectPr>
          <w:pgSz w:w="12240" w:h="15840"/>
          <w:pgMar w:header="0" w:footer="707" w:top="640" w:bottom="960" w:left="720" w:right="0"/>
        </w:sectPr>
      </w:pPr>
    </w:p>
    <w:p>
      <w:pPr>
        <w:spacing w:line="240" w:lineRule="auto"/>
        <w:ind w:left="922" w:right="0" w:firstLine="0"/>
        <w:rPr>
          <w:sz w:val="20"/>
        </w:rPr>
      </w:pPr>
      <w:r>
        <w:rPr>
          <w:sz w:val="20"/>
        </w:rPr>
        <w:drawing>
          <wp:inline distT="0" distB="0" distL="0" distR="0">
            <wp:extent cx="5038725" cy="1295400"/>
            <wp:effectExtent l="0" t="0" r="0" b="0"/>
            <wp:docPr id="82" name="Image 82"/>
            <wp:cNvGraphicFramePr>
              <a:graphicFrameLocks/>
            </wp:cNvGraphicFramePr>
            <a:graphic>
              <a:graphicData uri="http://schemas.openxmlformats.org/drawingml/2006/picture">
                <pic:pic>
                  <pic:nvPicPr>
                    <pic:cNvPr id="82" name="Image 82"/>
                    <pic:cNvPicPr/>
                  </pic:nvPicPr>
                  <pic:blipFill>
                    <a:blip r:embed="rId265" cstate="print"/>
                    <a:stretch>
                      <a:fillRect/>
                    </a:stretch>
                  </pic:blipFill>
                  <pic:spPr>
                    <a:xfrm>
                      <a:off x="0" y="0"/>
                      <a:ext cx="5038725" cy="1295400"/>
                    </a:xfrm>
                    <a:prstGeom prst="rect">
                      <a:avLst/>
                    </a:prstGeom>
                  </pic:spPr>
                </pic:pic>
              </a:graphicData>
            </a:graphic>
          </wp:inline>
        </w:drawing>
      </w:r>
      <w:r>
        <w:rPr>
          <w:sz w:val="20"/>
        </w:rPr>
      </w:r>
    </w:p>
    <w:p>
      <w:pPr>
        <w:pStyle w:val="BodyText"/>
      </w:pPr>
    </w:p>
    <w:p>
      <w:pPr>
        <w:pStyle w:val="BodyText"/>
        <w:spacing w:before="34"/>
      </w:pPr>
    </w:p>
    <w:p>
      <w:pPr>
        <w:spacing w:before="0"/>
        <w:ind w:left="352" w:right="0" w:firstLine="0"/>
        <w:jc w:val="left"/>
        <w:rPr>
          <w:sz w:val="24"/>
        </w:rPr>
      </w:pPr>
      <w:r>
        <w:rPr>
          <w:sz w:val="24"/>
        </w:rPr>
        <mc:AlternateContent>
          <mc:Choice Requires="wps">
            <w:drawing>
              <wp:anchor distT="0" distB="0" distL="0" distR="0" allowOverlap="1" layoutInCell="1" locked="0" behindDoc="1" simplePos="0" relativeHeight="483886080">
                <wp:simplePos x="0" y="0"/>
                <wp:positionH relativeFrom="page">
                  <wp:posOffset>2856289</wp:posOffset>
                </wp:positionH>
                <wp:positionV relativeFrom="paragraph">
                  <wp:posOffset>87373</wp:posOffset>
                </wp:positionV>
                <wp:extent cx="71120" cy="101600"/>
                <wp:effectExtent l="0" t="0" r="0" b="0"/>
                <wp:wrapNone/>
                <wp:docPr id="83" name="Textbox 83"/>
                <wp:cNvGraphicFramePr>
                  <a:graphicFrameLocks/>
                </wp:cNvGraphicFramePr>
                <a:graphic>
                  <a:graphicData uri="http://schemas.microsoft.com/office/word/2010/wordprocessingShape">
                    <wps:wsp>
                      <wps:cNvPr id="83" name="Textbox 83"/>
                      <wps:cNvSpPr txBox="1"/>
                      <wps:spPr>
                        <a:xfrm>
                          <a:off x="0" y="0"/>
                          <a:ext cx="71120" cy="101600"/>
                        </a:xfrm>
                        <a:prstGeom prst="rect">
                          <a:avLst/>
                        </a:prstGeom>
                      </wps:spPr>
                      <wps:txbx>
                        <w:txbxContent>
                          <w:p>
                            <w:pPr>
                              <w:spacing w:line="159" w:lineRule="exact" w:before="0"/>
                              <w:ind w:left="0" w:right="0" w:firstLine="0"/>
                              <w:jc w:val="left"/>
                              <w:rPr>
                                <w:i/>
                                <w:sz w:val="14"/>
                              </w:rPr>
                            </w:pPr>
                            <w:r>
                              <w:rPr>
                                <w:i/>
                                <w:spacing w:val="-5"/>
                                <w:sz w:val="14"/>
                              </w:rPr>
                              <w:t>gt</w:t>
                            </w:r>
                          </w:p>
                        </w:txbxContent>
                      </wps:txbx>
                      <wps:bodyPr wrap="square" lIns="0" tIns="0" rIns="0" bIns="0" rtlCol="0">
                        <a:noAutofit/>
                      </wps:bodyPr>
                    </wps:wsp>
                  </a:graphicData>
                </a:graphic>
              </wp:anchor>
            </w:drawing>
          </mc:Choice>
          <mc:Fallback>
            <w:pict>
              <v:shape style="position:absolute;margin-left:224.904709pt;margin-top:6.879772pt;width:5.6pt;height:8pt;mso-position-horizontal-relative:page;mso-position-vertical-relative:paragraph;z-index:-19430400" type="#_x0000_t202" id="docshape29" filled="false" stroked="false">
                <v:textbox inset="0,0,0,0">
                  <w:txbxContent>
                    <w:p>
                      <w:pPr>
                        <w:spacing w:line="159" w:lineRule="exact" w:before="0"/>
                        <w:ind w:left="0" w:right="0" w:firstLine="0"/>
                        <w:jc w:val="left"/>
                        <w:rPr>
                          <w:i/>
                          <w:sz w:val="14"/>
                        </w:rPr>
                      </w:pPr>
                      <w:r>
                        <w:rPr>
                          <w:i/>
                          <w:spacing w:val="-5"/>
                          <w:sz w:val="14"/>
                        </w:rPr>
                        <w:t>gt</w:t>
                      </w:r>
                    </w:p>
                  </w:txbxContent>
                </v:textbox>
                <w10:wrap type="none"/>
              </v:shape>
            </w:pict>
          </mc:Fallback>
        </mc:AlternateContent>
      </w:r>
      <w:r>
        <w:rPr>
          <w:sz w:val="24"/>
        </w:rPr>
        <w:t>where</w:t>
      </w:r>
      <w:r>
        <w:rPr>
          <w:spacing w:val="43"/>
          <w:sz w:val="24"/>
        </w:rPr>
        <w:t> </w:t>
      </w:r>
      <w:r>
        <w:rPr>
          <w:i/>
          <w:sz w:val="24"/>
        </w:rPr>
        <w:t>Property</w:t>
      </w:r>
      <w:r>
        <w:rPr>
          <w:i/>
          <w:spacing w:val="43"/>
          <w:sz w:val="24"/>
        </w:rPr>
        <w:t> </w:t>
      </w:r>
      <w:r>
        <w:rPr>
          <w:i/>
          <w:sz w:val="24"/>
        </w:rPr>
        <w:t>damage</w:t>
      </w:r>
      <w:r>
        <w:rPr>
          <w:i/>
          <w:spacing w:val="43"/>
          <w:sz w:val="24"/>
        </w:rPr>
        <w:t> </w:t>
      </w:r>
      <w:r>
        <w:rPr>
          <w:i/>
          <w:sz w:val="24"/>
        </w:rPr>
        <w:t>indicator</w:t>
      </w:r>
      <w:r>
        <w:rPr>
          <w:i/>
          <w:sz w:val="24"/>
          <w:vertAlign w:val="superscript"/>
        </w:rPr>
        <w:t>l</w:t>
      </w:r>
      <w:r>
        <w:rPr>
          <w:i/>
          <w:spacing w:val="26"/>
          <w:sz w:val="24"/>
          <w:vertAlign w:val="baseline"/>
        </w:rPr>
        <w:t>  </w:t>
      </w:r>
      <w:r>
        <w:rPr>
          <w:sz w:val="24"/>
          <w:vertAlign w:val="baseline"/>
        </w:rPr>
        <w:t>is</w:t>
      </w:r>
      <w:r>
        <w:rPr>
          <w:spacing w:val="29"/>
          <w:sz w:val="24"/>
          <w:vertAlign w:val="baseline"/>
        </w:rPr>
        <w:t> </w:t>
      </w:r>
      <w:r>
        <w:rPr>
          <w:sz w:val="24"/>
          <w:vertAlign w:val="baseline"/>
        </w:rPr>
        <w:t>a</w:t>
      </w:r>
      <w:r>
        <w:rPr>
          <w:spacing w:val="29"/>
          <w:sz w:val="24"/>
          <w:vertAlign w:val="baseline"/>
        </w:rPr>
        <w:t> </w:t>
      </w:r>
      <w:r>
        <w:rPr>
          <w:sz w:val="24"/>
          <w:vertAlign w:val="baseline"/>
        </w:rPr>
        <w:t>binary</w:t>
      </w:r>
      <w:r>
        <w:rPr>
          <w:spacing w:val="28"/>
          <w:sz w:val="24"/>
          <w:vertAlign w:val="baseline"/>
        </w:rPr>
        <w:t> </w:t>
      </w:r>
      <w:r>
        <w:rPr>
          <w:sz w:val="24"/>
          <w:vertAlign w:val="baseline"/>
        </w:rPr>
        <w:t>indicator</w:t>
      </w:r>
      <w:r>
        <w:rPr>
          <w:spacing w:val="28"/>
          <w:sz w:val="24"/>
          <w:vertAlign w:val="baseline"/>
        </w:rPr>
        <w:t> </w:t>
      </w:r>
      <w:r>
        <w:rPr>
          <w:sz w:val="24"/>
          <w:vertAlign w:val="baseline"/>
        </w:rPr>
        <w:t>equal</w:t>
      </w:r>
      <w:r>
        <w:rPr>
          <w:spacing w:val="29"/>
          <w:sz w:val="24"/>
          <w:vertAlign w:val="baseline"/>
        </w:rPr>
        <w:t> </w:t>
      </w:r>
      <w:r>
        <w:rPr>
          <w:sz w:val="24"/>
          <w:vertAlign w:val="baseline"/>
        </w:rPr>
        <w:t>to</w:t>
      </w:r>
      <w:r>
        <w:rPr>
          <w:spacing w:val="28"/>
          <w:sz w:val="24"/>
          <w:vertAlign w:val="baseline"/>
        </w:rPr>
        <w:t> </w:t>
      </w:r>
      <w:r>
        <w:rPr>
          <w:sz w:val="24"/>
          <w:vertAlign w:val="baseline"/>
        </w:rPr>
        <w:t>1</w:t>
      </w:r>
      <w:r>
        <w:rPr>
          <w:spacing w:val="28"/>
          <w:sz w:val="24"/>
          <w:vertAlign w:val="baseline"/>
        </w:rPr>
        <w:t> </w:t>
      </w:r>
      <w:r>
        <w:rPr>
          <w:sz w:val="24"/>
          <w:vertAlign w:val="baseline"/>
        </w:rPr>
        <w:t>if</w:t>
      </w:r>
      <w:r>
        <w:rPr>
          <w:spacing w:val="28"/>
          <w:sz w:val="24"/>
          <w:vertAlign w:val="baseline"/>
        </w:rPr>
        <w:t> </w:t>
      </w:r>
      <w:r>
        <w:rPr>
          <w:sz w:val="24"/>
          <w:vertAlign w:val="baseline"/>
        </w:rPr>
        <w:t>the</w:t>
      </w:r>
      <w:r>
        <w:rPr>
          <w:spacing w:val="29"/>
          <w:sz w:val="24"/>
          <w:vertAlign w:val="baseline"/>
        </w:rPr>
        <w:t> </w:t>
      </w:r>
      <w:r>
        <w:rPr>
          <w:sz w:val="24"/>
          <w:vertAlign w:val="baseline"/>
        </w:rPr>
        <w:t>observation’s</w:t>
      </w:r>
      <w:r>
        <w:rPr>
          <w:spacing w:val="28"/>
          <w:sz w:val="24"/>
          <w:vertAlign w:val="baseline"/>
        </w:rPr>
        <w:t> </w:t>
      </w:r>
      <w:r>
        <w:rPr>
          <w:spacing w:val="-2"/>
          <w:sz w:val="24"/>
          <w:vertAlign w:val="baseline"/>
        </w:rPr>
        <w:t>period</w:t>
      </w:r>
    </w:p>
    <w:p>
      <w:pPr>
        <w:pStyle w:val="BodyText"/>
        <w:ind w:left="352" w:right="1770"/>
        <w:jc w:val="both"/>
      </w:pPr>
      <w:r>
        <w:rPr/>
        <w:t>relative to group </w:t>
      </w:r>
      <w:r>
        <w:rPr>
          <w:i/>
        </w:rPr>
        <w:t>g</w:t>
      </w:r>
      <w:r>
        <w:rPr/>
        <w:t>’s first treatment period matches </w:t>
      </w:r>
      <w:r>
        <w:rPr>
          <w:i/>
        </w:rPr>
        <w:t>l</w:t>
      </w:r>
      <w:r>
        <w:rPr/>
        <w:t>, and 0 otherwise (and 0 for never-treated groups). The parameters </w:t>
      </w:r>
      <w:r>
        <w:rPr>
          <w:i/>
        </w:rPr>
        <w:t>λ</w:t>
      </w:r>
      <w:r>
        <w:rPr>
          <w:i/>
          <w:vertAlign w:val="subscript"/>
        </w:rPr>
        <w:t>l</w:t>
      </w:r>
      <w:r>
        <w:rPr>
          <w:i/>
          <w:vertAlign w:val="baseline"/>
        </w:rPr>
        <w:t> </w:t>
      </w:r>
      <w:r>
        <w:rPr>
          <w:vertAlign w:val="baseline"/>
        </w:rPr>
        <w:t>and </w:t>
      </w:r>
      <w:r>
        <w:rPr>
          <w:i/>
          <w:vertAlign w:val="baseline"/>
        </w:rPr>
        <w:t>τ</w:t>
      </w:r>
      <w:r>
        <w:rPr>
          <w:i/>
          <w:vertAlign w:val="subscript"/>
        </w:rPr>
        <w:t>l</w:t>
      </w:r>
      <w:r>
        <w:rPr>
          <w:i/>
          <w:spacing w:val="-12"/>
          <w:vertAlign w:val="baseline"/>
        </w:rPr>
        <w:t> </w:t>
      </w:r>
      <w:r>
        <w:rPr>
          <w:vertAlign w:val="baseline"/>
        </w:rPr>
        <w:t>capture changes in depressive symptoms relative to the </w:t>
      </w:r>
      <w:r>
        <w:rPr>
          <w:vertAlign w:val="baseline"/>
        </w:rPr>
        <w:t>period before treatment. Negative </w:t>
      </w:r>
      <w:r>
        <w:rPr>
          <w:i/>
          <w:vertAlign w:val="baseline"/>
        </w:rPr>
        <w:t>l </w:t>
      </w:r>
      <w:r>
        <w:rPr>
          <w:vertAlign w:val="baseline"/>
        </w:rPr>
        <w:t>values refer to periods before disaster related property damage;</w:t>
      </w:r>
      <w:r>
        <w:rPr>
          <w:spacing w:val="40"/>
          <w:vertAlign w:val="baseline"/>
        </w:rPr>
        <w:t> </w:t>
      </w:r>
      <w:r>
        <w:rPr>
          <w:vertAlign w:val="baseline"/>
        </w:rPr>
        <w:t>under</w:t>
      </w:r>
      <w:r>
        <w:rPr>
          <w:spacing w:val="80"/>
          <w:w w:val="150"/>
          <w:vertAlign w:val="baseline"/>
        </w:rPr>
        <w:t> </w:t>
      </w:r>
      <w:r>
        <w:rPr>
          <w:vertAlign w:val="baseline"/>
        </w:rPr>
        <w:t>the</w:t>
      </w:r>
      <w:r>
        <w:rPr>
          <w:spacing w:val="80"/>
          <w:w w:val="150"/>
          <w:vertAlign w:val="baseline"/>
        </w:rPr>
        <w:t> </w:t>
      </w:r>
      <w:r>
        <w:rPr>
          <w:vertAlign w:val="baseline"/>
        </w:rPr>
        <w:t>parallel</w:t>
      </w:r>
      <w:r>
        <w:rPr>
          <w:spacing w:val="80"/>
          <w:w w:val="150"/>
          <w:vertAlign w:val="baseline"/>
        </w:rPr>
        <w:t> </w:t>
      </w:r>
      <w:r>
        <w:rPr>
          <w:vertAlign w:val="baseline"/>
        </w:rPr>
        <w:t>trends</w:t>
      </w:r>
      <w:r>
        <w:rPr>
          <w:spacing w:val="80"/>
          <w:w w:val="150"/>
          <w:vertAlign w:val="baseline"/>
        </w:rPr>
        <w:t> </w:t>
      </w:r>
      <w:r>
        <w:rPr>
          <w:vertAlign w:val="baseline"/>
        </w:rPr>
        <w:t>assumption</w:t>
      </w:r>
      <w:r>
        <w:rPr>
          <w:spacing w:val="80"/>
          <w:w w:val="150"/>
          <w:vertAlign w:val="baseline"/>
        </w:rPr>
        <w:t> </w:t>
      </w:r>
      <w:r>
        <w:rPr>
          <w:vertAlign w:val="baseline"/>
        </w:rPr>
        <w:t>(treated</w:t>
      </w:r>
      <w:r>
        <w:rPr>
          <w:spacing w:val="80"/>
          <w:w w:val="150"/>
          <w:vertAlign w:val="baseline"/>
        </w:rPr>
        <w:t> </w:t>
      </w:r>
      <w:r>
        <w:rPr>
          <w:vertAlign w:val="baseline"/>
        </w:rPr>
        <w:t>and</w:t>
      </w:r>
      <w:r>
        <w:rPr>
          <w:spacing w:val="80"/>
          <w:w w:val="150"/>
          <w:vertAlign w:val="baseline"/>
        </w:rPr>
        <w:t> </w:t>
      </w:r>
      <w:r>
        <w:rPr>
          <w:vertAlign w:val="baseline"/>
        </w:rPr>
        <w:t>control</w:t>
      </w:r>
      <w:r>
        <w:rPr>
          <w:spacing w:val="80"/>
          <w:w w:val="150"/>
          <w:vertAlign w:val="baseline"/>
        </w:rPr>
        <w:t> </w:t>
      </w:r>
      <w:r>
        <w:rPr>
          <w:vertAlign w:val="baseline"/>
        </w:rPr>
        <w:t>units</w:t>
      </w:r>
      <w:r>
        <w:rPr>
          <w:spacing w:val="80"/>
          <w:w w:val="150"/>
          <w:vertAlign w:val="baseline"/>
        </w:rPr>
        <w:t> </w:t>
      </w:r>
      <w:r>
        <w:rPr>
          <w:vertAlign w:val="baseline"/>
        </w:rPr>
        <w:t>follow</w:t>
      </w:r>
      <w:r>
        <w:rPr>
          <w:spacing w:val="80"/>
          <w:w w:val="150"/>
          <w:vertAlign w:val="baseline"/>
        </w:rPr>
        <w:t> </w:t>
      </w:r>
      <w:r>
        <w:rPr>
          <w:vertAlign w:val="baseline"/>
        </w:rPr>
        <w:t>similar</w:t>
      </w:r>
      <w:r>
        <w:rPr>
          <w:spacing w:val="80"/>
          <w:vertAlign w:val="baseline"/>
        </w:rPr>
        <w:t> </w:t>
      </w:r>
      <w:r>
        <w:rPr>
          <w:vertAlign w:val="baseline"/>
        </w:rPr>
        <w:t>paths pre-treatment), </w:t>
      </w:r>
      <w:r>
        <w:rPr>
          <w:i/>
          <w:vertAlign w:val="baseline"/>
        </w:rPr>
        <w:t>λ </w:t>
      </w:r>
      <w:r>
        <w:rPr>
          <w:vertAlign w:val="baseline"/>
        </w:rPr>
        <w:t>estimates should be statistically zero, providing a test of our identification assumption. Values</w:t>
      </w:r>
      <w:r>
        <w:rPr>
          <w:spacing w:val="-4"/>
          <w:vertAlign w:val="baseline"/>
        </w:rPr>
        <w:t> </w:t>
      </w:r>
      <w:r>
        <w:rPr>
          <w:vertAlign w:val="baseline"/>
        </w:rPr>
        <w:t>of</w:t>
      </w:r>
      <w:r>
        <w:rPr>
          <w:spacing w:val="-4"/>
          <w:vertAlign w:val="baseline"/>
        </w:rPr>
        <w:t> </w:t>
      </w:r>
      <w:r>
        <w:rPr>
          <w:i/>
          <w:vertAlign w:val="baseline"/>
        </w:rPr>
        <w:t>l</w:t>
      </w:r>
      <w:r>
        <w:rPr>
          <w:i/>
          <w:spacing w:val="-4"/>
          <w:vertAlign w:val="baseline"/>
        </w:rPr>
        <w:t> </w:t>
      </w:r>
      <w:r>
        <w:rPr>
          <w:vertAlign w:val="baseline"/>
        </w:rPr>
        <w:t>that</w:t>
      </w:r>
      <w:r>
        <w:rPr>
          <w:spacing w:val="-4"/>
          <w:vertAlign w:val="baseline"/>
        </w:rPr>
        <w:t> </w:t>
      </w:r>
      <w:r>
        <w:rPr>
          <w:vertAlign w:val="baseline"/>
        </w:rPr>
        <w:t>are</w:t>
      </w:r>
      <w:r>
        <w:rPr>
          <w:spacing w:val="-4"/>
          <w:vertAlign w:val="baseline"/>
        </w:rPr>
        <w:t> </w:t>
      </w:r>
      <w:r>
        <w:rPr>
          <w:vertAlign w:val="baseline"/>
        </w:rPr>
        <w:t>zero</w:t>
      </w:r>
      <w:r>
        <w:rPr>
          <w:spacing w:val="-4"/>
          <w:vertAlign w:val="baseline"/>
        </w:rPr>
        <w:t> </w:t>
      </w:r>
      <w:r>
        <w:rPr>
          <w:vertAlign w:val="baseline"/>
        </w:rPr>
        <w:t>or</w:t>
      </w:r>
      <w:r>
        <w:rPr>
          <w:spacing w:val="-4"/>
          <w:vertAlign w:val="baseline"/>
        </w:rPr>
        <w:t> </w:t>
      </w:r>
      <w:r>
        <w:rPr>
          <w:vertAlign w:val="baseline"/>
        </w:rPr>
        <w:t>positive</w:t>
      </w:r>
      <w:r>
        <w:rPr>
          <w:spacing w:val="-4"/>
          <w:vertAlign w:val="baseline"/>
        </w:rPr>
        <w:t> </w:t>
      </w:r>
      <w:r>
        <w:rPr>
          <w:vertAlign w:val="baseline"/>
        </w:rPr>
        <w:t>refer</w:t>
      </w:r>
      <w:r>
        <w:rPr>
          <w:spacing w:val="-4"/>
          <w:vertAlign w:val="baseline"/>
        </w:rPr>
        <w:t> </w:t>
      </w:r>
      <w:r>
        <w:rPr>
          <w:vertAlign w:val="baseline"/>
        </w:rPr>
        <w:t>to</w:t>
      </w:r>
      <w:r>
        <w:rPr>
          <w:spacing w:val="-4"/>
          <w:vertAlign w:val="baseline"/>
        </w:rPr>
        <w:t> </w:t>
      </w:r>
      <w:r>
        <w:rPr>
          <w:vertAlign w:val="baseline"/>
        </w:rPr>
        <w:t>periods</w:t>
      </w:r>
      <w:r>
        <w:rPr>
          <w:spacing w:val="-4"/>
          <w:vertAlign w:val="baseline"/>
        </w:rPr>
        <w:t> </w:t>
      </w:r>
      <w:r>
        <w:rPr>
          <w:vertAlign w:val="baseline"/>
        </w:rPr>
        <w:t>after</w:t>
      </w:r>
      <w:r>
        <w:rPr>
          <w:spacing w:val="-4"/>
          <w:vertAlign w:val="baseline"/>
        </w:rPr>
        <w:t> </w:t>
      </w:r>
      <w:r>
        <w:rPr>
          <w:vertAlign w:val="baseline"/>
        </w:rPr>
        <w:t>the</w:t>
      </w:r>
      <w:r>
        <w:rPr>
          <w:spacing w:val="-4"/>
          <w:vertAlign w:val="baseline"/>
        </w:rPr>
        <w:t> </w:t>
      </w:r>
      <w:r>
        <w:rPr>
          <w:vertAlign w:val="baseline"/>
        </w:rPr>
        <w:t>disaster;</w:t>
      </w:r>
      <w:r>
        <w:rPr>
          <w:spacing w:val="-4"/>
          <w:vertAlign w:val="baseline"/>
        </w:rPr>
        <w:t> </w:t>
      </w:r>
      <w:r>
        <w:rPr>
          <w:vertAlign w:val="baseline"/>
        </w:rPr>
        <w:t>the</w:t>
      </w:r>
      <w:r>
        <w:rPr>
          <w:spacing w:val="-4"/>
          <w:vertAlign w:val="baseline"/>
        </w:rPr>
        <w:t> </w:t>
      </w:r>
      <w:r>
        <w:rPr>
          <w:vertAlign w:val="baseline"/>
        </w:rPr>
        <w:t>estimates</w:t>
      </w:r>
      <w:r>
        <w:rPr>
          <w:spacing w:val="-4"/>
          <w:vertAlign w:val="baseline"/>
        </w:rPr>
        <w:t> </w:t>
      </w:r>
      <w:r>
        <w:rPr>
          <w:vertAlign w:val="baseline"/>
        </w:rPr>
        <w:t>of </w:t>
      </w:r>
      <w:r>
        <w:rPr>
          <w:i/>
          <w:vertAlign w:val="baseline"/>
        </w:rPr>
        <w:t>τ</w:t>
      </w:r>
      <w:r>
        <w:rPr>
          <w:i/>
          <w:vertAlign w:val="subscript"/>
        </w:rPr>
        <w:t>l</w:t>
      </w:r>
      <w:r>
        <w:rPr>
          <w:i/>
          <w:spacing w:val="-18"/>
          <w:vertAlign w:val="baseline"/>
        </w:rPr>
        <w:t> </w:t>
      </w:r>
      <w:r>
        <w:rPr>
          <w:vertAlign w:val="baseline"/>
        </w:rPr>
        <w:t>capture the effect of property damage </w:t>
      </w:r>
      <w:r>
        <w:rPr>
          <w:i/>
          <w:vertAlign w:val="baseline"/>
        </w:rPr>
        <w:t>l </w:t>
      </w:r>
      <w:r>
        <w:rPr>
          <w:vertAlign w:val="baseline"/>
        </w:rPr>
        <w:t>periods after the disaster.</w:t>
      </w:r>
    </w:p>
    <w:p>
      <w:pPr>
        <w:pStyle w:val="BodyText"/>
        <w:spacing w:before="265"/>
        <w:ind w:left="352" w:right="1783"/>
        <w:jc w:val="both"/>
      </w:pPr>
      <w:r>
        <w:rPr/>
        <w:t>Within this event</w:t>
      </w:r>
      <w:r>
        <w:rPr>
          <w:spacing w:val="-4"/>
        </w:rPr>
        <w:t> </w:t>
      </w:r>
      <w:r>
        <w:rPr/>
        <w:t>study</w:t>
      </w:r>
      <w:r>
        <w:rPr>
          <w:spacing w:val="-4"/>
        </w:rPr>
        <w:t> </w:t>
      </w:r>
      <w:r>
        <w:rPr/>
        <w:t>framework,</w:t>
      </w:r>
      <w:r>
        <w:rPr>
          <w:spacing w:val="-4"/>
        </w:rPr>
        <w:t> </w:t>
      </w:r>
      <w:r>
        <w:rPr/>
        <w:t>we</w:t>
      </w:r>
      <w:r>
        <w:rPr>
          <w:spacing w:val="-4"/>
        </w:rPr>
        <w:t> </w:t>
      </w:r>
      <w:r>
        <w:rPr/>
        <w:t>implement</w:t>
      </w:r>
      <w:r>
        <w:rPr>
          <w:spacing w:val="-4"/>
        </w:rPr>
        <w:t> </w:t>
      </w:r>
      <w:r>
        <w:rPr/>
        <w:t>the</w:t>
      </w:r>
      <w:r>
        <w:rPr>
          <w:spacing w:val="-4"/>
        </w:rPr>
        <w:t> </w:t>
      </w:r>
      <w:r>
        <w:rPr>
          <w:color w:val="0000FF"/>
        </w:rPr>
        <w:t>Callaway</w:t>
      </w:r>
      <w:r>
        <w:rPr>
          <w:color w:val="0000FF"/>
          <w:spacing w:val="-4"/>
        </w:rPr>
        <w:t> </w:t>
      </w:r>
      <w:r>
        <w:rPr>
          <w:color w:val="0000FF"/>
        </w:rPr>
        <w:t>and</w:t>
      </w:r>
      <w:r>
        <w:rPr>
          <w:color w:val="0000FF"/>
          <w:spacing w:val="-4"/>
        </w:rPr>
        <w:t> </w:t>
      </w:r>
      <w:r>
        <w:rPr>
          <w:color w:val="0000FF"/>
        </w:rPr>
        <w:t>Sant’Anna</w:t>
      </w:r>
      <w:r>
        <w:rPr>
          <w:color w:val="0000FF"/>
          <w:spacing w:val="-4"/>
        </w:rPr>
        <w:t> </w:t>
      </w:r>
      <w:r>
        <w:rPr/>
        <w:t>(</w:t>
      </w:r>
      <w:r>
        <w:rPr>
          <w:color w:val="0000FF"/>
        </w:rPr>
        <w:t>2021</w:t>
      </w:r>
      <w:r>
        <w:rPr/>
        <w:t>)</w:t>
      </w:r>
      <w:r>
        <w:rPr>
          <w:spacing w:val="-4"/>
        </w:rPr>
        <w:t> </w:t>
      </w:r>
      <w:r>
        <w:rPr/>
        <w:t>estimator, which enables causal inference despite treatment effect heterogeneity and dynamic effects. </w:t>
      </w:r>
      <w:r>
        <w:rPr/>
        <w:t>This estimator identifies the group-time average treatment effect </w:t>
      </w:r>
      <w:r>
        <w:rPr>
          <w:i/>
        </w:rPr>
        <w:t>ATT </w:t>
      </w:r>
      <w:r>
        <w:rPr/>
        <w:t>(</w:t>
      </w:r>
      <w:r>
        <w:rPr>
          <w:i/>
        </w:rPr>
        <w:t>g,t</w:t>
      </w:r>
      <w:r>
        <w:rPr/>
        <w:t>), which measures the treatment effect for group </w:t>
      </w:r>
      <w:r>
        <w:rPr>
          <w:i/>
        </w:rPr>
        <w:t>g </w:t>
      </w:r>
      <w:r>
        <w:rPr/>
        <w:t>a t time </w:t>
      </w:r>
      <w:r>
        <w:rPr>
          <w:i/>
        </w:rPr>
        <w:t>t</w:t>
      </w:r>
      <w:r>
        <w:rPr/>
        <w:t>, where groups are defined by when they first receive treatment. The </w:t>
      </w:r>
      <w:r>
        <w:rPr>
          <w:i/>
        </w:rPr>
        <w:t>AT T</w:t>
      </w:r>
      <w:r>
        <w:rPr/>
        <w:t>(</w:t>
      </w:r>
      <w:r>
        <w:rPr>
          <w:i/>
        </w:rPr>
        <w:t>g, t </w:t>
      </w:r>
      <w:r>
        <w:rPr/>
        <w:t>) i s the difference in outcomes between the period before the disaster and the current period for group </w:t>
      </w:r>
      <w:r>
        <w:rPr>
          <w:i/>
        </w:rPr>
        <w:t>g</w:t>
      </w:r>
      <w:r>
        <w:rPr/>
        <w:t>, adjusted by the outcome</w:t>
      </w:r>
      <w:r>
        <w:rPr>
          <w:spacing w:val="-2"/>
        </w:rPr>
        <w:t> </w:t>
      </w:r>
      <w:r>
        <w:rPr/>
        <w:t>path</w:t>
      </w:r>
      <w:r>
        <w:rPr>
          <w:spacing w:val="-2"/>
        </w:rPr>
        <w:t> </w:t>
      </w:r>
      <w:r>
        <w:rPr/>
        <w:t>of</w:t>
      </w:r>
      <w:r>
        <w:rPr>
          <w:spacing w:val="-2"/>
        </w:rPr>
        <w:t> </w:t>
      </w:r>
      <w:r>
        <w:rPr/>
        <w:t>a</w:t>
      </w:r>
      <w:r>
        <w:rPr>
          <w:spacing w:val="-2"/>
        </w:rPr>
        <w:t> </w:t>
      </w:r>
      <w:r>
        <w:rPr/>
        <w:t>comparison</w:t>
      </w:r>
      <w:r>
        <w:rPr>
          <w:spacing w:val="-2"/>
        </w:rPr>
        <w:t> </w:t>
      </w:r>
      <w:r>
        <w:rPr/>
        <w:t>group.</w:t>
      </w:r>
      <w:r>
        <w:rPr>
          <w:spacing w:val="-2"/>
        </w:rPr>
        <w:t> </w:t>
      </w:r>
      <w:r>
        <w:rPr/>
        <w:t>If</w:t>
      </w:r>
      <w:r>
        <w:rPr>
          <w:spacing w:val="-2"/>
        </w:rPr>
        <w:t> </w:t>
      </w:r>
      <w:r>
        <w:rPr/>
        <w:t>there is no treatment anticipation and the parallel trends assumption holds, </w:t>
      </w:r>
      <w:r>
        <w:rPr>
          <w:i/>
        </w:rPr>
        <w:t>ATT</w:t>
      </w:r>
      <w:r>
        <w:rPr/>
        <w:t>(</w:t>
      </w:r>
      <w:r>
        <w:rPr>
          <w:i/>
        </w:rPr>
        <w:t>g,t</w:t>
      </w:r>
      <w:r>
        <w:rPr/>
        <w:t>) identifies the causal effect of disaster-related property damage for group </w:t>
      </w:r>
      <w:r>
        <w:rPr>
          <w:i/>
        </w:rPr>
        <w:t>g </w:t>
      </w:r>
      <w:r>
        <w:rPr/>
        <w:t>at time </w:t>
      </w:r>
      <w:r>
        <w:rPr>
          <w:i/>
        </w:rPr>
        <w:t>t</w:t>
      </w:r>
      <w:r>
        <w:rPr/>
        <w:t>.</w:t>
      </w:r>
    </w:p>
    <w:p>
      <w:pPr>
        <w:pStyle w:val="ListParagraph"/>
        <w:numPr>
          <w:ilvl w:val="0"/>
          <w:numId w:val="34"/>
        </w:numPr>
        <w:tabs>
          <w:tab w:pos="532" w:val="left" w:leader="none"/>
        </w:tabs>
        <w:spacing w:line="240" w:lineRule="auto" w:before="276" w:after="0"/>
        <w:ind w:left="532" w:right="0" w:hanging="180"/>
        <w:jc w:val="both"/>
        <w:rPr>
          <w:sz w:val="24"/>
        </w:rPr>
      </w:pPr>
      <w:r>
        <w:rPr>
          <w:spacing w:val="-2"/>
          <w:sz w:val="24"/>
        </w:rPr>
        <w:t>Results</w:t>
      </w:r>
    </w:p>
    <w:p>
      <w:pPr>
        <w:pStyle w:val="BodyText"/>
        <w:spacing w:before="38"/>
      </w:pPr>
    </w:p>
    <w:p>
      <w:pPr>
        <w:pStyle w:val="ListParagraph"/>
        <w:numPr>
          <w:ilvl w:val="1"/>
          <w:numId w:val="34"/>
        </w:numPr>
        <w:tabs>
          <w:tab w:pos="712" w:val="left" w:leader="none"/>
        </w:tabs>
        <w:spacing w:line="240" w:lineRule="auto" w:before="0" w:after="0"/>
        <w:ind w:left="712" w:right="0" w:hanging="360"/>
        <w:jc w:val="left"/>
        <w:rPr>
          <w:sz w:val="24"/>
        </w:rPr>
      </w:pPr>
      <w:r>
        <w:rPr>
          <w:sz w:val="24"/>
        </w:rPr>
        <w:t>Descriptive </w:t>
      </w:r>
      <w:r>
        <w:rPr>
          <w:spacing w:val="-2"/>
          <w:sz w:val="24"/>
        </w:rPr>
        <w:t>statistics</w:t>
      </w:r>
    </w:p>
    <w:p>
      <w:pPr>
        <w:pStyle w:val="BodyText"/>
        <w:spacing w:before="219"/>
        <w:ind w:left="352" w:right="1788"/>
        <w:jc w:val="both"/>
      </w:pPr>
      <w:r>
        <w:rPr/>
        <w:t>Table</w:t>
      </w:r>
      <w:r>
        <w:rPr>
          <w:spacing w:val="-4"/>
        </w:rPr>
        <w:t> </w:t>
      </w:r>
      <w:r>
        <w:rPr>
          <w:color w:val="0000FF"/>
        </w:rPr>
        <w:t>1</w:t>
      </w:r>
      <w:r>
        <w:rPr>
          <w:color w:val="0000FF"/>
          <w:spacing w:val="-4"/>
        </w:rPr>
        <w:t> </w:t>
      </w:r>
      <w:r>
        <w:rPr/>
        <w:t>presents</w:t>
      </w:r>
      <w:r>
        <w:rPr>
          <w:spacing w:val="-4"/>
        </w:rPr>
        <w:t> </w:t>
      </w:r>
      <w:r>
        <w:rPr/>
        <w:t>summary</w:t>
      </w:r>
      <w:r>
        <w:rPr>
          <w:spacing w:val="-4"/>
        </w:rPr>
        <w:t> </w:t>
      </w:r>
      <w:r>
        <w:rPr/>
        <w:t>statistics</w:t>
      </w:r>
      <w:r>
        <w:rPr>
          <w:spacing w:val="-4"/>
        </w:rPr>
        <w:t> </w:t>
      </w:r>
      <w:r>
        <w:rPr/>
        <w:t>for</w:t>
      </w:r>
      <w:r>
        <w:rPr>
          <w:spacing w:val="-4"/>
        </w:rPr>
        <w:t> </w:t>
      </w:r>
      <w:r>
        <w:rPr/>
        <w:t>our</w:t>
      </w:r>
      <w:r>
        <w:rPr>
          <w:spacing w:val="-4"/>
        </w:rPr>
        <w:t> </w:t>
      </w:r>
      <w:r>
        <w:rPr/>
        <w:t>key</w:t>
      </w:r>
      <w:r>
        <w:rPr>
          <w:spacing w:val="-4"/>
        </w:rPr>
        <w:t> </w:t>
      </w:r>
      <w:r>
        <w:rPr/>
        <w:t>variables.</w:t>
      </w:r>
      <w:r>
        <w:rPr>
          <w:spacing w:val="-4"/>
        </w:rPr>
        <w:t> </w:t>
      </w:r>
      <w:r>
        <w:rPr/>
        <w:t>The</w:t>
      </w:r>
      <w:r>
        <w:rPr>
          <w:spacing w:val="-4"/>
        </w:rPr>
        <w:t> </w:t>
      </w:r>
      <w:r>
        <w:rPr/>
        <w:t>dataset</w:t>
      </w:r>
      <w:r>
        <w:rPr>
          <w:spacing w:val="-4"/>
        </w:rPr>
        <w:t> </w:t>
      </w:r>
      <w:r>
        <w:rPr/>
        <w:t>includes</w:t>
      </w:r>
      <w:r>
        <w:rPr>
          <w:spacing w:val="-4"/>
        </w:rPr>
        <w:t> </w:t>
      </w:r>
      <w:r>
        <w:rPr/>
        <w:t>30,239</w:t>
      </w:r>
      <w:r>
        <w:rPr>
          <w:spacing w:val="-4"/>
        </w:rPr>
        <w:t> </w:t>
      </w:r>
      <w:r>
        <w:rPr/>
        <w:t>individuals with valid depressive symptoms measurements across the 48 contiguous US states. The mean CES-D-4 score is 1.14 (standard deviation: 2.01), with a median of 0, indicating that most individuals report no depressive symptoms in a given period, but some individuals report substantial distress. After</w:t>
      </w:r>
      <w:r>
        <w:rPr>
          <w:spacing w:val="-3"/>
        </w:rPr>
        <w:t> </w:t>
      </w:r>
      <w:r>
        <w:rPr/>
        <w:t>applying</w:t>
      </w:r>
      <w:r>
        <w:rPr>
          <w:spacing w:val="-3"/>
        </w:rPr>
        <w:t> </w:t>
      </w:r>
      <w:r>
        <w:rPr/>
        <w:t>the</w:t>
      </w:r>
      <w:r>
        <w:rPr>
          <w:spacing w:val="-3"/>
        </w:rPr>
        <w:t> </w:t>
      </w:r>
      <w:r>
        <w:rPr/>
        <w:t>hyperbolic</w:t>
      </w:r>
      <w:r>
        <w:rPr>
          <w:spacing w:val="-3"/>
        </w:rPr>
        <w:t> </w:t>
      </w:r>
      <w:r>
        <w:rPr/>
        <w:t>sine</w:t>
      </w:r>
      <w:r>
        <w:rPr>
          <w:spacing w:val="-3"/>
        </w:rPr>
        <w:t> </w:t>
      </w:r>
      <w:r>
        <w:rPr/>
        <w:t>transformation,</w:t>
      </w:r>
      <w:r>
        <w:rPr>
          <w:spacing w:val="-3"/>
        </w:rPr>
        <w:t> </w:t>
      </w:r>
      <w:r>
        <w:rPr/>
        <w:t>the</w:t>
      </w:r>
      <w:r>
        <w:rPr>
          <w:spacing w:val="-3"/>
        </w:rPr>
        <w:t> </w:t>
      </w:r>
      <w:r>
        <w:rPr/>
        <w:t>mean</w:t>
      </w:r>
      <w:r>
        <w:rPr>
          <w:spacing w:val="-3"/>
        </w:rPr>
        <w:t> </w:t>
      </w:r>
      <w:r>
        <w:rPr/>
        <w:t>is</w:t>
      </w:r>
      <w:r>
        <w:rPr>
          <w:spacing w:val="-3"/>
        </w:rPr>
        <w:t> </w:t>
      </w:r>
      <w:r>
        <w:rPr/>
        <w:t>0.63</w:t>
      </w:r>
      <w:r>
        <w:rPr>
          <w:spacing w:val="-3"/>
        </w:rPr>
        <w:t> </w:t>
      </w:r>
      <w:r>
        <w:rPr/>
        <w:t>(standard deviation: 0.86).</w:t>
      </w:r>
    </w:p>
    <w:p>
      <w:pPr>
        <w:pStyle w:val="BodyText"/>
        <w:spacing w:before="228"/>
        <w:ind w:left="352" w:right="1783"/>
        <w:jc w:val="both"/>
      </w:pPr>
      <w:r>
        <w:rPr/>
        <w:t>The table also shows summary statistics for our control variables from the RECVD </w:t>
      </w:r>
      <w:r>
        <w:rPr/>
        <w:t>database, including neighborhood demographic characteristics (age, race, education, employment), access to</w:t>
      </w:r>
      <w:r>
        <w:rPr>
          <w:spacing w:val="40"/>
        </w:rPr>
        <w:t> </w:t>
      </w:r>
      <w:r>
        <w:rPr/>
        <w:t>healthcare</w:t>
      </w:r>
      <w:r>
        <w:rPr>
          <w:spacing w:val="40"/>
        </w:rPr>
        <w:t> </w:t>
      </w:r>
      <w:r>
        <w:rPr/>
        <w:t>facilities,</w:t>
      </w:r>
      <w:r>
        <w:rPr>
          <w:spacing w:val="40"/>
        </w:rPr>
        <w:t> </w:t>
      </w:r>
      <w:r>
        <w:rPr/>
        <w:t>food environment, and physical activity infrastructure. These variables are measured at the census tract or ZIP code level and are matched to</w:t>
      </w:r>
      <w:r>
        <w:rPr>
          <w:spacing w:val="-2"/>
        </w:rPr>
        <w:t> </w:t>
      </w:r>
      <w:r>
        <w:rPr/>
        <w:t>individuals</w:t>
      </w:r>
      <w:r>
        <w:rPr>
          <w:spacing w:val="-2"/>
        </w:rPr>
        <w:t> </w:t>
      </w:r>
      <w:r>
        <w:rPr/>
        <w:t>based</w:t>
      </w:r>
      <w:r>
        <w:rPr>
          <w:spacing w:val="-2"/>
        </w:rPr>
        <w:t> </w:t>
      </w:r>
      <w:r>
        <w:rPr/>
        <w:t>on</w:t>
      </w:r>
      <w:r>
        <w:rPr>
          <w:spacing w:val="-2"/>
        </w:rPr>
        <w:t> </w:t>
      </w:r>
      <w:r>
        <w:rPr/>
        <w:t>their residential addresses. We present statistics for both raw and imputed versions of</w:t>
      </w:r>
      <w:r>
        <w:rPr>
          <w:spacing w:val="-4"/>
        </w:rPr>
        <w:t> </w:t>
      </w:r>
      <w:r>
        <w:rPr/>
        <w:t>these</w:t>
      </w:r>
      <w:r>
        <w:rPr>
          <w:spacing w:val="-4"/>
        </w:rPr>
        <w:t> </w:t>
      </w:r>
      <w:r>
        <w:rPr/>
        <w:t>variables, as some variables have missing values that we impute using Predictive Mean Matching (PMM) with Multiple Imputation by Chained Equations (MICE).</w:t>
      </w:r>
    </w:p>
    <w:p>
      <w:pPr>
        <w:pStyle w:val="BodyText"/>
        <w:spacing w:before="229"/>
        <w:ind w:left="352" w:right="1784"/>
        <w:jc w:val="both"/>
      </w:pPr>
      <w:r>
        <w:rPr/>
        <w:t>Imputation of control variables is necessary</w:t>
      </w:r>
      <w:r>
        <w:rPr>
          <w:spacing w:val="-3"/>
        </w:rPr>
        <w:t> </w:t>
      </w:r>
      <w:r>
        <w:rPr/>
        <w:t>because</w:t>
      </w:r>
      <w:r>
        <w:rPr>
          <w:spacing w:val="-3"/>
        </w:rPr>
        <w:t> </w:t>
      </w:r>
      <w:r>
        <w:rPr/>
        <w:t>missing</w:t>
      </w:r>
      <w:r>
        <w:rPr>
          <w:spacing w:val="-3"/>
        </w:rPr>
        <w:t> </w:t>
      </w:r>
      <w:r>
        <w:rPr/>
        <w:t>data</w:t>
      </w:r>
      <w:r>
        <w:rPr>
          <w:spacing w:val="-3"/>
        </w:rPr>
        <w:t> </w:t>
      </w:r>
      <w:r>
        <w:rPr/>
        <w:t>in</w:t>
      </w:r>
      <w:r>
        <w:rPr>
          <w:spacing w:val="-3"/>
        </w:rPr>
        <w:t> </w:t>
      </w:r>
      <w:r>
        <w:rPr/>
        <w:t>the</w:t>
      </w:r>
      <w:r>
        <w:rPr>
          <w:spacing w:val="-3"/>
        </w:rPr>
        <w:t> </w:t>
      </w:r>
      <w:r>
        <w:rPr/>
        <w:t>RECVD</w:t>
      </w:r>
      <w:r>
        <w:rPr>
          <w:spacing w:val="-3"/>
        </w:rPr>
        <w:t> </w:t>
      </w:r>
      <w:r>
        <w:rPr/>
        <w:t>database</w:t>
      </w:r>
      <w:r>
        <w:rPr>
          <w:spacing w:val="-3"/>
        </w:rPr>
        <w:t> </w:t>
      </w:r>
      <w:r>
        <w:rPr/>
        <w:t>would otherwise require dropping</w:t>
      </w:r>
      <w:r>
        <w:rPr>
          <w:spacing w:val="-4"/>
        </w:rPr>
        <w:t> </w:t>
      </w:r>
      <w:r>
        <w:rPr/>
        <w:t>observations</w:t>
      </w:r>
      <w:r>
        <w:rPr>
          <w:spacing w:val="-4"/>
        </w:rPr>
        <w:t> </w:t>
      </w:r>
      <w:r>
        <w:rPr/>
        <w:t>with</w:t>
      </w:r>
      <w:r>
        <w:rPr>
          <w:spacing w:val="-4"/>
        </w:rPr>
        <w:t> </w:t>
      </w:r>
      <w:r>
        <w:rPr/>
        <w:t>incomplete</w:t>
      </w:r>
      <w:r>
        <w:rPr>
          <w:spacing w:val="-4"/>
        </w:rPr>
        <w:t> </w:t>
      </w:r>
      <w:r>
        <w:rPr/>
        <w:t>neighborhood-level</w:t>
      </w:r>
      <w:r>
        <w:rPr>
          <w:spacing w:val="-4"/>
        </w:rPr>
        <w:t> </w:t>
      </w:r>
      <w:r>
        <w:rPr/>
        <w:t>co</w:t>
      </w:r>
      <w:r>
        <w:rPr>
          <w:spacing w:val="-4"/>
        </w:rPr>
        <w:t> </w:t>
      </w:r>
      <w:r>
        <w:rPr/>
        <w:t>variates,</w:t>
      </w:r>
      <w:r>
        <w:rPr>
          <w:spacing w:val="-4"/>
        </w:rPr>
        <w:t> </w:t>
      </w:r>
      <w:r>
        <w:rPr/>
        <w:t>leading to substantial sample loss and potential selection bias. Moreover, our post-double-</w:t>
      </w:r>
      <w:r>
        <w:rPr/>
        <w:t>selection LASSO approach requires a complete data matrix to</w:t>
      </w:r>
      <w:r>
        <w:rPr>
          <w:spacing w:val="-2"/>
        </w:rPr>
        <w:t> </w:t>
      </w:r>
      <w:r>
        <w:rPr/>
        <w:t>systematically</w:t>
      </w:r>
      <w:r>
        <w:rPr>
          <w:spacing w:val="-2"/>
        </w:rPr>
        <w:t> </w:t>
      </w:r>
      <w:r>
        <w:rPr/>
        <w:t>select</w:t>
      </w:r>
      <w:r>
        <w:rPr>
          <w:spacing w:val="-2"/>
        </w:rPr>
        <w:t> </w:t>
      </w:r>
      <w:r>
        <w:rPr/>
        <w:t>control</w:t>
      </w:r>
      <w:r>
        <w:rPr>
          <w:spacing w:val="-2"/>
        </w:rPr>
        <w:t> </w:t>
      </w:r>
      <w:r>
        <w:rPr/>
        <w:t>variables</w:t>
      </w:r>
      <w:r>
        <w:rPr>
          <w:spacing w:val="-2"/>
        </w:rPr>
        <w:t> </w:t>
      </w:r>
      <w:r>
        <w:rPr/>
        <w:t>from the</w:t>
      </w:r>
      <w:r>
        <w:rPr>
          <w:spacing w:val="28"/>
        </w:rPr>
        <w:t> </w:t>
      </w:r>
      <w:r>
        <w:rPr/>
        <w:t>high-dimensional</w:t>
      </w:r>
      <w:r>
        <w:rPr>
          <w:spacing w:val="30"/>
        </w:rPr>
        <w:t> </w:t>
      </w:r>
      <w:r>
        <w:rPr/>
        <w:t>covariate</w:t>
      </w:r>
      <w:r>
        <w:rPr>
          <w:spacing w:val="30"/>
        </w:rPr>
        <w:t> </w:t>
      </w:r>
      <w:r>
        <w:rPr/>
        <w:t>set.</w:t>
      </w:r>
      <w:r>
        <w:rPr>
          <w:spacing w:val="30"/>
        </w:rPr>
        <w:t> </w:t>
      </w:r>
      <w:r>
        <w:rPr/>
        <w:t>Estimation</w:t>
      </w:r>
      <w:r>
        <w:rPr>
          <w:spacing w:val="30"/>
        </w:rPr>
        <w:t> </w:t>
      </w:r>
      <w:r>
        <w:rPr/>
        <w:t>without</w:t>
      </w:r>
      <w:r>
        <w:rPr>
          <w:spacing w:val="30"/>
        </w:rPr>
        <w:t> </w:t>
      </w:r>
      <w:r>
        <w:rPr/>
        <w:t>imputation</w:t>
      </w:r>
      <w:r>
        <w:rPr>
          <w:spacing w:val="30"/>
        </w:rPr>
        <w:t> </w:t>
      </w:r>
      <w:r>
        <w:rPr/>
        <w:t>would</w:t>
      </w:r>
      <w:r>
        <w:rPr>
          <w:spacing w:val="30"/>
        </w:rPr>
        <w:t> </w:t>
      </w:r>
      <w:r>
        <w:rPr/>
        <w:t>be</w:t>
      </w:r>
      <w:r>
        <w:rPr>
          <w:spacing w:val="15"/>
        </w:rPr>
        <w:t> </w:t>
      </w:r>
      <w:r>
        <w:rPr/>
        <w:t>infeasible</w:t>
      </w:r>
      <w:r>
        <w:rPr>
          <w:spacing w:val="15"/>
        </w:rPr>
        <w:t> </w:t>
      </w:r>
      <w:r>
        <w:rPr>
          <w:spacing w:val="-2"/>
        </w:rPr>
        <w:t>because</w:t>
      </w:r>
    </w:p>
    <w:p>
      <w:pPr>
        <w:pStyle w:val="BodyText"/>
        <w:spacing w:after="0"/>
        <w:jc w:val="both"/>
        <w:sectPr>
          <w:pgSz w:w="12240" w:h="15840"/>
          <w:pgMar w:header="0" w:footer="707" w:top="760" w:bottom="900" w:left="720" w:right="0"/>
        </w:sectPr>
      </w:pPr>
    </w:p>
    <w:p>
      <w:pPr>
        <w:pStyle w:val="BodyText"/>
        <w:spacing w:before="60"/>
        <w:ind w:left="352" w:right="1785"/>
        <w:jc w:val="both"/>
      </w:pPr>
      <w:r>
        <w:rPr/>
        <w:t>the resulting sample would be too small for reliable inference, and listwise deletion would introduce selection bias if missingness</w:t>
      </w:r>
      <w:r>
        <w:rPr>
          <w:spacing w:val="-5"/>
        </w:rPr>
        <w:t> </w:t>
      </w:r>
      <w:r>
        <w:rPr/>
        <w:t>is</w:t>
      </w:r>
      <w:r>
        <w:rPr>
          <w:spacing w:val="-5"/>
        </w:rPr>
        <w:t> </w:t>
      </w:r>
      <w:r>
        <w:rPr/>
        <w:t>correlated</w:t>
      </w:r>
      <w:r>
        <w:rPr>
          <w:spacing w:val="-5"/>
        </w:rPr>
        <w:t> </w:t>
      </w:r>
      <w:r>
        <w:rPr/>
        <w:t>with</w:t>
      </w:r>
      <w:r>
        <w:rPr>
          <w:spacing w:val="-5"/>
        </w:rPr>
        <w:t> </w:t>
      </w:r>
      <w:r>
        <w:rPr/>
        <w:t>unobserved</w:t>
      </w:r>
      <w:r>
        <w:rPr>
          <w:spacing w:val="-5"/>
        </w:rPr>
        <w:t> </w:t>
      </w:r>
      <w:r>
        <w:rPr/>
        <w:t>characteristics.</w:t>
      </w:r>
      <w:r>
        <w:rPr>
          <w:spacing w:val="-5"/>
        </w:rPr>
        <w:t> </w:t>
      </w:r>
      <w:r>
        <w:rPr/>
        <w:t>Importantly, our main treatment variable (property damage indicator) and outcome variable (depressive symptoms) are never imputed, ensuring that our causal identification strategy remains intact. Tables </w:t>
      </w:r>
      <w:r>
        <w:rPr>
          <w:color w:val="0000FF"/>
        </w:rPr>
        <w:t>2 </w:t>
      </w:r>
      <w:r>
        <w:rPr/>
        <w:t>and </w:t>
      </w:r>
      <w:r>
        <w:rPr>
          <w:color w:val="0000FF"/>
        </w:rPr>
        <w:t>3 </w:t>
      </w:r>
      <w:r>
        <w:rPr/>
        <w:t>demonstrate robustness by presenting results both without controls and with imputed controls, showing that our main findings are consistent across specifications.</w:t>
      </w:r>
    </w:p>
    <w:p>
      <w:pPr>
        <w:pStyle w:val="BodyText"/>
        <w:spacing w:before="231"/>
      </w:pPr>
    </w:p>
    <w:p>
      <w:pPr>
        <w:pStyle w:val="BodyText"/>
        <w:ind w:left="3727"/>
      </w:pPr>
      <w:r>
        <w:rPr/>
        <w:t>Table</w:t>
      </w:r>
      <w:r>
        <w:rPr>
          <w:spacing w:val="-6"/>
        </w:rPr>
        <w:t> </w:t>
      </w:r>
      <w:r>
        <w:rPr/>
        <w:t>1:</w:t>
      </w:r>
      <w:r>
        <w:rPr>
          <w:spacing w:val="-6"/>
        </w:rPr>
        <w:t> </w:t>
      </w:r>
      <w:r>
        <w:rPr/>
        <w:t>Summary</w:t>
      </w:r>
      <w:r>
        <w:rPr>
          <w:spacing w:val="-5"/>
        </w:rPr>
        <w:t> </w:t>
      </w:r>
      <w:r>
        <w:rPr>
          <w:spacing w:val="-2"/>
        </w:rPr>
        <w:t>statistics</w:t>
      </w:r>
    </w:p>
    <w:p>
      <w:pPr>
        <w:pStyle w:val="BodyText"/>
        <w:spacing w:before="3"/>
        <w:rPr>
          <w:sz w:val="6"/>
        </w:rPr>
      </w:pPr>
      <w:r>
        <w:rPr>
          <w:sz w:val="6"/>
        </w:rPr>
        <w:drawing>
          <wp:anchor distT="0" distB="0" distL="0" distR="0" allowOverlap="1" layoutInCell="1" locked="0" behindDoc="1" simplePos="0" relativeHeight="487610880">
            <wp:simplePos x="0" y="0"/>
            <wp:positionH relativeFrom="page">
              <wp:posOffset>963690</wp:posOffset>
            </wp:positionH>
            <wp:positionV relativeFrom="paragraph">
              <wp:posOffset>61393</wp:posOffset>
            </wp:positionV>
            <wp:extent cx="5682968" cy="3848671"/>
            <wp:effectExtent l="0" t="0" r="0" b="0"/>
            <wp:wrapTopAndBottom/>
            <wp:docPr id="84" name="Image 84"/>
            <wp:cNvGraphicFramePr>
              <a:graphicFrameLocks/>
            </wp:cNvGraphicFramePr>
            <a:graphic>
              <a:graphicData uri="http://schemas.openxmlformats.org/drawingml/2006/picture">
                <pic:pic>
                  <pic:nvPicPr>
                    <pic:cNvPr id="84" name="Image 84"/>
                    <pic:cNvPicPr/>
                  </pic:nvPicPr>
                  <pic:blipFill>
                    <a:blip r:embed="rId266" cstate="print"/>
                    <a:stretch>
                      <a:fillRect/>
                    </a:stretch>
                  </pic:blipFill>
                  <pic:spPr>
                    <a:xfrm>
                      <a:off x="0" y="0"/>
                      <a:ext cx="5682968" cy="3848671"/>
                    </a:xfrm>
                    <a:prstGeom prst="rect">
                      <a:avLst/>
                    </a:prstGeom>
                  </pic:spPr>
                </pic:pic>
              </a:graphicData>
            </a:graphic>
          </wp:anchor>
        </w:drawing>
      </w:r>
    </w:p>
    <w:p>
      <w:pPr>
        <w:pStyle w:val="BodyText"/>
        <w:spacing w:line="271" w:lineRule="auto" w:before="124"/>
        <w:ind w:left="727" w:right="1785"/>
        <w:jc w:val="both"/>
      </w:pPr>
      <w:r>
        <w:rPr>
          <w:i/>
        </w:rPr>
        <w:t>Notes: </w:t>
      </w:r>
      <w:r>
        <w:rPr/>
        <w:t>This table presents summary statistics for our key variables. The health </w:t>
      </w:r>
      <w:r>
        <w:rPr/>
        <w:t>outcome variable is the CES-D-4 depressive symptoms measure (raw and hyperbolic sine transformed). Control variables</w:t>
      </w:r>
    </w:p>
    <w:p>
      <w:pPr>
        <w:pStyle w:val="BodyText"/>
        <w:ind w:left="727" w:right="1619"/>
      </w:pPr>
      <w:r>
        <w:rPr/>
        <w:t>are from the RECVD database and include neighborhood demographic, economic, and environmental</w:t>
      </w:r>
      <w:r>
        <w:rPr>
          <w:spacing w:val="-4"/>
        </w:rPr>
        <w:t> </w:t>
      </w:r>
      <w:r>
        <w:rPr/>
        <w:t>characteristics.</w:t>
      </w:r>
      <w:r>
        <w:rPr>
          <w:spacing w:val="-4"/>
        </w:rPr>
        <w:t> </w:t>
      </w:r>
      <w:r>
        <w:rPr/>
        <w:t>Statistics</w:t>
      </w:r>
      <w:r>
        <w:rPr>
          <w:spacing w:val="-4"/>
        </w:rPr>
        <w:t> </w:t>
      </w:r>
      <w:r>
        <w:rPr/>
        <w:t>are</w:t>
      </w:r>
      <w:r>
        <w:rPr>
          <w:spacing w:val="-4"/>
        </w:rPr>
        <w:t> </w:t>
      </w:r>
      <w:r>
        <w:rPr/>
        <w:t>shown</w:t>
      </w:r>
      <w:r>
        <w:rPr>
          <w:spacing w:val="-4"/>
        </w:rPr>
        <w:t> </w:t>
      </w:r>
      <w:r>
        <w:rPr/>
        <w:t>for</w:t>
      </w:r>
      <w:r>
        <w:rPr>
          <w:spacing w:val="-4"/>
        </w:rPr>
        <w:t> </w:t>
      </w:r>
      <w:r>
        <w:rPr/>
        <w:t>both</w:t>
      </w:r>
      <w:r>
        <w:rPr>
          <w:spacing w:val="-4"/>
        </w:rPr>
        <w:t> </w:t>
      </w:r>
      <w:r>
        <w:rPr/>
        <w:t>raw</w:t>
      </w:r>
      <w:r>
        <w:rPr>
          <w:spacing w:val="-4"/>
        </w:rPr>
        <w:t> </w:t>
      </w:r>
      <w:r>
        <w:rPr/>
        <w:t>and</w:t>
      </w:r>
      <w:r>
        <w:rPr>
          <w:spacing w:val="-4"/>
        </w:rPr>
        <w:t> </w:t>
      </w:r>
      <w:r>
        <w:rPr/>
        <w:t>imputed</w:t>
      </w:r>
      <w:r>
        <w:rPr>
          <w:spacing w:val="-4"/>
        </w:rPr>
        <w:t> </w:t>
      </w:r>
      <w:r>
        <w:rPr/>
        <w:t>versions</w:t>
      </w:r>
      <w:r>
        <w:rPr>
          <w:spacing w:val="-4"/>
        </w:rPr>
        <w:t> </w:t>
      </w:r>
      <w:r>
        <w:rPr/>
        <w:t>of </w:t>
      </w:r>
      <w:r>
        <w:rPr>
          <w:spacing w:val="-2"/>
        </w:rPr>
        <w:t>variables.</w:t>
      </w:r>
    </w:p>
    <w:p>
      <w:pPr>
        <w:pStyle w:val="BodyText"/>
        <w:spacing w:before="125"/>
      </w:pPr>
    </w:p>
    <w:p>
      <w:pPr>
        <w:pStyle w:val="ListParagraph"/>
        <w:numPr>
          <w:ilvl w:val="1"/>
          <w:numId w:val="34"/>
        </w:numPr>
        <w:tabs>
          <w:tab w:pos="712" w:val="left" w:leader="none"/>
        </w:tabs>
        <w:spacing w:line="240" w:lineRule="auto" w:before="0" w:after="0"/>
        <w:ind w:left="712" w:right="0" w:hanging="360"/>
        <w:jc w:val="left"/>
        <w:rPr>
          <w:sz w:val="24"/>
        </w:rPr>
      </w:pPr>
      <w:r>
        <w:rPr>
          <w:sz w:val="24"/>
        </w:rPr>
        <w:t>Main </w:t>
      </w:r>
      <w:r>
        <w:rPr>
          <w:spacing w:val="-2"/>
          <w:sz w:val="24"/>
        </w:rPr>
        <w:t>results</w:t>
      </w:r>
    </w:p>
    <w:p>
      <w:pPr>
        <w:pStyle w:val="BodyText"/>
        <w:spacing w:before="249"/>
        <w:ind w:left="352" w:right="1789"/>
        <w:jc w:val="both"/>
      </w:pPr>
      <w:r>
        <w:rPr/>
        <w:t>Tables </w:t>
      </w:r>
      <w:r>
        <w:rPr>
          <w:color w:val="0000FF"/>
        </w:rPr>
        <w:t>2 </w:t>
      </w:r>
      <w:r>
        <w:rPr/>
        <w:t>and </w:t>
      </w:r>
      <w:r>
        <w:rPr>
          <w:color w:val="0000FF"/>
        </w:rPr>
        <w:t>3 </w:t>
      </w:r>
      <w:r>
        <w:rPr/>
        <w:t>present our main results examining the association between exposure to a </w:t>
      </w:r>
      <w:r>
        <w:rPr/>
        <w:t>single disaster event and depressive symptoms, comparing outcomes across varying levels of disaster severity. The property damage indicator serves as our proxy for disaster exposure, and we use fixed-effects models to account for individual and temporal heterogeneity.</w:t>
      </w:r>
    </w:p>
    <w:p>
      <w:pPr>
        <w:pStyle w:val="BodyText"/>
        <w:spacing w:before="250"/>
        <w:ind w:left="352" w:right="1786"/>
        <w:jc w:val="both"/>
      </w:pPr>
      <w:r>
        <w:rPr/>
        <w:t>Table </w:t>
      </w:r>
      <w:r>
        <w:rPr>
          <w:color w:val="0000FF"/>
        </w:rPr>
        <w:t>2 </w:t>
      </w:r>
      <w:r>
        <w:rPr/>
        <w:t>presents a series of fixed-effects models (Models 1 through 5) assessing the </w:t>
      </w:r>
      <w:r>
        <w:rPr/>
        <w:t>association between exposure to a single disaster event, operationalized as a binary property damage indicator, and depressive symptoms. Each model compares the comparison group (no disaster exposure) to a different treatment group defined by disaster severity. Individual and year fixed effects are included in all models to account for unobserved heterogeneity.</w:t>
      </w:r>
    </w:p>
    <w:p>
      <w:pPr>
        <w:pStyle w:val="BodyText"/>
        <w:spacing w:after="0"/>
        <w:jc w:val="both"/>
        <w:sectPr>
          <w:pgSz w:w="12240" w:h="15840"/>
          <w:pgMar w:header="0" w:footer="707" w:top="640" w:bottom="900" w:left="720" w:right="0"/>
        </w:sectPr>
      </w:pPr>
    </w:p>
    <w:p>
      <w:pPr>
        <w:pStyle w:val="BodyText"/>
        <w:spacing w:before="60"/>
        <w:ind w:left="352"/>
        <w:jc w:val="both"/>
      </w:pPr>
      <w:r>
        <w:rPr/>
        <w:t>Model</w:t>
      </w:r>
      <w:r>
        <w:rPr>
          <w:spacing w:val="60"/>
          <w:w w:val="150"/>
        </w:rPr>
        <w:t> </w:t>
      </w:r>
      <w:r>
        <w:rPr/>
        <w:t>1</w:t>
      </w:r>
      <w:r>
        <w:rPr>
          <w:spacing w:val="75"/>
        </w:rPr>
        <w:t> </w:t>
      </w:r>
      <w:r>
        <w:rPr/>
        <w:t>reveals</w:t>
      </w:r>
      <w:r>
        <w:rPr>
          <w:spacing w:val="75"/>
        </w:rPr>
        <w:t> </w:t>
      </w:r>
      <w:r>
        <w:rPr/>
        <w:t>that</w:t>
      </w:r>
      <w:r>
        <w:rPr>
          <w:spacing w:val="75"/>
        </w:rPr>
        <w:t> </w:t>
      </w:r>
      <w:r>
        <w:rPr/>
        <w:t>individuals</w:t>
      </w:r>
      <w:r>
        <w:rPr>
          <w:spacing w:val="75"/>
        </w:rPr>
        <w:t> </w:t>
      </w:r>
      <w:r>
        <w:rPr/>
        <w:t>exposed</w:t>
      </w:r>
      <w:r>
        <w:rPr>
          <w:spacing w:val="75"/>
        </w:rPr>
        <w:t> </w:t>
      </w:r>
      <w:r>
        <w:rPr/>
        <w:t>to</w:t>
      </w:r>
      <w:r>
        <w:rPr>
          <w:spacing w:val="75"/>
        </w:rPr>
        <w:t> </w:t>
      </w:r>
      <w:r>
        <w:rPr/>
        <w:t>minor</w:t>
      </w:r>
      <w:r>
        <w:rPr>
          <w:spacing w:val="75"/>
        </w:rPr>
        <w:t> </w:t>
      </w:r>
      <w:r>
        <w:rPr/>
        <w:t>disasters</w:t>
      </w:r>
      <w:r>
        <w:rPr>
          <w:spacing w:val="75"/>
        </w:rPr>
        <w:t> </w:t>
      </w:r>
      <w:r>
        <w:rPr/>
        <w:t>(per</w:t>
      </w:r>
      <w:r>
        <w:rPr>
          <w:spacing w:val="75"/>
        </w:rPr>
        <w:t> </w:t>
      </w:r>
      <w:r>
        <w:rPr/>
        <w:t>capita</w:t>
      </w:r>
      <w:r>
        <w:rPr>
          <w:spacing w:val="75"/>
        </w:rPr>
        <w:t> </w:t>
      </w:r>
      <w:r>
        <w:rPr/>
        <w:t>property</w:t>
      </w:r>
      <w:r>
        <w:rPr>
          <w:spacing w:val="75"/>
        </w:rPr>
        <w:t> </w:t>
      </w:r>
      <w:r>
        <w:rPr>
          <w:spacing w:val="-2"/>
        </w:rPr>
        <w:t>damage</w:t>
      </w:r>
    </w:p>
    <w:p>
      <w:pPr>
        <w:pStyle w:val="BodyText"/>
        <w:spacing w:before="2"/>
        <w:ind w:left="352" w:right="1783"/>
        <w:jc w:val="both"/>
      </w:pPr>
      <w:r>
        <w:rPr/>
        <w:t>$150-$299) report significantly higher depressive symptoms compared to those with no disaster exposure (</w:t>
      </w:r>
      <w:r>
        <w:rPr>
          <w:i/>
        </w:rPr>
        <w:t>β </w:t>
      </w:r>
      <w:r>
        <w:rPr/>
        <w:t>= 0</w:t>
      </w:r>
      <w:r>
        <w:rPr>
          <w:i/>
        </w:rPr>
        <w:t>.</w:t>
      </w:r>
      <w:r>
        <w:rPr/>
        <w:t>094, </w:t>
      </w:r>
      <w:r>
        <w:rPr>
          <w:i/>
        </w:rPr>
        <w:t>p </w:t>
      </w:r>
      <w:r>
        <w:rPr/>
        <w:t>&lt; 0</w:t>
      </w:r>
      <w:r>
        <w:rPr>
          <w:i/>
        </w:rPr>
        <w:t>.</w:t>
      </w:r>
      <w:r>
        <w:rPr/>
        <w:t>01). Model 2 indicates a significant difference for moderate </w:t>
      </w:r>
      <w:r>
        <w:rPr/>
        <w:t>disaster exposure (</w:t>
      </w:r>
      <w:r>
        <w:rPr>
          <w:i/>
        </w:rPr>
        <w:t>β </w:t>
      </w:r>
      <w:r>
        <w:rPr/>
        <w:t>= 0</w:t>
      </w:r>
      <w:r>
        <w:rPr>
          <w:i/>
        </w:rPr>
        <w:t>.</w:t>
      </w:r>
      <w:r>
        <w:rPr/>
        <w:t>073, </w:t>
      </w:r>
      <w:r>
        <w:rPr>
          <w:i/>
        </w:rPr>
        <w:t>p </w:t>
      </w:r>
      <w:r>
        <w:rPr/>
        <w:t>&lt; 0</w:t>
      </w:r>
      <w:r>
        <w:rPr>
          <w:i/>
        </w:rPr>
        <w:t>.</w:t>
      </w:r>
      <w:r>
        <w:rPr/>
        <w:t>05). Models 3 to 5, which compare the comparison group to severe, very severe, and extreme disasters, respectively, reveal positive but non-significant</w:t>
      </w:r>
      <w:r>
        <w:rPr>
          <w:spacing w:val="-4"/>
        </w:rPr>
        <w:t> </w:t>
      </w:r>
      <w:r>
        <w:rPr/>
        <w:t>associations. This pattern suggests that individuals exposed to minor and moderate disasters consistently</w:t>
      </w:r>
      <w:r>
        <w:rPr>
          <w:spacing w:val="80"/>
        </w:rPr>
        <w:t> </w:t>
      </w:r>
      <w:r>
        <w:rPr/>
        <w:t>report higher levels of depressive symptoms, with effects diminishing in statistical precision as disaster severity increases.</w:t>
      </w:r>
    </w:p>
    <w:p>
      <w:pPr>
        <w:pStyle w:val="BodyText"/>
        <w:spacing w:before="256"/>
        <w:ind w:left="352" w:right="1785"/>
        <w:jc w:val="both"/>
      </w:pPr>
      <w:r>
        <w:rPr/>
        <w:t>Table </w:t>
      </w:r>
      <w:r>
        <w:rPr>
          <w:color w:val="0000FF"/>
        </w:rPr>
        <w:t>3 </w:t>
      </w:r>
      <w:r>
        <w:rPr/>
        <w:t>presents the same models with the inclusion of additional covariates selected using </w:t>
      </w:r>
      <w:r>
        <w:rPr/>
        <w:t>the post-double-selection LASSO approach. In Model 1, the association between minor disaster exposure and depressive symptoms remains highly significant and increases in magnitude (</w:t>
      </w:r>
      <w:r>
        <w:rPr>
          <w:i/>
        </w:rPr>
        <w:t>β </w:t>
      </w:r>
      <w:r>
        <w:rPr/>
        <w:t>= 0</w:t>
      </w:r>
      <w:r>
        <w:rPr>
          <w:i/>
        </w:rPr>
        <w:t>.</w:t>
      </w:r>
      <w:r>
        <w:rPr/>
        <w:t>106, </w:t>
      </w:r>
      <w:r>
        <w:rPr>
          <w:i/>
        </w:rPr>
        <w:t>p </w:t>
      </w:r>
      <w:r>
        <w:rPr/>
        <w:t>&lt; 0</w:t>
      </w:r>
      <w:r>
        <w:rPr>
          <w:i/>
        </w:rPr>
        <w:t>.</w:t>
      </w:r>
      <w:r>
        <w:rPr/>
        <w:t>01). Model 2 shows a significant</w:t>
      </w:r>
      <w:r>
        <w:rPr>
          <w:spacing w:val="-2"/>
        </w:rPr>
        <w:t> </w:t>
      </w:r>
      <w:r>
        <w:rPr/>
        <w:t>effect</w:t>
      </w:r>
      <w:r>
        <w:rPr>
          <w:spacing w:val="-2"/>
        </w:rPr>
        <w:t> </w:t>
      </w:r>
      <w:r>
        <w:rPr/>
        <w:t>for</w:t>
      </w:r>
      <w:r>
        <w:rPr>
          <w:spacing w:val="-2"/>
        </w:rPr>
        <w:t> </w:t>
      </w:r>
      <w:r>
        <w:rPr/>
        <w:t>moderate</w:t>
      </w:r>
      <w:r>
        <w:rPr>
          <w:spacing w:val="-2"/>
        </w:rPr>
        <w:t> </w:t>
      </w:r>
      <w:r>
        <w:rPr/>
        <w:t>disasters</w:t>
      </w:r>
      <w:r>
        <w:rPr>
          <w:spacing w:val="-2"/>
        </w:rPr>
        <w:t> </w:t>
      </w:r>
      <w:r>
        <w:rPr/>
        <w:t>(</w:t>
      </w:r>
      <w:r>
        <w:rPr>
          <w:i/>
        </w:rPr>
        <w:t>β</w:t>
      </w:r>
      <w:r>
        <w:rPr>
          <w:i/>
          <w:spacing w:val="-2"/>
        </w:rPr>
        <w:t> </w:t>
      </w:r>
      <w:r>
        <w:rPr/>
        <w:t>=</w:t>
      </w:r>
      <w:r>
        <w:rPr>
          <w:spacing w:val="-2"/>
        </w:rPr>
        <w:t> </w:t>
      </w:r>
      <w:r>
        <w:rPr/>
        <w:t>0</w:t>
      </w:r>
      <w:r>
        <w:rPr>
          <w:i/>
        </w:rPr>
        <w:t>.</w:t>
      </w:r>
      <w:r>
        <w:rPr/>
        <w:t>086,</w:t>
      </w:r>
      <w:r>
        <w:rPr>
          <w:spacing w:val="-2"/>
        </w:rPr>
        <w:t> </w:t>
      </w:r>
      <w:r>
        <w:rPr>
          <w:i/>
        </w:rPr>
        <w:t>p</w:t>
      </w:r>
      <w:r>
        <w:rPr>
          <w:i/>
          <w:spacing w:val="-2"/>
        </w:rPr>
        <w:t> </w:t>
      </w:r>
      <w:r>
        <w:rPr/>
        <w:t>&lt;</w:t>
      </w:r>
      <w:r>
        <w:rPr>
          <w:spacing w:val="-2"/>
        </w:rPr>
        <w:t> </w:t>
      </w:r>
      <w:r>
        <w:rPr/>
        <w:t>0</w:t>
      </w:r>
      <w:r>
        <w:rPr>
          <w:i/>
        </w:rPr>
        <w:t>.</w:t>
      </w:r>
      <w:r>
        <w:rPr/>
        <w:t>01). Model 3 reveals a marginally significant association for severe disasters (</w:t>
      </w:r>
      <w:r>
        <w:rPr>
          <w:i/>
        </w:rPr>
        <w:t>β </w:t>
      </w:r>
      <w:r>
        <w:rPr/>
        <w:t>= 0</w:t>
      </w:r>
      <w:r>
        <w:rPr>
          <w:i/>
        </w:rPr>
        <w:t>.</w:t>
      </w:r>
      <w:r>
        <w:rPr/>
        <w:t>052, </w:t>
      </w:r>
      <w:r>
        <w:rPr>
          <w:i/>
        </w:rPr>
        <w:t>p </w:t>
      </w:r>
      <w:r>
        <w:rPr/>
        <w:t>&lt; 0</w:t>
      </w:r>
      <w:r>
        <w:rPr>
          <w:i/>
        </w:rPr>
        <w:t>.</w:t>
      </w:r>
      <w:r>
        <w:rPr/>
        <w:t>10), and Model 5 shows a significant effect for extreme disasters (</w:t>
      </w:r>
      <w:r>
        <w:rPr>
          <w:i/>
        </w:rPr>
        <w:t>β </w:t>
      </w:r>
      <w:r>
        <w:rPr/>
        <w:t>= 0</w:t>
      </w:r>
      <w:r>
        <w:rPr>
          <w:i/>
        </w:rPr>
        <w:t>.</w:t>
      </w:r>
      <w:r>
        <w:rPr/>
        <w:t>051, </w:t>
      </w:r>
      <w:r>
        <w:rPr>
          <w:i/>
        </w:rPr>
        <w:t>p </w:t>
      </w:r>
      <w:r>
        <w:rPr/>
        <w:t>&lt; 0</w:t>
      </w:r>
      <w:r>
        <w:rPr>
          <w:i/>
        </w:rPr>
        <w:t>.</w:t>
      </w:r>
      <w:r>
        <w:rPr/>
        <w:t>05).</w:t>
      </w:r>
    </w:p>
    <w:p>
      <w:pPr>
        <w:pStyle w:val="BodyText"/>
        <w:spacing w:before="258"/>
        <w:ind w:left="352" w:right="1768"/>
        <w:jc w:val="both"/>
      </w:pPr>
      <w:r>
        <w:rPr/>
        <w:t>These results reveal a pattern in which estimated treatment effects are</w:t>
      </w:r>
      <w:r>
        <w:rPr>
          <w:spacing w:val="-3"/>
        </w:rPr>
        <w:t> </w:t>
      </w:r>
      <w:r>
        <w:rPr/>
        <w:t>largest</w:t>
      </w:r>
      <w:r>
        <w:rPr>
          <w:spacing w:val="-3"/>
        </w:rPr>
        <w:t> </w:t>
      </w:r>
      <w:r>
        <w:rPr/>
        <w:t>and</w:t>
      </w:r>
      <w:r>
        <w:rPr>
          <w:spacing w:val="-3"/>
        </w:rPr>
        <w:t> </w:t>
      </w:r>
      <w:r>
        <w:rPr/>
        <w:t>most</w:t>
      </w:r>
      <w:r>
        <w:rPr>
          <w:spacing w:val="-3"/>
        </w:rPr>
        <w:t> </w:t>
      </w:r>
      <w:r>
        <w:rPr/>
        <w:t>precisely estimated for minor and moderate disaster categories. This pattern partly reflects variation </w:t>
      </w:r>
      <w:r>
        <w:rPr/>
        <w:t>in sample sizes across treatment categories. As shown in Table </w:t>
      </w:r>
      <w:r>
        <w:rPr>
          <w:color w:val="0000FF"/>
        </w:rPr>
        <w:t>2</w:t>
      </w:r>
      <w:r>
        <w:rPr/>
        <w:t>, the very severe group contains only 13 individuals across 6 counties, yielding a standard error (0.149) substantially larger than other categories (0.024 to 0.032). The minor and moderate groups,</w:t>
      </w:r>
      <w:r>
        <w:rPr>
          <w:spacing w:val="-2"/>
        </w:rPr>
        <w:t> </w:t>
      </w:r>
      <w:r>
        <w:rPr/>
        <w:t>with</w:t>
      </w:r>
      <w:r>
        <w:rPr>
          <w:spacing w:val="-2"/>
        </w:rPr>
        <w:t> </w:t>
      </w:r>
      <w:r>
        <w:rPr/>
        <w:t>443</w:t>
      </w:r>
      <w:r>
        <w:rPr>
          <w:spacing w:val="-2"/>
        </w:rPr>
        <w:t> </w:t>
      </w:r>
      <w:r>
        <w:rPr/>
        <w:t>and</w:t>
      </w:r>
      <w:r>
        <w:rPr>
          <w:spacing w:val="-2"/>
        </w:rPr>
        <w:t> </w:t>
      </w:r>
      <w:r>
        <w:rPr/>
        <w:t>235</w:t>
      </w:r>
      <w:r>
        <w:rPr>
          <w:spacing w:val="-2"/>
        </w:rPr>
        <w:t> </w:t>
      </w:r>
      <w:r>
        <w:rPr/>
        <w:t>individuals respectively, provide greater statistical power for detecting effects. The implications of this pattern for</w:t>
      </w:r>
      <w:r>
        <w:rPr>
          <w:spacing w:val="-3"/>
        </w:rPr>
        <w:t> </w:t>
      </w:r>
      <w:r>
        <w:rPr/>
        <w:t>understanding</w:t>
      </w:r>
      <w:r>
        <w:rPr>
          <w:spacing w:val="-3"/>
        </w:rPr>
        <w:t> </w:t>
      </w:r>
      <w:r>
        <w:rPr/>
        <w:t>the</w:t>
      </w:r>
      <w:r>
        <w:rPr>
          <w:spacing w:val="-3"/>
        </w:rPr>
        <w:t> </w:t>
      </w:r>
      <w:r>
        <w:rPr/>
        <w:t>relationship</w:t>
      </w:r>
      <w:r>
        <w:rPr>
          <w:spacing w:val="-3"/>
        </w:rPr>
        <w:t> </w:t>
      </w:r>
      <w:r>
        <w:rPr/>
        <w:t>between</w:t>
      </w:r>
      <w:r>
        <w:rPr>
          <w:spacing w:val="-3"/>
        </w:rPr>
        <w:t> </w:t>
      </w:r>
      <w:r>
        <w:rPr/>
        <w:t>disaster</w:t>
      </w:r>
      <w:r>
        <w:rPr>
          <w:spacing w:val="-3"/>
        </w:rPr>
        <w:t> </w:t>
      </w:r>
      <w:r>
        <w:rPr/>
        <w:t>severity</w:t>
      </w:r>
      <w:r>
        <w:rPr>
          <w:spacing w:val="-3"/>
        </w:rPr>
        <w:t> </w:t>
      </w:r>
      <w:r>
        <w:rPr/>
        <w:t>and</w:t>
      </w:r>
      <w:r>
        <w:rPr>
          <w:spacing w:val="-3"/>
        </w:rPr>
        <w:t> </w:t>
      </w:r>
      <w:r>
        <w:rPr/>
        <w:t>mental</w:t>
      </w:r>
      <w:r>
        <w:rPr>
          <w:spacing w:val="-3"/>
        </w:rPr>
        <w:t> </w:t>
      </w:r>
      <w:r>
        <w:rPr/>
        <w:t>health</w:t>
      </w:r>
      <w:r>
        <w:rPr>
          <w:spacing w:val="-3"/>
        </w:rPr>
        <w:t> </w:t>
      </w:r>
      <w:r>
        <w:rPr/>
        <w:t>impacts</w:t>
      </w:r>
      <w:r>
        <w:rPr>
          <w:spacing w:val="-3"/>
        </w:rPr>
        <w:t> </w:t>
      </w:r>
      <w:r>
        <w:rPr/>
        <w:t>are discussed in Section </w:t>
      </w:r>
      <w:r>
        <w:rPr>
          <w:color w:val="0000FF"/>
        </w:rPr>
        <w:t>7</w:t>
      </w:r>
      <w:r>
        <w:rPr/>
        <w:t>.</w:t>
      </w:r>
    </w:p>
    <w:p>
      <w:pPr>
        <w:pStyle w:val="BodyText"/>
        <w:spacing w:before="262"/>
        <w:ind w:left="2152"/>
      </w:pPr>
      <w:r>
        <w:rPr/>
        <w:t>Table</w:t>
      </w:r>
      <w:r>
        <w:rPr>
          <w:spacing w:val="-3"/>
        </w:rPr>
        <w:t> </w:t>
      </w:r>
      <w:r>
        <w:rPr/>
        <w:t>2:</w:t>
      </w:r>
      <w:r>
        <w:rPr>
          <w:spacing w:val="-2"/>
        </w:rPr>
        <w:t> </w:t>
      </w:r>
      <w:r>
        <w:rPr/>
        <w:t>Impact</w:t>
      </w:r>
      <w:r>
        <w:rPr>
          <w:spacing w:val="-2"/>
        </w:rPr>
        <w:t> </w:t>
      </w:r>
      <w:r>
        <w:rPr/>
        <w:t>of</w:t>
      </w:r>
      <w:r>
        <w:rPr>
          <w:spacing w:val="-2"/>
        </w:rPr>
        <w:t> </w:t>
      </w:r>
      <w:r>
        <w:rPr/>
        <w:t>single</w:t>
      </w:r>
      <w:r>
        <w:rPr>
          <w:spacing w:val="-2"/>
        </w:rPr>
        <w:t> </w:t>
      </w:r>
      <w:r>
        <w:rPr/>
        <w:t>disaster</w:t>
      </w:r>
      <w:r>
        <w:rPr>
          <w:spacing w:val="-2"/>
        </w:rPr>
        <w:t> </w:t>
      </w:r>
      <w:r>
        <w:rPr/>
        <w:t>on</w:t>
      </w:r>
      <w:r>
        <w:rPr>
          <w:spacing w:val="-2"/>
        </w:rPr>
        <w:t> </w:t>
      </w:r>
      <w:r>
        <w:rPr/>
        <w:t>depressive</w:t>
      </w:r>
      <w:r>
        <w:rPr>
          <w:spacing w:val="-2"/>
        </w:rPr>
        <w:t> symptoms</w:t>
      </w:r>
    </w:p>
    <w:p>
      <w:pPr>
        <w:pStyle w:val="BodyText"/>
        <w:rPr>
          <w:sz w:val="5"/>
        </w:rPr>
      </w:pPr>
      <w:r>
        <w:rPr>
          <w:sz w:val="5"/>
        </w:rPr>
        <w:drawing>
          <wp:anchor distT="0" distB="0" distL="0" distR="0" allowOverlap="1" layoutInCell="1" locked="0" behindDoc="1" simplePos="0" relativeHeight="487611392">
            <wp:simplePos x="0" y="0"/>
            <wp:positionH relativeFrom="page">
              <wp:posOffset>1047690</wp:posOffset>
            </wp:positionH>
            <wp:positionV relativeFrom="paragraph">
              <wp:posOffset>52267</wp:posOffset>
            </wp:positionV>
            <wp:extent cx="5605613" cy="3985926"/>
            <wp:effectExtent l="0" t="0" r="0" b="0"/>
            <wp:wrapTopAndBottom/>
            <wp:docPr id="85" name="Image 85"/>
            <wp:cNvGraphicFramePr>
              <a:graphicFrameLocks/>
            </wp:cNvGraphicFramePr>
            <a:graphic>
              <a:graphicData uri="http://schemas.openxmlformats.org/drawingml/2006/picture">
                <pic:pic>
                  <pic:nvPicPr>
                    <pic:cNvPr id="85" name="Image 85"/>
                    <pic:cNvPicPr/>
                  </pic:nvPicPr>
                  <pic:blipFill>
                    <a:blip r:embed="rId267" cstate="print"/>
                    <a:stretch>
                      <a:fillRect/>
                    </a:stretch>
                  </pic:blipFill>
                  <pic:spPr>
                    <a:xfrm>
                      <a:off x="0" y="0"/>
                      <a:ext cx="5605613" cy="3985926"/>
                    </a:xfrm>
                    <a:prstGeom prst="rect">
                      <a:avLst/>
                    </a:prstGeom>
                  </pic:spPr>
                </pic:pic>
              </a:graphicData>
            </a:graphic>
          </wp:anchor>
        </w:drawing>
      </w:r>
    </w:p>
    <w:p>
      <w:pPr>
        <w:pStyle w:val="BodyText"/>
        <w:spacing w:before="97"/>
      </w:pPr>
    </w:p>
    <w:p>
      <w:pPr>
        <w:pStyle w:val="BodyText"/>
        <w:ind w:left="1402"/>
      </w:pPr>
      <w:r>
        <w:rPr/>
        <w:t>Table</w:t>
      </w:r>
      <w:r>
        <w:rPr>
          <w:spacing w:val="-2"/>
        </w:rPr>
        <w:t> </w:t>
      </w:r>
      <w:r>
        <w:rPr/>
        <w:t>3:</w:t>
      </w:r>
      <w:r>
        <w:rPr>
          <w:spacing w:val="-2"/>
        </w:rPr>
        <w:t> </w:t>
      </w:r>
      <w:r>
        <w:rPr/>
        <w:t>Impact</w:t>
      </w:r>
      <w:r>
        <w:rPr>
          <w:spacing w:val="-2"/>
        </w:rPr>
        <w:t> </w:t>
      </w:r>
      <w:r>
        <w:rPr/>
        <w:t>of</w:t>
      </w:r>
      <w:r>
        <w:rPr>
          <w:spacing w:val="-1"/>
        </w:rPr>
        <w:t> </w:t>
      </w:r>
      <w:r>
        <w:rPr/>
        <w:t>single</w:t>
      </w:r>
      <w:r>
        <w:rPr>
          <w:spacing w:val="-2"/>
        </w:rPr>
        <w:t> </w:t>
      </w:r>
      <w:r>
        <w:rPr/>
        <w:t>disaster</w:t>
      </w:r>
      <w:r>
        <w:rPr>
          <w:spacing w:val="-2"/>
        </w:rPr>
        <w:t> </w:t>
      </w:r>
      <w:r>
        <w:rPr/>
        <w:t>on</w:t>
      </w:r>
      <w:r>
        <w:rPr>
          <w:spacing w:val="-1"/>
        </w:rPr>
        <w:t> </w:t>
      </w:r>
      <w:r>
        <w:rPr/>
        <w:t>depressive</w:t>
      </w:r>
      <w:r>
        <w:rPr>
          <w:spacing w:val="-2"/>
        </w:rPr>
        <w:t> </w:t>
      </w:r>
      <w:r>
        <w:rPr/>
        <w:t>symptoms,</w:t>
      </w:r>
      <w:r>
        <w:rPr>
          <w:spacing w:val="-2"/>
        </w:rPr>
        <w:t> </w:t>
      </w:r>
      <w:r>
        <w:rPr/>
        <w:t>with</w:t>
      </w:r>
      <w:r>
        <w:rPr>
          <w:spacing w:val="-1"/>
        </w:rPr>
        <w:t> </w:t>
      </w:r>
      <w:r>
        <w:rPr>
          <w:spacing w:val="-2"/>
        </w:rPr>
        <w:t>controls</w:t>
      </w:r>
    </w:p>
    <w:p>
      <w:pPr>
        <w:pStyle w:val="BodyText"/>
        <w:spacing w:after="0"/>
        <w:sectPr>
          <w:pgSz w:w="12240" w:h="15840"/>
          <w:pgMar w:header="0" w:footer="707" w:top="640" w:bottom="920" w:left="720" w:right="0"/>
        </w:sectPr>
      </w:pPr>
    </w:p>
    <w:p>
      <w:pPr>
        <w:spacing w:line="240" w:lineRule="auto"/>
        <w:ind w:left="942" w:right="0" w:firstLine="0"/>
        <w:rPr>
          <w:sz w:val="20"/>
        </w:rPr>
      </w:pPr>
      <w:r>
        <w:rPr>
          <w:sz w:val="20"/>
        </w:rPr>
        <w:drawing>
          <wp:inline distT="0" distB="0" distL="0" distR="0">
            <wp:extent cx="5545440" cy="2948939"/>
            <wp:effectExtent l="0" t="0" r="0" b="0"/>
            <wp:docPr id="86" name="Image 86"/>
            <wp:cNvGraphicFramePr>
              <a:graphicFrameLocks/>
            </wp:cNvGraphicFramePr>
            <a:graphic>
              <a:graphicData uri="http://schemas.openxmlformats.org/drawingml/2006/picture">
                <pic:pic>
                  <pic:nvPicPr>
                    <pic:cNvPr id="86" name="Image 86"/>
                    <pic:cNvPicPr/>
                  </pic:nvPicPr>
                  <pic:blipFill>
                    <a:blip r:embed="rId268" cstate="print"/>
                    <a:stretch>
                      <a:fillRect/>
                    </a:stretch>
                  </pic:blipFill>
                  <pic:spPr>
                    <a:xfrm>
                      <a:off x="0" y="0"/>
                      <a:ext cx="5545440" cy="2948939"/>
                    </a:xfrm>
                    <a:prstGeom prst="rect">
                      <a:avLst/>
                    </a:prstGeom>
                  </pic:spPr>
                </pic:pic>
              </a:graphicData>
            </a:graphic>
          </wp:inline>
        </w:drawing>
      </w:r>
      <w:r>
        <w:rPr>
          <w:sz w:val="20"/>
        </w:rPr>
      </w:r>
    </w:p>
    <w:p>
      <w:pPr>
        <w:pStyle w:val="BodyText"/>
        <w:spacing w:before="272"/>
      </w:pPr>
    </w:p>
    <w:p>
      <w:pPr>
        <w:pStyle w:val="BodyText"/>
        <w:ind w:left="352" w:right="1784"/>
        <w:jc w:val="both"/>
      </w:pPr>
      <w:r>
        <w:rPr/>
        <w:t>Figure </w:t>
      </w:r>
      <w:r>
        <w:rPr>
          <w:color w:val="0000FF"/>
        </w:rPr>
        <w:t>2 </w:t>
      </w:r>
      <w:r>
        <w:rPr/>
        <w:t>presents our event study results, showing the dynamic effects of property damage </w:t>
      </w:r>
      <w:r>
        <w:rPr/>
        <w:t>on depressive symptoms over time. The figure plots coefficient estimates and confidence intervals for periods before and after the disaster. The pre-disaster coefficients (negative </w:t>
      </w:r>
      <w:r>
        <w:rPr>
          <w:i/>
        </w:rPr>
        <w:t>l </w:t>
      </w:r>
      <w:r>
        <w:rPr/>
        <w:t>values) are not statistically different from zero, providing evidence in support of the parallel trends assumption underlying our difference-in-differences identification strategy.</w:t>
      </w:r>
    </w:p>
    <w:p>
      <w:pPr>
        <w:pStyle w:val="BodyText"/>
        <w:spacing w:before="168"/>
      </w:pPr>
    </w:p>
    <w:p>
      <w:pPr>
        <w:pStyle w:val="ListParagraph"/>
        <w:numPr>
          <w:ilvl w:val="1"/>
          <w:numId w:val="34"/>
        </w:numPr>
        <w:tabs>
          <w:tab w:pos="712" w:val="left" w:leader="none"/>
        </w:tabs>
        <w:spacing w:line="240" w:lineRule="auto" w:before="0" w:after="0"/>
        <w:ind w:left="712" w:right="0" w:hanging="360"/>
        <w:jc w:val="left"/>
        <w:rPr>
          <w:sz w:val="24"/>
        </w:rPr>
      </w:pPr>
      <w:r>
        <w:rPr>
          <w:sz w:val="24"/>
        </w:rPr>
        <w:t>Robustness </w:t>
      </w:r>
      <w:r>
        <w:rPr>
          <w:spacing w:val="-2"/>
          <w:sz w:val="24"/>
        </w:rPr>
        <w:t>checks</w:t>
      </w:r>
    </w:p>
    <w:p>
      <w:pPr>
        <w:pStyle w:val="BodyText"/>
        <w:spacing w:before="249"/>
        <w:ind w:left="352" w:right="1785"/>
        <w:jc w:val="both"/>
      </w:pPr>
      <w:r>
        <w:rPr/>
        <w:t>We conduct several robustness checks to assess the sensitivity of our results to </w:t>
      </w:r>
      <w:r>
        <w:rPr/>
        <w:t>alternative specifications and assumptions. First, we perform randomized inference tests to assess whether our estimated treatment effects could have arisen by</w:t>
      </w:r>
      <w:r>
        <w:rPr>
          <w:spacing w:val="-3"/>
        </w:rPr>
        <w:t> </w:t>
      </w:r>
      <w:r>
        <w:rPr/>
        <w:t>chance.</w:t>
      </w:r>
      <w:r>
        <w:rPr>
          <w:spacing w:val="-3"/>
        </w:rPr>
        <w:t> </w:t>
      </w:r>
      <w:r>
        <w:rPr/>
        <w:t>Appendix</w:t>
      </w:r>
      <w:r>
        <w:rPr>
          <w:spacing w:val="-3"/>
        </w:rPr>
        <w:t> </w:t>
      </w:r>
      <w:r>
        <w:rPr>
          <w:color w:val="0000FF"/>
        </w:rPr>
        <w:t>A</w:t>
      </w:r>
      <w:r>
        <w:rPr>
          <w:color w:val="0000FF"/>
          <w:spacing w:val="-3"/>
        </w:rPr>
        <w:t> </w:t>
      </w:r>
      <w:r>
        <w:rPr/>
        <w:t>Figure</w:t>
      </w:r>
      <w:r>
        <w:rPr>
          <w:spacing w:val="-3"/>
        </w:rPr>
        <w:t> </w:t>
      </w:r>
      <w:r>
        <w:rPr>
          <w:color w:val="0000FF"/>
        </w:rPr>
        <w:t>A1</w:t>
      </w:r>
      <w:r>
        <w:rPr>
          <w:color w:val="0000FF"/>
          <w:spacing w:val="-3"/>
        </w:rPr>
        <w:t> </w:t>
      </w:r>
      <w:r>
        <w:rPr/>
        <w:t>presents</w:t>
      </w:r>
      <w:r>
        <w:rPr>
          <w:spacing w:val="-3"/>
        </w:rPr>
        <w:t> </w:t>
      </w:r>
      <w:r>
        <w:rPr/>
        <w:t>the results of these tests, which compare our observed treatment effects to the</w:t>
      </w:r>
      <w:r>
        <w:rPr>
          <w:spacing w:val="-3"/>
        </w:rPr>
        <w:t> </w:t>
      </w:r>
      <w:r>
        <w:rPr/>
        <w:t>distribution</w:t>
      </w:r>
      <w:r>
        <w:rPr>
          <w:spacing w:val="-3"/>
        </w:rPr>
        <w:t> </w:t>
      </w:r>
      <w:r>
        <w:rPr/>
        <w:t>of</w:t>
      </w:r>
      <w:r>
        <w:rPr>
          <w:spacing w:val="-3"/>
        </w:rPr>
        <w:t> </w:t>
      </w:r>
      <w:r>
        <w:rPr/>
        <w:t>effects obtained from randomly reassigning treatment status. Our estimated effects lie well outside the distribution of placebo effects, providing confidence that our results are not spurious.</w:t>
      </w:r>
    </w:p>
    <w:p>
      <w:pPr>
        <w:pStyle w:val="BodyText"/>
        <w:spacing w:before="258"/>
        <w:ind w:left="352" w:right="1817"/>
        <w:jc w:val="both"/>
      </w:pPr>
      <w:r>
        <w:rPr/>
        <w:t>Second, we examine the sensitivity of our results to alternative definitions of </w:t>
      </w:r>
      <w:r>
        <w:rPr/>
        <w:t>treatment thresholds. Appendix </w:t>
      </w:r>
      <w:r>
        <w:rPr>
          <w:color w:val="0000FF"/>
        </w:rPr>
        <w:t>A </w:t>
      </w:r>
      <w:r>
        <w:rPr/>
        <w:t>Figure </w:t>
      </w:r>
      <w:r>
        <w:rPr>
          <w:color w:val="0000FF"/>
        </w:rPr>
        <w:t>A2 </w:t>
      </w:r>
      <w:r>
        <w:rPr/>
        <w:t>shows that our main findings</w:t>
      </w:r>
      <w:r>
        <w:rPr>
          <w:spacing w:val="-3"/>
        </w:rPr>
        <w:t> </w:t>
      </w:r>
      <w:r>
        <w:rPr/>
        <w:t>are</w:t>
      </w:r>
      <w:r>
        <w:rPr>
          <w:spacing w:val="-3"/>
        </w:rPr>
        <w:t> </w:t>
      </w:r>
      <w:r>
        <w:rPr/>
        <w:t>robust</w:t>
      </w:r>
      <w:r>
        <w:rPr>
          <w:spacing w:val="-3"/>
        </w:rPr>
        <w:t> </w:t>
      </w:r>
      <w:r>
        <w:rPr/>
        <w:t>to</w:t>
      </w:r>
      <w:r>
        <w:rPr>
          <w:spacing w:val="-3"/>
        </w:rPr>
        <w:t> </w:t>
      </w:r>
      <w:r>
        <w:rPr/>
        <w:t>varying</w:t>
      </w:r>
      <w:r>
        <w:rPr>
          <w:spacing w:val="-3"/>
        </w:rPr>
        <w:t> </w:t>
      </w:r>
      <w:r>
        <w:rPr/>
        <w:t>the</w:t>
      </w:r>
      <w:r>
        <w:rPr>
          <w:spacing w:val="-3"/>
        </w:rPr>
        <w:t> </w:t>
      </w:r>
      <w:r>
        <w:rPr/>
        <w:t>cutoff values used to define treatment groups. The estimated effects remain positive and statistically significant across a range of threshold definitions, suggesting that our results are not driven by arbitrary choices in how we categorize disaster severity.</w:t>
      </w:r>
    </w:p>
    <w:p>
      <w:pPr>
        <w:pStyle w:val="BodyText"/>
        <w:spacing w:before="9"/>
      </w:pPr>
    </w:p>
    <w:p>
      <w:pPr>
        <w:pStyle w:val="BodyText"/>
        <w:ind w:left="352"/>
        <w:jc w:val="both"/>
      </w:pPr>
      <w:r>
        <w:rPr/>
        <w:t>Figure</w:t>
      </w:r>
      <w:r>
        <w:rPr>
          <w:spacing w:val="-1"/>
        </w:rPr>
        <w:t> </w:t>
      </w:r>
      <w:r>
        <w:rPr/>
        <w:t>2: Event</w:t>
      </w:r>
      <w:r>
        <w:rPr>
          <w:spacing w:val="-1"/>
        </w:rPr>
        <w:t> </w:t>
      </w:r>
      <w:r>
        <w:rPr/>
        <w:t>study: Dynamic</w:t>
      </w:r>
      <w:r>
        <w:rPr>
          <w:spacing w:val="-1"/>
        </w:rPr>
        <w:t> </w:t>
      </w:r>
      <w:r>
        <w:rPr/>
        <w:t>effects of</w:t>
      </w:r>
      <w:r>
        <w:rPr>
          <w:spacing w:val="-1"/>
        </w:rPr>
        <w:t> </w:t>
      </w:r>
      <w:r>
        <w:rPr/>
        <w:t>property damage</w:t>
      </w:r>
      <w:r>
        <w:rPr>
          <w:spacing w:val="-1"/>
        </w:rPr>
        <w:t> </w:t>
      </w:r>
      <w:r>
        <w:rPr/>
        <w:t>on depressive </w:t>
      </w:r>
      <w:r>
        <w:rPr>
          <w:spacing w:val="-2"/>
        </w:rPr>
        <w:t>symptoms</w:t>
      </w:r>
    </w:p>
    <w:p>
      <w:pPr>
        <w:pStyle w:val="BodyText"/>
        <w:spacing w:after="0"/>
        <w:jc w:val="both"/>
        <w:sectPr>
          <w:pgSz w:w="12240" w:h="15840"/>
          <w:pgMar w:header="0" w:footer="707" w:top="780" w:bottom="960" w:left="720" w:right="0"/>
        </w:sectPr>
      </w:pPr>
    </w:p>
    <w:p>
      <w:pPr>
        <w:spacing w:line="240" w:lineRule="auto"/>
        <w:ind w:left="952" w:right="0" w:firstLine="0"/>
        <w:rPr>
          <w:sz w:val="20"/>
        </w:rPr>
      </w:pPr>
      <w:r>
        <w:rPr>
          <w:sz w:val="20"/>
        </w:rPr>
        <w:drawing>
          <wp:inline distT="0" distB="0" distL="0" distR="0">
            <wp:extent cx="5584431" cy="3596449"/>
            <wp:effectExtent l="0" t="0" r="0" b="0"/>
            <wp:docPr id="87" name="Image 87"/>
            <wp:cNvGraphicFramePr>
              <a:graphicFrameLocks/>
            </wp:cNvGraphicFramePr>
            <a:graphic>
              <a:graphicData uri="http://schemas.openxmlformats.org/drawingml/2006/picture">
                <pic:pic>
                  <pic:nvPicPr>
                    <pic:cNvPr id="87" name="Image 87"/>
                    <pic:cNvPicPr/>
                  </pic:nvPicPr>
                  <pic:blipFill>
                    <a:blip r:embed="rId269" cstate="print"/>
                    <a:stretch>
                      <a:fillRect/>
                    </a:stretch>
                  </pic:blipFill>
                  <pic:spPr>
                    <a:xfrm>
                      <a:off x="0" y="0"/>
                      <a:ext cx="5584431" cy="3596449"/>
                    </a:xfrm>
                    <a:prstGeom prst="rect">
                      <a:avLst/>
                    </a:prstGeom>
                  </pic:spPr>
                </pic:pic>
              </a:graphicData>
            </a:graphic>
          </wp:inline>
        </w:drawing>
      </w:r>
      <w:r>
        <w:rPr>
          <w:sz w:val="20"/>
        </w:rPr>
      </w:r>
    </w:p>
    <w:p>
      <w:pPr>
        <w:pStyle w:val="BodyText"/>
        <w:spacing w:before="149"/>
        <w:ind w:left="817" w:right="253"/>
      </w:pPr>
      <w:r>
        <w:rPr>
          <w:i/>
        </w:rPr>
        <w:t>Notes: </w:t>
      </w:r>
      <w:r>
        <w:rPr/>
        <w:t>This figure shows the dynamic effects of property damage on depressive symptoms. The horizontal axis represents periods relative to the disaster event (negative values are pre-disaster, zero and positive values</w:t>
      </w:r>
      <w:r>
        <w:rPr>
          <w:spacing w:val="-4"/>
        </w:rPr>
        <w:t> </w:t>
      </w:r>
      <w:r>
        <w:rPr/>
        <w:t>are</w:t>
      </w:r>
      <w:r>
        <w:rPr>
          <w:spacing w:val="-4"/>
        </w:rPr>
        <w:t> </w:t>
      </w:r>
      <w:r>
        <w:rPr/>
        <w:t>post-disaster).</w:t>
      </w:r>
      <w:r>
        <w:rPr>
          <w:spacing w:val="-4"/>
        </w:rPr>
        <w:t> </w:t>
      </w:r>
      <w:r>
        <w:rPr/>
        <w:t>The</w:t>
      </w:r>
      <w:r>
        <w:rPr>
          <w:spacing w:val="-4"/>
        </w:rPr>
        <w:t> </w:t>
      </w:r>
      <w:r>
        <w:rPr/>
        <w:t>vertical</w:t>
      </w:r>
      <w:r>
        <w:rPr>
          <w:spacing w:val="-4"/>
        </w:rPr>
        <w:t> </w:t>
      </w:r>
      <w:r>
        <w:rPr/>
        <w:t>axis</w:t>
      </w:r>
      <w:r>
        <w:rPr>
          <w:spacing w:val="-4"/>
        </w:rPr>
        <w:t> </w:t>
      </w:r>
      <w:r>
        <w:rPr/>
        <w:t>shows</w:t>
      </w:r>
      <w:r>
        <w:rPr>
          <w:spacing w:val="-4"/>
        </w:rPr>
        <w:t> </w:t>
      </w:r>
      <w:r>
        <w:rPr/>
        <w:t>the</w:t>
      </w:r>
      <w:r>
        <w:rPr>
          <w:spacing w:val="-4"/>
        </w:rPr>
        <w:t> </w:t>
      </w:r>
      <w:r>
        <w:rPr/>
        <w:t>estimated</w:t>
      </w:r>
      <w:r>
        <w:rPr>
          <w:spacing w:val="-4"/>
        </w:rPr>
        <w:t> </w:t>
      </w:r>
      <w:r>
        <w:rPr/>
        <w:t>treatment</w:t>
      </w:r>
      <w:r>
        <w:rPr>
          <w:spacing w:val="-4"/>
        </w:rPr>
        <w:t> </w:t>
      </w:r>
      <w:r>
        <w:rPr/>
        <w:t>effect.</w:t>
      </w:r>
      <w:r>
        <w:rPr>
          <w:spacing w:val="-4"/>
        </w:rPr>
        <w:t> </w:t>
      </w:r>
      <w:r>
        <w:rPr/>
        <w:t>Pre</w:t>
      </w:r>
      <w:r>
        <w:rPr>
          <w:spacing w:val="-4"/>
        </w:rPr>
        <w:t> </w:t>
      </w:r>
      <w:r>
        <w:rPr/>
        <w:t>disaster</w:t>
      </w:r>
      <w:r>
        <w:rPr>
          <w:spacing w:val="-4"/>
        </w:rPr>
        <w:t> </w:t>
      </w:r>
      <w:r>
        <w:rPr/>
        <w:t>coefficients</w:t>
      </w:r>
      <w:r>
        <w:rPr>
          <w:spacing w:val="-4"/>
        </w:rPr>
        <w:t> </w:t>
      </w:r>
      <w:r>
        <w:rPr/>
        <w:t>test the parallel trends assumption; post-disaster coefficients show the persistent impact of disasters on mental </w:t>
      </w:r>
      <w:r>
        <w:rPr>
          <w:spacing w:val="-2"/>
        </w:rPr>
        <w:t>health.</w:t>
      </w:r>
    </w:p>
    <w:p>
      <w:pPr>
        <w:pStyle w:val="BodyText"/>
        <w:spacing w:before="42"/>
      </w:pPr>
    </w:p>
    <w:p>
      <w:pPr>
        <w:pStyle w:val="ListParagraph"/>
        <w:numPr>
          <w:ilvl w:val="0"/>
          <w:numId w:val="34"/>
        </w:numPr>
        <w:tabs>
          <w:tab w:pos="532" w:val="left" w:leader="none"/>
        </w:tabs>
        <w:spacing w:line="240" w:lineRule="auto" w:before="1" w:after="0"/>
        <w:ind w:left="532" w:right="0" w:hanging="180"/>
        <w:jc w:val="both"/>
        <w:rPr>
          <w:sz w:val="24"/>
        </w:rPr>
      </w:pPr>
      <w:r>
        <w:rPr>
          <w:sz w:val="24"/>
        </w:rPr>
        <w:t>Valuation</w:t>
      </w:r>
      <w:r>
        <w:rPr>
          <w:spacing w:val="-7"/>
          <w:sz w:val="24"/>
        </w:rPr>
        <w:t> </w:t>
      </w:r>
      <w:r>
        <w:rPr>
          <w:sz w:val="24"/>
        </w:rPr>
        <w:t>of</w:t>
      </w:r>
      <w:r>
        <w:rPr>
          <w:spacing w:val="-7"/>
          <w:sz w:val="24"/>
        </w:rPr>
        <w:t> </w:t>
      </w:r>
      <w:r>
        <w:rPr>
          <w:sz w:val="24"/>
        </w:rPr>
        <w:t>Mental</w:t>
      </w:r>
      <w:r>
        <w:rPr>
          <w:spacing w:val="-7"/>
          <w:sz w:val="24"/>
        </w:rPr>
        <w:t> </w:t>
      </w:r>
      <w:r>
        <w:rPr>
          <w:sz w:val="24"/>
        </w:rPr>
        <w:t>Health</w:t>
      </w:r>
      <w:r>
        <w:rPr>
          <w:spacing w:val="-6"/>
          <w:sz w:val="24"/>
        </w:rPr>
        <w:t> </w:t>
      </w:r>
      <w:r>
        <w:rPr>
          <w:spacing w:val="-2"/>
          <w:sz w:val="24"/>
        </w:rPr>
        <w:t>Impacts</w:t>
      </w:r>
    </w:p>
    <w:p>
      <w:pPr>
        <w:pStyle w:val="BodyText"/>
        <w:spacing w:before="265"/>
        <w:ind w:left="352" w:right="1769"/>
        <w:jc w:val="both"/>
      </w:pPr>
      <w:r>
        <w:rPr/>
        <w:t>To translate our symptom-based estimates into dollar terms, we conduct a back-of envelope valuation using published cost-of-illness estimates. According to </w:t>
      </w:r>
      <w:r>
        <w:rPr>
          <w:color w:val="0000FF"/>
        </w:rPr>
        <w:t>Greenberg et al. </w:t>
      </w:r>
      <w:r>
        <w:rPr/>
        <w:t>(</w:t>
      </w:r>
      <w:r>
        <w:rPr>
          <w:color w:val="0000FF"/>
        </w:rPr>
        <w:t>2023</w:t>
      </w:r>
      <w:r>
        <w:rPr/>
        <w:t>), </w:t>
      </w:r>
      <w:r>
        <w:rPr/>
        <w:t>the incremental societal economic burden of major depressive disorder (MDD) in the United States was approximately US$333.7 billion in</w:t>
      </w:r>
      <w:r>
        <w:rPr>
          <w:spacing w:val="-3"/>
        </w:rPr>
        <w:t> </w:t>
      </w:r>
      <w:r>
        <w:rPr/>
        <w:t>2019,</w:t>
      </w:r>
      <w:r>
        <w:rPr>
          <w:spacing w:val="-3"/>
        </w:rPr>
        <w:t> </w:t>
      </w:r>
      <w:r>
        <w:rPr/>
        <w:t>or</w:t>
      </w:r>
      <w:r>
        <w:rPr>
          <w:spacing w:val="-3"/>
        </w:rPr>
        <w:t> </w:t>
      </w:r>
      <w:r>
        <w:rPr/>
        <w:t>about</w:t>
      </w:r>
      <w:r>
        <w:rPr>
          <w:spacing w:val="-3"/>
        </w:rPr>
        <w:t> </w:t>
      </w:r>
      <w:r>
        <w:rPr/>
        <w:t>US$16,854</w:t>
      </w:r>
      <w:r>
        <w:rPr>
          <w:spacing w:val="-3"/>
        </w:rPr>
        <w:t> </w:t>
      </w:r>
      <w:r>
        <w:rPr/>
        <w:t>per</w:t>
      </w:r>
      <w:r>
        <w:rPr>
          <w:spacing w:val="-3"/>
        </w:rPr>
        <w:t> </w:t>
      </w:r>
      <w:r>
        <w:rPr/>
        <w:t>adult</w:t>
      </w:r>
      <w:r>
        <w:rPr>
          <w:spacing w:val="-3"/>
        </w:rPr>
        <w:t> </w:t>
      </w:r>
      <w:r>
        <w:rPr/>
        <w:t>with</w:t>
      </w:r>
      <w:r>
        <w:rPr>
          <w:spacing w:val="-3"/>
        </w:rPr>
        <w:t> </w:t>
      </w:r>
      <w:r>
        <w:rPr/>
        <w:t>MDD</w:t>
      </w:r>
      <w:r>
        <w:rPr>
          <w:spacing w:val="-3"/>
        </w:rPr>
        <w:t> </w:t>
      </w:r>
      <w:r>
        <w:rPr/>
        <w:t>annually. This figure includes direct healthcare</w:t>
      </w:r>
      <w:r>
        <w:rPr>
          <w:spacing w:val="-3"/>
        </w:rPr>
        <w:t> </w:t>
      </w:r>
      <w:r>
        <w:rPr/>
        <w:t>costs,</w:t>
      </w:r>
      <w:r>
        <w:rPr>
          <w:spacing w:val="-3"/>
        </w:rPr>
        <w:t> </w:t>
      </w:r>
      <w:r>
        <w:rPr/>
        <w:t>suicide-related</w:t>
      </w:r>
      <w:r>
        <w:rPr>
          <w:spacing w:val="-3"/>
        </w:rPr>
        <w:t> </w:t>
      </w:r>
      <w:r>
        <w:rPr/>
        <w:t>costs,</w:t>
      </w:r>
      <w:r>
        <w:rPr>
          <w:spacing w:val="-3"/>
        </w:rPr>
        <w:t> </w:t>
      </w:r>
      <w:r>
        <w:rPr/>
        <w:t>and</w:t>
      </w:r>
      <w:r>
        <w:rPr>
          <w:spacing w:val="-3"/>
        </w:rPr>
        <w:t> </w:t>
      </w:r>
      <w:r>
        <w:rPr/>
        <w:t>indirect</w:t>
      </w:r>
      <w:r>
        <w:rPr>
          <w:spacing w:val="-3"/>
        </w:rPr>
        <w:t> </w:t>
      </w:r>
      <w:r>
        <w:rPr/>
        <w:t>costs</w:t>
      </w:r>
      <w:r>
        <w:rPr>
          <w:spacing w:val="-3"/>
        </w:rPr>
        <w:t> </w:t>
      </w:r>
      <w:r>
        <w:rPr/>
        <w:t>from</w:t>
      </w:r>
      <w:r>
        <w:rPr>
          <w:spacing w:val="-3"/>
        </w:rPr>
        <w:t> </w:t>
      </w:r>
      <w:r>
        <w:rPr/>
        <w:t>reduced productivity and absenteeism.</w:t>
      </w:r>
    </w:p>
    <w:p>
      <w:pPr>
        <w:pStyle w:val="BodyText"/>
        <w:spacing w:before="221"/>
        <w:ind w:left="352" w:right="1784"/>
        <w:jc w:val="both"/>
      </w:pPr>
      <w:r>
        <w:rPr/>
        <w:t>Our estimates indicate that disaster-related property damage increases depressive symptoms </w:t>
      </w:r>
      <w:r>
        <w:rPr/>
        <w:t>by</w:t>
      </w:r>
      <w:r>
        <w:rPr>
          <w:spacing w:val="40"/>
        </w:rPr>
        <w:t> </w:t>
      </w:r>
      <w:r>
        <w:rPr/>
        <w:t>7-10%. If we assume this symptom increase corresponds proportionally to a fraction of the full MDD burden, then the per-person annual cost attributable to disaster induced mental health impacts ranges from:</w:t>
      </w:r>
    </w:p>
    <w:p>
      <w:pPr>
        <w:pStyle w:val="BodyText"/>
        <w:spacing w:before="230"/>
      </w:pPr>
    </w:p>
    <w:p>
      <w:pPr>
        <w:pStyle w:val="BodyText"/>
        <w:spacing w:before="1"/>
        <w:ind w:left="1492"/>
      </w:pPr>
      <w:r>
        <w:rPr/>
        <w:t>Per-person</w:t>
      </w:r>
      <w:r>
        <w:rPr>
          <w:spacing w:val="-1"/>
        </w:rPr>
        <w:t> </w:t>
      </w:r>
      <w:r>
        <w:rPr/>
        <w:t>cost = 0</w:t>
      </w:r>
      <w:r>
        <w:rPr>
          <w:i/>
        </w:rPr>
        <w:t>.</w:t>
      </w:r>
      <w:r>
        <w:rPr/>
        <w:t>07</w:t>
      </w:r>
      <w:r>
        <w:rPr>
          <w:spacing w:val="-1"/>
        </w:rPr>
        <w:t> </w:t>
      </w:r>
      <w:r>
        <w:rPr/>
        <w:t>× $16</w:t>
      </w:r>
      <w:r>
        <w:rPr>
          <w:i/>
        </w:rPr>
        <w:t>, </w:t>
      </w:r>
      <w:r>
        <w:rPr/>
        <w:t>854 ≈</w:t>
      </w:r>
      <w:r>
        <w:rPr>
          <w:spacing w:val="-1"/>
        </w:rPr>
        <w:t> </w:t>
      </w:r>
      <w:r>
        <w:rPr/>
        <w:t>$1</w:t>
      </w:r>
      <w:r>
        <w:rPr>
          <w:i/>
        </w:rPr>
        <w:t>, </w:t>
      </w:r>
      <w:r>
        <w:rPr/>
        <w:t>180 to</w:t>
      </w:r>
      <w:r>
        <w:rPr>
          <w:spacing w:val="-1"/>
        </w:rPr>
        <w:t> </w:t>
      </w:r>
      <w:r>
        <w:rPr/>
        <w:t>0</w:t>
      </w:r>
      <w:r>
        <w:rPr>
          <w:i/>
        </w:rPr>
        <w:t>.</w:t>
      </w:r>
      <w:r>
        <w:rPr/>
        <w:t>10 × $16</w:t>
      </w:r>
      <w:r>
        <w:rPr>
          <w:i/>
        </w:rPr>
        <w:t>, </w:t>
      </w:r>
      <w:r>
        <w:rPr/>
        <w:t>854</w:t>
      </w:r>
      <w:r>
        <w:rPr>
          <w:spacing w:val="-1"/>
        </w:rPr>
        <w:t> </w:t>
      </w:r>
      <w:r>
        <w:rPr/>
        <w:t>≈ $1</w:t>
      </w:r>
      <w:r>
        <w:rPr>
          <w:i/>
        </w:rPr>
        <w:t>, </w:t>
      </w:r>
      <w:r>
        <w:rPr/>
        <w:t>685 </w:t>
      </w:r>
      <w:r>
        <w:rPr>
          <w:spacing w:val="-5"/>
        </w:rPr>
        <w:t>(5)</w:t>
      </w:r>
    </w:p>
    <w:p>
      <w:pPr>
        <w:pStyle w:val="BodyText"/>
        <w:spacing w:before="63"/>
      </w:pPr>
    </w:p>
    <w:p>
      <w:pPr>
        <w:pStyle w:val="BodyText"/>
        <w:spacing w:line="242" w:lineRule="auto"/>
        <w:ind w:left="352" w:right="1725"/>
      </w:pPr>
      <w:r>
        <w:rPr/>
        <w:t>Alternatively, using quality-adjusted life year (QALY) valuations, </w:t>
      </w:r>
      <w:r>
        <w:rPr>
          <w:color w:val="0000FF"/>
        </w:rPr>
        <w:t>Jia and Lubetkin </w:t>
      </w:r>
      <w:r>
        <w:rPr/>
        <w:t>(</w:t>
      </w:r>
      <w:r>
        <w:rPr>
          <w:color w:val="0000FF"/>
        </w:rPr>
        <w:t>2017</w:t>
      </w:r>
      <w:r>
        <w:rPr/>
        <w:t>) estimate</w:t>
      </w:r>
      <w:r>
        <w:rPr>
          <w:spacing w:val="-5"/>
        </w:rPr>
        <w:t> </w:t>
      </w:r>
      <w:r>
        <w:rPr/>
        <w:t>that</w:t>
      </w:r>
      <w:r>
        <w:rPr>
          <w:spacing w:val="-5"/>
        </w:rPr>
        <w:t> </w:t>
      </w:r>
      <w:r>
        <w:rPr/>
        <w:t>older</w:t>
      </w:r>
      <w:r>
        <w:rPr>
          <w:spacing w:val="-5"/>
        </w:rPr>
        <w:t> </w:t>
      </w:r>
      <w:r>
        <w:rPr/>
        <w:t>adults</w:t>
      </w:r>
      <w:r>
        <w:rPr>
          <w:spacing w:val="-5"/>
        </w:rPr>
        <w:t> </w:t>
      </w:r>
      <w:r>
        <w:rPr/>
        <w:t>with</w:t>
      </w:r>
      <w:r>
        <w:rPr>
          <w:spacing w:val="-5"/>
        </w:rPr>
        <w:t> </w:t>
      </w:r>
      <w:r>
        <w:rPr/>
        <w:t>major</w:t>
      </w:r>
      <w:r>
        <w:rPr>
          <w:spacing w:val="-5"/>
        </w:rPr>
        <w:t> </w:t>
      </w:r>
      <w:r>
        <w:rPr/>
        <w:t>depression</w:t>
      </w:r>
      <w:r>
        <w:rPr>
          <w:spacing w:val="-5"/>
        </w:rPr>
        <w:t> </w:t>
      </w:r>
      <w:r>
        <w:rPr/>
        <w:t>have</w:t>
      </w:r>
      <w:r>
        <w:rPr>
          <w:spacing w:val="-5"/>
        </w:rPr>
        <w:t> </w:t>
      </w:r>
      <w:r>
        <w:rPr/>
        <w:t>approximately</w:t>
      </w:r>
      <w:r>
        <w:rPr>
          <w:spacing w:val="-5"/>
        </w:rPr>
        <w:t> </w:t>
      </w:r>
      <w:r>
        <w:rPr/>
        <w:t>8.3</w:t>
      </w:r>
      <w:r>
        <w:rPr>
          <w:spacing w:val="-5"/>
        </w:rPr>
        <w:t> </w:t>
      </w:r>
      <w:r>
        <w:rPr/>
        <w:t>fewer</w:t>
      </w:r>
      <w:r>
        <w:rPr>
          <w:spacing w:val="-5"/>
        </w:rPr>
        <w:t> </w:t>
      </w:r>
      <w:r>
        <w:rPr/>
        <w:t>QALYs</w:t>
      </w:r>
      <w:r>
        <w:rPr>
          <w:spacing w:val="-5"/>
        </w:rPr>
        <w:t> </w:t>
      </w:r>
      <w:r>
        <w:rPr/>
        <w:t>over</w:t>
      </w:r>
      <w:r>
        <w:rPr>
          <w:spacing w:val="-5"/>
        </w:rPr>
        <w:t> </w:t>
      </w:r>
      <w:r>
        <w:rPr/>
        <w:t>their remaining lifetime compared to those with minimal symptoms. Applying a conservative</w:t>
      </w:r>
    </w:p>
    <w:p>
      <w:pPr>
        <w:pStyle w:val="BodyText"/>
        <w:spacing w:line="242" w:lineRule="auto"/>
        <w:ind w:left="352" w:right="1725"/>
      </w:pPr>
      <w:r>
        <w:rPr/>
        <w:t>cost-effectiveness threshold of US$100,000 per QALY (</w:t>
      </w:r>
      <w:r>
        <w:rPr>
          <w:color w:val="0000FF"/>
        </w:rPr>
        <w:t>Neumann et al.</w:t>
      </w:r>
      <w:r>
        <w:rPr/>
        <w:t>, </w:t>
      </w:r>
      <w:r>
        <w:rPr>
          <w:color w:val="0000FF"/>
        </w:rPr>
        <w:t>2014</w:t>
      </w:r>
      <w:r>
        <w:rPr/>
        <w:t>; </w:t>
      </w:r>
      <w:r>
        <w:rPr>
          <w:color w:val="0000FF"/>
        </w:rPr>
        <w:t>Vanness et al.</w:t>
      </w:r>
      <w:r>
        <w:rPr/>
        <w:t>, </w:t>
      </w:r>
      <w:r>
        <w:rPr>
          <w:color w:val="0000FF"/>
        </w:rPr>
        <w:t>2021</w:t>
      </w:r>
      <w:r>
        <w:rPr/>
        <w:t>),</w:t>
      </w:r>
      <w:r>
        <w:rPr>
          <w:spacing w:val="-3"/>
        </w:rPr>
        <w:t> </w:t>
      </w:r>
      <w:r>
        <w:rPr/>
        <w:t>a</w:t>
      </w:r>
      <w:r>
        <w:rPr>
          <w:spacing w:val="-3"/>
        </w:rPr>
        <w:t> </w:t>
      </w:r>
      <w:r>
        <w:rPr/>
        <w:t>7-10%</w:t>
      </w:r>
      <w:r>
        <w:rPr>
          <w:spacing w:val="-3"/>
        </w:rPr>
        <w:t> </w:t>
      </w:r>
      <w:r>
        <w:rPr/>
        <w:t>increase</w:t>
      </w:r>
      <w:r>
        <w:rPr>
          <w:spacing w:val="-3"/>
        </w:rPr>
        <w:t> </w:t>
      </w:r>
      <w:r>
        <w:rPr/>
        <w:t>in</w:t>
      </w:r>
      <w:r>
        <w:rPr>
          <w:spacing w:val="-3"/>
        </w:rPr>
        <w:t> </w:t>
      </w:r>
      <w:r>
        <w:rPr/>
        <w:t>depressive</w:t>
      </w:r>
      <w:r>
        <w:rPr>
          <w:spacing w:val="-3"/>
        </w:rPr>
        <w:t> </w:t>
      </w:r>
      <w:r>
        <w:rPr/>
        <w:t>symptom</w:t>
      </w:r>
      <w:r>
        <w:rPr>
          <w:spacing w:val="-3"/>
        </w:rPr>
        <w:t> </w:t>
      </w:r>
      <w:r>
        <w:rPr/>
        <w:t>burden</w:t>
      </w:r>
      <w:r>
        <w:rPr>
          <w:spacing w:val="-3"/>
        </w:rPr>
        <w:t> </w:t>
      </w:r>
      <w:r>
        <w:rPr/>
        <w:t>would</w:t>
      </w:r>
      <w:r>
        <w:rPr>
          <w:spacing w:val="-3"/>
        </w:rPr>
        <w:t> </w:t>
      </w:r>
      <w:r>
        <w:rPr/>
        <w:t>correspond</w:t>
      </w:r>
      <w:r>
        <w:rPr>
          <w:spacing w:val="-3"/>
        </w:rPr>
        <w:t> </w:t>
      </w:r>
      <w:r>
        <w:rPr/>
        <w:t>to</w:t>
      </w:r>
      <w:r>
        <w:rPr>
          <w:spacing w:val="-3"/>
        </w:rPr>
        <w:t> </w:t>
      </w:r>
      <w:r>
        <w:rPr/>
        <w:t>an</w:t>
      </w:r>
      <w:r>
        <w:rPr>
          <w:spacing w:val="-3"/>
        </w:rPr>
        <w:t> </w:t>
      </w:r>
      <w:r>
        <w:rPr/>
        <w:t>annual</w:t>
      </w:r>
      <w:r>
        <w:rPr>
          <w:spacing w:val="-3"/>
        </w:rPr>
        <w:t> </w:t>
      </w:r>
      <w:r>
        <w:rPr/>
        <w:t>welfare loss of approximately US$580 to US$830 per person, assuming the lifetime QALY loss is</w:t>
      </w:r>
    </w:p>
    <w:p>
      <w:pPr>
        <w:pStyle w:val="BodyText"/>
        <w:spacing w:after="0" w:line="242" w:lineRule="auto"/>
        <w:sectPr>
          <w:pgSz w:w="12240" w:h="15840"/>
          <w:pgMar w:header="0" w:footer="707" w:top="760" w:bottom="960" w:left="720" w:right="0"/>
        </w:sectPr>
      </w:pPr>
    </w:p>
    <w:p>
      <w:pPr>
        <w:pStyle w:val="BodyText"/>
        <w:spacing w:before="60"/>
        <w:ind w:left="352"/>
        <w:jc w:val="both"/>
      </w:pPr>
      <w:r>
        <w:rPr/>
        <w:t>distributed across remaining life </w:t>
      </w:r>
      <w:r>
        <w:rPr>
          <w:spacing w:val="-2"/>
        </w:rPr>
        <w:t>expectancy.</w:t>
      </w:r>
    </w:p>
    <w:p>
      <w:pPr>
        <w:pStyle w:val="BodyText"/>
        <w:spacing w:line="242" w:lineRule="auto" w:before="178"/>
        <w:ind w:left="352" w:right="1777"/>
        <w:jc w:val="both"/>
      </w:pPr>
      <w:r>
        <w:rPr/>
        <w:t>To illustrate the aggregate magnitude, consider that our treatment groups include between </w:t>
      </w:r>
      <w:r>
        <w:rPr/>
        <w:t>235 and 573 individuals experiencing single-disaster events (Table </w:t>
      </w:r>
      <w:r>
        <w:rPr>
          <w:color w:val="0000FF"/>
        </w:rPr>
        <w:t>2</w:t>
      </w:r>
      <w:r>
        <w:rPr/>
        <w:t>). Using the cost-of-illness estimate of US$1,180-$1,685 per person, the annual mental health cost for</w:t>
      </w:r>
      <w:r>
        <w:rPr>
          <w:spacing w:val="-3"/>
        </w:rPr>
        <w:t> </w:t>
      </w:r>
      <w:r>
        <w:rPr/>
        <w:t>our</w:t>
      </w:r>
      <w:r>
        <w:rPr>
          <w:spacing w:val="-3"/>
        </w:rPr>
        <w:t> </w:t>
      </w:r>
      <w:r>
        <w:rPr/>
        <w:t>treatment</w:t>
      </w:r>
      <w:r>
        <w:rPr>
          <w:spacing w:val="-3"/>
        </w:rPr>
        <w:t> </w:t>
      </w:r>
      <w:r>
        <w:rPr/>
        <w:t>sample alone would range from approximately US$277,000 to US$965,000:</w:t>
      </w:r>
    </w:p>
    <w:p>
      <w:pPr>
        <w:pStyle w:val="BodyText"/>
        <w:spacing w:before="184"/>
      </w:pPr>
    </w:p>
    <w:p>
      <w:pPr>
        <w:pStyle w:val="BodyText"/>
        <w:ind w:left="4002"/>
      </w:pPr>
      <w:r>
        <w:rPr/>
        <w:t>235 × $1</w:t>
      </w:r>
      <w:r>
        <w:rPr>
          <w:i/>
        </w:rPr>
        <w:t>, </w:t>
      </w:r>
      <w:r>
        <w:rPr/>
        <w:t>180 = $277</w:t>
      </w:r>
      <w:r>
        <w:rPr>
          <w:i/>
        </w:rPr>
        <w:t>, </w:t>
      </w:r>
      <w:r>
        <w:rPr/>
        <w:t>300 to 573 × $1</w:t>
      </w:r>
      <w:r>
        <w:rPr>
          <w:i/>
        </w:rPr>
        <w:t>, </w:t>
      </w:r>
      <w:r>
        <w:rPr/>
        <w:t>685 = $965</w:t>
      </w:r>
      <w:r>
        <w:rPr>
          <w:i/>
        </w:rPr>
        <w:t>, </w:t>
      </w:r>
      <w:r>
        <w:rPr/>
        <w:t>505 </w:t>
      </w:r>
      <w:r>
        <w:rPr>
          <w:spacing w:val="-5"/>
        </w:rPr>
        <w:t>(6)</w:t>
      </w:r>
    </w:p>
    <w:p>
      <w:pPr>
        <w:pStyle w:val="BodyText"/>
        <w:spacing w:before="30"/>
      </w:pPr>
    </w:p>
    <w:p>
      <w:pPr>
        <w:pStyle w:val="BodyText"/>
        <w:spacing w:line="228" w:lineRule="auto"/>
        <w:ind w:left="352" w:right="1768"/>
        <w:jc w:val="both"/>
      </w:pPr>
      <w:r>
        <w:rPr/>
        <w:t>Scaling to the national level, approximately 14.5</w:t>
      </w:r>
      <w:r>
        <w:rPr>
          <w:spacing w:val="-3"/>
        </w:rPr>
        <w:t> </w:t>
      </w:r>
      <w:r>
        <w:rPr/>
        <w:t>million</w:t>
      </w:r>
      <w:r>
        <w:rPr>
          <w:spacing w:val="-3"/>
        </w:rPr>
        <w:t> </w:t>
      </w:r>
      <w:r>
        <w:rPr/>
        <w:t>Americans</w:t>
      </w:r>
      <w:r>
        <w:rPr>
          <w:spacing w:val="-3"/>
        </w:rPr>
        <w:t> </w:t>
      </w:r>
      <w:r>
        <w:rPr/>
        <w:t>are</w:t>
      </w:r>
      <w:r>
        <w:rPr>
          <w:spacing w:val="-3"/>
        </w:rPr>
        <w:t> </w:t>
      </w:r>
      <w:r>
        <w:rPr/>
        <w:t>affected</w:t>
      </w:r>
      <w:r>
        <w:rPr>
          <w:spacing w:val="-3"/>
        </w:rPr>
        <w:t> </w:t>
      </w:r>
      <w:r>
        <w:rPr/>
        <w:t>by</w:t>
      </w:r>
      <w:r>
        <w:rPr>
          <w:spacing w:val="-3"/>
        </w:rPr>
        <w:t> </w:t>
      </w:r>
      <w:r>
        <w:rPr/>
        <w:t>billion</w:t>
      </w:r>
      <w:r>
        <w:rPr>
          <w:spacing w:val="-3"/>
        </w:rPr>
        <w:t> </w:t>
      </w:r>
      <w:r>
        <w:rPr/>
        <w:t>dollar weather and climate disasters annually.</w:t>
      </w:r>
      <w:r>
        <w:rPr>
          <w:color w:val="0000FF"/>
          <w:vertAlign w:val="superscript"/>
        </w:rPr>
        <w:t>4</w:t>
      </w:r>
      <w:r>
        <w:rPr>
          <w:color w:val="0000FF"/>
          <w:vertAlign w:val="baseline"/>
        </w:rPr>
        <w:t> </w:t>
      </w:r>
      <w:r>
        <w:rPr>
          <w:vertAlign w:val="baseline"/>
        </w:rPr>
        <w:t>If even 10% of these individuals experience property damage comparable to our treatment groups, the aggregate annual mental health cost would be:</w:t>
      </w:r>
    </w:p>
    <w:p>
      <w:pPr>
        <w:pStyle w:val="BodyText"/>
        <w:spacing w:before="199"/>
      </w:pPr>
    </w:p>
    <w:p>
      <w:pPr>
        <w:pStyle w:val="BodyText"/>
        <w:ind w:left="352" w:firstLine="4544"/>
      </w:pPr>
      <w:r>
        <w:rPr/>
        <w:t>1</w:t>
      </w:r>
      <w:r>
        <w:rPr>
          <w:i/>
        </w:rPr>
        <w:t>.</w:t>
      </w:r>
      <w:r>
        <w:rPr/>
        <w:t>45 million × $1</w:t>
      </w:r>
      <w:r>
        <w:rPr>
          <w:i/>
        </w:rPr>
        <w:t>, </w:t>
      </w:r>
      <w:r>
        <w:rPr/>
        <w:t>400 ≈ $2</w:t>
      </w:r>
      <w:r>
        <w:rPr>
          <w:i/>
        </w:rPr>
        <w:t>.</w:t>
      </w:r>
      <w:r>
        <w:rPr/>
        <w:t>03 billion annually </w:t>
      </w:r>
      <w:r>
        <w:rPr>
          <w:spacing w:val="-5"/>
        </w:rPr>
        <w:t>(7)</w:t>
      </w:r>
    </w:p>
    <w:p>
      <w:pPr>
        <w:pStyle w:val="BodyText"/>
        <w:spacing w:before="31"/>
      </w:pPr>
    </w:p>
    <w:p>
      <w:pPr>
        <w:pStyle w:val="BodyText"/>
        <w:spacing w:line="242" w:lineRule="auto"/>
        <w:ind w:left="352" w:right="1769"/>
        <w:jc w:val="both"/>
      </w:pPr>
      <w:r>
        <w:rPr/>
        <w:t>This figure represents a substantial addition to the approximately US$150 billion in </w:t>
      </w:r>
      <w:r>
        <w:rPr/>
        <w:t>annual property damage from natural disasters in the United States, suggesting that mental health costs add roughly 1-2% to measured property damages. While this back-of-envelope calculation involves considerable uncertainty, it underscores that standard damage assessments omit economically meaningful welfare losses. These mental health externalities should be</w:t>
      </w:r>
      <w:r>
        <w:rPr>
          <w:spacing w:val="40"/>
        </w:rPr>
        <w:t> </w:t>
      </w:r>
      <w:r>
        <w:rPr/>
        <w:t>incorporated into cost-benefit analyses of climate adaptation in vestments (</w:t>
      </w:r>
      <w:r>
        <w:rPr>
          <w:color w:val="0000FF"/>
        </w:rPr>
        <w:t>Adger et al.</w:t>
      </w:r>
      <w:r>
        <w:rPr/>
        <w:t>, </w:t>
      </w:r>
      <w:r>
        <w:rPr>
          <w:color w:val="0000FF"/>
        </w:rPr>
        <w:t>2009</w:t>
      </w:r>
      <w:r>
        <w:rPr/>
        <w:t>; </w:t>
      </w:r>
      <w:r>
        <w:rPr>
          <w:color w:val="0000FF"/>
        </w:rPr>
        <w:t>Davlasheridze et al.</w:t>
      </w:r>
      <w:r>
        <w:rPr/>
        <w:t>, </w:t>
      </w:r>
      <w:r>
        <w:rPr>
          <w:color w:val="0000FF"/>
        </w:rPr>
        <w:t>2017</w:t>
      </w:r>
      <w:r>
        <w:rPr/>
        <w:t>).</w:t>
      </w:r>
    </w:p>
    <w:p>
      <w:pPr>
        <w:pStyle w:val="BodyText"/>
        <w:spacing w:line="242" w:lineRule="auto" w:before="169"/>
        <w:ind w:left="352" w:right="1782"/>
        <w:jc w:val="both"/>
      </w:pPr>
      <w:r>
        <w:rPr/>
        <w:t>Several caveats apply to this valuation exercise. First, our CES-D-4 symptom measure does not directly map to clinical MDD diagnoses; the proportional scaling assumption may over- or underestimate true costs. Second, the cost-of-illness estimates from </w:t>
      </w:r>
      <w:r>
        <w:rPr>
          <w:color w:val="0000FF"/>
        </w:rPr>
        <w:t>Greenberg et al. </w:t>
      </w:r>
      <w:r>
        <w:rPr/>
        <w:t>(</w:t>
      </w:r>
      <w:r>
        <w:rPr>
          <w:color w:val="0000FF"/>
        </w:rPr>
        <w:t>2023</w:t>
      </w:r>
      <w:r>
        <w:rPr/>
        <w:t>) reflect average costs across all adults with MDD, while our sample consists of older adults</w:t>
      </w:r>
      <w:r>
        <w:rPr>
          <w:spacing w:val="-2"/>
        </w:rPr>
        <w:t> </w:t>
      </w:r>
      <w:r>
        <w:rPr/>
        <w:t>who may have different cost profiles. Third, our estimates capture only depressive symptoms and do not include other mental health conditions (anxiety, PTSD) that may also increase following disasters. Despite these limitations, our valuation provides a first-order approximation of the nonmarket mental health costs that are currently omitted from disaster damage assessments.</w:t>
      </w:r>
    </w:p>
    <w:p>
      <w:pPr>
        <w:pStyle w:val="BodyText"/>
      </w:pPr>
    </w:p>
    <w:p>
      <w:pPr>
        <w:pStyle w:val="BodyText"/>
      </w:pPr>
    </w:p>
    <w:p>
      <w:pPr>
        <w:pStyle w:val="BodyText"/>
        <w:spacing w:before="3"/>
      </w:pPr>
    </w:p>
    <w:p>
      <w:pPr>
        <w:pStyle w:val="ListParagraph"/>
        <w:numPr>
          <w:ilvl w:val="0"/>
          <w:numId w:val="34"/>
        </w:numPr>
        <w:tabs>
          <w:tab w:pos="532" w:val="left" w:leader="none"/>
        </w:tabs>
        <w:spacing w:line="240" w:lineRule="auto" w:before="0" w:after="0"/>
        <w:ind w:left="532" w:right="0" w:hanging="180"/>
        <w:jc w:val="both"/>
        <w:rPr>
          <w:sz w:val="24"/>
        </w:rPr>
      </w:pPr>
      <w:r>
        <w:rPr>
          <w:sz w:val="24"/>
        </w:rPr>
        <w:t>Discussion and </w:t>
      </w:r>
      <w:r>
        <w:rPr>
          <w:spacing w:val="-2"/>
          <w:sz w:val="24"/>
        </w:rPr>
        <w:t>Conclusion</w:t>
      </w:r>
    </w:p>
    <w:p>
      <w:pPr>
        <w:pStyle w:val="BodyText"/>
        <w:spacing w:line="242" w:lineRule="auto" w:before="213"/>
        <w:ind w:left="352" w:right="1619"/>
      </w:pPr>
      <w:r>
        <w:rPr/>
        <w:t>As climate change increases the frequency and intensity of natural disasters (</w:t>
      </w:r>
      <w:r>
        <w:rPr>
          <w:color w:val="0000FF"/>
        </w:rPr>
        <w:t>IPCC</w:t>
      </w:r>
      <w:r>
        <w:rPr/>
        <w:t>, </w:t>
      </w:r>
      <w:r>
        <w:rPr>
          <w:color w:val="0000FF"/>
        </w:rPr>
        <w:t>2021</w:t>
      </w:r>
      <w:r>
        <w:rPr/>
        <w:t>), understanding the full economic costs of these events becomes critical for environmental policy. Using</w:t>
      </w:r>
      <w:r>
        <w:rPr>
          <w:spacing w:val="-4"/>
        </w:rPr>
        <w:t> </w:t>
      </w:r>
      <w:r>
        <w:rPr/>
        <w:t>a</w:t>
      </w:r>
      <w:r>
        <w:rPr>
          <w:spacing w:val="-4"/>
        </w:rPr>
        <w:t> </w:t>
      </w:r>
      <w:r>
        <w:rPr/>
        <w:t>quasi-experimental</w:t>
      </w:r>
      <w:r>
        <w:rPr>
          <w:spacing w:val="-4"/>
        </w:rPr>
        <w:t> </w:t>
      </w:r>
      <w:r>
        <w:rPr/>
        <w:t>identification</w:t>
      </w:r>
      <w:r>
        <w:rPr>
          <w:spacing w:val="-4"/>
        </w:rPr>
        <w:t> </w:t>
      </w:r>
      <w:r>
        <w:rPr/>
        <w:t>strategy</w:t>
      </w:r>
      <w:r>
        <w:rPr>
          <w:spacing w:val="-4"/>
        </w:rPr>
        <w:t> </w:t>
      </w:r>
      <w:r>
        <w:rPr/>
        <w:t>that</w:t>
      </w:r>
      <w:r>
        <w:rPr>
          <w:spacing w:val="-4"/>
        </w:rPr>
        <w:t> </w:t>
      </w:r>
      <w:r>
        <w:rPr/>
        <w:t>exploits</w:t>
      </w:r>
      <w:r>
        <w:rPr>
          <w:spacing w:val="-4"/>
        </w:rPr>
        <w:t> </w:t>
      </w:r>
      <w:r>
        <w:rPr/>
        <w:t>unexpected</w:t>
      </w:r>
      <w:r>
        <w:rPr>
          <w:spacing w:val="-4"/>
        </w:rPr>
        <w:t> </w:t>
      </w:r>
      <w:r>
        <w:rPr/>
        <w:t>single</w:t>
      </w:r>
      <w:r>
        <w:rPr>
          <w:spacing w:val="-4"/>
        </w:rPr>
        <w:t> </w:t>
      </w:r>
      <w:r>
        <w:rPr/>
        <w:t>disaster</w:t>
      </w:r>
      <w:r>
        <w:rPr>
          <w:spacing w:val="-4"/>
        </w:rPr>
        <w:t> </w:t>
      </w:r>
      <w:r>
        <w:rPr/>
        <w:t>events, we find that individuals experiencing property damage report a persistent 7-10% increase in depressive symptoms. This effect is particularly pronounced for lower intensity disasters, suggesting</w:t>
      </w:r>
      <w:r>
        <w:rPr>
          <w:spacing w:val="-5"/>
        </w:rPr>
        <w:t> </w:t>
      </w:r>
      <w:r>
        <w:rPr/>
        <w:t>that</w:t>
      </w:r>
      <w:r>
        <w:rPr>
          <w:spacing w:val="-5"/>
        </w:rPr>
        <w:t> </w:t>
      </w:r>
      <w:r>
        <w:rPr/>
        <w:t>communities</w:t>
      </w:r>
      <w:r>
        <w:rPr>
          <w:spacing w:val="-5"/>
        </w:rPr>
        <w:t> </w:t>
      </w:r>
      <w:r>
        <w:rPr/>
        <w:t>with</w:t>
      </w:r>
      <w:r>
        <w:rPr>
          <w:spacing w:val="-5"/>
        </w:rPr>
        <w:t> </w:t>
      </w:r>
      <w:r>
        <w:rPr/>
        <w:t>limited</w:t>
      </w:r>
      <w:r>
        <w:rPr>
          <w:spacing w:val="-5"/>
        </w:rPr>
        <w:t> </w:t>
      </w:r>
      <w:r>
        <w:rPr/>
        <w:t>disaster</w:t>
      </w:r>
      <w:r>
        <w:rPr>
          <w:spacing w:val="-5"/>
        </w:rPr>
        <w:t> </w:t>
      </w:r>
      <w:r>
        <w:rPr/>
        <w:t>experience</w:t>
      </w:r>
      <w:r>
        <w:rPr>
          <w:spacing w:val="-5"/>
        </w:rPr>
        <w:t> </w:t>
      </w:r>
      <w:r>
        <w:rPr/>
        <w:t>face</w:t>
      </w:r>
      <w:r>
        <w:rPr>
          <w:spacing w:val="-5"/>
        </w:rPr>
        <w:t> </w:t>
      </w:r>
      <w:r>
        <w:rPr/>
        <w:t>disproportionate</w:t>
      </w:r>
      <w:r>
        <w:rPr>
          <w:spacing w:val="-5"/>
        </w:rPr>
        <w:t> </w:t>
      </w:r>
      <w:r>
        <w:rPr/>
        <w:t>psychological </w:t>
      </w:r>
      <w:r>
        <w:rPr>
          <w:spacing w:val="-2"/>
        </w:rPr>
        <w:t>costs.</w:t>
      </w:r>
    </w:p>
    <w:p>
      <w:pPr>
        <w:pStyle w:val="BodyText"/>
        <w:spacing w:line="242" w:lineRule="auto" w:before="240"/>
        <w:ind w:left="352" w:right="1785"/>
        <w:jc w:val="both"/>
      </w:pPr>
      <w:r>
        <w:rPr/>
        <w:t>Tables </w:t>
      </w:r>
      <w:r>
        <w:rPr>
          <w:color w:val="0000FF"/>
        </w:rPr>
        <w:t>2 </w:t>
      </w:r>
      <w:r>
        <w:rPr/>
        <w:t>and </w:t>
      </w:r>
      <w:r>
        <w:rPr>
          <w:color w:val="0000FF"/>
        </w:rPr>
        <w:t>3 </w:t>
      </w:r>
      <w:r>
        <w:rPr/>
        <w:t>show that estimated treatment effects are largest for minor</w:t>
      </w:r>
      <w:r>
        <w:rPr>
          <w:spacing w:val="-3"/>
        </w:rPr>
        <w:t> </w:t>
      </w:r>
      <w:r>
        <w:rPr/>
        <w:t>and</w:t>
      </w:r>
      <w:r>
        <w:rPr>
          <w:spacing w:val="-3"/>
        </w:rPr>
        <w:t> </w:t>
      </w:r>
      <w:r>
        <w:rPr/>
        <w:t>moderate</w:t>
      </w:r>
      <w:r>
        <w:rPr>
          <w:spacing w:val="-3"/>
        </w:rPr>
        <w:t> </w:t>
      </w:r>
      <w:r>
        <w:rPr/>
        <w:t>disaster categories, with effects less precisely estimated for higher-severity categories (the very severe category contains only 13 individuals across 6 counties). Three mechanisms may explain this pattern. First, major disasters trigger</w:t>
      </w:r>
      <w:r>
        <w:rPr>
          <w:spacing w:val="-3"/>
        </w:rPr>
        <w:t> </w:t>
      </w:r>
      <w:r>
        <w:rPr/>
        <w:t>federal</w:t>
      </w:r>
      <w:r>
        <w:rPr>
          <w:spacing w:val="-3"/>
        </w:rPr>
        <w:t> </w:t>
      </w:r>
      <w:r>
        <w:rPr/>
        <w:t>declarations</w:t>
      </w:r>
      <w:r>
        <w:rPr>
          <w:spacing w:val="-3"/>
        </w:rPr>
        <w:t> </w:t>
      </w:r>
      <w:r>
        <w:rPr/>
        <w:t>and</w:t>
      </w:r>
      <w:r>
        <w:rPr>
          <w:spacing w:val="-3"/>
        </w:rPr>
        <w:t> </w:t>
      </w:r>
      <w:r>
        <w:rPr/>
        <w:t>FEMA</w:t>
      </w:r>
      <w:r>
        <w:rPr>
          <w:spacing w:val="-3"/>
        </w:rPr>
        <w:t> </w:t>
      </w:r>
      <w:r>
        <w:rPr/>
        <w:t>relief,</w:t>
      </w:r>
      <w:r>
        <w:rPr>
          <w:spacing w:val="-3"/>
        </w:rPr>
        <w:t> </w:t>
      </w:r>
      <w:r>
        <w:rPr/>
        <w:t>while</w:t>
      </w:r>
      <w:r>
        <w:rPr>
          <w:spacing w:val="-3"/>
        </w:rPr>
        <w:t> </w:t>
      </w:r>
      <w:r>
        <w:rPr/>
        <w:t>minor</w:t>
      </w:r>
      <w:r>
        <w:rPr>
          <w:spacing w:val="-3"/>
        </w:rPr>
        <w:t> </w:t>
      </w:r>
      <w:r>
        <w:rPr/>
        <w:t>disasters often fall below intervention thresholds (</w:t>
      </w:r>
      <w:r>
        <w:rPr>
          <w:color w:val="0000FF"/>
        </w:rPr>
        <w:t>Davlasheridze et al.</w:t>
      </w:r>
      <w:r>
        <w:rPr/>
        <w:t>, </w:t>
      </w:r>
      <w:r>
        <w:rPr>
          <w:color w:val="0000FF"/>
        </w:rPr>
        <w:t>2017</w:t>
      </w:r>
      <w:r>
        <w:rPr/>
        <w:t>; </w:t>
      </w:r>
      <w:r>
        <w:rPr>
          <w:color w:val="0000FF"/>
        </w:rPr>
        <w:t>Deryugina et al.</w:t>
      </w:r>
      <w:r>
        <w:rPr/>
        <w:t>, </w:t>
      </w:r>
      <w:r>
        <w:rPr>
          <w:color w:val="0000FF"/>
        </w:rPr>
        <w:t>2018</w:t>
      </w:r>
      <w:r>
        <w:rPr/>
        <w:t>). Second,</w:t>
      </w:r>
      <w:r>
        <w:rPr>
          <w:spacing w:val="75"/>
        </w:rPr>
        <w:t> </w:t>
      </w:r>
      <w:r>
        <w:rPr/>
        <w:t>the</w:t>
      </w:r>
      <w:r>
        <w:rPr>
          <w:spacing w:val="60"/>
        </w:rPr>
        <w:t> </w:t>
      </w:r>
      <w:r>
        <w:rPr/>
        <w:t>Conservation</w:t>
      </w:r>
      <w:r>
        <w:rPr>
          <w:spacing w:val="60"/>
        </w:rPr>
        <w:t> </w:t>
      </w:r>
      <w:r>
        <w:rPr/>
        <w:t>of</w:t>
      </w:r>
      <w:r>
        <w:rPr>
          <w:spacing w:val="60"/>
        </w:rPr>
        <w:t> </w:t>
      </w:r>
      <w:r>
        <w:rPr/>
        <w:t>Resources</w:t>
      </w:r>
      <w:r>
        <w:rPr>
          <w:spacing w:val="60"/>
        </w:rPr>
        <w:t> </w:t>
      </w:r>
      <w:r>
        <w:rPr/>
        <w:t>framework</w:t>
      </w:r>
      <w:r>
        <w:rPr>
          <w:spacing w:val="60"/>
        </w:rPr>
        <w:t> </w:t>
      </w:r>
      <w:r>
        <w:rPr/>
        <w:t>suggests</w:t>
      </w:r>
      <w:r>
        <w:rPr>
          <w:spacing w:val="60"/>
        </w:rPr>
        <w:t> </w:t>
      </w:r>
      <w:r>
        <w:rPr/>
        <w:t>that</w:t>
      </w:r>
      <w:r>
        <w:rPr>
          <w:spacing w:val="60"/>
        </w:rPr>
        <w:t> </w:t>
      </w:r>
      <w:r>
        <w:rPr/>
        <w:t>communities</w:t>
      </w:r>
      <w:r>
        <w:rPr>
          <w:spacing w:val="60"/>
        </w:rPr>
        <w:t> </w:t>
      </w:r>
      <w:r>
        <w:rPr/>
        <w:t>lacking</w:t>
      </w:r>
      <w:r>
        <w:rPr>
          <w:spacing w:val="60"/>
        </w:rPr>
        <w:t> </w:t>
      </w:r>
      <w:r>
        <w:rPr>
          <w:spacing w:val="-2"/>
        </w:rPr>
        <w:t>prior</w:t>
      </w:r>
    </w:p>
    <w:p>
      <w:pPr>
        <w:pStyle w:val="BodyText"/>
        <w:spacing w:after="0" w:line="242" w:lineRule="auto"/>
        <w:jc w:val="both"/>
        <w:sectPr>
          <w:pgSz w:w="12240" w:h="15840"/>
          <w:pgMar w:header="0" w:footer="707" w:top="640" w:bottom="960" w:left="720" w:right="0"/>
        </w:sectPr>
      </w:pPr>
    </w:p>
    <w:p>
      <w:pPr>
        <w:pStyle w:val="BodyText"/>
        <w:spacing w:line="242" w:lineRule="auto" w:before="60"/>
        <w:ind w:left="352" w:right="1787"/>
        <w:jc w:val="both"/>
      </w:pPr>
      <w:r>
        <w:rPr/>
        <w:t>disaster experience have not developed protective “re</w:t>
      </w:r>
      <w:r>
        <w:rPr>
          <w:spacing w:val="-3"/>
        </w:rPr>
        <w:t> </w:t>
      </w:r>
      <w:r>
        <w:rPr/>
        <w:t>source</w:t>
      </w:r>
      <w:r>
        <w:rPr>
          <w:spacing w:val="-3"/>
        </w:rPr>
        <w:t> </w:t>
      </w:r>
      <w:r>
        <w:rPr/>
        <w:t>caravans”</w:t>
      </w:r>
      <w:r>
        <w:rPr>
          <w:spacing w:val="-3"/>
        </w:rPr>
        <w:t> </w:t>
      </w:r>
      <w:r>
        <w:rPr/>
        <w:t>that</w:t>
      </w:r>
      <w:r>
        <w:rPr>
          <w:spacing w:val="-3"/>
        </w:rPr>
        <w:t> </w:t>
      </w:r>
      <w:r>
        <w:rPr/>
        <w:t>buffer</w:t>
      </w:r>
      <w:r>
        <w:rPr>
          <w:spacing w:val="-3"/>
        </w:rPr>
        <w:t> </w:t>
      </w:r>
      <w:r>
        <w:rPr/>
        <w:t>psychological impacts (</w:t>
      </w:r>
      <w:r>
        <w:rPr>
          <w:color w:val="0000FF"/>
        </w:rPr>
        <w:t>Hobfoll</w:t>
      </w:r>
      <w:r>
        <w:rPr/>
        <w:t>, </w:t>
      </w:r>
      <w:r>
        <w:rPr>
          <w:color w:val="0000FF"/>
        </w:rPr>
        <w:t>2 012</w:t>
      </w:r>
      <w:r>
        <w:rPr/>
        <w:t>; </w:t>
      </w:r>
      <w:r>
        <w:rPr>
          <w:color w:val="0000FF"/>
        </w:rPr>
        <w:t>H obfoll e</w:t>
      </w:r>
      <w:r>
        <w:rPr>
          <w:color w:val="0000FF"/>
          <w:spacing w:val="-3"/>
        </w:rPr>
        <w:t> </w:t>
      </w:r>
      <w:r>
        <w:rPr>
          <w:color w:val="0000FF"/>
        </w:rPr>
        <w:t>t</w:t>
      </w:r>
      <w:r>
        <w:rPr>
          <w:color w:val="0000FF"/>
          <w:spacing w:val="-3"/>
        </w:rPr>
        <w:t> </w:t>
      </w:r>
      <w:r>
        <w:rPr>
          <w:color w:val="0000FF"/>
        </w:rPr>
        <w:t>al.</w:t>
      </w:r>
      <w:r>
        <w:rPr/>
        <w:t>,</w:t>
      </w:r>
      <w:r>
        <w:rPr>
          <w:spacing w:val="-3"/>
        </w:rPr>
        <w:t> </w:t>
      </w:r>
      <w:r>
        <w:rPr>
          <w:color w:val="0000FF"/>
        </w:rPr>
        <w:t>2006</w:t>
      </w:r>
      <w:r>
        <w:rPr/>
        <w:t>).</w:t>
      </w:r>
      <w:r>
        <w:rPr>
          <w:spacing w:val="-3"/>
        </w:rPr>
        <w:t> </w:t>
      </w:r>
      <w:r>
        <w:rPr/>
        <w:t>Third,</w:t>
      </w:r>
      <w:r>
        <w:rPr>
          <w:spacing w:val="-3"/>
        </w:rPr>
        <w:t> </w:t>
      </w:r>
      <w:r>
        <w:rPr/>
        <w:t>major</w:t>
      </w:r>
      <w:r>
        <w:rPr>
          <w:spacing w:val="-3"/>
        </w:rPr>
        <w:t> </w:t>
      </w:r>
      <w:r>
        <w:rPr/>
        <w:t>disasters</w:t>
      </w:r>
      <w:r>
        <w:rPr>
          <w:spacing w:val="-3"/>
        </w:rPr>
        <w:t> </w:t>
      </w:r>
      <w:r>
        <w:rPr/>
        <w:t>generate</w:t>
      </w:r>
      <w:r>
        <w:rPr>
          <w:spacing w:val="-3"/>
        </w:rPr>
        <w:t> </w:t>
      </w:r>
      <w:r>
        <w:rPr/>
        <w:t>community-</w:t>
      </w:r>
      <w:r>
        <w:rPr/>
        <w:t>wide recognition of shared trauma, facilitating collective coping (</w:t>
      </w:r>
      <w:r>
        <w:rPr>
          <w:color w:val="0000FF"/>
        </w:rPr>
        <w:t>Norris and Kaniasty</w:t>
      </w:r>
      <w:r>
        <w:rPr/>
        <w:t>, </w:t>
      </w:r>
      <w:r>
        <w:rPr>
          <w:color w:val="0000FF"/>
        </w:rPr>
        <w:t>1996</w:t>
      </w:r>
      <w:r>
        <w:rPr/>
        <w:t>;</w:t>
      </w:r>
      <w:r>
        <w:rPr>
          <w:spacing w:val="80"/>
        </w:rPr>
        <w:t> </w:t>
      </w:r>
      <w:r>
        <w:rPr>
          <w:color w:val="0000FF"/>
        </w:rPr>
        <w:t>Chamlee-Wright and Storr</w:t>
      </w:r>
      <w:r>
        <w:rPr/>
        <w:t>, </w:t>
      </w:r>
      <w:r>
        <w:rPr>
          <w:color w:val="0000FF"/>
        </w:rPr>
        <w:t>2009</w:t>
      </w:r>
      <w:r>
        <w:rPr/>
        <w:t>), while minor disasters may disrupt individuals without mobilizing equivalent support.</w:t>
      </w:r>
    </w:p>
    <w:p>
      <w:pPr>
        <w:pStyle w:val="BodyText"/>
        <w:spacing w:before="244"/>
        <w:ind w:left="352" w:right="1785"/>
        <w:jc w:val="both"/>
      </w:pPr>
      <w:r>
        <w:rPr/>
        <w:t>These findings have three main</w:t>
      </w:r>
      <w:r>
        <w:rPr>
          <w:spacing w:val="-3"/>
        </w:rPr>
        <w:t> </w:t>
      </w:r>
      <w:r>
        <w:rPr/>
        <w:t>policy</w:t>
      </w:r>
      <w:r>
        <w:rPr>
          <w:spacing w:val="-3"/>
        </w:rPr>
        <w:t> </w:t>
      </w:r>
      <w:r>
        <w:rPr/>
        <w:t>implications.</w:t>
      </w:r>
      <w:r>
        <w:rPr>
          <w:spacing w:val="-3"/>
        </w:rPr>
        <w:t> </w:t>
      </w:r>
      <w:r>
        <w:rPr/>
        <w:t>First,</w:t>
      </w:r>
      <w:r>
        <w:rPr>
          <w:spacing w:val="-3"/>
        </w:rPr>
        <w:t> </w:t>
      </w:r>
      <w:r>
        <w:rPr/>
        <w:t>standard</w:t>
      </w:r>
      <w:r>
        <w:rPr>
          <w:spacing w:val="-3"/>
        </w:rPr>
        <w:t> </w:t>
      </w:r>
      <w:r>
        <w:rPr/>
        <w:t>damage</w:t>
      </w:r>
      <w:r>
        <w:rPr>
          <w:spacing w:val="-3"/>
        </w:rPr>
        <w:t> </w:t>
      </w:r>
      <w:r>
        <w:rPr/>
        <w:t>assessments</w:t>
      </w:r>
      <w:r>
        <w:rPr>
          <w:spacing w:val="-3"/>
        </w:rPr>
        <w:t> </w:t>
      </w:r>
      <w:r>
        <w:rPr/>
        <w:t>focus</w:t>
      </w:r>
      <w:r>
        <w:rPr>
          <w:spacing w:val="-3"/>
        </w:rPr>
        <w:t> </w:t>
      </w:r>
      <w:r>
        <w:rPr/>
        <w:t>on market-valued losses (</w:t>
      </w:r>
      <w:r>
        <w:rPr>
          <w:color w:val="0000FF"/>
        </w:rPr>
        <w:t>Hallegatte et al.</w:t>
      </w:r>
      <w:r>
        <w:rPr/>
        <w:t>, </w:t>
      </w:r>
      <w:r>
        <w:rPr>
          <w:color w:val="0000FF"/>
        </w:rPr>
        <w:t>2014</w:t>
      </w:r>
      <w:r>
        <w:rPr/>
        <w:t>) but omit welfare losses from psychological</w:t>
      </w:r>
      <w:r>
        <w:rPr>
          <w:spacing w:val="40"/>
        </w:rPr>
        <w:t> </w:t>
      </w:r>
      <w:r>
        <w:rPr/>
        <w:t>distress;</w:t>
      </w:r>
      <w:r>
        <w:rPr>
          <w:spacing w:val="40"/>
        </w:rPr>
        <w:t> </w:t>
      </w:r>
      <w:r>
        <w:rPr/>
        <w:t>our</w:t>
      </w:r>
      <w:r>
        <w:rPr>
          <w:spacing w:val="40"/>
        </w:rPr>
        <w:t> </w:t>
      </w:r>
      <w:r>
        <w:rPr/>
        <w:t>results</w:t>
      </w:r>
      <w:r>
        <w:rPr>
          <w:spacing w:val="40"/>
        </w:rPr>
        <w:t> </w:t>
      </w:r>
      <w:r>
        <w:rPr/>
        <w:t>suggest</w:t>
      </w:r>
      <w:r>
        <w:rPr>
          <w:spacing w:val="40"/>
        </w:rPr>
        <w:t> </w:t>
      </w:r>
      <w:r>
        <w:rPr/>
        <w:t>these</w:t>
      </w:r>
      <w:r>
        <w:rPr>
          <w:spacing w:val="40"/>
        </w:rPr>
        <w:t> </w:t>
      </w:r>
      <w:r>
        <w:rPr/>
        <w:t>nonmarket</w:t>
      </w:r>
      <w:r>
        <w:rPr>
          <w:spacing w:val="40"/>
        </w:rPr>
        <w:t> </w:t>
      </w:r>
      <w:r>
        <w:rPr/>
        <w:t>costs</w:t>
      </w:r>
      <w:r>
        <w:rPr>
          <w:spacing w:val="40"/>
        </w:rPr>
        <w:t> </w:t>
      </w:r>
      <w:r>
        <w:rPr/>
        <w:t>are</w:t>
      </w:r>
      <w:r>
        <w:rPr>
          <w:spacing w:val="40"/>
        </w:rPr>
        <w:t> </w:t>
      </w:r>
      <w:r>
        <w:rPr/>
        <w:t>substantial</w:t>
      </w:r>
      <w:r>
        <w:rPr>
          <w:spacing w:val="40"/>
        </w:rPr>
        <w:t> </w:t>
      </w:r>
      <w:r>
        <w:rPr/>
        <w:t>and</w:t>
      </w:r>
      <w:r>
        <w:rPr>
          <w:spacing w:val="40"/>
        </w:rPr>
        <w:t> </w:t>
      </w:r>
      <w:r>
        <w:rPr/>
        <w:t>persistent.</w:t>
      </w:r>
      <w:r>
        <w:rPr>
          <w:spacing w:val="40"/>
        </w:rPr>
        <w:t> </w:t>
      </w:r>
      <w:r>
        <w:rPr/>
        <w:t>Second, cost-benefit analyses of climate adaptation investments (</w:t>
      </w:r>
      <w:r>
        <w:rPr>
          <w:color w:val="0000FF"/>
        </w:rPr>
        <w:t>Adger et al.</w:t>
      </w:r>
      <w:r>
        <w:rPr/>
        <w:t>,</w:t>
      </w:r>
      <w:r>
        <w:rPr>
          <w:spacing w:val="-2"/>
        </w:rPr>
        <w:t> </w:t>
      </w:r>
      <w:r>
        <w:rPr>
          <w:color w:val="0000FF"/>
        </w:rPr>
        <w:t>2009</w:t>
      </w:r>
      <w:r>
        <w:rPr/>
        <w:t>;</w:t>
      </w:r>
      <w:r>
        <w:rPr>
          <w:spacing w:val="-2"/>
        </w:rPr>
        <w:t> </w:t>
      </w:r>
      <w:r>
        <w:rPr>
          <w:color w:val="0000FF"/>
        </w:rPr>
        <w:t>Davlasheridze</w:t>
      </w:r>
      <w:r>
        <w:rPr>
          <w:color w:val="0000FF"/>
          <w:spacing w:val="-2"/>
        </w:rPr>
        <w:t> </w:t>
      </w:r>
      <w:r>
        <w:rPr>
          <w:color w:val="0000FF"/>
        </w:rPr>
        <w:t>et</w:t>
      </w:r>
      <w:r>
        <w:rPr>
          <w:color w:val="0000FF"/>
          <w:spacing w:val="-2"/>
        </w:rPr>
        <w:t> </w:t>
      </w:r>
      <w:r>
        <w:rPr>
          <w:color w:val="0000FF"/>
        </w:rPr>
        <w:t>al.</w:t>
      </w:r>
      <w:r>
        <w:rPr/>
        <w:t>, </w:t>
      </w:r>
      <w:r>
        <w:rPr>
          <w:color w:val="0000FF"/>
        </w:rPr>
        <w:t>2017</w:t>
      </w:r>
      <w:r>
        <w:rPr/>
        <w:t>) should incorporate mental health benefits, which may be particularly large for</w:t>
      </w:r>
      <w:r>
        <w:rPr>
          <w:spacing w:val="40"/>
        </w:rPr>
        <w:t> </w:t>
      </w:r>
      <w:r>
        <w:rPr/>
        <w:t>communities with limited disaster experience. Third, disaster response policies should not</w:t>
      </w:r>
      <w:r>
        <w:rPr>
          <w:spacing w:val="-2"/>
        </w:rPr>
        <w:t> </w:t>
      </w:r>
      <w:r>
        <w:rPr/>
        <w:t>focus exclusively on high-intensity events; communities experiencing unexpected minor</w:t>
      </w:r>
      <w:r>
        <w:rPr>
          <w:spacing w:val="-4"/>
        </w:rPr>
        <w:t> </w:t>
      </w:r>
      <w:r>
        <w:rPr/>
        <w:t>disasters</w:t>
      </w:r>
      <w:r>
        <w:rPr>
          <w:spacing w:val="-4"/>
        </w:rPr>
        <w:t> </w:t>
      </w:r>
      <w:r>
        <w:rPr/>
        <w:t>may need additional support even when property damage is limited.</w:t>
      </w:r>
    </w:p>
    <w:p>
      <w:pPr>
        <w:pStyle w:val="BodyText"/>
        <w:spacing w:before="256"/>
        <w:ind w:left="352" w:right="1791"/>
        <w:jc w:val="both"/>
      </w:pPr>
      <w:r>
        <w:rPr/>
        <w:t>Several limitations should be noted. Our analysis focuses on older adults, </w:t>
      </w:r>
      <w:r>
        <w:rPr/>
        <w:t>limiting</w:t>
      </w:r>
      <w:r>
        <w:rPr>
          <w:spacing w:val="40"/>
        </w:rPr>
        <w:t> </w:t>
      </w:r>
      <w:r>
        <w:rPr/>
        <w:t>generalizability to other populations. Our data do not include direct measures of federal aid receipt or community support, precluding empirical tests of the proposed mechanisms. The county-level property damage indicator captures area-level rather than individual level exposure.</w:t>
      </w:r>
    </w:p>
    <w:p>
      <w:pPr>
        <w:pStyle w:val="BodyText"/>
        <w:spacing w:line="242" w:lineRule="auto" w:before="255"/>
        <w:ind w:left="352" w:right="1789"/>
        <w:jc w:val="both"/>
      </w:pPr>
      <w:r>
        <w:rPr/>
        <w:t>This paper contributes to environmental economics by quantifying a previously </w:t>
      </w:r>
      <w:r>
        <w:rPr/>
        <w:t>unmeasured nonmarket cost of disasters, demonstrating how machine learning methods enhance causal inference (</w:t>
      </w:r>
      <w:r>
        <w:rPr>
          <w:color w:val="0000FF"/>
        </w:rPr>
        <w:t>Belloni et al.</w:t>
      </w:r>
      <w:r>
        <w:rPr/>
        <w:t>, </w:t>
      </w:r>
      <w:r>
        <w:rPr>
          <w:color w:val="0000FF"/>
        </w:rPr>
        <w:t>2014</w:t>
      </w:r>
      <w:r>
        <w:rPr/>
        <w:t>), and informing climate adaptation policy design. Future</w:t>
      </w:r>
      <w:r>
        <w:rPr>
          <w:spacing w:val="-3"/>
        </w:rPr>
        <w:t> </w:t>
      </w:r>
      <w:r>
        <w:rPr/>
        <w:t>research should examine heterogeneity across populations and disaster types, and develop methods for incorporating mental health impacts into standard environmental valuation (</w:t>
      </w:r>
      <w:r>
        <w:rPr>
          <w:color w:val="0000FF"/>
        </w:rPr>
        <w:t>Freeman Iii</w:t>
      </w:r>
      <w:r>
        <w:rPr/>
        <w:t>, </w:t>
      </w:r>
      <w:r>
        <w:rPr>
          <w:color w:val="0000FF"/>
        </w:rPr>
        <w:t>2003</w:t>
      </w:r>
      <w:r>
        <w:rPr/>
        <w:t>; </w:t>
      </w:r>
      <w:r>
        <w:rPr>
          <w:color w:val="0000FF"/>
        </w:rPr>
        <w:t>Champ et al.</w:t>
      </w:r>
      <w:r>
        <w:rPr/>
        <w:t>, </w:t>
      </w:r>
      <w:r>
        <w:rPr>
          <w:color w:val="0000FF"/>
        </w:rPr>
        <w:t>2003</w:t>
      </w:r>
      <w:r>
        <w:rPr/>
        <w:t>).</w:t>
      </w:r>
    </w:p>
    <w:p>
      <w:pPr>
        <w:pStyle w:val="BodyText"/>
        <w:spacing w:before="270"/>
        <w:ind w:left="352"/>
      </w:pPr>
      <w:r>
        <w:rPr>
          <w:spacing w:val="-2"/>
        </w:rPr>
        <w:t>References</w:t>
      </w:r>
    </w:p>
    <w:p>
      <w:pPr>
        <w:pStyle w:val="BodyText"/>
        <w:spacing w:before="45"/>
      </w:pPr>
    </w:p>
    <w:p>
      <w:pPr>
        <w:pStyle w:val="BodyText"/>
        <w:spacing w:line="242" w:lineRule="auto"/>
        <w:ind w:left="967" w:right="1793" w:hanging="240"/>
        <w:jc w:val="both"/>
      </w:pPr>
      <w:r>
        <w:rPr/>
        <w:t>Adger, W. N., Dessai, S., Goulden, M., Hulme, M., Lorenzoni, I., Nelson, D. R., Naess, </w:t>
      </w:r>
      <w:r>
        <w:rPr/>
        <w:t>L. O., Wolf, J., and Wreford, A. (2009). Are there social limits to adaptation to climate change? </w:t>
      </w:r>
      <w:r>
        <w:rPr>
          <w:i/>
        </w:rPr>
        <w:t>Climatic change</w:t>
      </w:r>
      <w:r>
        <w:rPr/>
        <w:t>, 93(3):335–354.</w:t>
      </w:r>
    </w:p>
    <w:p>
      <w:pPr>
        <w:pStyle w:val="BodyText"/>
        <w:spacing w:before="205"/>
        <w:ind w:left="727"/>
      </w:pPr>
      <w:r>
        <w:rPr/>
        <w:t>Barnor,</w:t>
      </w:r>
      <w:r>
        <w:rPr>
          <w:spacing w:val="-1"/>
        </w:rPr>
        <w:t> </w:t>
      </w:r>
      <w:r>
        <w:rPr/>
        <w:t>K.</w:t>
      </w:r>
      <w:r>
        <w:rPr>
          <w:spacing w:val="-1"/>
        </w:rPr>
        <w:t> </w:t>
      </w:r>
      <w:r>
        <w:rPr/>
        <w:t>(2025).</w:t>
      </w:r>
      <w:r>
        <w:rPr>
          <w:spacing w:val="-1"/>
        </w:rPr>
        <w:t> </w:t>
      </w:r>
      <w:r>
        <w:rPr/>
        <w:t>The</w:t>
      </w:r>
      <w:r>
        <w:rPr>
          <w:spacing w:val="-1"/>
        </w:rPr>
        <w:t> </w:t>
      </w:r>
      <w:r>
        <w:rPr/>
        <w:t>impact of</w:t>
      </w:r>
      <w:r>
        <w:rPr>
          <w:spacing w:val="-1"/>
        </w:rPr>
        <w:t> </w:t>
      </w:r>
      <w:r>
        <w:rPr/>
        <w:t>air</w:t>
      </w:r>
      <w:r>
        <w:rPr>
          <w:spacing w:val="-1"/>
        </w:rPr>
        <w:t> </w:t>
      </w:r>
      <w:r>
        <w:rPr/>
        <w:t>pollution</w:t>
      </w:r>
      <w:r>
        <w:rPr>
          <w:spacing w:val="-1"/>
        </w:rPr>
        <w:t> </w:t>
      </w:r>
      <w:r>
        <w:rPr/>
        <w:t>on mental</w:t>
      </w:r>
      <w:r>
        <w:rPr>
          <w:spacing w:val="-1"/>
        </w:rPr>
        <w:t> </w:t>
      </w:r>
      <w:r>
        <w:rPr/>
        <w:t>health:</w:t>
      </w:r>
      <w:r>
        <w:rPr>
          <w:spacing w:val="-1"/>
        </w:rPr>
        <w:t> </w:t>
      </w:r>
      <w:r>
        <w:rPr/>
        <w:t>Evidence</w:t>
      </w:r>
      <w:r>
        <w:rPr>
          <w:spacing w:val="-1"/>
        </w:rPr>
        <w:t> </w:t>
      </w:r>
      <w:r>
        <w:rPr/>
        <w:t>from </w:t>
      </w:r>
      <w:r>
        <w:rPr>
          <w:spacing w:val="-2"/>
        </w:rPr>
        <w:t>texas.</w:t>
      </w:r>
    </w:p>
    <w:p>
      <w:pPr>
        <w:spacing w:before="1"/>
        <w:ind w:left="982" w:right="0" w:firstLine="0"/>
        <w:jc w:val="left"/>
        <w:rPr>
          <w:sz w:val="24"/>
        </w:rPr>
      </w:pPr>
      <w:r>
        <w:rPr>
          <w:i/>
          <w:sz w:val="24"/>
        </w:rPr>
        <w:t>Journal</w:t>
      </w:r>
      <w:r>
        <w:rPr>
          <w:i/>
          <w:spacing w:val="-2"/>
          <w:sz w:val="24"/>
        </w:rPr>
        <w:t> </w:t>
      </w:r>
      <w:r>
        <w:rPr>
          <w:i/>
          <w:sz w:val="24"/>
        </w:rPr>
        <w:t>of</w:t>
      </w:r>
      <w:r>
        <w:rPr>
          <w:i/>
          <w:spacing w:val="-1"/>
          <w:sz w:val="24"/>
        </w:rPr>
        <w:t> </w:t>
      </w:r>
      <w:r>
        <w:rPr>
          <w:i/>
          <w:sz w:val="24"/>
        </w:rPr>
        <w:t>Environmental</w:t>
      </w:r>
      <w:r>
        <w:rPr>
          <w:i/>
          <w:spacing w:val="-2"/>
          <w:sz w:val="24"/>
        </w:rPr>
        <w:t> </w:t>
      </w:r>
      <w:r>
        <w:rPr>
          <w:i/>
          <w:sz w:val="24"/>
        </w:rPr>
        <w:t>Economics</w:t>
      </w:r>
      <w:r>
        <w:rPr>
          <w:i/>
          <w:spacing w:val="-1"/>
          <w:sz w:val="24"/>
        </w:rPr>
        <w:t> </w:t>
      </w:r>
      <w:r>
        <w:rPr>
          <w:i/>
          <w:sz w:val="24"/>
        </w:rPr>
        <w:t>and</w:t>
      </w:r>
      <w:r>
        <w:rPr>
          <w:i/>
          <w:spacing w:val="-2"/>
          <w:sz w:val="24"/>
        </w:rPr>
        <w:t> </w:t>
      </w:r>
      <w:r>
        <w:rPr>
          <w:i/>
          <w:sz w:val="24"/>
        </w:rPr>
        <w:t>Management</w:t>
      </w:r>
      <w:r>
        <w:rPr>
          <w:sz w:val="24"/>
        </w:rPr>
        <w:t>,</w:t>
      </w:r>
      <w:r>
        <w:rPr>
          <w:spacing w:val="-1"/>
          <w:sz w:val="24"/>
        </w:rPr>
        <w:t> </w:t>
      </w:r>
      <w:r>
        <w:rPr>
          <w:spacing w:val="-2"/>
          <w:sz w:val="24"/>
        </w:rPr>
        <w:t>133:102828.</w:t>
      </w:r>
    </w:p>
    <w:p>
      <w:pPr>
        <w:spacing w:before="210"/>
        <w:ind w:left="967" w:right="1897" w:hanging="240"/>
        <w:jc w:val="left"/>
        <w:rPr>
          <w:sz w:val="24"/>
        </w:rPr>
      </w:pPr>
      <w:r>
        <w:rPr>
          <w:sz w:val="24"/>
        </w:rPr>
        <w:t>Bayer,</w:t>
      </w:r>
      <w:r>
        <w:rPr>
          <w:spacing w:val="-7"/>
          <w:sz w:val="24"/>
        </w:rPr>
        <w:t> </w:t>
      </w:r>
      <w:r>
        <w:rPr>
          <w:sz w:val="24"/>
        </w:rPr>
        <w:t>P.,</w:t>
      </w:r>
      <w:r>
        <w:rPr>
          <w:spacing w:val="-7"/>
          <w:sz w:val="24"/>
        </w:rPr>
        <w:t> </w:t>
      </w:r>
      <w:r>
        <w:rPr>
          <w:sz w:val="24"/>
        </w:rPr>
        <w:t>Keohane,</w:t>
      </w:r>
      <w:r>
        <w:rPr>
          <w:spacing w:val="-7"/>
          <w:sz w:val="24"/>
        </w:rPr>
        <w:t> </w:t>
      </w:r>
      <w:r>
        <w:rPr>
          <w:sz w:val="24"/>
        </w:rPr>
        <w:t>N.,</w:t>
      </w:r>
      <w:r>
        <w:rPr>
          <w:spacing w:val="-7"/>
          <w:sz w:val="24"/>
        </w:rPr>
        <w:t> </w:t>
      </w:r>
      <w:r>
        <w:rPr>
          <w:sz w:val="24"/>
        </w:rPr>
        <w:t>and</w:t>
      </w:r>
      <w:r>
        <w:rPr>
          <w:spacing w:val="-7"/>
          <w:sz w:val="24"/>
        </w:rPr>
        <w:t> </w:t>
      </w:r>
      <w:r>
        <w:rPr>
          <w:sz w:val="24"/>
        </w:rPr>
        <w:t>Timmins,</w:t>
      </w:r>
      <w:r>
        <w:rPr>
          <w:spacing w:val="-7"/>
          <w:sz w:val="24"/>
        </w:rPr>
        <w:t> </w:t>
      </w:r>
      <w:r>
        <w:rPr>
          <w:sz w:val="24"/>
        </w:rPr>
        <w:t>C.</w:t>
      </w:r>
      <w:r>
        <w:rPr>
          <w:spacing w:val="-7"/>
          <w:sz w:val="24"/>
        </w:rPr>
        <w:t> </w:t>
      </w:r>
      <w:r>
        <w:rPr>
          <w:sz w:val="24"/>
        </w:rPr>
        <w:t>(2009).</w:t>
      </w:r>
      <w:r>
        <w:rPr>
          <w:spacing w:val="-7"/>
          <w:sz w:val="24"/>
        </w:rPr>
        <w:t> </w:t>
      </w:r>
      <w:r>
        <w:rPr>
          <w:sz w:val="24"/>
        </w:rPr>
        <w:t>Migration</w:t>
      </w:r>
      <w:r>
        <w:rPr>
          <w:spacing w:val="-7"/>
          <w:sz w:val="24"/>
        </w:rPr>
        <w:t> </w:t>
      </w:r>
      <w:r>
        <w:rPr>
          <w:sz w:val="24"/>
        </w:rPr>
        <w:t>and</w:t>
      </w:r>
      <w:r>
        <w:rPr>
          <w:spacing w:val="-7"/>
          <w:sz w:val="24"/>
        </w:rPr>
        <w:t> </w:t>
      </w:r>
      <w:r>
        <w:rPr>
          <w:sz w:val="24"/>
        </w:rPr>
        <w:t>hedonic</w:t>
      </w:r>
      <w:r>
        <w:rPr>
          <w:spacing w:val="-7"/>
          <w:sz w:val="24"/>
        </w:rPr>
        <w:t> </w:t>
      </w:r>
      <w:r>
        <w:rPr>
          <w:sz w:val="24"/>
        </w:rPr>
        <w:t>valuation:</w:t>
      </w:r>
      <w:r>
        <w:rPr>
          <w:spacing w:val="-7"/>
          <w:sz w:val="24"/>
        </w:rPr>
        <w:t> </w:t>
      </w:r>
      <w:r>
        <w:rPr>
          <w:sz w:val="24"/>
        </w:rPr>
        <w:t>The</w:t>
      </w:r>
      <w:r>
        <w:rPr>
          <w:spacing w:val="-7"/>
          <w:sz w:val="24"/>
        </w:rPr>
        <w:t> </w:t>
      </w:r>
      <w:r>
        <w:rPr>
          <w:sz w:val="24"/>
        </w:rPr>
        <w:t>case of air quality. </w:t>
      </w:r>
      <w:r>
        <w:rPr>
          <w:i/>
          <w:sz w:val="24"/>
        </w:rPr>
        <w:t>Journal of Environmental Economics and Management</w:t>
      </w:r>
      <w:r>
        <w:rPr>
          <w:sz w:val="24"/>
        </w:rPr>
        <w:t>, 58(1):1–14.</w:t>
      </w:r>
    </w:p>
    <w:p>
      <w:pPr>
        <w:spacing w:before="211"/>
        <w:ind w:left="952" w:right="1191" w:hanging="225"/>
        <w:jc w:val="left"/>
        <w:rPr>
          <w:sz w:val="24"/>
        </w:rPr>
      </w:pPr>
      <w:r>
        <w:rPr>
          <w:sz w:val="24"/>
        </w:rPr>
        <w:t>Bellemare,</w:t>
      </w:r>
      <w:r>
        <w:rPr>
          <w:spacing w:val="-6"/>
          <w:sz w:val="24"/>
        </w:rPr>
        <w:t> </w:t>
      </w:r>
      <w:r>
        <w:rPr>
          <w:sz w:val="24"/>
        </w:rPr>
        <w:t>M.</w:t>
      </w:r>
      <w:r>
        <w:rPr>
          <w:spacing w:val="-6"/>
          <w:sz w:val="24"/>
        </w:rPr>
        <w:t> </w:t>
      </w:r>
      <w:r>
        <w:rPr>
          <w:sz w:val="24"/>
        </w:rPr>
        <w:t>F.</w:t>
      </w:r>
      <w:r>
        <w:rPr>
          <w:spacing w:val="-6"/>
          <w:sz w:val="24"/>
        </w:rPr>
        <w:t> </w:t>
      </w:r>
      <w:r>
        <w:rPr>
          <w:sz w:val="24"/>
        </w:rPr>
        <w:t>and</w:t>
      </w:r>
      <w:r>
        <w:rPr>
          <w:spacing w:val="-6"/>
          <w:sz w:val="24"/>
        </w:rPr>
        <w:t> </w:t>
      </w:r>
      <w:r>
        <w:rPr>
          <w:sz w:val="24"/>
        </w:rPr>
        <w:t>Wichman,</w:t>
      </w:r>
      <w:r>
        <w:rPr>
          <w:spacing w:val="-6"/>
          <w:sz w:val="24"/>
        </w:rPr>
        <w:t> </w:t>
      </w:r>
      <w:r>
        <w:rPr>
          <w:sz w:val="24"/>
        </w:rPr>
        <w:t>C.</w:t>
      </w:r>
      <w:r>
        <w:rPr>
          <w:spacing w:val="-6"/>
          <w:sz w:val="24"/>
        </w:rPr>
        <w:t> </w:t>
      </w:r>
      <w:r>
        <w:rPr>
          <w:sz w:val="24"/>
        </w:rPr>
        <w:t>J.</w:t>
      </w:r>
      <w:r>
        <w:rPr>
          <w:spacing w:val="-6"/>
          <w:sz w:val="24"/>
        </w:rPr>
        <w:t> </w:t>
      </w:r>
      <w:r>
        <w:rPr>
          <w:sz w:val="24"/>
        </w:rPr>
        <w:t>(2020).</w:t>
      </w:r>
      <w:r>
        <w:rPr>
          <w:spacing w:val="-6"/>
          <w:sz w:val="24"/>
        </w:rPr>
        <w:t> </w:t>
      </w:r>
      <w:r>
        <w:rPr>
          <w:sz w:val="24"/>
        </w:rPr>
        <w:t>Elasticities</w:t>
      </w:r>
      <w:r>
        <w:rPr>
          <w:spacing w:val="-6"/>
          <w:sz w:val="24"/>
        </w:rPr>
        <w:t> </w:t>
      </w:r>
      <w:r>
        <w:rPr>
          <w:sz w:val="24"/>
        </w:rPr>
        <w:t>and</w:t>
      </w:r>
      <w:r>
        <w:rPr>
          <w:spacing w:val="-6"/>
          <w:sz w:val="24"/>
        </w:rPr>
        <w:t> </w:t>
      </w:r>
      <w:r>
        <w:rPr>
          <w:sz w:val="24"/>
        </w:rPr>
        <w:t>the</w:t>
      </w:r>
      <w:r>
        <w:rPr>
          <w:spacing w:val="-6"/>
          <w:sz w:val="24"/>
        </w:rPr>
        <w:t> </w:t>
      </w:r>
      <w:r>
        <w:rPr>
          <w:sz w:val="24"/>
        </w:rPr>
        <w:t>inverse</w:t>
      </w:r>
      <w:r>
        <w:rPr>
          <w:spacing w:val="-6"/>
          <w:sz w:val="24"/>
        </w:rPr>
        <w:t> </w:t>
      </w:r>
      <w:r>
        <w:rPr>
          <w:sz w:val="24"/>
        </w:rPr>
        <w:t>hyperbolic</w:t>
      </w:r>
      <w:r>
        <w:rPr>
          <w:spacing w:val="-6"/>
          <w:sz w:val="24"/>
        </w:rPr>
        <w:t> </w:t>
      </w:r>
      <w:r>
        <w:rPr>
          <w:sz w:val="24"/>
        </w:rPr>
        <w:t>sine transformation. </w:t>
      </w:r>
      <w:r>
        <w:rPr>
          <w:i/>
          <w:sz w:val="24"/>
        </w:rPr>
        <w:t>Oxford Bulletin of Economics and Statistics</w:t>
      </w:r>
      <w:r>
        <w:rPr>
          <w:sz w:val="24"/>
        </w:rPr>
        <w:t>, 82(1):50–61.</w:t>
      </w:r>
    </w:p>
    <w:p>
      <w:pPr>
        <w:pStyle w:val="BodyText"/>
        <w:spacing w:line="242" w:lineRule="auto" w:before="212"/>
        <w:ind w:left="967" w:right="1776" w:hanging="240"/>
        <w:jc w:val="both"/>
      </w:pPr>
      <w:r>
        <w:rPr/>
        <w:t>Belloni, A., Chernozhukov, V., and Hansen, C. (2014). High-Dimensional Methods </w:t>
      </w:r>
      <w:r>
        <w:rPr/>
        <w:t>and Inference on Structural and Treatment Effects. </w:t>
      </w:r>
      <w:r>
        <w:rPr>
          <w:i/>
        </w:rPr>
        <w:t>Journal of Economic Perspectives</w:t>
      </w:r>
      <w:r>
        <w:rPr/>
        <w:t>, </w:t>
      </w:r>
      <w:r>
        <w:rPr>
          <w:spacing w:val="-2"/>
        </w:rPr>
        <w:t>28(2):29–50.</w:t>
      </w:r>
    </w:p>
    <w:p>
      <w:pPr>
        <w:spacing w:line="242" w:lineRule="auto" w:before="204"/>
        <w:ind w:left="967" w:right="1783" w:hanging="240"/>
        <w:jc w:val="both"/>
        <w:rPr>
          <w:sz w:val="24"/>
        </w:rPr>
      </w:pPr>
      <w:r>
        <w:rPr>
          <w:sz w:val="24"/>
        </w:rPr>
        <w:t>Borhani, N. O. (1965). Changes and geographic distribution of mortality </w:t>
      </w:r>
      <w:r>
        <w:rPr>
          <w:sz w:val="24"/>
        </w:rPr>
        <w:t>from cerebrovascular disease. </w:t>
      </w:r>
      <w:r>
        <w:rPr>
          <w:i/>
          <w:sz w:val="24"/>
        </w:rPr>
        <w:t>American Journal of Public Health and the Nations Health</w:t>
      </w:r>
      <w:r>
        <w:rPr>
          <w:sz w:val="24"/>
        </w:rPr>
        <w:t>, 55(5):673– 681.</w:t>
      </w:r>
    </w:p>
    <w:p>
      <w:pPr>
        <w:pStyle w:val="BodyText"/>
        <w:spacing w:before="205"/>
        <w:ind w:left="967" w:right="1191" w:hanging="240"/>
      </w:pPr>
      <w:r>
        <w:rPr/>
        <w:t>Burke,</w:t>
      </w:r>
      <w:r>
        <w:rPr>
          <w:spacing w:val="-3"/>
        </w:rPr>
        <w:t> </w:t>
      </w:r>
      <w:r>
        <w:rPr/>
        <w:t>M.,</w:t>
      </w:r>
      <w:r>
        <w:rPr>
          <w:spacing w:val="-3"/>
        </w:rPr>
        <w:t> </w:t>
      </w:r>
      <w:r>
        <w:rPr/>
        <w:t>Hsiang,</w:t>
      </w:r>
      <w:r>
        <w:rPr>
          <w:spacing w:val="-3"/>
        </w:rPr>
        <w:t> </w:t>
      </w:r>
      <w:r>
        <w:rPr/>
        <w:t>S.</w:t>
      </w:r>
      <w:r>
        <w:rPr>
          <w:spacing w:val="-3"/>
        </w:rPr>
        <w:t> </w:t>
      </w:r>
      <w:r>
        <w:rPr/>
        <w:t>M.,</w:t>
      </w:r>
      <w:r>
        <w:rPr>
          <w:spacing w:val="-3"/>
        </w:rPr>
        <w:t> </w:t>
      </w:r>
      <w:r>
        <w:rPr/>
        <w:t>and</w:t>
      </w:r>
      <w:r>
        <w:rPr>
          <w:spacing w:val="-3"/>
        </w:rPr>
        <w:t> </w:t>
      </w:r>
      <w:r>
        <w:rPr/>
        <w:t>Miguel,</w:t>
      </w:r>
      <w:r>
        <w:rPr>
          <w:spacing w:val="-3"/>
        </w:rPr>
        <w:t> </w:t>
      </w:r>
      <w:r>
        <w:rPr/>
        <w:t>E.</w:t>
      </w:r>
      <w:r>
        <w:rPr>
          <w:spacing w:val="-3"/>
        </w:rPr>
        <w:t> </w:t>
      </w:r>
      <w:r>
        <w:rPr/>
        <w:t>(2015).</w:t>
      </w:r>
      <w:r>
        <w:rPr>
          <w:spacing w:val="-3"/>
        </w:rPr>
        <w:t> </w:t>
      </w:r>
      <w:r>
        <w:rPr/>
        <w:t>Global</w:t>
      </w:r>
      <w:r>
        <w:rPr>
          <w:spacing w:val="-3"/>
        </w:rPr>
        <w:t> </w:t>
      </w:r>
      <w:r>
        <w:rPr/>
        <w:t>non-linear</w:t>
      </w:r>
      <w:r>
        <w:rPr>
          <w:spacing w:val="-3"/>
        </w:rPr>
        <w:t> </w:t>
      </w:r>
      <w:r>
        <w:rPr/>
        <w:t>effect</w:t>
      </w:r>
      <w:r>
        <w:rPr>
          <w:spacing w:val="-3"/>
        </w:rPr>
        <w:t> </w:t>
      </w:r>
      <w:r>
        <w:rPr/>
        <w:t>of</w:t>
      </w:r>
      <w:r>
        <w:rPr>
          <w:spacing w:val="-3"/>
        </w:rPr>
        <w:t> </w:t>
      </w:r>
      <w:r>
        <w:rPr/>
        <w:t>temperature</w:t>
      </w:r>
      <w:r>
        <w:rPr>
          <w:spacing w:val="-3"/>
        </w:rPr>
        <w:t> </w:t>
      </w:r>
      <w:r>
        <w:rPr/>
        <w:t>on economic production. </w:t>
      </w:r>
      <w:r>
        <w:rPr>
          <w:i/>
        </w:rPr>
        <w:t>Nature</w:t>
      </w:r>
      <w:r>
        <w:rPr/>
        <w:t>, 527(7577):235–239.</w:t>
      </w:r>
    </w:p>
    <w:p>
      <w:pPr>
        <w:pStyle w:val="BodyText"/>
        <w:spacing w:after="0"/>
        <w:sectPr>
          <w:pgSz w:w="12240" w:h="15840"/>
          <w:pgMar w:header="0" w:footer="707" w:top="640" w:bottom="960" w:left="720" w:right="0"/>
        </w:sectPr>
      </w:pPr>
    </w:p>
    <w:p>
      <w:pPr>
        <w:pStyle w:val="BodyText"/>
        <w:spacing w:before="60"/>
        <w:ind w:left="967" w:right="1725" w:hanging="240"/>
      </w:pPr>
      <w:r>
        <w:rPr/>
        <w:t>Callaway,</w:t>
      </w:r>
      <w:r>
        <w:rPr>
          <w:spacing w:val="-9"/>
        </w:rPr>
        <w:t> </w:t>
      </w:r>
      <w:r>
        <w:rPr/>
        <w:t>B.</w:t>
      </w:r>
      <w:r>
        <w:rPr>
          <w:spacing w:val="-9"/>
        </w:rPr>
        <w:t> </w:t>
      </w:r>
      <w:r>
        <w:rPr/>
        <w:t>and</w:t>
      </w:r>
      <w:r>
        <w:rPr>
          <w:spacing w:val="-9"/>
        </w:rPr>
        <w:t> </w:t>
      </w:r>
      <w:r>
        <w:rPr/>
        <w:t>Sant’Anna,</w:t>
      </w:r>
      <w:r>
        <w:rPr>
          <w:spacing w:val="-9"/>
        </w:rPr>
        <w:t> </w:t>
      </w:r>
      <w:r>
        <w:rPr/>
        <w:t>P.</w:t>
      </w:r>
      <w:r>
        <w:rPr>
          <w:spacing w:val="-9"/>
        </w:rPr>
        <w:t> </w:t>
      </w:r>
      <w:r>
        <w:rPr/>
        <w:t>H.</w:t>
      </w:r>
      <w:r>
        <w:rPr>
          <w:spacing w:val="-9"/>
        </w:rPr>
        <w:t> </w:t>
      </w:r>
      <w:r>
        <w:rPr/>
        <w:t>(2021).</w:t>
      </w:r>
      <w:r>
        <w:rPr>
          <w:spacing w:val="-9"/>
        </w:rPr>
        <w:t> </w:t>
      </w:r>
      <w:r>
        <w:rPr/>
        <w:t>Difference-in-differences</w:t>
      </w:r>
      <w:r>
        <w:rPr>
          <w:spacing w:val="-9"/>
        </w:rPr>
        <w:t> </w:t>
      </w:r>
      <w:r>
        <w:rPr/>
        <w:t>with</w:t>
      </w:r>
      <w:r>
        <w:rPr>
          <w:spacing w:val="-9"/>
        </w:rPr>
        <w:t> </w:t>
      </w:r>
      <w:r>
        <w:rPr/>
        <w:t>multiple</w:t>
      </w:r>
      <w:r>
        <w:rPr>
          <w:spacing w:val="-9"/>
        </w:rPr>
        <w:t> </w:t>
      </w:r>
      <w:r>
        <w:rPr/>
        <w:t>time periods. </w:t>
      </w:r>
      <w:r>
        <w:rPr>
          <w:i/>
        </w:rPr>
        <w:t>Journal of econometrics</w:t>
      </w:r>
      <w:r>
        <w:rPr/>
        <w:t>, 225(2):200–230.</w:t>
      </w:r>
    </w:p>
    <w:p>
      <w:pPr>
        <w:pStyle w:val="BodyText"/>
        <w:spacing w:line="242" w:lineRule="auto" w:before="212"/>
        <w:ind w:left="967" w:right="1749" w:hanging="240"/>
        <w:jc w:val="both"/>
      </w:pPr>
      <w:r>
        <w:rPr/>
        <w:t>Chamlee-Wright, E. and Storr, V. H. (2009). “there’s no place like new orleans”: sense </w:t>
      </w:r>
      <w:r>
        <w:rPr/>
        <w:t>of place and community recovery in the ninth ward after hurricane katrina.</w:t>
      </w:r>
      <w:r>
        <w:rPr>
          <w:spacing w:val="-3"/>
        </w:rPr>
        <w:t> </w:t>
      </w:r>
      <w:r>
        <w:rPr>
          <w:i/>
        </w:rPr>
        <w:t>Journal</w:t>
      </w:r>
      <w:r>
        <w:rPr>
          <w:i/>
          <w:spacing w:val="-3"/>
        </w:rPr>
        <w:t> </w:t>
      </w:r>
      <w:r>
        <w:rPr>
          <w:i/>
        </w:rPr>
        <w:t>of</w:t>
      </w:r>
      <w:r>
        <w:rPr>
          <w:i/>
          <w:spacing w:val="-3"/>
        </w:rPr>
        <w:t> </w:t>
      </w:r>
      <w:r>
        <w:rPr>
          <w:i/>
        </w:rPr>
        <w:t>Urban</w:t>
      </w:r>
      <w:r>
        <w:rPr>
          <w:i/>
        </w:rPr>
        <w:t> Affairs</w:t>
      </w:r>
      <w:r>
        <w:rPr/>
        <w:t>, 31(5):615–634.</w:t>
      </w:r>
    </w:p>
    <w:p>
      <w:pPr>
        <w:spacing w:before="205"/>
        <w:ind w:left="967" w:right="1191" w:hanging="240"/>
        <w:jc w:val="left"/>
        <w:rPr>
          <w:sz w:val="24"/>
        </w:rPr>
      </w:pPr>
      <w:r>
        <w:rPr>
          <w:sz w:val="24"/>
        </w:rPr>
        <w:t>Champ,</w:t>
      </w:r>
      <w:r>
        <w:rPr>
          <w:spacing w:val="-5"/>
          <w:sz w:val="24"/>
        </w:rPr>
        <w:t> </w:t>
      </w:r>
      <w:r>
        <w:rPr>
          <w:sz w:val="24"/>
        </w:rPr>
        <w:t>P.</w:t>
      </w:r>
      <w:r>
        <w:rPr>
          <w:spacing w:val="-5"/>
          <w:sz w:val="24"/>
        </w:rPr>
        <w:t> </w:t>
      </w:r>
      <w:r>
        <w:rPr>
          <w:sz w:val="24"/>
        </w:rPr>
        <w:t>A.,</w:t>
      </w:r>
      <w:r>
        <w:rPr>
          <w:spacing w:val="-5"/>
          <w:sz w:val="24"/>
        </w:rPr>
        <w:t> </w:t>
      </w:r>
      <w:r>
        <w:rPr>
          <w:sz w:val="24"/>
        </w:rPr>
        <w:t>Boyle,</w:t>
      </w:r>
      <w:r>
        <w:rPr>
          <w:spacing w:val="-5"/>
          <w:sz w:val="24"/>
        </w:rPr>
        <w:t> </w:t>
      </w:r>
      <w:r>
        <w:rPr>
          <w:sz w:val="24"/>
        </w:rPr>
        <w:t>K.</w:t>
      </w:r>
      <w:r>
        <w:rPr>
          <w:spacing w:val="-5"/>
          <w:sz w:val="24"/>
        </w:rPr>
        <w:t> </w:t>
      </w:r>
      <w:r>
        <w:rPr>
          <w:sz w:val="24"/>
        </w:rPr>
        <w:t>J.,</w:t>
      </w:r>
      <w:r>
        <w:rPr>
          <w:spacing w:val="-5"/>
          <w:sz w:val="24"/>
        </w:rPr>
        <w:t> </w:t>
      </w:r>
      <w:r>
        <w:rPr>
          <w:sz w:val="24"/>
        </w:rPr>
        <w:t>Brown,</w:t>
      </w:r>
      <w:r>
        <w:rPr>
          <w:spacing w:val="-5"/>
          <w:sz w:val="24"/>
        </w:rPr>
        <w:t> </w:t>
      </w:r>
      <w:r>
        <w:rPr>
          <w:sz w:val="24"/>
        </w:rPr>
        <w:t>T.</w:t>
      </w:r>
      <w:r>
        <w:rPr>
          <w:spacing w:val="-5"/>
          <w:sz w:val="24"/>
        </w:rPr>
        <w:t> </w:t>
      </w:r>
      <w:r>
        <w:rPr>
          <w:sz w:val="24"/>
        </w:rPr>
        <w:t>C.,</w:t>
      </w:r>
      <w:r>
        <w:rPr>
          <w:spacing w:val="-5"/>
          <w:sz w:val="24"/>
        </w:rPr>
        <w:t> </w:t>
      </w:r>
      <w:r>
        <w:rPr>
          <w:sz w:val="24"/>
        </w:rPr>
        <w:t>and</w:t>
      </w:r>
      <w:r>
        <w:rPr>
          <w:spacing w:val="-5"/>
          <w:sz w:val="24"/>
        </w:rPr>
        <w:t> </w:t>
      </w:r>
      <w:r>
        <w:rPr>
          <w:sz w:val="24"/>
        </w:rPr>
        <w:t>Peterson,</w:t>
      </w:r>
      <w:r>
        <w:rPr>
          <w:spacing w:val="-5"/>
          <w:sz w:val="24"/>
        </w:rPr>
        <w:t> </w:t>
      </w:r>
      <w:r>
        <w:rPr>
          <w:sz w:val="24"/>
        </w:rPr>
        <w:t>L.</w:t>
      </w:r>
      <w:r>
        <w:rPr>
          <w:spacing w:val="-5"/>
          <w:sz w:val="24"/>
        </w:rPr>
        <w:t> </w:t>
      </w:r>
      <w:r>
        <w:rPr>
          <w:sz w:val="24"/>
        </w:rPr>
        <w:t>G.</w:t>
      </w:r>
      <w:r>
        <w:rPr>
          <w:spacing w:val="-5"/>
          <w:sz w:val="24"/>
        </w:rPr>
        <w:t> </w:t>
      </w:r>
      <w:r>
        <w:rPr>
          <w:sz w:val="24"/>
        </w:rPr>
        <w:t>(2003).</w:t>
      </w:r>
      <w:r>
        <w:rPr>
          <w:spacing w:val="-5"/>
          <w:sz w:val="24"/>
        </w:rPr>
        <w:t> </w:t>
      </w:r>
      <w:r>
        <w:rPr>
          <w:i/>
          <w:sz w:val="24"/>
        </w:rPr>
        <w:t>A</w:t>
      </w:r>
      <w:r>
        <w:rPr>
          <w:i/>
          <w:spacing w:val="-5"/>
          <w:sz w:val="24"/>
        </w:rPr>
        <w:t> </w:t>
      </w:r>
      <w:r>
        <w:rPr>
          <w:i/>
          <w:sz w:val="24"/>
        </w:rPr>
        <w:t>primer</w:t>
      </w:r>
      <w:r>
        <w:rPr>
          <w:i/>
          <w:spacing w:val="-5"/>
          <w:sz w:val="24"/>
        </w:rPr>
        <w:t> </w:t>
      </w:r>
      <w:r>
        <w:rPr>
          <w:i/>
          <w:sz w:val="24"/>
        </w:rPr>
        <w:t>on</w:t>
      </w:r>
      <w:r>
        <w:rPr>
          <w:i/>
          <w:spacing w:val="-5"/>
          <w:sz w:val="24"/>
        </w:rPr>
        <w:t> </w:t>
      </w:r>
      <w:r>
        <w:rPr>
          <w:i/>
          <w:sz w:val="24"/>
        </w:rPr>
        <w:t>nonmarket</w:t>
      </w:r>
      <w:r>
        <w:rPr>
          <w:i/>
          <w:sz w:val="24"/>
        </w:rPr>
        <w:t> valuation</w:t>
      </w:r>
      <w:r>
        <w:rPr>
          <w:sz w:val="24"/>
        </w:rPr>
        <w:t>, volume 3. Springer.</w:t>
      </w:r>
    </w:p>
    <w:p>
      <w:pPr>
        <w:pStyle w:val="BodyText"/>
        <w:spacing w:before="211"/>
        <w:ind w:left="967" w:right="1381" w:hanging="240"/>
      </w:pPr>
      <w:r>
        <w:rPr/>
        <w:t>Chay,</w:t>
      </w:r>
      <w:r>
        <w:rPr>
          <w:spacing w:val="-6"/>
        </w:rPr>
        <w:t> </w:t>
      </w:r>
      <w:r>
        <w:rPr/>
        <w:t>K.</w:t>
      </w:r>
      <w:r>
        <w:rPr>
          <w:spacing w:val="-6"/>
        </w:rPr>
        <w:t> </w:t>
      </w:r>
      <w:r>
        <w:rPr/>
        <w:t>Y.</w:t>
      </w:r>
      <w:r>
        <w:rPr>
          <w:spacing w:val="-6"/>
        </w:rPr>
        <w:t> </w:t>
      </w:r>
      <w:r>
        <w:rPr/>
        <w:t>and</w:t>
      </w:r>
      <w:r>
        <w:rPr>
          <w:spacing w:val="-6"/>
        </w:rPr>
        <w:t> </w:t>
      </w:r>
      <w:r>
        <w:rPr/>
        <w:t>Greenstone,</w:t>
      </w:r>
      <w:r>
        <w:rPr>
          <w:spacing w:val="-6"/>
        </w:rPr>
        <w:t> </w:t>
      </w:r>
      <w:r>
        <w:rPr/>
        <w:t>M.</w:t>
      </w:r>
      <w:r>
        <w:rPr>
          <w:spacing w:val="-6"/>
        </w:rPr>
        <w:t> </w:t>
      </w:r>
      <w:r>
        <w:rPr/>
        <w:t>(2005).</w:t>
      </w:r>
      <w:r>
        <w:rPr>
          <w:spacing w:val="-6"/>
        </w:rPr>
        <w:t> </w:t>
      </w:r>
      <w:r>
        <w:rPr/>
        <w:t>Does</w:t>
      </w:r>
      <w:r>
        <w:rPr>
          <w:spacing w:val="-6"/>
        </w:rPr>
        <w:t> </w:t>
      </w:r>
      <w:r>
        <w:rPr/>
        <w:t>air</w:t>
      </w:r>
      <w:r>
        <w:rPr>
          <w:spacing w:val="-6"/>
        </w:rPr>
        <w:t> </w:t>
      </w:r>
      <w:r>
        <w:rPr/>
        <w:t>quality</w:t>
      </w:r>
      <w:r>
        <w:rPr>
          <w:spacing w:val="-6"/>
        </w:rPr>
        <w:t> </w:t>
      </w:r>
      <w:r>
        <w:rPr/>
        <w:t>matter?</w:t>
      </w:r>
      <w:r>
        <w:rPr>
          <w:spacing w:val="-6"/>
        </w:rPr>
        <w:t> </w:t>
      </w:r>
      <w:r>
        <w:rPr/>
        <w:t>evidence</w:t>
      </w:r>
      <w:r>
        <w:rPr>
          <w:spacing w:val="-6"/>
        </w:rPr>
        <w:t> </w:t>
      </w:r>
      <w:r>
        <w:rPr/>
        <w:t>from</w:t>
      </w:r>
      <w:r>
        <w:rPr>
          <w:spacing w:val="-6"/>
        </w:rPr>
        <w:t> </w:t>
      </w:r>
      <w:r>
        <w:rPr/>
        <w:t>the</w:t>
      </w:r>
      <w:r>
        <w:rPr>
          <w:spacing w:val="-6"/>
        </w:rPr>
        <w:t> </w:t>
      </w:r>
      <w:r>
        <w:rPr/>
        <w:t>housing market. </w:t>
      </w:r>
      <w:r>
        <w:rPr>
          <w:i/>
        </w:rPr>
        <w:t>Journal of Political Economy</w:t>
      </w:r>
      <w:r>
        <w:rPr/>
        <w:t>, 113(2):376–424.</w:t>
      </w:r>
    </w:p>
    <w:p>
      <w:pPr>
        <w:spacing w:before="211"/>
        <w:ind w:left="967" w:right="1770" w:hanging="240"/>
        <w:jc w:val="both"/>
        <w:rPr>
          <w:sz w:val="24"/>
        </w:rPr>
      </w:pPr>
      <w:r>
        <w:rPr>
          <w:sz w:val="24"/>
        </w:rPr>
        <w:t>Conte, M. N. and Kelly, D. L. (2018). An imperfect storm: Fat-tailed tropical </w:t>
      </w:r>
      <w:r>
        <w:rPr>
          <w:sz w:val="24"/>
        </w:rPr>
        <w:t>cyclone damages, insurance, and climate policy. </w:t>
      </w:r>
      <w:r>
        <w:rPr>
          <w:i/>
          <w:sz w:val="24"/>
        </w:rPr>
        <w:t>Journal of Environmental Economics and</w:t>
      </w:r>
      <w:r>
        <w:rPr>
          <w:i/>
          <w:sz w:val="24"/>
        </w:rPr>
        <w:t> Management</w:t>
      </w:r>
      <w:r>
        <w:rPr>
          <w:sz w:val="24"/>
        </w:rPr>
        <w:t>, 92:677–706.</w:t>
      </w:r>
    </w:p>
    <w:p>
      <w:pPr>
        <w:pStyle w:val="BodyText"/>
        <w:spacing w:line="242" w:lineRule="auto" w:before="213"/>
        <w:ind w:left="952" w:right="1782" w:hanging="225"/>
        <w:jc w:val="both"/>
      </w:pPr>
      <w:r>
        <w:rPr/>
        <w:t>Davlasheridze, M., Fisher-Vanden, K., and Klaiber, H. A. (2017). The effects of adaptation measures on hurricane induced property losses: Which fema investments have the </w:t>
      </w:r>
      <w:r>
        <w:rPr/>
        <w:t>highest returns? </w:t>
      </w:r>
      <w:r>
        <w:rPr>
          <w:i/>
        </w:rPr>
        <w:t>Journal of Environmental Economics and Management</w:t>
      </w:r>
      <w:r>
        <w:rPr/>
        <w:t>, 81:93–114.</w:t>
      </w:r>
    </w:p>
    <w:p>
      <w:pPr>
        <w:spacing w:line="242" w:lineRule="auto" w:before="205"/>
        <w:ind w:left="967" w:right="1772" w:hanging="240"/>
        <w:jc w:val="both"/>
        <w:rPr>
          <w:sz w:val="24"/>
        </w:rPr>
      </w:pPr>
      <w:r>
        <w:rPr>
          <w:sz w:val="24"/>
        </w:rPr>
        <w:t>Deryugina, T., Kawano, L., and Levitt, S. (2018). The economic impact of hurricane</w:t>
      </w:r>
      <w:r>
        <w:rPr>
          <w:spacing w:val="-4"/>
          <w:sz w:val="24"/>
        </w:rPr>
        <w:t> </w:t>
      </w:r>
      <w:r>
        <w:rPr>
          <w:sz w:val="24"/>
        </w:rPr>
        <w:t>katrina on its victims: Evidence from</w:t>
      </w:r>
      <w:r>
        <w:rPr>
          <w:spacing w:val="-4"/>
          <w:sz w:val="24"/>
        </w:rPr>
        <w:t> </w:t>
      </w:r>
      <w:r>
        <w:rPr>
          <w:sz w:val="24"/>
        </w:rPr>
        <w:t>individual</w:t>
      </w:r>
      <w:r>
        <w:rPr>
          <w:spacing w:val="-4"/>
          <w:sz w:val="24"/>
        </w:rPr>
        <w:t> </w:t>
      </w:r>
      <w:r>
        <w:rPr>
          <w:sz w:val="24"/>
        </w:rPr>
        <w:t>tax</w:t>
      </w:r>
      <w:r>
        <w:rPr>
          <w:spacing w:val="-4"/>
          <w:sz w:val="24"/>
        </w:rPr>
        <w:t> </w:t>
      </w:r>
      <w:r>
        <w:rPr>
          <w:sz w:val="24"/>
        </w:rPr>
        <w:t>returns.</w:t>
      </w:r>
      <w:r>
        <w:rPr>
          <w:spacing w:val="-4"/>
          <w:sz w:val="24"/>
        </w:rPr>
        <w:t> </w:t>
      </w:r>
      <w:r>
        <w:rPr>
          <w:i/>
          <w:sz w:val="24"/>
        </w:rPr>
        <w:t>American</w:t>
      </w:r>
      <w:r>
        <w:rPr>
          <w:i/>
          <w:spacing w:val="-4"/>
          <w:sz w:val="24"/>
        </w:rPr>
        <w:t> </w:t>
      </w:r>
      <w:r>
        <w:rPr>
          <w:i/>
          <w:sz w:val="24"/>
        </w:rPr>
        <w:t>Economic</w:t>
      </w:r>
      <w:r>
        <w:rPr>
          <w:i/>
          <w:spacing w:val="-4"/>
          <w:sz w:val="24"/>
        </w:rPr>
        <w:t> </w:t>
      </w:r>
      <w:r>
        <w:rPr>
          <w:i/>
          <w:sz w:val="24"/>
        </w:rPr>
        <w:t>Journal:</w:t>
      </w:r>
      <w:r>
        <w:rPr>
          <w:i/>
          <w:spacing w:val="-4"/>
          <w:sz w:val="24"/>
        </w:rPr>
        <w:t> </w:t>
      </w:r>
      <w:r>
        <w:rPr>
          <w:i/>
          <w:sz w:val="24"/>
        </w:rPr>
        <w:t>Applied</w:t>
      </w:r>
      <w:r>
        <w:rPr>
          <w:i/>
          <w:sz w:val="24"/>
        </w:rPr>
        <w:t> Economics</w:t>
      </w:r>
      <w:r>
        <w:rPr>
          <w:sz w:val="24"/>
        </w:rPr>
        <w:t>, 10(2):202–233.</w:t>
      </w:r>
    </w:p>
    <w:p>
      <w:pPr>
        <w:spacing w:before="274"/>
        <w:ind w:left="982" w:right="1996" w:hanging="255"/>
        <w:jc w:val="left"/>
        <w:rPr>
          <w:sz w:val="24"/>
        </w:rPr>
      </w:pPr>
      <w:r>
        <w:rPr>
          <w:sz w:val="24"/>
        </w:rPr>
        <w:t>Freeman</w:t>
      </w:r>
      <w:r>
        <w:rPr>
          <w:spacing w:val="-7"/>
          <w:sz w:val="24"/>
        </w:rPr>
        <w:t> </w:t>
      </w:r>
      <w:r>
        <w:rPr>
          <w:sz w:val="24"/>
        </w:rPr>
        <w:t>Iii,</w:t>
      </w:r>
      <w:r>
        <w:rPr>
          <w:spacing w:val="-7"/>
          <w:sz w:val="24"/>
        </w:rPr>
        <w:t> </w:t>
      </w:r>
      <w:r>
        <w:rPr>
          <w:sz w:val="24"/>
        </w:rPr>
        <w:t>A.</w:t>
      </w:r>
      <w:r>
        <w:rPr>
          <w:spacing w:val="-7"/>
          <w:sz w:val="24"/>
        </w:rPr>
        <w:t> </w:t>
      </w:r>
      <w:r>
        <w:rPr>
          <w:sz w:val="24"/>
        </w:rPr>
        <w:t>M.</w:t>
      </w:r>
      <w:r>
        <w:rPr>
          <w:spacing w:val="-7"/>
          <w:sz w:val="24"/>
        </w:rPr>
        <w:t> </w:t>
      </w:r>
      <w:r>
        <w:rPr>
          <w:sz w:val="24"/>
        </w:rPr>
        <w:t>(2003).</w:t>
      </w:r>
      <w:r>
        <w:rPr>
          <w:spacing w:val="-7"/>
          <w:sz w:val="24"/>
        </w:rPr>
        <w:t> </w:t>
      </w:r>
      <w:r>
        <w:rPr>
          <w:i/>
          <w:sz w:val="24"/>
        </w:rPr>
        <w:t>The</w:t>
      </w:r>
      <w:r>
        <w:rPr>
          <w:i/>
          <w:spacing w:val="-7"/>
          <w:sz w:val="24"/>
        </w:rPr>
        <w:t> </w:t>
      </w:r>
      <w:r>
        <w:rPr>
          <w:i/>
          <w:sz w:val="24"/>
        </w:rPr>
        <w:t>measurement</w:t>
      </w:r>
      <w:r>
        <w:rPr>
          <w:i/>
          <w:spacing w:val="-7"/>
          <w:sz w:val="24"/>
        </w:rPr>
        <w:t> </w:t>
      </w:r>
      <w:r>
        <w:rPr>
          <w:i/>
          <w:sz w:val="24"/>
        </w:rPr>
        <w:t>of</w:t>
      </w:r>
      <w:r>
        <w:rPr>
          <w:i/>
          <w:spacing w:val="-7"/>
          <w:sz w:val="24"/>
        </w:rPr>
        <w:t> </w:t>
      </w:r>
      <w:r>
        <w:rPr>
          <w:i/>
          <w:sz w:val="24"/>
        </w:rPr>
        <w:t>environmental</w:t>
      </w:r>
      <w:r>
        <w:rPr>
          <w:i/>
          <w:spacing w:val="-7"/>
          <w:sz w:val="24"/>
        </w:rPr>
        <w:t> </w:t>
      </w:r>
      <w:r>
        <w:rPr>
          <w:i/>
          <w:sz w:val="24"/>
        </w:rPr>
        <w:t>and</w:t>
      </w:r>
      <w:r>
        <w:rPr>
          <w:i/>
          <w:spacing w:val="-7"/>
          <w:sz w:val="24"/>
        </w:rPr>
        <w:t> </w:t>
      </w:r>
      <w:r>
        <w:rPr>
          <w:i/>
          <w:sz w:val="24"/>
        </w:rPr>
        <w:t>resource</w:t>
      </w:r>
      <w:r>
        <w:rPr>
          <w:i/>
          <w:spacing w:val="-7"/>
          <w:sz w:val="24"/>
        </w:rPr>
        <w:t> </w:t>
      </w:r>
      <w:r>
        <w:rPr>
          <w:i/>
          <w:sz w:val="24"/>
        </w:rPr>
        <w:t>values:</w:t>
      </w:r>
      <w:r>
        <w:rPr>
          <w:i/>
          <w:spacing w:val="-7"/>
          <w:sz w:val="24"/>
        </w:rPr>
        <w:t> </w:t>
      </w:r>
      <w:r>
        <w:rPr>
          <w:i/>
          <w:sz w:val="24"/>
        </w:rPr>
        <w:t>theory</w:t>
      </w:r>
      <w:r>
        <w:rPr>
          <w:i/>
          <w:sz w:val="24"/>
        </w:rPr>
        <w:t> and methods</w:t>
      </w:r>
      <w:r>
        <w:rPr>
          <w:sz w:val="24"/>
        </w:rPr>
        <w:t>. Resources for the Future, 2nd edition.</w:t>
      </w:r>
    </w:p>
    <w:p>
      <w:pPr>
        <w:pStyle w:val="BodyText"/>
        <w:spacing w:before="200"/>
        <w:ind w:left="967" w:right="1786" w:hanging="240"/>
        <w:jc w:val="both"/>
      </w:pPr>
      <w:r>
        <w:rPr/>
        <w:t>Greenberg, P. E., Fournier, A.-A., Sisitsky, T., Simes, M., Berman, R., Koenigsberg, S. H., and Kessler, R. C. (2023). The economic burden of adults with major depressive </w:t>
      </w:r>
      <w:r>
        <w:rPr/>
        <w:t>disorder in the united states (2019). </w:t>
      </w:r>
      <w:r>
        <w:rPr>
          <w:i/>
        </w:rPr>
        <w:t>Journal of Affective Disorders</w:t>
      </w:r>
      <w:r>
        <w:rPr/>
        <w:t>, 326:80–90.</w:t>
      </w:r>
    </w:p>
    <w:p>
      <w:pPr>
        <w:spacing w:before="200"/>
        <w:ind w:left="967" w:right="1787" w:hanging="240"/>
        <w:jc w:val="both"/>
        <w:rPr>
          <w:sz w:val="24"/>
        </w:rPr>
      </w:pPr>
      <w:r>
        <w:rPr>
          <w:sz w:val="24"/>
        </w:rPr>
        <w:t>Guignet, D., Jenkins, R. R., Belke, J., and Mason, H. (2023). The property value impacts</w:t>
      </w:r>
      <w:r>
        <w:rPr>
          <w:spacing w:val="-2"/>
          <w:sz w:val="24"/>
        </w:rPr>
        <w:t> </w:t>
      </w:r>
      <w:r>
        <w:rPr>
          <w:sz w:val="24"/>
        </w:rPr>
        <w:t>of industrial chemical accidents. </w:t>
      </w:r>
      <w:r>
        <w:rPr>
          <w:i/>
          <w:sz w:val="24"/>
        </w:rPr>
        <w:t>Journal of Environmental Economics and Manage </w:t>
      </w:r>
      <w:r>
        <w:rPr>
          <w:i/>
          <w:sz w:val="24"/>
        </w:rPr>
        <w:t>ment</w:t>
      </w:r>
      <w:r>
        <w:rPr>
          <w:sz w:val="24"/>
        </w:rPr>
        <w:t>, </w:t>
      </w:r>
      <w:r>
        <w:rPr>
          <w:spacing w:val="-2"/>
          <w:sz w:val="24"/>
        </w:rPr>
        <w:t>120:102857.</w:t>
      </w:r>
    </w:p>
    <w:p>
      <w:pPr>
        <w:spacing w:before="201"/>
        <w:ind w:left="967" w:right="2135" w:hanging="240"/>
        <w:jc w:val="left"/>
        <w:rPr>
          <w:sz w:val="24"/>
        </w:rPr>
      </w:pPr>
      <w:r>
        <w:rPr>
          <w:sz w:val="24"/>
        </w:rPr>
        <w:t>Hallegatte,</w:t>
      </w:r>
      <w:r>
        <w:rPr>
          <w:spacing w:val="-4"/>
          <w:sz w:val="24"/>
        </w:rPr>
        <w:t> </w:t>
      </w:r>
      <w:r>
        <w:rPr>
          <w:sz w:val="24"/>
        </w:rPr>
        <w:t>S.</w:t>
      </w:r>
      <w:r>
        <w:rPr>
          <w:spacing w:val="-4"/>
          <w:sz w:val="24"/>
        </w:rPr>
        <w:t> </w:t>
      </w:r>
      <w:r>
        <w:rPr>
          <w:sz w:val="24"/>
        </w:rPr>
        <w:t>et</w:t>
      </w:r>
      <w:r>
        <w:rPr>
          <w:spacing w:val="-4"/>
          <w:sz w:val="24"/>
        </w:rPr>
        <w:t> </w:t>
      </w:r>
      <w:r>
        <w:rPr>
          <w:sz w:val="24"/>
        </w:rPr>
        <w:t>al.</w:t>
      </w:r>
      <w:r>
        <w:rPr>
          <w:spacing w:val="-4"/>
          <w:sz w:val="24"/>
        </w:rPr>
        <w:t> </w:t>
      </w:r>
      <w:r>
        <w:rPr>
          <w:sz w:val="24"/>
        </w:rPr>
        <w:t>(2014).</w:t>
      </w:r>
      <w:r>
        <w:rPr>
          <w:spacing w:val="-4"/>
          <w:sz w:val="24"/>
        </w:rPr>
        <w:t> </w:t>
      </w:r>
      <w:r>
        <w:rPr>
          <w:sz w:val="24"/>
        </w:rPr>
        <w:t>Natural</w:t>
      </w:r>
      <w:r>
        <w:rPr>
          <w:spacing w:val="-4"/>
          <w:sz w:val="24"/>
        </w:rPr>
        <w:t> </w:t>
      </w:r>
      <w:r>
        <w:rPr>
          <w:sz w:val="24"/>
        </w:rPr>
        <w:t>disasters</w:t>
      </w:r>
      <w:r>
        <w:rPr>
          <w:spacing w:val="-4"/>
          <w:sz w:val="24"/>
        </w:rPr>
        <w:t> </w:t>
      </w:r>
      <w:r>
        <w:rPr>
          <w:sz w:val="24"/>
        </w:rPr>
        <w:t>and</w:t>
      </w:r>
      <w:r>
        <w:rPr>
          <w:spacing w:val="-4"/>
          <w:sz w:val="24"/>
        </w:rPr>
        <w:t> </w:t>
      </w:r>
      <w:r>
        <w:rPr>
          <w:sz w:val="24"/>
        </w:rPr>
        <w:t>climate</w:t>
      </w:r>
      <w:r>
        <w:rPr>
          <w:spacing w:val="-4"/>
          <w:sz w:val="24"/>
        </w:rPr>
        <w:t> </w:t>
      </w:r>
      <w:r>
        <w:rPr>
          <w:sz w:val="24"/>
        </w:rPr>
        <w:t>change.</w:t>
      </w:r>
      <w:r>
        <w:rPr>
          <w:spacing w:val="-4"/>
          <w:sz w:val="24"/>
        </w:rPr>
        <w:t> </w:t>
      </w:r>
      <w:r>
        <w:rPr>
          <w:i/>
          <w:sz w:val="24"/>
        </w:rPr>
        <w:t>Cham:</w:t>
      </w:r>
      <w:r>
        <w:rPr>
          <w:i/>
          <w:spacing w:val="-4"/>
          <w:sz w:val="24"/>
        </w:rPr>
        <w:t> </w:t>
      </w:r>
      <w:r>
        <w:rPr>
          <w:i/>
          <w:sz w:val="24"/>
        </w:rPr>
        <w:t>Springer</w:t>
      </w:r>
      <w:r>
        <w:rPr>
          <w:i/>
          <w:sz w:val="24"/>
        </w:rPr>
        <w:t> International Publishing</w:t>
      </w:r>
      <w:r>
        <w:rPr>
          <w:sz w:val="24"/>
        </w:rPr>
        <w:t>.</w:t>
      </w:r>
    </w:p>
    <w:p>
      <w:pPr>
        <w:pStyle w:val="BodyText"/>
        <w:spacing w:line="242" w:lineRule="auto" w:before="199"/>
        <w:ind w:left="967" w:right="1785" w:hanging="240"/>
        <w:jc w:val="both"/>
      </w:pPr>
      <w:r>
        <w:rPr/>
        <w:t>Hazards &amp; Vulnerability Research Institute (2024).</w:t>
      </w:r>
      <w:r>
        <w:rPr>
          <w:spacing w:val="-5"/>
        </w:rPr>
        <w:t> </w:t>
      </w:r>
      <w:r>
        <w:rPr/>
        <w:t>Spatial</w:t>
      </w:r>
      <w:r>
        <w:rPr>
          <w:spacing w:val="-5"/>
        </w:rPr>
        <w:t> </w:t>
      </w:r>
      <w:r>
        <w:rPr/>
        <w:t>hazard</w:t>
      </w:r>
      <w:r>
        <w:rPr>
          <w:spacing w:val="-5"/>
        </w:rPr>
        <w:t> </w:t>
      </w:r>
      <w:r>
        <w:rPr/>
        <w:t>events</w:t>
      </w:r>
      <w:r>
        <w:rPr>
          <w:spacing w:val="-5"/>
        </w:rPr>
        <w:t> </w:t>
      </w:r>
      <w:r>
        <w:rPr/>
        <w:t>and</w:t>
      </w:r>
      <w:r>
        <w:rPr>
          <w:spacing w:val="-5"/>
        </w:rPr>
        <w:t> </w:t>
      </w:r>
      <w:r>
        <w:rPr/>
        <w:t>losses</w:t>
      </w:r>
      <w:r>
        <w:rPr>
          <w:spacing w:val="-5"/>
        </w:rPr>
        <w:t> </w:t>
      </w:r>
      <w:r>
        <w:rPr/>
        <w:t>database for</w:t>
      </w:r>
      <w:r>
        <w:rPr>
          <w:spacing w:val="-4"/>
        </w:rPr>
        <w:t> </w:t>
      </w:r>
      <w:r>
        <w:rPr/>
        <w:t>the</w:t>
      </w:r>
      <w:r>
        <w:rPr>
          <w:spacing w:val="-4"/>
        </w:rPr>
        <w:t> </w:t>
      </w:r>
      <w:r>
        <w:rPr/>
        <w:t>united</w:t>
      </w:r>
      <w:r>
        <w:rPr>
          <w:spacing w:val="-4"/>
        </w:rPr>
        <w:t> </w:t>
      </w:r>
      <w:r>
        <w:rPr/>
        <w:t>states,</w:t>
      </w:r>
      <w:r>
        <w:rPr>
          <w:spacing w:val="-4"/>
        </w:rPr>
        <w:t> </w:t>
      </w:r>
      <w:r>
        <w:rPr/>
        <w:t>version</w:t>
      </w:r>
      <w:r>
        <w:rPr>
          <w:spacing w:val="-4"/>
        </w:rPr>
        <w:t> </w:t>
      </w:r>
      <w:r>
        <w:rPr/>
        <w:t>22.0.</w:t>
      </w:r>
      <w:r>
        <w:rPr>
          <w:spacing w:val="-4"/>
        </w:rPr>
        <w:t> </w:t>
      </w:r>
      <w:hyperlink r:id="rId270">
        <w:r>
          <w:rPr>
            <w:color w:val="0000FF"/>
          </w:rPr>
          <w:t>https://cemhs.asu.edu/sheldus</w:t>
        </w:r>
        <w:r>
          <w:rPr/>
          <w:t>.</w:t>
        </w:r>
      </w:hyperlink>
      <w:r>
        <w:rPr>
          <w:spacing w:val="-4"/>
        </w:rPr>
        <w:t> </w:t>
      </w:r>
      <w:r>
        <w:rPr/>
        <w:t>Ac</w:t>
      </w:r>
      <w:r>
        <w:rPr>
          <w:spacing w:val="-4"/>
        </w:rPr>
        <w:t> </w:t>
      </w:r>
      <w:r>
        <w:rPr/>
        <w:t>cessed:</w:t>
      </w:r>
      <w:r>
        <w:rPr>
          <w:spacing w:val="-4"/>
        </w:rPr>
        <w:t> </w:t>
      </w:r>
      <w:r>
        <w:rPr/>
        <w:t>September</w:t>
      </w:r>
      <w:r>
        <w:rPr>
          <w:spacing w:val="-4"/>
        </w:rPr>
        <w:t> </w:t>
      </w:r>
      <w:r>
        <w:rPr/>
        <w:t>12, </w:t>
      </w:r>
      <w:r>
        <w:rPr>
          <w:spacing w:val="-2"/>
        </w:rPr>
        <w:t>2024.</w:t>
      </w:r>
    </w:p>
    <w:p>
      <w:pPr>
        <w:spacing w:before="193"/>
        <w:ind w:left="967" w:right="1777" w:hanging="240"/>
        <w:jc w:val="both"/>
        <w:rPr>
          <w:sz w:val="24"/>
        </w:rPr>
      </w:pPr>
      <w:r>
        <w:rPr>
          <w:sz w:val="24"/>
        </w:rPr>
        <w:t>Hobfoll, S. E. (2012). Conservation of resources and disaster in cultural context: </w:t>
      </w:r>
      <w:r>
        <w:rPr>
          <w:sz w:val="24"/>
        </w:rPr>
        <w:t>The caravans and passageways for resources. </w:t>
      </w:r>
      <w:r>
        <w:rPr>
          <w:i/>
          <w:sz w:val="24"/>
        </w:rPr>
        <w:t>Psychiatry: Interpersonal &amp; Biological</w:t>
      </w:r>
      <w:r>
        <w:rPr>
          <w:i/>
          <w:sz w:val="24"/>
        </w:rPr>
        <w:t> Processes</w:t>
      </w:r>
      <w:r>
        <w:rPr>
          <w:sz w:val="24"/>
        </w:rPr>
        <w:t>, 75(3):227–232.</w:t>
      </w:r>
    </w:p>
    <w:p>
      <w:pPr>
        <w:spacing w:before="200"/>
        <w:ind w:left="967" w:right="1776" w:hanging="240"/>
        <w:jc w:val="both"/>
        <w:rPr>
          <w:sz w:val="24"/>
        </w:rPr>
      </w:pPr>
      <w:r>
        <w:rPr>
          <w:sz w:val="24"/>
        </w:rPr>
        <w:t>Hobfoll, S. E., Tracy, M., and Galea, S. (2006). The impact of resource loss and </w:t>
      </w:r>
      <w:r>
        <w:rPr>
          <w:sz w:val="24"/>
        </w:rPr>
        <w:t>traumatic growth on probable ptsd and depression following terrorist attacks. </w:t>
      </w:r>
      <w:r>
        <w:rPr>
          <w:i/>
          <w:sz w:val="24"/>
        </w:rPr>
        <w:t>Journal of Traumatic</w:t>
      </w:r>
      <w:r>
        <w:rPr>
          <w:i/>
          <w:sz w:val="24"/>
        </w:rPr>
        <w:t> Stress: Official Publication of The International Society for Traumatic Stress Studies</w:t>
      </w:r>
      <w:r>
        <w:rPr>
          <w:sz w:val="24"/>
        </w:rPr>
        <w:t>, </w:t>
      </w:r>
      <w:r>
        <w:rPr>
          <w:spacing w:val="-2"/>
          <w:sz w:val="24"/>
        </w:rPr>
        <w:t>19(6):867–878.</w:t>
      </w:r>
    </w:p>
    <w:p>
      <w:pPr>
        <w:pStyle w:val="BodyText"/>
        <w:spacing w:before="203"/>
        <w:ind w:right="1796"/>
        <w:jc w:val="right"/>
      </w:pPr>
      <w:r>
        <w:rPr/>
        <w:t>Howard,</w:t>
      </w:r>
      <w:r>
        <w:rPr>
          <w:spacing w:val="8"/>
        </w:rPr>
        <w:t> </w:t>
      </w:r>
      <w:r>
        <w:rPr/>
        <w:t>G.,</w:t>
      </w:r>
      <w:r>
        <w:rPr>
          <w:spacing w:val="11"/>
        </w:rPr>
        <w:t> </w:t>
      </w:r>
      <w:r>
        <w:rPr/>
        <w:t>Evans,</w:t>
      </w:r>
      <w:r>
        <w:rPr>
          <w:spacing w:val="11"/>
        </w:rPr>
        <w:t> </w:t>
      </w:r>
      <w:r>
        <w:rPr/>
        <w:t>G.</w:t>
      </w:r>
      <w:r>
        <w:rPr>
          <w:spacing w:val="-4"/>
        </w:rPr>
        <w:t> </w:t>
      </w:r>
      <w:r>
        <w:rPr/>
        <w:t>W.,</w:t>
      </w:r>
      <w:r>
        <w:rPr>
          <w:spacing w:val="-3"/>
        </w:rPr>
        <w:t> </w:t>
      </w:r>
      <w:r>
        <w:rPr/>
        <w:t>Pearce,</w:t>
      </w:r>
      <w:r>
        <w:rPr>
          <w:spacing w:val="-4"/>
        </w:rPr>
        <w:t> </w:t>
      </w:r>
      <w:r>
        <w:rPr/>
        <w:t>K.,</w:t>
      </w:r>
      <w:r>
        <w:rPr>
          <w:spacing w:val="-3"/>
        </w:rPr>
        <w:t> </w:t>
      </w:r>
      <w:r>
        <w:rPr/>
        <w:t>Howard,</w:t>
      </w:r>
      <w:r>
        <w:rPr>
          <w:spacing w:val="-3"/>
        </w:rPr>
        <w:t> </w:t>
      </w:r>
      <w:r>
        <w:rPr/>
        <w:t>V.</w:t>
      </w:r>
      <w:r>
        <w:rPr>
          <w:spacing w:val="-4"/>
        </w:rPr>
        <w:t> </w:t>
      </w:r>
      <w:r>
        <w:rPr/>
        <w:t>J.,</w:t>
      </w:r>
      <w:r>
        <w:rPr>
          <w:spacing w:val="-3"/>
        </w:rPr>
        <w:t> </w:t>
      </w:r>
      <w:r>
        <w:rPr/>
        <w:t>Bell,</w:t>
      </w:r>
      <w:r>
        <w:rPr>
          <w:spacing w:val="-4"/>
        </w:rPr>
        <w:t> </w:t>
      </w:r>
      <w:r>
        <w:rPr/>
        <w:t>R.</w:t>
      </w:r>
      <w:r>
        <w:rPr>
          <w:spacing w:val="-3"/>
        </w:rPr>
        <w:t> </w:t>
      </w:r>
      <w:r>
        <w:rPr/>
        <w:t>A.,</w:t>
      </w:r>
      <w:r>
        <w:rPr>
          <w:spacing w:val="-3"/>
        </w:rPr>
        <w:t> </w:t>
      </w:r>
      <w:r>
        <w:rPr/>
        <w:t>Mayer,</w:t>
      </w:r>
      <w:r>
        <w:rPr>
          <w:spacing w:val="-4"/>
        </w:rPr>
        <w:t> </w:t>
      </w:r>
      <w:r>
        <w:rPr/>
        <w:t>E.</w:t>
      </w:r>
      <w:r>
        <w:rPr>
          <w:spacing w:val="-3"/>
        </w:rPr>
        <w:t> </w:t>
      </w:r>
      <w:r>
        <w:rPr/>
        <w:t>J.,</w:t>
      </w:r>
      <w:r>
        <w:rPr>
          <w:spacing w:val="-4"/>
        </w:rPr>
        <w:t> </w:t>
      </w:r>
      <w:r>
        <w:rPr/>
        <w:t>and</w:t>
      </w:r>
      <w:r>
        <w:rPr>
          <w:spacing w:val="-3"/>
        </w:rPr>
        <w:t> </w:t>
      </w:r>
      <w:r>
        <w:rPr/>
        <w:t>Burke,</w:t>
      </w:r>
      <w:r>
        <w:rPr>
          <w:spacing w:val="-3"/>
        </w:rPr>
        <w:t> </w:t>
      </w:r>
      <w:r>
        <w:rPr>
          <w:spacing w:val="-5"/>
        </w:rPr>
        <w:t>G.</w:t>
      </w:r>
    </w:p>
    <w:p>
      <w:pPr>
        <w:pStyle w:val="BodyText"/>
        <w:spacing w:before="1"/>
        <w:ind w:right="1782"/>
        <w:jc w:val="right"/>
      </w:pPr>
      <w:r>
        <w:rPr/>
        <w:t>L.</w:t>
      </w:r>
      <w:r>
        <w:rPr>
          <w:spacing w:val="13"/>
        </w:rPr>
        <w:t> </w:t>
      </w:r>
      <w:r>
        <w:rPr/>
        <w:t>(1995).</w:t>
      </w:r>
      <w:r>
        <w:rPr>
          <w:spacing w:val="15"/>
        </w:rPr>
        <w:t> </w:t>
      </w:r>
      <w:r>
        <w:rPr/>
        <w:t>Is</w:t>
      </w:r>
      <w:r>
        <w:rPr>
          <w:spacing w:val="15"/>
        </w:rPr>
        <w:t> </w:t>
      </w:r>
      <w:r>
        <w:rPr/>
        <w:t>the</w:t>
      </w:r>
      <w:r>
        <w:rPr>
          <w:spacing w:val="15"/>
        </w:rPr>
        <w:t> </w:t>
      </w:r>
      <w:r>
        <w:rPr/>
        <w:t>stroke</w:t>
      </w:r>
      <w:r>
        <w:rPr>
          <w:spacing w:val="15"/>
        </w:rPr>
        <w:t> </w:t>
      </w:r>
      <w:r>
        <w:rPr/>
        <w:t>belt</w:t>
      </w:r>
      <w:r>
        <w:rPr>
          <w:spacing w:val="15"/>
        </w:rPr>
        <w:t> </w:t>
      </w:r>
      <w:r>
        <w:rPr/>
        <w:t>disappearing?</w:t>
      </w:r>
      <w:r>
        <w:rPr>
          <w:spacing w:val="15"/>
        </w:rPr>
        <w:t> </w:t>
      </w:r>
      <w:r>
        <w:rPr/>
        <w:t>an</w:t>
      </w:r>
      <w:r>
        <w:rPr>
          <w:spacing w:val="15"/>
        </w:rPr>
        <w:t> </w:t>
      </w:r>
      <w:r>
        <w:rPr/>
        <w:t>analysis</w:t>
      </w:r>
      <w:r>
        <w:rPr>
          <w:spacing w:val="15"/>
        </w:rPr>
        <w:t> </w:t>
      </w:r>
      <w:r>
        <w:rPr/>
        <w:t>of</w:t>
      </w:r>
      <w:r>
        <w:rPr>
          <w:spacing w:val="15"/>
        </w:rPr>
        <w:t> </w:t>
      </w:r>
      <w:r>
        <w:rPr/>
        <w:t>racial,</w:t>
      </w:r>
      <w:r>
        <w:rPr>
          <w:spacing w:val="15"/>
        </w:rPr>
        <w:t> </w:t>
      </w:r>
      <w:r>
        <w:rPr/>
        <w:t>temporal,</w:t>
      </w:r>
      <w:r>
        <w:rPr>
          <w:spacing w:val="15"/>
        </w:rPr>
        <w:t> </w:t>
      </w:r>
      <w:r>
        <w:rPr/>
        <w:t>and</w:t>
      </w:r>
      <w:r>
        <w:rPr>
          <w:spacing w:val="15"/>
        </w:rPr>
        <w:t> </w:t>
      </w:r>
      <w:r>
        <w:rPr/>
        <w:t>age </w:t>
      </w:r>
      <w:r>
        <w:rPr>
          <w:spacing w:val="-2"/>
        </w:rPr>
        <w:t>effects.</w:t>
      </w:r>
    </w:p>
    <w:p>
      <w:pPr>
        <w:pStyle w:val="BodyText"/>
        <w:spacing w:after="0"/>
        <w:jc w:val="right"/>
        <w:sectPr>
          <w:pgSz w:w="12240" w:h="15840"/>
          <w:pgMar w:header="0" w:footer="707" w:top="640" w:bottom="960" w:left="720" w:right="0"/>
        </w:sectPr>
      </w:pPr>
    </w:p>
    <w:p>
      <w:pPr>
        <w:spacing w:before="60"/>
        <w:ind w:left="967" w:right="0" w:firstLine="0"/>
        <w:jc w:val="left"/>
        <w:rPr>
          <w:sz w:val="24"/>
        </w:rPr>
      </w:pPr>
      <w:r>
        <w:rPr>
          <w:i/>
          <w:spacing w:val="-2"/>
          <w:sz w:val="24"/>
        </w:rPr>
        <w:t>Stroke</w:t>
      </w:r>
      <w:r>
        <w:rPr>
          <w:spacing w:val="-2"/>
          <w:sz w:val="24"/>
        </w:rPr>
        <w:t>,</w:t>
      </w:r>
      <w:r>
        <w:rPr>
          <w:spacing w:val="18"/>
          <w:sz w:val="24"/>
        </w:rPr>
        <w:t> </w:t>
      </w:r>
      <w:r>
        <w:rPr>
          <w:spacing w:val="-2"/>
          <w:sz w:val="24"/>
        </w:rPr>
        <w:t>26(7):1153–</w:t>
      </w:r>
      <w:r>
        <w:rPr>
          <w:spacing w:val="-4"/>
          <w:sz w:val="24"/>
        </w:rPr>
        <w:t>1158.</w:t>
      </w:r>
    </w:p>
    <w:p>
      <w:pPr>
        <w:pStyle w:val="BodyText"/>
        <w:spacing w:line="242" w:lineRule="auto" w:before="197"/>
        <w:ind w:left="967" w:right="1788" w:hanging="240"/>
        <w:jc w:val="both"/>
      </w:pPr>
      <w:r>
        <w:rPr/>
        <w:t>Howard, V. J., Cushman, M., Pulley,</w:t>
      </w:r>
      <w:r>
        <w:rPr>
          <w:spacing w:val="-5"/>
        </w:rPr>
        <w:t> </w:t>
      </w:r>
      <w:r>
        <w:rPr/>
        <w:t>L.,</w:t>
      </w:r>
      <w:r>
        <w:rPr>
          <w:spacing w:val="-5"/>
        </w:rPr>
        <w:t> </w:t>
      </w:r>
      <w:r>
        <w:rPr/>
        <w:t>Gomez,</w:t>
      </w:r>
      <w:r>
        <w:rPr>
          <w:spacing w:val="-5"/>
        </w:rPr>
        <w:t> </w:t>
      </w:r>
      <w:r>
        <w:rPr/>
        <w:t>C.</w:t>
      </w:r>
      <w:r>
        <w:rPr>
          <w:spacing w:val="-5"/>
        </w:rPr>
        <w:t> </w:t>
      </w:r>
      <w:r>
        <w:rPr/>
        <w:t>R.,</w:t>
      </w:r>
      <w:r>
        <w:rPr>
          <w:spacing w:val="-5"/>
        </w:rPr>
        <w:t> </w:t>
      </w:r>
      <w:r>
        <w:rPr/>
        <w:t>Go,</w:t>
      </w:r>
      <w:r>
        <w:rPr>
          <w:spacing w:val="-5"/>
        </w:rPr>
        <w:t> </w:t>
      </w:r>
      <w:r>
        <w:rPr/>
        <w:t>R.</w:t>
      </w:r>
      <w:r>
        <w:rPr>
          <w:spacing w:val="-5"/>
        </w:rPr>
        <w:t> </w:t>
      </w:r>
      <w:r>
        <w:rPr/>
        <w:t>C.,</w:t>
      </w:r>
      <w:r>
        <w:rPr>
          <w:spacing w:val="-5"/>
        </w:rPr>
        <w:t> </w:t>
      </w:r>
      <w:r>
        <w:rPr/>
        <w:t>Prineas,</w:t>
      </w:r>
      <w:r>
        <w:rPr>
          <w:spacing w:val="-5"/>
        </w:rPr>
        <w:t> </w:t>
      </w:r>
      <w:r>
        <w:rPr/>
        <w:t>R.</w:t>
      </w:r>
      <w:r>
        <w:rPr>
          <w:spacing w:val="-5"/>
        </w:rPr>
        <w:t> </w:t>
      </w:r>
      <w:r>
        <w:rPr/>
        <w:t>J.,</w:t>
      </w:r>
      <w:r>
        <w:rPr>
          <w:spacing w:val="-5"/>
        </w:rPr>
        <w:t> </w:t>
      </w:r>
      <w:r>
        <w:rPr/>
        <w:t>Graham,</w:t>
      </w:r>
      <w:r>
        <w:rPr>
          <w:spacing w:val="-5"/>
        </w:rPr>
        <w:t> </w:t>
      </w:r>
      <w:r>
        <w:rPr/>
        <w:t>A., Moy, C. S., and Howard, G. (2005). The reasons for geographic and racial differences in stroke study: objectives and design. </w:t>
      </w:r>
      <w:r>
        <w:rPr>
          <w:i/>
        </w:rPr>
        <w:t>Neuroepidemiology</w:t>
      </w:r>
      <w:r>
        <w:rPr/>
        <w:t>, 25(3):135–143.</w:t>
      </w:r>
    </w:p>
    <w:p>
      <w:pPr>
        <w:pStyle w:val="BodyText"/>
        <w:spacing w:before="193"/>
        <w:ind w:left="967" w:right="1996" w:hanging="240"/>
      </w:pPr>
      <w:r>
        <w:rPr/>
        <w:t>IPCC (2021). Climate change 2021: The physical science basis. contribution of working group</w:t>
      </w:r>
      <w:r>
        <w:rPr>
          <w:spacing w:val="-4"/>
        </w:rPr>
        <w:t> </w:t>
      </w:r>
      <w:r>
        <w:rPr/>
        <w:t>i</w:t>
      </w:r>
      <w:r>
        <w:rPr>
          <w:spacing w:val="-4"/>
        </w:rPr>
        <w:t> </w:t>
      </w:r>
      <w:r>
        <w:rPr/>
        <w:t>to</w:t>
      </w:r>
      <w:r>
        <w:rPr>
          <w:spacing w:val="-4"/>
        </w:rPr>
        <w:t> </w:t>
      </w:r>
      <w:r>
        <w:rPr/>
        <w:t>the</w:t>
      </w:r>
      <w:r>
        <w:rPr>
          <w:spacing w:val="-4"/>
        </w:rPr>
        <w:t> </w:t>
      </w:r>
      <w:r>
        <w:rPr/>
        <w:t>sixth</w:t>
      </w:r>
      <w:r>
        <w:rPr>
          <w:spacing w:val="-4"/>
        </w:rPr>
        <w:t> </w:t>
      </w:r>
      <w:r>
        <w:rPr/>
        <w:t>assessment</w:t>
      </w:r>
      <w:r>
        <w:rPr>
          <w:spacing w:val="-4"/>
        </w:rPr>
        <w:t> </w:t>
      </w:r>
      <w:r>
        <w:rPr/>
        <w:t>report</w:t>
      </w:r>
      <w:r>
        <w:rPr>
          <w:spacing w:val="-4"/>
        </w:rPr>
        <w:t> </w:t>
      </w:r>
      <w:r>
        <w:rPr/>
        <w:t>of</w:t>
      </w:r>
      <w:r>
        <w:rPr>
          <w:spacing w:val="-4"/>
        </w:rPr>
        <w:t> </w:t>
      </w:r>
      <w:r>
        <w:rPr/>
        <w:t>the</w:t>
      </w:r>
      <w:r>
        <w:rPr>
          <w:spacing w:val="-4"/>
        </w:rPr>
        <w:t> </w:t>
      </w:r>
      <w:r>
        <w:rPr/>
        <w:t>intergovernmental</w:t>
      </w:r>
      <w:r>
        <w:rPr>
          <w:spacing w:val="-4"/>
        </w:rPr>
        <w:t> </w:t>
      </w:r>
      <w:r>
        <w:rPr/>
        <w:t>panel</w:t>
      </w:r>
      <w:r>
        <w:rPr>
          <w:spacing w:val="-4"/>
        </w:rPr>
        <w:t> </w:t>
      </w:r>
      <w:r>
        <w:rPr/>
        <w:t>on</w:t>
      </w:r>
      <w:r>
        <w:rPr>
          <w:spacing w:val="-4"/>
        </w:rPr>
        <w:t> </w:t>
      </w:r>
      <w:r>
        <w:rPr/>
        <w:t>climate</w:t>
      </w:r>
      <w:r>
        <w:rPr>
          <w:spacing w:val="-4"/>
        </w:rPr>
        <w:t> </w:t>
      </w:r>
      <w:r>
        <w:rPr/>
        <w:t>change.</w:t>
      </w:r>
    </w:p>
    <w:p>
      <w:pPr>
        <w:pStyle w:val="BodyText"/>
        <w:spacing w:before="199"/>
        <w:ind w:left="967" w:right="1767" w:hanging="240"/>
        <w:jc w:val="both"/>
      </w:pPr>
      <w:r>
        <w:rPr/>
        <w:t>Jia, H. and Lubetkin, E. I. (2017). The impact of depression on quality-adjusted life expectancy (qale) among older americans. </w:t>
      </w:r>
      <w:r>
        <w:rPr>
          <w:i/>
        </w:rPr>
        <w:t>Health and Quality of Life Outcomes</w:t>
      </w:r>
      <w:r>
        <w:rPr/>
        <w:t>, </w:t>
      </w:r>
      <w:r>
        <w:rPr/>
        <w:t>15(1):1–</w:t>
      </w:r>
      <w:r>
        <w:rPr>
          <w:spacing w:val="-4"/>
        </w:rPr>
        <w:t>10.</w:t>
      </w:r>
    </w:p>
    <w:p>
      <w:pPr>
        <w:pStyle w:val="BodyText"/>
        <w:spacing w:before="201"/>
        <w:ind w:left="967" w:right="1191" w:hanging="240"/>
      </w:pPr>
      <w:r>
        <w:rPr/>
        <w:t>Kousky,</w:t>
      </w:r>
      <w:r>
        <w:rPr>
          <w:spacing w:val="-5"/>
        </w:rPr>
        <w:t> </w:t>
      </w:r>
      <w:r>
        <w:rPr/>
        <w:t>C.</w:t>
      </w:r>
      <w:r>
        <w:rPr>
          <w:spacing w:val="-5"/>
        </w:rPr>
        <w:t> </w:t>
      </w:r>
      <w:r>
        <w:rPr/>
        <w:t>(2014).</w:t>
      </w:r>
      <w:r>
        <w:rPr>
          <w:spacing w:val="-5"/>
        </w:rPr>
        <w:t> </w:t>
      </w:r>
      <w:r>
        <w:rPr/>
        <w:t>Informing</w:t>
      </w:r>
      <w:r>
        <w:rPr>
          <w:spacing w:val="-5"/>
        </w:rPr>
        <w:t> </w:t>
      </w:r>
      <w:r>
        <w:rPr/>
        <w:t>climate</w:t>
      </w:r>
      <w:r>
        <w:rPr>
          <w:spacing w:val="-5"/>
        </w:rPr>
        <w:t> </w:t>
      </w:r>
      <w:r>
        <w:rPr/>
        <w:t>adaptation:</w:t>
      </w:r>
      <w:r>
        <w:rPr>
          <w:spacing w:val="-5"/>
        </w:rPr>
        <w:t> </w:t>
      </w:r>
      <w:r>
        <w:rPr/>
        <w:t>A</w:t>
      </w:r>
      <w:r>
        <w:rPr>
          <w:spacing w:val="-5"/>
        </w:rPr>
        <w:t> </w:t>
      </w:r>
      <w:r>
        <w:rPr/>
        <w:t>review</w:t>
      </w:r>
      <w:r>
        <w:rPr>
          <w:spacing w:val="-5"/>
        </w:rPr>
        <w:t> </w:t>
      </w:r>
      <w:r>
        <w:rPr/>
        <w:t>of</w:t>
      </w:r>
      <w:r>
        <w:rPr>
          <w:spacing w:val="-5"/>
        </w:rPr>
        <w:t> </w:t>
      </w:r>
      <w:r>
        <w:rPr/>
        <w:t>the</w:t>
      </w:r>
      <w:r>
        <w:rPr>
          <w:spacing w:val="-5"/>
        </w:rPr>
        <w:t> </w:t>
      </w:r>
      <w:r>
        <w:rPr/>
        <w:t>economic</w:t>
      </w:r>
      <w:r>
        <w:rPr>
          <w:spacing w:val="-5"/>
        </w:rPr>
        <w:t> </w:t>
      </w:r>
      <w:r>
        <w:rPr/>
        <w:t>costs</w:t>
      </w:r>
      <w:r>
        <w:rPr>
          <w:spacing w:val="-5"/>
        </w:rPr>
        <w:t> </w:t>
      </w:r>
      <w:r>
        <w:rPr/>
        <w:t>of</w:t>
      </w:r>
      <w:r>
        <w:rPr>
          <w:spacing w:val="-5"/>
        </w:rPr>
        <w:t> </w:t>
      </w:r>
      <w:r>
        <w:rPr/>
        <w:t>natural disasters. </w:t>
      </w:r>
      <w:r>
        <w:rPr>
          <w:i/>
        </w:rPr>
        <w:t>Energy economics</w:t>
      </w:r>
      <w:r>
        <w:rPr/>
        <w:t>, 46:576–592.</w:t>
      </w:r>
    </w:p>
    <w:p>
      <w:pPr>
        <w:spacing w:before="199"/>
        <w:ind w:left="952" w:right="1771" w:hanging="225"/>
        <w:jc w:val="both"/>
        <w:rPr>
          <w:sz w:val="24"/>
        </w:rPr>
      </w:pPr>
      <w:r>
        <w:rPr>
          <w:sz w:val="24"/>
        </w:rPr>
        <w:t>Kunreuther, H. C., Pauly, M. V., and McMorrow, S. (2013). </w:t>
      </w:r>
      <w:r>
        <w:rPr>
          <w:i/>
          <w:sz w:val="24"/>
        </w:rPr>
        <w:t>Insurance and </w:t>
      </w:r>
      <w:r>
        <w:rPr>
          <w:i/>
          <w:sz w:val="24"/>
        </w:rPr>
        <w:t>behavioral</w:t>
      </w:r>
      <w:r>
        <w:rPr>
          <w:i/>
          <w:sz w:val="24"/>
        </w:rPr>
        <w:t> economics:</w:t>
      </w:r>
      <w:r>
        <w:rPr>
          <w:i/>
          <w:spacing w:val="-5"/>
          <w:sz w:val="24"/>
        </w:rPr>
        <w:t> </w:t>
      </w:r>
      <w:r>
        <w:rPr>
          <w:i/>
          <w:sz w:val="24"/>
        </w:rPr>
        <w:t>Improving</w:t>
      </w:r>
      <w:r>
        <w:rPr>
          <w:i/>
          <w:spacing w:val="-5"/>
          <w:sz w:val="24"/>
        </w:rPr>
        <w:t> </w:t>
      </w:r>
      <w:r>
        <w:rPr>
          <w:i/>
          <w:sz w:val="24"/>
        </w:rPr>
        <w:t>decisions</w:t>
      </w:r>
      <w:r>
        <w:rPr>
          <w:i/>
          <w:spacing w:val="-5"/>
          <w:sz w:val="24"/>
        </w:rPr>
        <w:t> </w:t>
      </w:r>
      <w:r>
        <w:rPr>
          <w:i/>
          <w:sz w:val="24"/>
        </w:rPr>
        <w:t>in</w:t>
      </w:r>
      <w:r>
        <w:rPr>
          <w:i/>
          <w:spacing w:val="-5"/>
          <w:sz w:val="24"/>
        </w:rPr>
        <w:t> </w:t>
      </w:r>
      <w:r>
        <w:rPr>
          <w:i/>
          <w:sz w:val="24"/>
        </w:rPr>
        <w:t>the</w:t>
      </w:r>
      <w:r>
        <w:rPr>
          <w:i/>
          <w:spacing w:val="-5"/>
          <w:sz w:val="24"/>
        </w:rPr>
        <w:t> </w:t>
      </w:r>
      <w:r>
        <w:rPr>
          <w:i/>
          <w:sz w:val="24"/>
        </w:rPr>
        <w:t>most</w:t>
      </w:r>
      <w:r>
        <w:rPr>
          <w:i/>
          <w:spacing w:val="-5"/>
          <w:sz w:val="24"/>
        </w:rPr>
        <w:t> </w:t>
      </w:r>
      <w:r>
        <w:rPr>
          <w:i/>
          <w:sz w:val="24"/>
        </w:rPr>
        <w:t>misunderstood</w:t>
      </w:r>
      <w:r>
        <w:rPr>
          <w:i/>
          <w:spacing w:val="-5"/>
          <w:sz w:val="24"/>
        </w:rPr>
        <w:t> </w:t>
      </w:r>
      <w:r>
        <w:rPr>
          <w:i/>
          <w:sz w:val="24"/>
        </w:rPr>
        <w:t>industry</w:t>
      </w:r>
      <w:r>
        <w:rPr>
          <w:sz w:val="24"/>
        </w:rPr>
        <w:t>.</w:t>
      </w:r>
      <w:r>
        <w:rPr>
          <w:spacing w:val="-5"/>
          <w:sz w:val="24"/>
        </w:rPr>
        <w:t> </w:t>
      </w:r>
      <w:r>
        <w:rPr>
          <w:sz w:val="24"/>
        </w:rPr>
        <w:t>Cambridge</w:t>
      </w:r>
      <w:r>
        <w:rPr>
          <w:spacing w:val="-5"/>
          <w:sz w:val="24"/>
        </w:rPr>
        <w:t> </w:t>
      </w:r>
      <w:r>
        <w:rPr>
          <w:sz w:val="24"/>
        </w:rPr>
        <w:t>University </w:t>
      </w:r>
      <w:r>
        <w:rPr>
          <w:spacing w:val="-2"/>
          <w:sz w:val="24"/>
        </w:rPr>
        <w:t>Press.</w:t>
      </w:r>
    </w:p>
    <w:p>
      <w:pPr>
        <w:pStyle w:val="BodyText"/>
        <w:spacing w:line="242" w:lineRule="auto" w:before="200"/>
        <w:ind w:left="982" w:right="2658" w:hanging="255"/>
      </w:pPr>
      <w:r>
        <w:rPr/>
        <w:t>Lanska,</w:t>
      </w:r>
      <w:r>
        <w:rPr>
          <w:spacing w:val="-4"/>
        </w:rPr>
        <w:t> </w:t>
      </w:r>
      <w:r>
        <w:rPr/>
        <w:t>D.</w:t>
      </w:r>
      <w:r>
        <w:rPr>
          <w:spacing w:val="-4"/>
        </w:rPr>
        <w:t> </w:t>
      </w:r>
      <w:r>
        <w:rPr/>
        <w:t>J.</w:t>
      </w:r>
      <w:r>
        <w:rPr>
          <w:spacing w:val="-4"/>
        </w:rPr>
        <w:t> </w:t>
      </w:r>
      <w:r>
        <w:rPr/>
        <w:t>(1993).</w:t>
      </w:r>
      <w:r>
        <w:rPr>
          <w:spacing w:val="-4"/>
        </w:rPr>
        <w:t> </w:t>
      </w:r>
      <w:r>
        <w:rPr/>
        <w:t>Geographic</w:t>
      </w:r>
      <w:r>
        <w:rPr>
          <w:spacing w:val="-4"/>
        </w:rPr>
        <w:t> </w:t>
      </w:r>
      <w:r>
        <w:rPr/>
        <w:t>distribution</w:t>
      </w:r>
      <w:r>
        <w:rPr>
          <w:spacing w:val="-4"/>
        </w:rPr>
        <w:t> </w:t>
      </w:r>
      <w:r>
        <w:rPr/>
        <w:t>of</w:t>
      </w:r>
      <w:r>
        <w:rPr>
          <w:spacing w:val="-4"/>
        </w:rPr>
        <w:t> </w:t>
      </w:r>
      <w:r>
        <w:rPr/>
        <w:t>stroke</w:t>
      </w:r>
      <w:r>
        <w:rPr>
          <w:spacing w:val="-4"/>
        </w:rPr>
        <w:t> </w:t>
      </w:r>
      <w:r>
        <w:rPr/>
        <w:t>mortality</w:t>
      </w:r>
      <w:r>
        <w:rPr>
          <w:spacing w:val="-4"/>
        </w:rPr>
        <w:t> </w:t>
      </w:r>
      <w:r>
        <w:rPr/>
        <w:t>in</w:t>
      </w:r>
      <w:r>
        <w:rPr>
          <w:spacing w:val="-4"/>
        </w:rPr>
        <w:t> </w:t>
      </w:r>
      <w:r>
        <w:rPr/>
        <w:t>the</w:t>
      </w:r>
      <w:r>
        <w:rPr>
          <w:spacing w:val="-4"/>
        </w:rPr>
        <w:t> </w:t>
      </w:r>
      <w:r>
        <w:rPr/>
        <w:t>united</w:t>
      </w:r>
      <w:r>
        <w:rPr>
          <w:spacing w:val="-4"/>
        </w:rPr>
        <w:t> </w:t>
      </w:r>
      <w:r>
        <w:rPr/>
        <w:t>states: 1939-1941 to 1979-1981. </w:t>
      </w:r>
      <w:r>
        <w:rPr>
          <w:i/>
        </w:rPr>
        <w:t>Neurology</w:t>
      </w:r>
      <w:r>
        <w:rPr/>
        <w:t>, 43(9):1839–1839.</w:t>
      </w:r>
    </w:p>
    <w:p>
      <w:pPr>
        <w:pStyle w:val="BodyText"/>
      </w:pPr>
    </w:p>
    <w:p>
      <w:pPr>
        <w:spacing w:before="0"/>
        <w:ind w:left="1579" w:right="1725" w:hanging="785"/>
        <w:jc w:val="left"/>
        <w:rPr>
          <w:sz w:val="24"/>
        </w:rPr>
      </w:pPr>
      <w:r>
        <w:rPr>
          <w:sz w:val="24"/>
        </w:rPr>
        <w:t>Melchior,</w:t>
      </w:r>
      <w:r>
        <w:rPr>
          <w:spacing w:val="-5"/>
          <w:sz w:val="24"/>
        </w:rPr>
        <w:t> </w:t>
      </w:r>
      <w:r>
        <w:rPr>
          <w:sz w:val="24"/>
        </w:rPr>
        <w:t>L.</w:t>
      </w:r>
      <w:r>
        <w:rPr>
          <w:spacing w:val="-5"/>
          <w:sz w:val="24"/>
        </w:rPr>
        <w:t> </w:t>
      </w:r>
      <w:r>
        <w:rPr>
          <w:sz w:val="24"/>
        </w:rPr>
        <w:t>A.,</w:t>
      </w:r>
      <w:r>
        <w:rPr>
          <w:spacing w:val="-5"/>
          <w:sz w:val="24"/>
        </w:rPr>
        <w:t> </w:t>
      </w:r>
      <w:r>
        <w:rPr>
          <w:sz w:val="24"/>
        </w:rPr>
        <w:t>Huba,</w:t>
      </w:r>
      <w:r>
        <w:rPr>
          <w:spacing w:val="-5"/>
          <w:sz w:val="24"/>
        </w:rPr>
        <w:t> </w:t>
      </w:r>
      <w:r>
        <w:rPr>
          <w:sz w:val="24"/>
        </w:rPr>
        <w:t>G.,</w:t>
      </w:r>
      <w:r>
        <w:rPr>
          <w:spacing w:val="-5"/>
          <w:sz w:val="24"/>
        </w:rPr>
        <w:t> </w:t>
      </w:r>
      <w:r>
        <w:rPr>
          <w:sz w:val="24"/>
        </w:rPr>
        <w:t>Brown,</w:t>
      </w:r>
      <w:r>
        <w:rPr>
          <w:spacing w:val="-5"/>
          <w:sz w:val="24"/>
        </w:rPr>
        <w:t> </w:t>
      </w:r>
      <w:r>
        <w:rPr>
          <w:sz w:val="24"/>
        </w:rPr>
        <w:t>V.</w:t>
      </w:r>
      <w:r>
        <w:rPr>
          <w:spacing w:val="-5"/>
          <w:sz w:val="24"/>
        </w:rPr>
        <w:t> </w:t>
      </w:r>
      <w:r>
        <w:rPr>
          <w:sz w:val="24"/>
        </w:rPr>
        <w:t>B.,</w:t>
      </w:r>
      <w:r>
        <w:rPr>
          <w:spacing w:val="-5"/>
          <w:sz w:val="24"/>
        </w:rPr>
        <w:t> </w:t>
      </w:r>
      <w:r>
        <w:rPr>
          <w:sz w:val="24"/>
        </w:rPr>
        <w:t>and</w:t>
      </w:r>
      <w:r>
        <w:rPr>
          <w:spacing w:val="-5"/>
          <w:sz w:val="24"/>
        </w:rPr>
        <w:t> </w:t>
      </w:r>
      <w:r>
        <w:rPr>
          <w:sz w:val="24"/>
        </w:rPr>
        <w:t>Reback,</w:t>
      </w:r>
      <w:r>
        <w:rPr>
          <w:spacing w:val="-5"/>
          <w:sz w:val="24"/>
        </w:rPr>
        <w:t> </w:t>
      </w:r>
      <w:r>
        <w:rPr>
          <w:sz w:val="24"/>
        </w:rPr>
        <w:t>C.</w:t>
      </w:r>
      <w:r>
        <w:rPr>
          <w:spacing w:val="-5"/>
          <w:sz w:val="24"/>
        </w:rPr>
        <w:t> </w:t>
      </w:r>
      <w:r>
        <w:rPr>
          <w:sz w:val="24"/>
        </w:rPr>
        <w:t>J.</w:t>
      </w:r>
      <w:r>
        <w:rPr>
          <w:spacing w:val="-5"/>
          <w:sz w:val="24"/>
        </w:rPr>
        <w:t> </w:t>
      </w:r>
      <w:r>
        <w:rPr>
          <w:sz w:val="24"/>
        </w:rPr>
        <w:t>(1993).</w:t>
      </w:r>
      <w:r>
        <w:rPr>
          <w:spacing w:val="-5"/>
          <w:sz w:val="24"/>
        </w:rPr>
        <w:t> </w:t>
      </w:r>
      <w:r>
        <w:rPr>
          <w:sz w:val="24"/>
        </w:rPr>
        <w:t>A</w:t>
      </w:r>
      <w:r>
        <w:rPr>
          <w:spacing w:val="-5"/>
          <w:sz w:val="24"/>
        </w:rPr>
        <w:t> </w:t>
      </w:r>
      <w:r>
        <w:rPr>
          <w:sz w:val="24"/>
        </w:rPr>
        <w:t>short</w:t>
      </w:r>
      <w:r>
        <w:rPr>
          <w:spacing w:val="-5"/>
          <w:sz w:val="24"/>
        </w:rPr>
        <w:t> </w:t>
      </w:r>
      <w:r>
        <w:rPr>
          <w:sz w:val="24"/>
        </w:rPr>
        <w:t>depression</w:t>
      </w:r>
      <w:r>
        <w:rPr>
          <w:spacing w:val="-5"/>
          <w:sz w:val="24"/>
        </w:rPr>
        <w:t> </w:t>
      </w:r>
      <w:r>
        <w:rPr>
          <w:sz w:val="24"/>
        </w:rPr>
        <w:t>index for women. </w:t>
      </w:r>
      <w:r>
        <w:rPr>
          <w:i/>
          <w:sz w:val="24"/>
        </w:rPr>
        <w:t>Educational and psychological measurement</w:t>
      </w:r>
      <w:r>
        <w:rPr>
          <w:sz w:val="24"/>
        </w:rPr>
        <w:t>, 53(4):1117–1125.</w:t>
      </w:r>
    </w:p>
    <w:p>
      <w:pPr>
        <w:pStyle w:val="BodyText"/>
        <w:spacing w:before="212"/>
        <w:ind w:left="967" w:right="1768" w:hanging="240"/>
        <w:jc w:val="both"/>
      </w:pPr>
      <w:r>
        <w:rPr/>
        <w:t>Neumann, P. J., Cohen, J. T., and Weinstein, M. C. (2014). Updating</w:t>
      </w:r>
      <w:r>
        <w:rPr>
          <w:spacing w:val="-7"/>
        </w:rPr>
        <w:t> </w:t>
      </w:r>
      <w:r>
        <w:rPr/>
        <w:t>cost</w:t>
      </w:r>
      <w:r>
        <w:rPr>
          <w:spacing w:val="-7"/>
        </w:rPr>
        <w:t> </w:t>
      </w:r>
      <w:r>
        <w:rPr/>
        <w:t>effectiveness—</w:t>
      </w:r>
      <w:r>
        <w:rPr/>
        <w:t>the curious resilience of the $50,000-per-qaly threshold. </w:t>
      </w:r>
      <w:r>
        <w:rPr>
          <w:i/>
        </w:rPr>
        <w:t>New England Journal of Medicine</w:t>
      </w:r>
      <w:r>
        <w:rPr/>
        <w:t>, </w:t>
      </w:r>
      <w:r>
        <w:rPr>
          <w:spacing w:val="-2"/>
        </w:rPr>
        <w:t>371(9):796–797.</w:t>
      </w:r>
    </w:p>
    <w:p>
      <w:pPr>
        <w:spacing w:before="213"/>
        <w:ind w:left="967" w:right="1774" w:hanging="240"/>
        <w:jc w:val="both"/>
        <w:rPr>
          <w:sz w:val="24"/>
        </w:rPr>
      </w:pPr>
      <w:r>
        <w:rPr>
          <w:sz w:val="24"/>
        </w:rPr>
        <w:t>Norris, F. H. and Kaniasty, K. (1996). Received and perceived social support in times </w:t>
      </w:r>
      <w:r>
        <w:rPr>
          <w:sz w:val="24"/>
        </w:rPr>
        <w:t>of stress: a test of the social support deterioration deterrence model. </w:t>
      </w:r>
      <w:r>
        <w:rPr>
          <w:i/>
          <w:sz w:val="24"/>
        </w:rPr>
        <w:t>Journal of personality</w:t>
      </w:r>
      <w:r>
        <w:rPr>
          <w:i/>
          <w:sz w:val="24"/>
        </w:rPr>
        <w:t> and social psychology</w:t>
      </w:r>
      <w:r>
        <w:rPr>
          <w:sz w:val="24"/>
        </w:rPr>
        <w:t>, 71(3):498.</w:t>
      </w:r>
    </w:p>
    <w:p>
      <w:pPr>
        <w:pStyle w:val="BodyText"/>
        <w:spacing w:before="213"/>
        <w:ind w:left="967" w:right="1619" w:hanging="240"/>
      </w:pPr>
      <w:r>
        <w:rPr/>
        <w:t>Perry,</w:t>
      </w:r>
      <w:r>
        <w:rPr>
          <w:spacing w:val="-4"/>
        </w:rPr>
        <w:t> </w:t>
      </w:r>
      <w:r>
        <w:rPr/>
        <w:t>H.</w:t>
      </w:r>
      <w:r>
        <w:rPr>
          <w:spacing w:val="-4"/>
        </w:rPr>
        <w:t> </w:t>
      </w:r>
      <w:r>
        <w:rPr/>
        <w:t>M.</w:t>
      </w:r>
      <w:r>
        <w:rPr>
          <w:spacing w:val="-4"/>
        </w:rPr>
        <w:t> </w:t>
      </w:r>
      <w:r>
        <w:rPr/>
        <w:t>and</w:t>
      </w:r>
      <w:r>
        <w:rPr>
          <w:spacing w:val="-4"/>
        </w:rPr>
        <w:t> </w:t>
      </w:r>
      <w:r>
        <w:rPr/>
        <w:t>Roccella,</w:t>
      </w:r>
      <w:r>
        <w:rPr>
          <w:spacing w:val="-4"/>
        </w:rPr>
        <w:t> </w:t>
      </w:r>
      <w:r>
        <w:rPr/>
        <w:t>E.</w:t>
      </w:r>
      <w:r>
        <w:rPr>
          <w:spacing w:val="-4"/>
        </w:rPr>
        <w:t> </w:t>
      </w:r>
      <w:r>
        <w:rPr/>
        <w:t>J.</w:t>
      </w:r>
      <w:r>
        <w:rPr>
          <w:spacing w:val="-4"/>
        </w:rPr>
        <w:t> </w:t>
      </w:r>
      <w:r>
        <w:rPr/>
        <w:t>(1998).</w:t>
      </w:r>
      <w:r>
        <w:rPr>
          <w:spacing w:val="-4"/>
        </w:rPr>
        <w:t> </w:t>
      </w:r>
      <w:r>
        <w:rPr/>
        <w:t>Conference</w:t>
      </w:r>
      <w:r>
        <w:rPr>
          <w:spacing w:val="-4"/>
        </w:rPr>
        <w:t> </w:t>
      </w:r>
      <w:r>
        <w:rPr/>
        <w:t>report</w:t>
      </w:r>
      <w:r>
        <w:rPr>
          <w:spacing w:val="-4"/>
        </w:rPr>
        <w:t> </w:t>
      </w:r>
      <w:r>
        <w:rPr/>
        <w:t>on</w:t>
      </w:r>
      <w:r>
        <w:rPr>
          <w:spacing w:val="-4"/>
        </w:rPr>
        <w:t> </w:t>
      </w:r>
      <w:r>
        <w:rPr/>
        <w:t>stroke</w:t>
      </w:r>
      <w:r>
        <w:rPr>
          <w:spacing w:val="-4"/>
        </w:rPr>
        <w:t> </w:t>
      </w:r>
      <w:r>
        <w:rPr/>
        <w:t>mortality</w:t>
      </w:r>
      <w:r>
        <w:rPr>
          <w:spacing w:val="-4"/>
        </w:rPr>
        <w:t> </w:t>
      </w:r>
      <w:r>
        <w:rPr/>
        <w:t>in</w:t>
      </w:r>
      <w:r>
        <w:rPr>
          <w:spacing w:val="-4"/>
        </w:rPr>
        <w:t> </w:t>
      </w:r>
      <w:r>
        <w:rPr/>
        <w:t>the southeastern united states. </w:t>
      </w:r>
      <w:r>
        <w:rPr>
          <w:i/>
        </w:rPr>
        <w:t>Hypertension</w:t>
      </w:r>
      <w:r>
        <w:rPr/>
        <w:t>, 31(6):1206–1215.</w:t>
      </w:r>
    </w:p>
    <w:p>
      <w:pPr>
        <w:pStyle w:val="BodyText"/>
        <w:spacing w:before="211"/>
        <w:ind w:left="952" w:right="2197" w:hanging="225"/>
      </w:pPr>
      <w:r>
        <w:rPr/>
        <w:t>Vanness,</w:t>
      </w:r>
      <w:r>
        <w:rPr>
          <w:spacing w:val="-6"/>
        </w:rPr>
        <w:t> </w:t>
      </w:r>
      <w:r>
        <w:rPr/>
        <w:t>D.</w:t>
      </w:r>
      <w:r>
        <w:rPr>
          <w:spacing w:val="-6"/>
        </w:rPr>
        <w:t> </w:t>
      </w:r>
      <w:r>
        <w:rPr/>
        <w:t>J.,</w:t>
      </w:r>
      <w:r>
        <w:rPr>
          <w:spacing w:val="-6"/>
        </w:rPr>
        <w:t> </w:t>
      </w:r>
      <w:r>
        <w:rPr/>
        <w:t>Lomas,</w:t>
      </w:r>
      <w:r>
        <w:rPr>
          <w:spacing w:val="-6"/>
        </w:rPr>
        <w:t> </w:t>
      </w:r>
      <w:r>
        <w:rPr/>
        <w:t>J.,</w:t>
      </w:r>
      <w:r>
        <w:rPr>
          <w:spacing w:val="-6"/>
        </w:rPr>
        <w:t> </w:t>
      </w:r>
      <w:r>
        <w:rPr/>
        <w:t>Ahn,</w:t>
      </w:r>
      <w:r>
        <w:rPr>
          <w:spacing w:val="-6"/>
        </w:rPr>
        <w:t> </w:t>
      </w:r>
      <w:r>
        <w:rPr/>
        <w:t>H.,</w:t>
      </w:r>
      <w:r>
        <w:rPr>
          <w:spacing w:val="-6"/>
        </w:rPr>
        <w:t> </w:t>
      </w:r>
      <w:r>
        <w:rPr/>
        <w:t>Thokala,</w:t>
      </w:r>
      <w:r>
        <w:rPr>
          <w:spacing w:val="-6"/>
        </w:rPr>
        <w:t> </w:t>
      </w:r>
      <w:r>
        <w:rPr/>
        <w:t>P.,</w:t>
      </w:r>
      <w:r>
        <w:rPr>
          <w:spacing w:val="-6"/>
        </w:rPr>
        <w:t> </w:t>
      </w:r>
      <w:r>
        <w:rPr/>
        <w:t>and</w:t>
      </w:r>
      <w:r>
        <w:rPr>
          <w:spacing w:val="-6"/>
        </w:rPr>
        <w:t> </w:t>
      </w:r>
      <w:r>
        <w:rPr/>
        <w:t>Claxton,</w:t>
      </w:r>
      <w:r>
        <w:rPr>
          <w:spacing w:val="-6"/>
        </w:rPr>
        <w:t> </w:t>
      </w:r>
      <w:r>
        <w:rPr/>
        <w:t>K.</w:t>
      </w:r>
      <w:r>
        <w:rPr>
          <w:spacing w:val="-6"/>
        </w:rPr>
        <w:t> </w:t>
      </w:r>
      <w:r>
        <w:rPr/>
        <w:t>(2021).</w:t>
      </w:r>
      <w:r>
        <w:rPr>
          <w:spacing w:val="-6"/>
        </w:rPr>
        <w:t> </w:t>
      </w:r>
      <w:r>
        <w:rPr/>
        <w:t>Estimation</w:t>
      </w:r>
      <w:r>
        <w:rPr>
          <w:spacing w:val="-6"/>
        </w:rPr>
        <w:t> </w:t>
      </w:r>
      <w:r>
        <w:rPr/>
        <w:t>of</w:t>
      </w:r>
      <w:r>
        <w:rPr>
          <w:spacing w:val="-6"/>
        </w:rPr>
        <w:t> </w:t>
      </w:r>
      <w:r>
        <w:rPr/>
        <w:t>the cost-effectiveness threshold for the us: A review. </w:t>
      </w:r>
      <w:r>
        <w:rPr>
          <w:i/>
        </w:rPr>
        <w:t>Value in Health</w:t>
      </w:r>
      <w:r>
        <w:rPr/>
        <w:t>, 24(8):1192–1199.</w:t>
      </w:r>
    </w:p>
    <w:p>
      <w:pPr>
        <w:spacing w:before="211"/>
        <w:ind w:left="967" w:right="1773" w:hanging="240"/>
        <w:jc w:val="both"/>
        <w:rPr>
          <w:sz w:val="24"/>
        </w:rPr>
      </w:pPr>
      <w:r>
        <w:rPr>
          <w:sz w:val="24"/>
        </w:rPr>
        <w:t>Xie, T.,</w:t>
      </w:r>
      <w:r>
        <w:rPr>
          <w:spacing w:val="-9"/>
          <w:sz w:val="24"/>
        </w:rPr>
        <w:t> </w:t>
      </w:r>
      <w:r>
        <w:rPr>
          <w:sz w:val="24"/>
        </w:rPr>
        <w:t>Yuan,</w:t>
      </w:r>
      <w:r>
        <w:rPr>
          <w:spacing w:val="-9"/>
          <w:sz w:val="24"/>
        </w:rPr>
        <w:t> </w:t>
      </w:r>
      <w:r>
        <w:rPr>
          <w:sz w:val="24"/>
        </w:rPr>
        <w:t>Y.,</w:t>
      </w:r>
      <w:r>
        <w:rPr>
          <w:spacing w:val="-9"/>
          <w:sz w:val="24"/>
        </w:rPr>
        <w:t> </w:t>
      </w:r>
      <w:r>
        <w:rPr>
          <w:sz w:val="24"/>
        </w:rPr>
        <w:t>and</w:t>
      </w:r>
      <w:r>
        <w:rPr>
          <w:spacing w:val="-9"/>
          <w:sz w:val="24"/>
        </w:rPr>
        <w:t> </w:t>
      </w:r>
      <w:r>
        <w:rPr>
          <w:sz w:val="24"/>
        </w:rPr>
        <w:t>Zhang,</w:t>
      </w:r>
      <w:r>
        <w:rPr>
          <w:spacing w:val="-9"/>
          <w:sz w:val="24"/>
        </w:rPr>
        <w:t> </w:t>
      </w:r>
      <w:r>
        <w:rPr>
          <w:sz w:val="24"/>
        </w:rPr>
        <w:t>H.</w:t>
      </w:r>
      <w:r>
        <w:rPr>
          <w:spacing w:val="-9"/>
          <w:sz w:val="24"/>
        </w:rPr>
        <w:t> </w:t>
      </w:r>
      <w:r>
        <w:rPr>
          <w:sz w:val="24"/>
        </w:rPr>
        <w:t>(2023).</w:t>
      </w:r>
      <w:r>
        <w:rPr>
          <w:spacing w:val="-9"/>
          <w:sz w:val="24"/>
        </w:rPr>
        <w:t> </w:t>
      </w:r>
      <w:r>
        <w:rPr>
          <w:sz w:val="24"/>
        </w:rPr>
        <w:t>Information,</w:t>
      </w:r>
      <w:r>
        <w:rPr>
          <w:spacing w:val="-9"/>
          <w:sz w:val="24"/>
        </w:rPr>
        <w:t> </w:t>
      </w:r>
      <w:r>
        <w:rPr>
          <w:sz w:val="24"/>
        </w:rPr>
        <w:t>awareness,</w:t>
      </w:r>
      <w:r>
        <w:rPr>
          <w:spacing w:val="-9"/>
          <w:sz w:val="24"/>
        </w:rPr>
        <w:t> </w:t>
      </w:r>
      <w:r>
        <w:rPr>
          <w:sz w:val="24"/>
        </w:rPr>
        <w:t>and</w:t>
      </w:r>
      <w:r>
        <w:rPr>
          <w:spacing w:val="-9"/>
          <w:sz w:val="24"/>
        </w:rPr>
        <w:t> </w:t>
      </w:r>
      <w:r>
        <w:rPr>
          <w:sz w:val="24"/>
        </w:rPr>
        <w:t>mental</w:t>
      </w:r>
      <w:r>
        <w:rPr>
          <w:spacing w:val="-9"/>
          <w:sz w:val="24"/>
        </w:rPr>
        <w:t> </w:t>
      </w:r>
      <w:r>
        <w:rPr>
          <w:sz w:val="24"/>
        </w:rPr>
        <w:t>health:</w:t>
      </w:r>
      <w:r>
        <w:rPr>
          <w:spacing w:val="-9"/>
          <w:sz w:val="24"/>
        </w:rPr>
        <w:t> </w:t>
      </w:r>
      <w:r>
        <w:rPr>
          <w:sz w:val="24"/>
        </w:rPr>
        <w:t>Evidence from air pollution disclosure in china. </w:t>
      </w:r>
      <w:r>
        <w:rPr>
          <w:i/>
          <w:sz w:val="24"/>
        </w:rPr>
        <w:t>Journal of Environmental Economics and</w:t>
      </w:r>
      <w:r>
        <w:rPr>
          <w:i/>
          <w:sz w:val="24"/>
        </w:rPr>
        <w:t> Management</w:t>
      </w:r>
      <w:r>
        <w:rPr>
          <w:sz w:val="24"/>
        </w:rPr>
        <w:t>, 120:102845.</w:t>
      </w:r>
    </w:p>
    <w:p>
      <w:pPr>
        <w:spacing w:line="242" w:lineRule="auto" w:before="213"/>
        <w:ind w:left="967" w:right="1774" w:hanging="240"/>
        <w:jc w:val="both"/>
        <w:rPr>
          <w:sz w:val="24"/>
        </w:rPr>
      </w:pPr>
      <w:r>
        <w:rPr>
          <w:sz w:val="24"/>
        </w:rPr>
        <w:t>Zhang, X., Zhang, X., and Chen,</w:t>
      </w:r>
      <w:r>
        <w:rPr>
          <w:spacing w:val="-3"/>
          <w:sz w:val="24"/>
        </w:rPr>
        <w:t> </w:t>
      </w:r>
      <w:r>
        <w:rPr>
          <w:sz w:val="24"/>
        </w:rPr>
        <w:t>X.</w:t>
      </w:r>
      <w:r>
        <w:rPr>
          <w:spacing w:val="-3"/>
          <w:sz w:val="24"/>
        </w:rPr>
        <w:t> </w:t>
      </w:r>
      <w:r>
        <w:rPr>
          <w:sz w:val="24"/>
        </w:rPr>
        <w:t>(2017).</w:t>
      </w:r>
      <w:r>
        <w:rPr>
          <w:spacing w:val="-3"/>
          <w:sz w:val="24"/>
        </w:rPr>
        <w:t> </w:t>
      </w:r>
      <w:r>
        <w:rPr>
          <w:sz w:val="24"/>
        </w:rPr>
        <w:t>Happiness</w:t>
      </w:r>
      <w:r>
        <w:rPr>
          <w:spacing w:val="-3"/>
          <w:sz w:val="24"/>
        </w:rPr>
        <w:t> </w:t>
      </w:r>
      <w:r>
        <w:rPr>
          <w:sz w:val="24"/>
        </w:rPr>
        <w:t>in</w:t>
      </w:r>
      <w:r>
        <w:rPr>
          <w:spacing w:val="-3"/>
          <w:sz w:val="24"/>
        </w:rPr>
        <w:t> </w:t>
      </w:r>
      <w:r>
        <w:rPr>
          <w:sz w:val="24"/>
        </w:rPr>
        <w:t>the</w:t>
      </w:r>
      <w:r>
        <w:rPr>
          <w:spacing w:val="-3"/>
          <w:sz w:val="24"/>
        </w:rPr>
        <w:t> </w:t>
      </w:r>
      <w:r>
        <w:rPr>
          <w:sz w:val="24"/>
        </w:rPr>
        <w:t>air:</w:t>
      </w:r>
      <w:r>
        <w:rPr>
          <w:spacing w:val="-3"/>
          <w:sz w:val="24"/>
        </w:rPr>
        <w:t> </w:t>
      </w:r>
      <w:r>
        <w:rPr>
          <w:sz w:val="24"/>
        </w:rPr>
        <w:t>How</w:t>
      </w:r>
      <w:r>
        <w:rPr>
          <w:spacing w:val="-3"/>
          <w:sz w:val="24"/>
        </w:rPr>
        <w:t> </w:t>
      </w:r>
      <w:r>
        <w:rPr>
          <w:sz w:val="24"/>
        </w:rPr>
        <w:t>does</w:t>
      </w:r>
      <w:r>
        <w:rPr>
          <w:spacing w:val="-3"/>
          <w:sz w:val="24"/>
        </w:rPr>
        <w:t> </w:t>
      </w:r>
      <w:r>
        <w:rPr>
          <w:sz w:val="24"/>
        </w:rPr>
        <w:t>a</w:t>
      </w:r>
      <w:r>
        <w:rPr>
          <w:spacing w:val="-3"/>
          <w:sz w:val="24"/>
        </w:rPr>
        <w:t> </w:t>
      </w:r>
      <w:r>
        <w:rPr>
          <w:sz w:val="24"/>
        </w:rPr>
        <w:t>dirty</w:t>
      </w:r>
      <w:r>
        <w:rPr>
          <w:spacing w:val="-3"/>
          <w:sz w:val="24"/>
        </w:rPr>
        <w:t> </w:t>
      </w:r>
      <w:r>
        <w:rPr>
          <w:sz w:val="24"/>
        </w:rPr>
        <w:t>sky</w:t>
      </w:r>
      <w:r>
        <w:rPr>
          <w:spacing w:val="-3"/>
          <w:sz w:val="24"/>
        </w:rPr>
        <w:t> </w:t>
      </w:r>
      <w:r>
        <w:rPr>
          <w:sz w:val="24"/>
        </w:rPr>
        <w:t>affect mental health and subjective well-being? </w:t>
      </w:r>
      <w:r>
        <w:rPr>
          <w:i/>
          <w:sz w:val="24"/>
        </w:rPr>
        <w:t>Journal of Environmental Economics and</w:t>
      </w:r>
      <w:r>
        <w:rPr>
          <w:i/>
          <w:sz w:val="24"/>
        </w:rPr>
        <w:t> Management</w:t>
      </w:r>
      <w:r>
        <w:rPr>
          <w:sz w:val="24"/>
        </w:rPr>
        <w:t>, 85:81–94.</w:t>
      </w:r>
    </w:p>
    <w:p>
      <w:pPr>
        <w:spacing w:after="0" w:line="242" w:lineRule="auto"/>
        <w:jc w:val="both"/>
        <w:rPr>
          <w:sz w:val="24"/>
        </w:rPr>
        <w:sectPr>
          <w:pgSz w:w="12240" w:h="15840"/>
          <w:pgMar w:header="0" w:footer="707" w:top="640" w:bottom="960" w:left="720" w:right="0"/>
        </w:sectPr>
      </w:pPr>
    </w:p>
    <w:p>
      <w:pPr>
        <w:pStyle w:val="BodyText"/>
        <w:spacing w:before="60"/>
        <w:ind w:left="727"/>
      </w:pPr>
      <w:r>
        <w:rPr/>
        <w:t>A Appendix </w:t>
      </w:r>
      <w:r>
        <w:rPr>
          <w:spacing w:val="-10"/>
        </w:rPr>
        <w:t>A</w:t>
      </w:r>
    </w:p>
    <w:p>
      <w:pPr>
        <w:pStyle w:val="BodyText"/>
        <w:spacing w:before="94"/>
      </w:pPr>
    </w:p>
    <w:p>
      <w:pPr>
        <w:pStyle w:val="BodyText"/>
        <w:ind w:left="3157"/>
      </w:pPr>
      <w:r>
        <w:rPr/>
        <w:t>Figure A1: Randomized inference </w:t>
      </w:r>
      <w:r>
        <w:rPr>
          <w:spacing w:val="-2"/>
        </w:rPr>
        <w:t>tests</w:t>
      </w:r>
    </w:p>
    <w:p>
      <w:pPr>
        <w:pStyle w:val="BodyText"/>
        <w:spacing w:before="195"/>
        <w:rPr>
          <w:sz w:val="20"/>
        </w:rPr>
      </w:pPr>
      <w:r>
        <w:rPr>
          <w:sz w:val="20"/>
        </w:rPr>
        <w:drawing>
          <wp:anchor distT="0" distB="0" distL="0" distR="0" allowOverlap="1" layoutInCell="1" locked="0" behindDoc="1" simplePos="0" relativeHeight="487611904">
            <wp:simplePos x="0" y="0"/>
            <wp:positionH relativeFrom="page">
              <wp:posOffset>2169162</wp:posOffset>
            </wp:positionH>
            <wp:positionV relativeFrom="paragraph">
              <wp:posOffset>285526</wp:posOffset>
            </wp:positionV>
            <wp:extent cx="4010439" cy="5715857"/>
            <wp:effectExtent l="0" t="0" r="0" b="0"/>
            <wp:wrapTopAndBottom/>
            <wp:docPr id="88" name="Image 88"/>
            <wp:cNvGraphicFramePr>
              <a:graphicFrameLocks/>
            </wp:cNvGraphicFramePr>
            <a:graphic>
              <a:graphicData uri="http://schemas.openxmlformats.org/drawingml/2006/picture">
                <pic:pic>
                  <pic:nvPicPr>
                    <pic:cNvPr id="88" name="Image 88"/>
                    <pic:cNvPicPr/>
                  </pic:nvPicPr>
                  <pic:blipFill>
                    <a:blip r:embed="rId271" cstate="print"/>
                    <a:stretch>
                      <a:fillRect/>
                    </a:stretch>
                  </pic:blipFill>
                  <pic:spPr>
                    <a:xfrm>
                      <a:off x="0" y="0"/>
                      <a:ext cx="4010439" cy="5715857"/>
                    </a:xfrm>
                    <a:prstGeom prst="rect">
                      <a:avLst/>
                    </a:prstGeom>
                  </pic:spPr>
                </pic:pic>
              </a:graphicData>
            </a:graphic>
          </wp:anchor>
        </w:drawing>
      </w:r>
    </w:p>
    <w:p>
      <w:pPr>
        <w:pStyle w:val="BodyText"/>
      </w:pPr>
    </w:p>
    <w:p>
      <w:pPr>
        <w:pStyle w:val="BodyText"/>
        <w:spacing w:before="12"/>
      </w:pPr>
    </w:p>
    <w:p>
      <w:pPr>
        <w:spacing w:before="0"/>
        <w:ind w:left="385" w:right="270" w:firstLine="0"/>
        <w:jc w:val="center"/>
        <w:rPr>
          <w:sz w:val="22"/>
        </w:rPr>
      </w:pPr>
      <w:r>
        <w:rPr>
          <w:i/>
          <w:sz w:val="22"/>
        </w:rPr>
        <w:t>Notes: </w:t>
      </w:r>
      <w:r>
        <w:rPr>
          <w:sz w:val="22"/>
        </w:rPr>
        <w:t>This figure presents results from randomized inference tests that assess whether our estimated treatment effects could</w:t>
      </w:r>
      <w:r>
        <w:rPr>
          <w:spacing w:val="-4"/>
          <w:sz w:val="22"/>
        </w:rPr>
        <w:t> </w:t>
      </w:r>
      <w:r>
        <w:rPr>
          <w:sz w:val="22"/>
        </w:rPr>
        <w:t>have</w:t>
      </w:r>
      <w:r>
        <w:rPr>
          <w:spacing w:val="-4"/>
          <w:sz w:val="22"/>
        </w:rPr>
        <w:t> </w:t>
      </w:r>
      <w:r>
        <w:rPr>
          <w:sz w:val="22"/>
        </w:rPr>
        <w:t>arisen</w:t>
      </w:r>
      <w:r>
        <w:rPr>
          <w:spacing w:val="-4"/>
          <w:sz w:val="22"/>
        </w:rPr>
        <w:t> </w:t>
      </w:r>
      <w:r>
        <w:rPr>
          <w:sz w:val="22"/>
        </w:rPr>
        <w:t>by</w:t>
      </w:r>
      <w:r>
        <w:rPr>
          <w:spacing w:val="-4"/>
          <w:sz w:val="22"/>
        </w:rPr>
        <w:t> </w:t>
      </w:r>
      <w:r>
        <w:rPr>
          <w:sz w:val="22"/>
        </w:rPr>
        <w:t>chance.</w:t>
      </w:r>
      <w:r>
        <w:rPr>
          <w:spacing w:val="-4"/>
          <w:sz w:val="22"/>
        </w:rPr>
        <w:t> </w:t>
      </w:r>
      <w:r>
        <w:rPr>
          <w:sz w:val="22"/>
        </w:rPr>
        <w:t>The</w:t>
      </w:r>
      <w:r>
        <w:rPr>
          <w:spacing w:val="-4"/>
          <w:sz w:val="22"/>
        </w:rPr>
        <w:t> </w:t>
      </w:r>
      <w:r>
        <w:rPr>
          <w:sz w:val="22"/>
        </w:rPr>
        <w:t>distribution</w:t>
      </w:r>
      <w:r>
        <w:rPr>
          <w:spacing w:val="-4"/>
          <w:sz w:val="22"/>
        </w:rPr>
        <w:t> </w:t>
      </w:r>
      <w:r>
        <w:rPr>
          <w:sz w:val="22"/>
        </w:rPr>
        <w:t>shows</w:t>
      </w:r>
      <w:r>
        <w:rPr>
          <w:spacing w:val="-4"/>
          <w:sz w:val="22"/>
        </w:rPr>
        <w:t> </w:t>
      </w:r>
      <w:r>
        <w:rPr>
          <w:sz w:val="22"/>
        </w:rPr>
        <w:t>placebo</w:t>
      </w:r>
      <w:r>
        <w:rPr>
          <w:spacing w:val="-4"/>
          <w:sz w:val="22"/>
        </w:rPr>
        <w:t> </w:t>
      </w:r>
      <w:r>
        <w:rPr>
          <w:sz w:val="22"/>
        </w:rPr>
        <w:t>effects</w:t>
      </w:r>
      <w:r>
        <w:rPr>
          <w:spacing w:val="-4"/>
          <w:sz w:val="22"/>
        </w:rPr>
        <w:t> </w:t>
      </w:r>
      <w:r>
        <w:rPr>
          <w:sz w:val="22"/>
        </w:rPr>
        <w:t>from</w:t>
      </w:r>
      <w:r>
        <w:rPr>
          <w:spacing w:val="-4"/>
          <w:sz w:val="22"/>
        </w:rPr>
        <w:t> </w:t>
      </w:r>
      <w:r>
        <w:rPr>
          <w:sz w:val="22"/>
        </w:rPr>
        <w:t>randomly</w:t>
      </w:r>
      <w:r>
        <w:rPr>
          <w:spacing w:val="-4"/>
          <w:sz w:val="22"/>
        </w:rPr>
        <w:t> </w:t>
      </w:r>
      <w:r>
        <w:rPr>
          <w:sz w:val="22"/>
        </w:rPr>
        <w:t>reassigning</w:t>
      </w:r>
      <w:r>
        <w:rPr>
          <w:spacing w:val="-4"/>
          <w:sz w:val="22"/>
        </w:rPr>
        <w:t> </w:t>
      </w:r>
      <w:r>
        <w:rPr>
          <w:sz w:val="22"/>
        </w:rPr>
        <w:t>treatment</w:t>
      </w:r>
      <w:r>
        <w:rPr>
          <w:spacing w:val="-4"/>
          <w:sz w:val="22"/>
        </w:rPr>
        <w:t> </w:t>
      </w:r>
      <w:r>
        <w:rPr>
          <w:sz w:val="22"/>
        </w:rPr>
        <w:t>status,</w:t>
      </w:r>
      <w:r>
        <w:rPr>
          <w:spacing w:val="-4"/>
          <w:sz w:val="22"/>
        </w:rPr>
        <w:t> </w:t>
      </w:r>
      <w:r>
        <w:rPr>
          <w:sz w:val="22"/>
        </w:rPr>
        <w:t>while</w:t>
      </w:r>
      <w:r>
        <w:rPr>
          <w:spacing w:val="-4"/>
          <w:sz w:val="22"/>
        </w:rPr>
        <w:t> </w:t>
      </w:r>
      <w:r>
        <w:rPr>
          <w:sz w:val="22"/>
        </w:rPr>
        <w:t>the vertical line shows our observed treatment effect.</w:t>
      </w:r>
    </w:p>
    <w:p>
      <w:pPr>
        <w:pStyle w:val="BodyText"/>
        <w:rPr>
          <w:sz w:val="22"/>
        </w:rPr>
      </w:pPr>
    </w:p>
    <w:p>
      <w:pPr>
        <w:spacing w:before="0"/>
        <w:ind w:left="1627" w:right="0" w:firstLine="0"/>
        <w:jc w:val="left"/>
        <w:rPr>
          <w:sz w:val="22"/>
        </w:rPr>
      </w:pPr>
      <w:r>
        <w:rPr>
          <w:sz w:val="22"/>
        </w:rPr>
        <w:t>Figure</w:t>
      </w:r>
      <w:r>
        <w:rPr>
          <w:spacing w:val="-10"/>
          <w:sz w:val="22"/>
        </w:rPr>
        <w:t> </w:t>
      </w:r>
      <w:r>
        <w:rPr>
          <w:sz w:val="22"/>
        </w:rPr>
        <w:t>A2:</w:t>
      </w:r>
      <w:r>
        <w:rPr>
          <w:spacing w:val="-7"/>
          <w:sz w:val="22"/>
        </w:rPr>
        <w:t> </w:t>
      </w:r>
      <w:r>
        <w:rPr>
          <w:sz w:val="22"/>
        </w:rPr>
        <w:t>Robustness</w:t>
      </w:r>
      <w:r>
        <w:rPr>
          <w:spacing w:val="-7"/>
          <w:sz w:val="22"/>
        </w:rPr>
        <w:t> </w:t>
      </w:r>
      <w:r>
        <w:rPr>
          <w:sz w:val="22"/>
        </w:rPr>
        <w:t>to</w:t>
      </w:r>
      <w:r>
        <w:rPr>
          <w:spacing w:val="-7"/>
          <w:sz w:val="22"/>
        </w:rPr>
        <w:t> </w:t>
      </w:r>
      <w:r>
        <w:rPr>
          <w:sz w:val="22"/>
        </w:rPr>
        <w:t>alternative</w:t>
      </w:r>
      <w:r>
        <w:rPr>
          <w:spacing w:val="-7"/>
          <w:sz w:val="22"/>
        </w:rPr>
        <w:t> </w:t>
      </w:r>
      <w:r>
        <w:rPr>
          <w:sz w:val="22"/>
        </w:rPr>
        <w:t>treatment</w:t>
      </w:r>
      <w:r>
        <w:rPr>
          <w:spacing w:val="-7"/>
          <w:sz w:val="22"/>
        </w:rPr>
        <w:t> </w:t>
      </w:r>
      <w:r>
        <w:rPr>
          <w:sz w:val="22"/>
        </w:rPr>
        <w:t>threshold</w:t>
      </w:r>
      <w:r>
        <w:rPr>
          <w:spacing w:val="-7"/>
          <w:sz w:val="22"/>
        </w:rPr>
        <w:t> </w:t>
      </w:r>
      <w:r>
        <w:rPr>
          <w:spacing w:val="-2"/>
          <w:sz w:val="22"/>
        </w:rPr>
        <w:t>definitions</w:t>
      </w:r>
    </w:p>
    <w:p>
      <w:pPr>
        <w:spacing w:after="0"/>
        <w:jc w:val="left"/>
        <w:rPr>
          <w:sz w:val="22"/>
        </w:rPr>
        <w:sectPr>
          <w:pgSz w:w="12240" w:h="15840"/>
          <w:pgMar w:header="0" w:footer="707" w:top="640" w:bottom="960" w:left="720" w:right="0"/>
        </w:sectPr>
      </w:pPr>
    </w:p>
    <w:p>
      <w:pPr>
        <w:spacing w:line="240" w:lineRule="auto"/>
        <w:ind w:left="836" w:right="0" w:firstLine="0"/>
        <w:rPr>
          <w:sz w:val="20"/>
        </w:rPr>
      </w:pPr>
      <w:r>
        <w:rPr>
          <w:sz w:val="20"/>
        </w:rPr>
        <w:drawing>
          <wp:inline distT="0" distB="0" distL="0" distR="0">
            <wp:extent cx="6296025" cy="2819400"/>
            <wp:effectExtent l="0" t="0" r="0" b="0"/>
            <wp:docPr id="89" name="Image 89"/>
            <wp:cNvGraphicFramePr>
              <a:graphicFrameLocks/>
            </wp:cNvGraphicFramePr>
            <a:graphic>
              <a:graphicData uri="http://schemas.openxmlformats.org/drawingml/2006/picture">
                <pic:pic>
                  <pic:nvPicPr>
                    <pic:cNvPr id="89" name="Image 89"/>
                    <pic:cNvPicPr/>
                  </pic:nvPicPr>
                  <pic:blipFill>
                    <a:blip r:embed="rId272" cstate="print"/>
                    <a:stretch>
                      <a:fillRect/>
                    </a:stretch>
                  </pic:blipFill>
                  <pic:spPr>
                    <a:xfrm>
                      <a:off x="0" y="0"/>
                      <a:ext cx="6296025" cy="2819400"/>
                    </a:xfrm>
                    <a:prstGeom prst="rect">
                      <a:avLst/>
                    </a:prstGeom>
                  </pic:spPr>
                </pic:pic>
              </a:graphicData>
            </a:graphic>
          </wp:inline>
        </w:drawing>
      </w:r>
      <w:r>
        <w:rPr>
          <w:sz w:val="20"/>
        </w:rPr>
      </w:r>
    </w:p>
    <w:p>
      <w:pPr>
        <w:spacing w:before="146"/>
        <w:ind w:left="265" w:right="150" w:firstLine="0"/>
        <w:jc w:val="center"/>
        <w:rPr>
          <w:sz w:val="22"/>
        </w:rPr>
      </w:pPr>
      <w:r>
        <w:rPr>
          <w:i/>
          <w:sz w:val="22"/>
        </w:rPr>
        <w:t>Notes: </w:t>
      </w:r>
      <w:r>
        <w:rPr>
          <w:sz w:val="22"/>
        </w:rPr>
        <w:t>This figure shows the sensitivity of our results to alternative definitions of treatment thresh olds. The estimated treatment</w:t>
      </w:r>
      <w:r>
        <w:rPr>
          <w:spacing w:val="-4"/>
          <w:sz w:val="22"/>
        </w:rPr>
        <w:t> </w:t>
      </w:r>
      <w:r>
        <w:rPr>
          <w:sz w:val="22"/>
        </w:rPr>
        <w:t>effects</w:t>
      </w:r>
      <w:r>
        <w:rPr>
          <w:spacing w:val="-4"/>
          <w:sz w:val="22"/>
        </w:rPr>
        <w:t> </w:t>
      </w:r>
      <w:r>
        <w:rPr>
          <w:sz w:val="22"/>
        </w:rPr>
        <w:t>remain</w:t>
      </w:r>
      <w:r>
        <w:rPr>
          <w:spacing w:val="-4"/>
          <w:sz w:val="22"/>
        </w:rPr>
        <w:t> </w:t>
      </w:r>
      <w:r>
        <w:rPr>
          <w:sz w:val="22"/>
        </w:rPr>
        <w:t>positive</w:t>
      </w:r>
      <w:r>
        <w:rPr>
          <w:spacing w:val="-4"/>
          <w:sz w:val="22"/>
        </w:rPr>
        <w:t> </w:t>
      </w:r>
      <w:r>
        <w:rPr>
          <w:sz w:val="22"/>
        </w:rPr>
        <w:t>and</w:t>
      </w:r>
      <w:r>
        <w:rPr>
          <w:spacing w:val="-4"/>
          <w:sz w:val="22"/>
        </w:rPr>
        <w:t> </w:t>
      </w:r>
      <w:r>
        <w:rPr>
          <w:sz w:val="22"/>
        </w:rPr>
        <w:t>statistically</w:t>
      </w:r>
      <w:r>
        <w:rPr>
          <w:spacing w:val="-4"/>
          <w:sz w:val="22"/>
        </w:rPr>
        <w:t> </w:t>
      </w:r>
      <w:r>
        <w:rPr>
          <w:sz w:val="22"/>
        </w:rPr>
        <w:t>significant</w:t>
      </w:r>
      <w:r>
        <w:rPr>
          <w:spacing w:val="-4"/>
          <w:sz w:val="22"/>
        </w:rPr>
        <w:t> </w:t>
      </w:r>
      <w:r>
        <w:rPr>
          <w:sz w:val="22"/>
        </w:rPr>
        <w:t>across</w:t>
      </w:r>
      <w:r>
        <w:rPr>
          <w:spacing w:val="-4"/>
          <w:sz w:val="22"/>
        </w:rPr>
        <w:t> </w:t>
      </w:r>
      <w:r>
        <w:rPr>
          <w:sz w:val="22"/>
        </w:rPr>
        <w:t>a</w:t>
      </w:r>
      <w:r>
        <w:rPr>
          <w:spacing w:val="-4"/>
          <w:sz w:val="22"/>
        </w:rPr>
        <w:t> </w:t>
      </w:r>
      <w:r>
        <w:rPr>
          <w:sz w:val="22"/>
        </w:rPr>
        <w:t>range</w:t>
      </w:r>
      <w:r>
        <w:rPr>
          <w:spacing w:val="-4"/>
          <w:sz w:val="22"/>
        </w:rPr>
        <w:t> </w:t>
      </w:r>
      <w:r>
        <w:rPr>
          <w:sz w:val="22"/>
        </w:rPr>
        <w:t>of</w:t>
      </w:r>
      <w:r>
        <w:rPr>
          <w:spacing w:val="-4"/>
          <w:sz w:val="22"/>
        </w:rPr>
        <w:t> </w:t>
      </w:r>
      <w:r>
        <w:rPr>
          <w:sz w:val="22"/>
        </w:rPr>
        <w:t>threshold</w:t>
      </w:r>
      <w:r>
        <w:rPr>
          <w:spacing w:val="-4"/>
          <w:sz w:val="22"/>
        </w:rPr>
        <w:t> </w:t>
      </w:r>
      <w:r>
        <w:rPr>
          <w:sz w:val="22"/>
        </w:rPr>
        <w:t>definitions,</w:t>
      </w:r>
      <w:r>
        <w:rPr>
          <w:spacing w:val="-4"/>
          <w:sz w:val="22"/>
        </w:rPr>
        <w:t> </w:t>
      </w:r>
      <w:r>
        <w:rPr>
          <w:sz w:val="22"/>
        </w:rPr>
        <w:t>indicating</w:t>
      </w:r>
      <w:r>
        <w:rPr>
          <w:spacing w:val="-4"/>
          <w:sz w:val="22"/>
        </w:rPr>
        <w:t> </w:t>
      </w:r>
      <w:r>
        <w:rPr>
          <w:sz w:val="22"/>
        </w:rPr>
        <w:t>robustness</w:t>
      </w:r>
      <w:r>
        <w:rPr>
          <w:spacing w:val="-4"/>
          <w:sz w:val="22"/>
        </w:rPr>
        <w:t> </w:t>
      </w:r>
      <w:r>
        <w:rPr>
          <w:sz w:val="22"/>
        </w:rPr>
        <w:t>to our categorization choices.</w:t>
      </w:r>
    </w:p>
    <w:p>
      <w:pPr>
        <w:spacing w:after="0"/>
        <w:jc w:val="center"/>
        <w:rPr>
          <w:sz w:val="22"/>
        </w:rPr>
        <w:sectPr>
          <w:pgSz w:w="12240" w:h="15840"/>
          <w:pgMar w:header="0" w:footer="707" w:top="920" w:bottom="960" w:left="720" w:right="0"/>
        </w:sectPr>
      </w:pPr>
    </w:p>
    <w:p>
      <w:pPr>
        <w:pStyle w:val="Heading3"/>
        <w:ind w:right="1167"/>
      </w:pPr>
      <w:bookmarkStart w:name="The Impact of TCJA 2017 on the Trend in " w:id="122"/>
      <w:bookmarkEnd w:id="122"/>
      <w:r>
        <w:rPr>
          <w:b w:val="0"/>
        </w:rPr>
      </w:r>
      <w:bookmarkStart w:name="h.w3d0za4actvj" w:id="123"/>
      <w:bookmarkEnd w:id="123"/>
      <w:r>
        <w:rPr>
          <w:b w:val="0"/>
        </w:rPr>
      </w:r>
      <w:r>
        <w:rPr/>
        <w:t>The</w:t>
      </w:r>
      <w:r>
        <w:rPr>
          <w:spacing w:val="-8"/>
        </w:rPr>
        <w:t> </w:t>
      </w:r>
      <w:r>
        <w:rPr/>
        <w:t>Impact</w:t>
      </w:r>
      <w:r>
        <w:rPr>
          <w:spacing w:val="-6"/>
        </w:rPr>
        <w:t> </w:t>
      </w:r>
      <w:r>
        <w:rPr/>
        <w:t>of</w:t>
      </w:r>
      <w:r>
        <w:rPr>
          <w:spacing w:val="-6"/>
        </w:rPr>
        <w:t> </w:t>
      </w:r>
      <w:r>
        <w:rPr/>
        <w:t>TCJA</w:t>
      </w:r>
      <w:r>
        <w:rPr>
          <w:spacing w:val="-6"/>
        </w:rPr>
        <w:t> </w:t>
      </w:r>
      <w:r>
        <w:rPr/>
        <w:t>2017</w:t>
      </w:r>
      <w:r>
        <w:rPr>
          <w:spacing w:val="-6"/>
        </w:rPr>
        <w:t> </w:t>
      </w:r>
      <w:r>
        <w:rPr/>
        <w:t>on</w:t>
      </w:r>
      <w:r>
        <w:rPr>
          <w:spacing w:val="-6"/>
        </w:rPr>
        <w:t> </w:t>
      </w:r>
      <w:r>
        <w:rPr/>
        <w:t>the</w:t>
      </w:r>
      <w:r>
        <w:rPr>
          <w:spacing w:val="-6"/>
        </w:rPr>
        <w:t> </w:t>
      </w:r>
      <w:r>
        <w:rPr/>
        <w:t>Trend</w:t>
      </w:r>
      <w:r>
        <w:rPr>
          <w:spacing w:val="-6"/>
        </w:rPr>
        <w:t> </w:t>
      </w:r>
      <w:r>
        <w:rPr/>
        <w:t>in</w:t>
      </w:r>
      <w:r>
        <w:rPr>
          <w:spacing w:val="-6"/>
        </w:rPr>
        <w:t> </w:t>
      </w:r>
      <w:r>
        <w:rPr/>
        <w:t>Cash</w:t>
      </w:r>
      <w:r>
        <w:rPr>
          <w:spacing w:val="-6"/>
        </w:rPr>
        <w:t> </w:t>
      </w:r>
      <w:r>
        <w:rPr>
          <w:spacing w:val="-4"/>
        </w:rPr>
        <w:t>ETRs</w:t>
      </w:r>
    </w:p>
    <w:p>
      <w:pPr>
        <w:pStyle w:val="BodyText"/>
        <w:spacing w:before="215"/>
        <w:ind w:right="1118"/>
        <w:jc w:val="center"/>
      </w:pPr>
      <w:bookmarkStart w:name=" Liang Shao and Richard Chen  " w:id="124"/>
      <w:bookmarkEnd w:id="124"/>
      <w:r>
        <w:rPr/>
      </w:r>
      <w:r>
        <w:rPr/>
        <w:t>Liang Shao and Richard </w:t>
      </w:r>
      <w:r>
        <w:rPr>
          <w:spacing w:val="-4"/>
        </w:rPr>
        <w:t>Chen</w:t>
      </w:r>
    </w:p>
    <w:p>
      <w:pPr>
        <w:pStyle w:val="BodyText"/>
      </w:pPr>
    </w:p>
    <w:p>
      <w:pPr>
        <w:pStyle w:val="BodyText"/>
        <w:spacing w:before="61"/>
      </w:pPr>
    </w:p>
    <w:p>
      <w:pPr>
        <w:pStyle w:val="Heading4"/>
        <w:ind w:left="720"/>
      </w:pPr>
      <w:r>
        <w:rPr>
          <w:spacing w:val="-2"/>
        </w:rPr>
        <w:t>Introduction</w:t>
      </w:r>
    </w:p>
    <w:p>
      <w:pPr>
        <w:pStyle w:val="BodyText"/>
        <w:spacing w:before="226"/>
        <w:ind w:left="720" w:right="1440"/>
        <w:jc w:val="both"/>
      </w:pPr>
      <w:r>
        <w:rPr/>
        <w:t>The literature has documented substantial interest in the declining trend of effective tax </w:t>
      </w:r>
      <w:r>
        <w:rPr/>
        <w:t>rates (ETRs) among U.S. corporations over the three decades leading up to 2017 (Dyreng, Hanlon, Maydew, and Thornock, 2017).</w:t>
      </w:r>
      <w:r>
        <w:rPr>
          <w:vertAlign w:val="superscript"/>
        </w:rPr>
        <w:t>1</w:t>
      </w:r>
      <w:r>
        <w:rPr>
          <w:vertAlign w:val="baseline"/>
        </w:rPr>
        <w:t> Politicians, media, and academia have largely attributed tax avoidance trends to multinational corporations (MNCs) shifting income to</w:t>
      </w:r>
      <w:r>
        <w:rPr>
          <w:spacing w:val="-3"/>
          <w:vertAlign w:val="baseline"/>
        </w:rPr>
        <w:t> </w:t>
      </w:r>
      <w:r>
        <w:rPr>
          <w:vertAlign w:val="baseline"/>
        </w:rPr>
        <w:t>low-tax</w:t>
      </w:r>
      <w:r>
        <w:rPr>
          <w:spacing w:val="-3"/>
          <w:vertAlign w:val="baseline"/>
        </w:rPr>
        <w:t> </w:t>
      </w:r>
      <w:r>
        <w:rPr>
          <w:vertAlign w:val="baseline"/>
        </w:rPr>
        <w:t>jurisdictions. The Tax Cuts and Jobs Act (TCJA) of 2017 was designed to address this by reducing the U.S. corporate tax rate from 35% to 21% and implementing a territorial tax system to diminish the incentives for shifting profits overseas.</w:t>
      </w:r>
    </w:p>
    <w:p>
      <w:pPr>
        <w:pStyle w:val="BodyText"/>
        <w:spacing w:before="152"/>
        <w:ind w:left="720" w:right="1439"/>
        <w:jc w:val="both"/>
      </w:pPr>
      <w:r>
        <w:rPr/>
        <w:t>However, recent research suggests that multinational status per se</w:t>
      </w:r>
      <w:r>
        <w:rPr>
          <w:spacing w:val="-3"/>
        </w:rPr>
        <w:t> </w:t>
      </w:r>
      <w:r>
        <w:rPr/>
        <w:t>may</w:t>
      </w:r>
      <w:r>
        <w:rPr>
          <w:spacing w:val="-3"/>
        </w:rPr>
        <w:t> </w:t>
      </w:r>
      <w:r>
        <w:rPr/>
        <w:t>not</w:t>
      </w:r>
      <w:r>
        <w:rPr>
          <w:spacing w:val="-3"/>
        </w:rPr>
        <w:t> </w:t>
      </w:r>
      <w:r>
        <w:rPr/>
        <w:t>be</w:t>
      </w:r>
      <w:r>
        <w:rPr>
          <w:spacing w:val="-3"/>
        </w:rPr>
        <w:t> </w:t>
      </w:r>
      <w:r>
        <w:rPr/>
        <w:t>the</w:t>
      </w:r>
      <w:r>
        <w:rPr>
          <w:spacing w:val="-3"/>
        </w:rPr>
        <w:t> </w:t>
      </w:r>
      <w:r>
        <w:rPr/>
        <w:t>primary</w:t>
      </w:r>
      <w:r>
        <w:rPr>
          <w:spacing w:val="-3"/>
        </w:rPr>
        <w:t> </w:t>
      </w:r>
      <w:r>
        <w:rPr/>
        <w:t>driver of</w:t>
      </w:r>
      <w:r>
        <w:rPr>
          <w:spacing w:val="40"/>
        </w:rPr>
        <w:t> </w:t>
      </w:r>
      <w:r>
        <w:rPr/>
        <w:t>the long-term decline in U.S. corporate cash ETRs. Instead, firm size plays a more central role.</w:t>
      </w:r>
      <w:r>
        <w:rPr>
          <w:spacing w:val="80"/>
        </w:rPr>
        <w:t> </w:t>
      </w:r>
      <w:r>
        <w:rPr/>
        <w:t>For example, Lu, Shao, and Zhang (2023) show that multinational corporations, on average, pay</w:t>
      </w:r>
      <w:r>
        <w:rPr>
          <w:spacing w:val="40"/>
        </w:rPr>
        <w:t> </w:t>
      </w:r>
      <w:r>
        <w:rPr/>
        <w:t>more corporate tax</w:t>
      </w:r>
      <w:r>
        <w:rPr>
          <w:spacing w:val="-3"/>
        </w:rPr>
        <w:t> </w:t>
      </w:r>
      <w:r>
        <w:rPr/>
        <w:t>than</w:t>
      </w:r>
      <w:r>
        <w:rPr>
          <w:spacing w:val="-3"/>
        </w:rPr>
        <w:t> </w:t>
      </w:r>
      <w:r>
        <w:rPr/>
        <w:t>domestic</w:t>
      </w:r>
      <w:r>
        <w:rPr>
          <w:spacing w:val="-3"/>
        </w:rPr>
        <w:t> </w:t>
      </w:r>
      <w:r>
        <w:rPr/>
        <w:t>firms,</w:t>
      </w:r>
      <w:r>
        <w:rPr>
          <w:spacing w:val="-3"/>
        </w:rPr>
        <w:t> </w:t>
      </w:r>
      <w:r>
        <w:rPr/>
        <w:t>and</w:t>
      </w:r>
      <w:r>
        <w:rPr>
          <w:spacing w:val="-3"/>
        </w:rPr>
        <w:t> </w:t>
      </w:r>
      <w:r>
        <w:rPr/>
        <w:t>that</w:t>
      </w:r>
      <w:r>
        <w:rPr>
          <w:spacing w:val="-3"/>
        </w:rPr>
        <w:t> </w:t>
      </w:r>
      <w:r>
        <w:rPr/>
        <w:t>foreign</w:t>
      </w:r>
      <w:r>
        <w:rPr>
          <w:spacing w:val="-3"/>
        </w:rPr>
        <w:t> </w:t>
      </w:r>
      <w:r>
        <w:rPr/>
        <w:t>income</w:t>
      </w:r>
      <w:r>
        <w:rPr>
          <w:spacing w:val="-3"/>
        </w:rPr>
        <w:t> </w:t>
      </w:r>
      <w:r>
        <w:rPr/>
        <w:t>itself</w:t>
      </w:r>
      <w:r>
        <w:rPr>
          <w:spacing w:val="-3"/>
        </w:rPr>
        <w:t> </w:t>
      </w:r>
      <w:r>
        <w:rPr/>
        <w:t>is</w:t>
      </w:r>
      <w:r>
        <w:rPr>
          <w:spacing w:val="-3"/>
        </w:rPr>
        <w:t> </w:t>
      </w:r>
      <w:r>
        <w:rPr/>
        <w:t>positively associated with</w:t>
      </w:r>
      <w:r>
        <w:rPr>
          <w:spacing w:val="40"/>
        </w:rPr>
        <w:t> </w:t>
      </w:r>
      <w:r>
        <w:rPr/>
        <w:t>tax payments.</w:t>
      </w:r>
      <w:r>
        <w:rPr>
          <w:spacing w:val="-2"/>
        </w:rPr>
        <w:t> </w:t>
      </w:r>
      <w:r>
        <w:rPr/>
        <w:t>Their</w:t>
      </w:r>
      <w:r>
        <w:rPr>
          <w:spacing w:val="-2"/>
        </w:rPr>
        <w:t> </w:t>
      </w:r>
      <w:r>
        <w:rPr/>
        <w:t>evidence</w:t>
      </w:r>
      <w:r>
        <w:rPr>
          <w:spacing w:val="-2"/>
        </w:rPr>
        <w:t> </w:t>
      </w:r>
      <w:r>
        <w:rPr/>
        <w:t>indicates</w:t>
      </w:r>
      <w:r>
        <w:rPr>
          <w:spacing w:val="-2"/>
        </w:rPr>
        <w:t> </w:t>
      </w:r>
      <w:r>
        <w:rPr/>
        <w:t>that</w:t>
      </w:r>
      <w:r>
        <w:rPr>
          <w:spacing w:val="-2"/>
        </w:rPr>
        <w:t> </w:t>
      </w:r>
      <w:r>
        <w:rPr/>
        <w:t>the</w:t>
      </w:r>
      <w:r>
        <w:rPr>
          <w:spacing w:val="-2"/>
        </w:rPr>
        <w:t> </w:t>
      </w:r>
      <w:r>
        <w:rPr/>
        <w:t>downward</w:t>
      </w:r>
      <w:r>
        <w:rPr>
          <w:spacing w:val="-2"/>
        </w:rPr>
        <w:t> </w:t>
      </w:r>
      <w:r>
        <w:rPr/>
        <w:t>trend</w:t>
      </w:r>
      <w:r>
        <w:rPr>
          <w:spacing w:val="-2"/>
        </w:rPr>
        <w:t> </w:t>
      </w:r>
      <w:r>
        <w:rPr/>
        <w:t>in</w:t>
      </w:r>
      <w:r>
        <w:rPr>
          <w:spacing w:val="-2"/>
        </w:rPr>
        <w:t> </w:t>
      </w:r>
      <w:r>
        <w:rPr/>
        <w:t>cash</w:t>
      </w:r>
      <w:r>
        <w:rPr>
          <w:spacing w:val="-2"/>
        </w:rPr>
        <w:t> </w:t>
      </w:r>
      <w:r>
        <w:rPr/>
        <w:t>ETRs</w:t>
      </w:r>
      <w:r>
        <w:rPr>
          <w:spacing w:val="-2"/>
        </w:rPr>
        <w:t> </w:t>
      </w:r>
      <w:r>
        <w:rPr/>
        <w:t>is driven primarily</w:t>
      </w:r>
      <w:r>
        <w:rPr>
          <w:spacing w:val="40"/>
        </w:rPr>
        <w:t> </w:t>
      </w:r>
      <w:r>
        <w:rPr/>
        <w:t>by large corporations, particularly large domestic firms, which have increasingly paid less tax over</w:t>
      </w:r>
      <w:r>
        <w:rPr>
          <w:spacing w:val="40"/>
        </w:rPr>
        <w:t> </w:t>
      </w:r>
      <w:r>
        <w:rPr/>
        <w:t>time.</w:t>
      </w:r>
    </w:p>
    <w:p>
      <w:pPr>
        <w:pStyle w:val="BodyText"/>
        <w:spacing w:before="150"/>
        <w:ind w:left="720" w:right="1439"/>
        <w:jc w:val="both"/>
      </w:pPr>
      <w:r>
        <w:rPr/>
        <w:t>This distinction carries significant policy implications, as the TCJA primarily targets </w:t>
      </w:r>
      <w:r>
        <w:rPr/>
        <w:t>tax avoidance strategies linked to foreign income rather than those inherent to firm size. Consequently,</w:t>
      </w:r>
      <w:r>
        <w:rPr>
          <w:spacing w:val="40"/>
        </w:rPr>
        <w:t> </w:t>
      </w:r>
      <w:r>
        <w:rPr/>
        <w:t>this specific focus may render the reform less effective</w:t>
      </w:r>
      <w:r>
        <w:rPr>
          <w:spacing w:val="-3"/>
        </w:rPr>
        <w:t> </w:t>
      </w:r>
      <w:r>
        <w:rPr/>
        <w:t>at</w:t>
      </w:r>
      <w:r>
        <w:rPr>
          <w:spacing w:val="-3"/>
        </w:rPr>
        <w:t> </w:t>
      </w:r>
      <w:r>
        <w:rPr/>
        <w:t>curbing</w:t>
      </w:r>
      <w:r>
        <w:rPr>
          <w:spacing w:val="-3"/>
        </w:rPr>
        <w:t> </w:t>
      </w:r>
      <w:r>
        <w:rPr/>
        <w:t>the</w:t>
      </w:r>
      <w:r>
        <w:rPr>
          <w:spacing w:val="-3"/>
        </w:rPr>
        <w:t> </w:t>
      </w:r>
      <w:r>
        <w:rPr/>
        <w:t>aggressive tax avoidance</w:t>
      </w:r>
      <w:r>
        <w:rPr>
          <w:spacing w:val="40"/>
        </w:rPr>
        <w:t> </w:t>
      </w:r>
      <w:r>
        <w:rPr/>
        <w:t>practiced by large</w:t>
      </w:r>
      <w:r>
        <w:rPr>
          <w:spacing w:val="-5"/>
        </w:rPr>
        <w:t> </w:t>
      </w:r>
      <w:r>
        <w:rPr/>
        <w:t>domestic</w:t>
      </w:r>
      <w:r>
        <w:rPr>
          <w:spacing w:val="-5"/>
        </w:rPr>
        <w:t> </w:t>
      </w:r>
      <w:r>
        <w:rPr/>
        <w:t>corporations.</w:t>
      </w:r>
      <w:r>
        <w:rPr>
          <w:spacing w:val="-5"/>
        </w:rPr>
        <w:t> </w:t>
      </w:r>
      <w:r>
        <w:rPr/>
        <w:t>This</w:t>
      </w:r>
      <w:r>
        <w:rPr>
          <w:spacing w:val="-5"/>
        </w:rPr>
        <w:t> </w:t>
      </w:r>
      <w:r>
        <w:rPr/>
        <w:t>paper</w:t>
      </w:r>
      <w:r>
        <w:rPr>
          <w:spacing w:val="-5"/>
        </w:rPr>
        <w:t> </w:t>
      </w:r>
      <w:r>
        <w:rPr/>
        <w:t>evaluates</w:t>
      </w:r>
      <w:r>
        <w:rPr>
          <w:spacing w:val="-5"/>
        </w:rPr>
        <w:t> </w:t>
      </w:r>
      <w:r>
        <w:rPr/>
        <w:t>the</w:t>
      </w:r>
      <w:r>
        <w:rPr>
          <w:spacing w:val="-5"/>
        </w:rPr>
        <w:t> </w:t>
      </w:r>
      <w:r>
        <w:rPr/>
        <w:t>TCJA’s</w:t>
      </w:r>
      <w:r>
        <w:rPr>
          <w:spacing w:val="-5"/>
        </w:rPr>
        <w:t> </w:t>
      </w:r>
      <w:r>
        <w:rPr/>
        <w:t>impact on longitudinal</w:t>
      </w:r>
      <w:r>
        <w:rPr>
          <w:spacing w:val="40"/>
        </w:rPr>
        <w:t> </w:t>
      </w:r>
      <w:r>
        <w:rPr/>
        <w:t>trends in ETRs.</w:t>
      </w:r>
    </w:p>
    <w:p>
      <w:pPr>
        <w:pStyle w:val="Heading4"/>
        <w:spacing w:before="150"/>
        <w:ind w:left="720"/>
        <w:jc w:val="both"/>
      </w:pPr>
      <w:r>
        <w:rPr/>
        <w:t>Literature</w:t>
      </w:r>
      <w:r>
        <w:rPr>
          <w:spacing w:val="-5"/>
        </w:rPr>
        <w:t> </w:t>
      </w:r>
      <w:r>
        <w:rPr>
          <w:spacing w:val="-2"/>
        </w:rPr>
        <w:t>Overview</w:t>
      </w:r>
    </w:p>
    <w:p>
      <w:pPr>
        <w:pStyle w:val="BodyText"/>
        <w:spacing w:before="263"/>
        <w:ind w:left="720" w:right="1443"/>
        <w:jc w:val="both"/>
      </w:pPr>
      <w:r>
        <w:rPr/>
        <w:t>Since</w:t>
      </w:r>
      <w:r>
        <w:rPr>
          <w:spacing w:val="27"/>
        </w:rPr>
        <w:t> </w:t>
      </w:r>
      <w:r>
        <w:rPr/>
        <w:t>the</w:t>
      </w:r>
      <w:r>
        <w:rPr>
          <w:spacing w:val="27"/>
        </w:rPr>
        <w:t> </w:t>
      </w:r>
      <w:r>
        <w:rPr/>
        <w:t>tax</w:t>
      </w:r>
      <w:r>
        <w:rPr>
          <w:spacing w:val="27"/>
        </w:rPr>
        <w:t> </w:t>
      </w:r>
      <w:r>
        <w:rPr/>
        <w:t>rate overhaul in 1986, the average ETR among US corporations declined </w:t>
      </w:r>
      <w:r>
        <w:rPr/>
        <w:t>steadily up</w:t>
      </w:r>
      <w:r>
        <w:rPr>
          <w:spacing w:val="80"/>
        </w:rPr>
        <w:t> </w:t>
      </w:r>
      <w:r>
        <w:rPr/>
        <w:t>to 2017. We graph the annual</w:t>
      </w:r>
      <w:r>
        <w:rPr>
          <w:spacing w:val="-3"/>
        </w:rPr>
        <w:t> </w:t>
      </w:r>
      <w:r>
        <w:rPr/>
        <w:t>average</w:t>
      </w:r>
      <w:r>
        <w:rPr>
          <w:spacing w:val="-3"/>
        </w:rPr>
        <w:t> </w:t>
      </w:r>
      <w:r>
        <w:rPr/>
        <w:t>ETR</w:t>
      </w:r>
      <w:r>
        <w:rPr>
          <w:spacing w:val="-3"/>
        </w:rPr>
        <w:t> </w:t>
      </w:r>
      <w:r>
        <w:rPr/>
        <w:t>in</w:t>
      </w:r>
      <w:r>
        <w:rPr>
          <w:spacing w:val="-3"/>
        </w:rPr>
        <w:t> </w:t>
      </w:r>
      <w:r>
        <w:rPr/>
        <w:t>Figure</w:t>
      </w:r>
      <w:r>
        <w:rPr>
          <w:spacing w:val="-3"/>
        </w:rPr>
        <w:t> </w:t>
      </w:r>
      <w:r>
        <w:rPr/>
        <w:t>1.</w:t>
      </w:r>
      <w:r>
        <w:rPr>
          <w:spacing w:val="-3"/>
        </w:rPr>
        <w:t> </w:t>
      </w:r>
      <w:r>
        <w:rPr/>
        <w:t>There</w:t>
      </w:r>
      <w:r>
        <w:rPr>
          <w:spacing w:val="-3"/>
        </w:rPr>
        <w:t> </w:t>
      </w:r>
      <w:r>
        <w:rPr/>
        <w:t>is</w:t>
      </w:r>
      <w:r>
        <w:rPr>
          <w:spacing w:val="-3"/>
        </w:rPr>
        <w:t> </w:t>
      </w:r>
      <w:r>
        <w:rPr/>
        <w:t>an</w:t>
      </w:r>
      <w:r>
        <w:rPr>
          <w:spacing w:val="-3"/>
        </w:rPr>
        <w:t> </w:t>
      </w:r>
      <w:r>
        <w:rPr/>
        <w:t>obvious</w:t>
      </w:r>
      <w:r>
        <w:rPr>
          <w:spacing w:val="-3"/>
        </w:rPr>
        <w:t> </w:t>
      </w:r>
      <w:r>
        <w:rPr/>
        <w:t>downward</w:t>
      </w:r>
      <w:r>
        <w:rPr>
          <w:spacing w:val="-3"/>
        </w:rPr>
        <w:t> </w:t>
      </w:r>
      <w:r>
        <w:rPr/>
        <w:t>trend in</w:t>
      </w:r>
      <w:r>
        <w:rPr>
          <w:spacing w:val="40"/>
        </w:rPr>
        <w:t> </w:t>
      </w:r>
      <w:r>
        <w:rPr/>
        <w:t>ETR over the three decades between 1988 and 2017. The average cash ETR dropped from 34.47%</w:t>
      </w:r>
      <w:r>
        <w:rPr>
          <w:spacing w:val="40"/>
        </w:rPr>
        <w:t> </w:t>
      </w:r>
      <w:r>
        <w:rPr/>
        <w:t>in 1988 to 27.27% in 2017, and the average federal tax expense ETR dropped from 24.68% in</w:t>
      </w:r>
      <w:r>
        <w:rPr>
          <w:spacing w:val="40"/>
        </w:rPr>
        <w:t> </w:t>
      </w:r>
      <w:r>
        <w:rPr/>
        <w:t>1988 to 20.11% in 2017.</w:t>
      </w:r>
    </w:p>
    <w:p>
      <w:pPr>
        <w:pStyle w:val="BodyText"/>
        <w:spacing w:before="97"/>
      </w:pPr>
    </w:p>
    <w:p>
      <w:pPr>
        <w:pStyle w:val="BodyText"/>
        <w:ind w:left="720"/>
        <w:jc w:val="both"/>
      </w:pPr>
      <w:r>
        <w:rPr>
          <w:vertAlign w:val="superscript"/>
        </w:rPr>
        <w:t>1</w:t>
      </w:r>
      <w:r>
        <w:rPr>
          <w:spacing w:val="-2"/>
          <w:vertAlign w:val="baseline"/>
        </w:rPr>
        <w:t> </w:t>
      </w:r>
      <w:r>
        <w:rPr>
          <w:vertAlign w:val="baseline"/>
        </w:rPr>
        <w:t>ETR is</w:t>
      </w:r>
      <w:r>
        <w:rPr>
          <w:spacing w:val="-1"/>
          <w:vertAlign w:val="baseline"/>
        </w:rPr>
        <w:t> </w:t>
      </w:r>
      <w:r>
        <w:rPr>
          <w:vertAlign w:val="baseline"/>
        </w:rPr>
        <w:t>defined as</w:t>
      </w:r>
      <w:r>
        <w:rPr>
          <w:spacing w:val="-1"/>
          <w:vertAlign w:val="baseline"/>
        </w:rPr>
        <w:t> </w:t>
      </w:r>
      <w:r>
        <w:rPr>
          <w:vertAlign w:val="baseline"/>
        </w:rPr>
        <w:t>the ratio</w:t>
      </w:r>
      <w:r>
        <w:rPr>
          <w:spacing w:val="-1"/>
          <w:vertAlign w:val="baseline"/>
        </w:rPr>
        <w:t> </w:t>
      </w:r>
      <w:r>
        <w:rPr>
          <w:vertAlign w:val="baseline"/>
        </w:rPr>
        <w:t>of cash</w:t>
      </w:r>
      <w:r>
        <w:rPr>
          <w:spacing w:val="-1"/>
          <w:vertAlign w:val="baseline"/>
        </w:rPr>
        <w:t> </w:t>
      </w:r>
      <w:r>
        <w:rPr>
          <w:vertAlign w:val="baseline"/>
        </w:rPr>
        <w:t>taxes paid</w:t>
      </w:r>
      <w:r>
        <w:rPr>
          <w:spacing w:val="-1"/>
          <w:vertAlign w:val="baseline"/>
        </w:rPr>
        <w:t> </w:t>
      </w:r>
      <w:r>
        <w:rPr>
          <w:vertAlign w:val="baseline"/>
        </w:rPr>
        <w:t>over pretax accounting</w:t>
      </w:r>
      <w:r>
        <w:rPr>
          <w:spacing w:val="-1"/>
          <w:vertAlign w:val="baseline"/>
        </w:rPr>
        <w:t> </w:t>
      </w:r>
      <w:r>
        <w:rPr>
          <w:spacing w:val="-2"/>
          <w:vertAlign w:val="baseline"/>
        </w:rPr>
        <w:t>income.</w:t>
      </w:r>
    </w:p>
    <w:p>
      <w:pPr>
        <w:pStyle w:val="BodyText"/>
        <w:spacing w:after="0"/>
        <w:jc w:val="both"/>
        <w:sectPr>
          <w:footerReference w:type="default" r:id="rId273"/>
          <w:pgSz w:w="12240" w:h="15840"/>
          <w:pgMar w:header="0" w:footer="776" w:top="640" w:bottom="960" w:left="720" w:right="0"/>
        </w:sectPr>
      </w:pPr>
    </w:p>
    <w:p>
      <w:pPr>
        <w:spacing w:line="240" w:lineRule="auto"/>
        <w:ind w:left="1832" w:right="0" w:firstLine="0"/>
        <w:rPr>
          <w:sz w:val="20"/>
        </w:rPr>
      </w:pPr>
      <w:r>
        <w:rPr>
          <w:sz w:val="20"/>
        </w:rPr>
        <w:drawing>
          <wp:inline distT="0" distB="0" distL="0" distR="0">
            <wp:extent cx="4289116" cy="2585180"/>
            <wp:effectExtent l="0" t="0" r="0" b="0"/>
            <wp:docPr id="92" name="Image 92"/>
            <wp:cNvGraphicFramePr>
              <a:graphicFrameLocks/>
            </wp:cNvGraphicFramePr>
            <a:graphic>
              <a:graphicData uri="http://schemas.openxmlformats.org/drawingml/2006/picture">
                <pic:pic>
                  <pic:nvPicPr>
                    <pic:cNvPr id="92" name="Image 92"/>
                    <pic:cNvPicPr/>
                  </pic:nvPicPr>
                  <pic:blipFill>
                    <a:blip r:embed="rId275" cstate="print"/>
                    <a:stretch>
                      <a:fillRect/>
                    </a:stretch>
                  </pic:blipFill>
                  <pic:spPr>
                    <a:xfrm>
                      <a:off x="0" y="0"/>
                      <a:ext cx="4289116" cy="2585180"/>
                    </a:xfrm>
                    <a:prstGeom prst="rect">
                      <a:avLst/>
                    </a:prstGeom>
                  </pic:spPr>
                </pic:pic>
              </a:graphicData>
            </a:graphic>
          </wp:inline>
        </w:drawing>
      </w:r>
      <w:r>
        <w:rPr>
          <w:sz w:val="20"/>
        </w:rPr>
      </w:r>
    </w:p>
    <w:p>
      <w:pPr>
        <w:pStyle w:val="BodyText"/>
        <w:spacing w:before="135"/>
      </w:pPr>
    </w:p>
    <w:p>
      <w:pPr>
        <w:pStyle w:val="BodyText"/>
        <w:ind w:left="712" w:right="1364" w:firstLine="15"/>
        <w:jc w:val="both"/>
      </w:pPr>
      <w:r>
        <w:rPr/>
        <w:t>While Dyreng et</w:t>
      </w:r>
      <w:r>
        <w:rPr>
          <w:spacing w:val="-2"/>
        </w:rPr>
        <w:t> </w:t>
      </w:r>
      <w:r>
        <w:rPr/>
        <w:t>al.</w:t>
      </w:r>
      <w:r>
        <w:rPr>
          <w:spacing w:val="-2"/>
        </w:rPr>
        <w:t> </w:t>
      </w:r>
      <w:r>
        <w:rPr/>
        <w:t>(2017)</w:t>
      </w:r>
      <w:r>
        <w:rPr>
          <w:spacing w:val="-2"/>
        </w:rPr>
        <w:t> </w:t>
      </w:r>
      <w:r>
        <w:rPr/>
        <w:t>find</w:t>
      </w:r>
      <w:r>
        <w:rPr>
          <w:spacing w:val="-2"/>
        </w:rPr>
        <w:t> </w:t>
      </w:r>
      <w:r>
        <w:rPr/>
        <w:t>that</w:t>
      </w:r>
      <w:r>
        <w:rPr>
          <w:spacing w:val="-2"/>
        </w:rPr>
        <w:t> </w:t>
      </w:r>
      <w:r>
        <w:rPr/>
        <w:t>changes</w:t>
      </w:r>
      <w:r>
        <w:rPr>
          <w:spacing w:val="-2"/>
        </w:rPr>
        <w:t> </w:t>
      </w:r>
      <w:r>
        <w:rPr/>
        <w:t>in</w:t>
      </w:r>
      <w:r>
        <w:rPr>
          <w:spacing w:val="-2"/>
        </w:rPr>
        <w:t> </w:t>
      </w:r>
      <w:r>
        <w:rPr/>
        <w:t>firm</w:t>
      </w:r>
      <w:r>
        <w:rPr>
          <w:spacing w:val="-2"/>
        </w:rPr>
        <w:t> </w:t>
      </w:r>
      <w:r>
        <w:rPr/>
        <w:t>characteristics</w:t>
      </w:r>
      <w:r>
        <w:rPr>
          <w:spacing w:val="-2"/>
        </w:rPr>
        <w:t> </w:t>
      </w:r>
      <w:r>
        <w:rPr/>
        <w:t>or</w:t>
      </w:r>
      <w:r>
        <w:rPr>
          <w:spacing w:val="-2"/>
        </w:rPr>
        <w:t> </w:t>
      </w:r>
      <w:r>
        <w:rPr/>
        <w:t>their</w:t>
      </w:r>
      <w:r>
        <w:rPr>
          <w:spacing w:val="-2"/>
        </w:rPr>
        <w:t> </w:t>
      </w:r>
      <w:r>
        <w:rPr/>
        <w:t>mapping</w:t>
      </w:r>
      <w:r>
        <w:rPr>
          <w:spacing w:val="-2"/>
        </w:rPr>
        <w:t> </w:t>
      </w:r>
      <w:r>
        <w:rPr/>
        <w:t>into</w:t>
      </w:r>
      <w:r>
        <w:rPr>
          <w:spacing w:val="-2"/>
        </w:rPr>
        <w:t> </w:t>
      </w:r>
      <w:r>
        <w:rPr/>
        <w:t>taxes</w:t>
      </w:r>
      <w:r>
        <w:rPr>
          <w:spacing w:val="-2"/>
        </w:rPr>
        <w:t> </w:t>
      </w:r>
      <w:r>
        <w:rPr/>
        <w:t>do not account for the decrease in cash ETRs, an intriguing inquiry in the ETR trend literature revolves around identifying the driving factors behind this trend (e.g., Edwards, Kubata, and Shevlin, 2021). Lu et al. (2023),</w:t>
      </w:r>
      <w:r>
        <w:rPr>
          <w:spacing w:val="-2"/>
        </w:rPr>
        <w:t> </w:t>
      </w:r>
      <w:r>
        <w:rPr/>
        <w:t>based</w:t>
      </w:r>
      <w:r>
        <w:rPr>
          <w:spacing w:val="-2"/>
        </w:rPr>
        <w:t> </w:t>
      </w:r>
      <w:r>
        <w:rPr/>
        <w:t>on</w:t>
      </w:r>
      <w:r>
        <w:rPr>
          <w:spacing w:val="-2"/>
        </w:rPr>
        <w:t> </w:t>
      </w:r>
      <w:r>
        <w:rPr/>
        <w:t>the</w:t>
      </w:r>
      <w:r>
        <w:rPr>
          <w:spacing w:val="-2"/>
        </w:rPr>
        <w:t> </w:t>
      </w:r>
      <w:r>
        <w:rPr/>
        <w:t>political</w:t>
      </w:r>
      <w:r>
        <w:rPr>
          <w:spacing w:val="-2"/>
        </w:rPr>
        <w:t> </w:t>
      </w:r>
      <w:r>
        <w:rPr/>
        <w:t>power</w:t>
      </w:r>
      <w:r>
        <w:rPr>
          <w:spacing w:val="-2"/>
        </w:rPr>
        <w:t> </w:t>
      </w:r>
      <w:r>
        <w:rPr/>
        <w:t>vs.</w:t>
      </w:r>
      <w:r>
        <w:rPr>
          <w:spacing w:val="-2"/>
        </w:rPr>
        <w:t> </w:t>
      </w:r>
      <w:r>
        <w:rPr/>
        <w:t>political</w:t>
      </w:r>
      <w:r>
        <w:rPr>
          <w:spacing w:val="-2"/>
        </w:rPr>
        <w:t> </w:t>
      </w:r>
      <w:r>
        <w:rPr/>
        <w:t>cost</w:t>
      </w:r>
      <w:r>
        <w:rPr>
          <w:spacing w:val="-2"/>
        </w:rPr>
        <w:t> </w:t>
      </w:r>
      <w:r>
        <w:rPr/>
        <w:t>theories</w:t>
      </w:r>
      <w:r>
        <w:rPr>
          <w:spacing w:val="-2"/>
        </w:rPr>
        <w:t> </w:t>
      </w:r>
      <w:r>
        <w:rPr/>
        <w:t>(Belz,</w:t>
      </w:r>
      <w:r>
        <w:rPr>
          <w:spacing w:val="-2"/>
        </w:rPr>
        <w:t> </w:t>
      </w:r>
      <w:r>
        <w:rPr/>
        <w:t>von Hagen, and Steffens, 2019), reveal that the</w:t>
      </w:r>
      <w:r>
        <w:rPr>
          <w:spacing w:val="-3"/>
        </w:rPr>
        <w:t> </w:t>
      </w:r>
      <w:r>
        <w:rPr/>
        <w:t>dominance</w:t>
      </w:r>
      <w:r>
        <w:rPr>
          <w:spacing w:val="-3"/>
        </w:rPr>
        <w:t> </w:t>
      </w:r>
      <w:r>
        <w:rPr/>
        <w:t>of</w:t>
      </w:r>
      <w:r>
        <w:rPr>
          <w:spacing w:val="-3"/>
        </w:rPr>
        <w:t> </w:t>
      </w:r>
      <w:r>
        <w:rPr/>
        <w:t>the</w:t>
      </w:r>
      <w:r>
        <w:rPr>
          <w:spacing w:val="-3"/>
        </w:rPr>
        <w:t> </w:t>
      </w:r>
      <w:r>
        <w:rPr/>
        <w:t>political</w:t>
      </w:r>
      <w:r>
        <w:rPr>
          <w:spacing w:val="-3"/>
        </w:rPr>
        <w:t> </w:t>
      </w:r>
      <w:r>
        <w:rPr/>
        <w:t>power</w:t>
      </w:r>
      <w:r>
        <w:rPr>
          <w:spacing w:val="-3"/>
        </w:rPr>
        <w:t> </w:t>
      </w:r>
      <w:r>
        <w:rPr/>
        <w:t>theory</w:t>
      </w:r>
      <w:r>
        <w:rPr>
          <w:spacing w:val="-3"/>
        </w:rPr>
        <w:t> </w:t>
      </w:r>
      <w:r>
        <w:rPr/>
        <w:t>has</w:t>
      </w:r>
      <w:r>
        <w:rPr>
          <w:spacing w:val="-3"/>
        </w:rPr>
        <w:t> </w:t>
      </w:r>
      <w:r>
        <w:rPr/>
        <w:t>increased over the last three decades before 2017, as evidenced by a growing negative</w:t>
      </w:r>
      <w:r>
        <w:rPr>
          <w:spacing w:val="-2"/>
        </w:rPr>
        <w:t> </w:t>
      </w:r>
      <w:r>
        <w:rPr/>
        <w:t>correlation</w:t>
      </w:r>
      <w:r>
        <w:rPr>
          <w:spacing w:val="-2"/>
        </w:rPr>
        <w:t> </w:t>
      </w:r>
      <w:r>
        <w:rPr/>
        <w:t>between ETR and firm</w:t>
      </w:r>
      <w:r>
        <w:rPr>
          <w:spacing w:val="-2"/>
        </w:rPr>
        <w:t> </w:t>
      </w:r>
      <w:r>
        <w:rPr/>
        <w:t>size.</w:t>
      </w:r>
      <w:r>
        <w:rPr>
          <w:spacing w:val="-2"/>
        </w:rPr>
        <w:t> </w:t>
      </w:r>
      <w:r>
        <w:rPr/>
        <w:t>This</w:t>
      </w:r>
      <w:r>
        <w:rPr>
          <w:spacing w:val="-2"/>
        </w:rPr>
        <w:t> </w:t>
      </w:r>
      <w:r>
        <w:rPr/>
        <w:t>rising</w:t>
      </w:r>
      <w:r>
        <w:rPr>
          <w:spacing w:val="-2"/>
        </w:rPr>
        <w:t> </w:t>
      </w:r>
      <w:r>
        <w:rPr/>
        <w:t>"political</w:t>
      </w:r>
      <w:r>
        <w:rPr>
          <w:spacing w:val="-2"/>
        </w:rPr>
        <w:t> </w:t>
      </w:r>
      <w:r>
        <w:rPr/>
        <w:t>power"</w:t>
      </w:r>
      <w:r>
        <w:rPr>
          <w:spacing w:val="-2"/>
        </w:rPr>
        <w:t> </w:t>
      </w:r>
      <w:r>
        <w:rPr/>
        <w:t>of</w:t>
      </w:r>
      <w:r>
        <w:rPr>
          <w:spacing w:val="-2"/>
        </w:rPr>
        <w:t> </w:t>
      </w:r>
      <w:r>
        <w:rPr/>
        <w:t>large</w:t>
      </w:r>
      <w:r>
        <w:rPr>
          <w:spacing w:val="-2"/>
        </w:rPr>
        <w:t> </w:t>
      </w:r>
      <w:r>
        <w:rPr/>
        <w:t>firms</w:t>
      </w:r>
      <w:r>
        <w:rPr>
          <w:spacing w:val="-2"/>
        </w:rPr>
        <w:t> </w:t>
      </w:r>
      <w:r>
        <w:rPr/>
        <w:t>emerges</w:t>
      </w:r>
      <w:r>
        <w:rPr>
          <w:spacing w:val="-2"/>
        </w:rPr>
        <w:t> </w:t>
      </w:r>
      <w:r>
        <w:rPr/>
        <w:t>as</w:t>
      </w:r>
      <w:r>
        <w:rPr>
          <w:spacing w:val="-2"/>
        </w:rPr>
        <w:t> </w:t>
      </w:r>
      <w:r>
        <w:rPr/>
        <w:t>a</w:t>
      </w:r>
      <w:r>
        <w:rPr>
          <w:spacing w:val="-2"/>
        </w:rPr>
        <w:t> </w:t>
      </w:r>
      <w:r>
        <w:rPr/>
        <w:t>key</w:t>
      </w:r>
      <w:r>
        <w:rPr>
          <w:spacing w:val="-2"/>
        </w:rPr>
        <w:t> </w:t>
      </w:r>
      <w:r>
        <w:rPr/>
        <w:t>factor</w:t>
      </w:r>
      <w:r>
        <w:rPr>
          <w:spacing w:val="-2"/>
        </w:rPr>
        <w:t> </w:t>
      </w:r>
      <w:r>
        <w:rPr/>
        <w:t>driving</w:t>
      </w:r>
      <w:r>
        <w:rPr>
          <w:spacing w:val="-2"/>
        </w:rPr>
        <w:t> </w:t>
      </w:r>
      <w:r>
        <w:rPr/>
        <w:t>the downward trend in ETR: the ETR trend among (especially domestic) large firms is more pronounced than that among small firms, and if the relationship between size and ETR had remained stable since 1988, ETR would have trended upward.</w:t>
      </w:r>
      <w:r>
        <w:rPr>
          <w:vertAlign w:val="superscript"/>
        </w:rPr>
        <w:t>2</w:t>
      </w:r>
    </w:p>
    <w:p>
      <w:pPr>
        <w:pStyle w:val="BodyText"/>
        <w:spacing w:before="153"/>
        <w:ind w:left="727" w:right="1367"/>
        <w:jc w:val="both"/>
      </w:pPr>
      <w:r>
        <w:rPr/>
        <w:t>The findings of Lu et al. (2023) carry significant policy implications, as the Tax Cuts and </w:t>
      </w:r>
      <w:r>
        <w:rPr/>
        <w:t>Jobs Act</w:t>
      </w:r>
      <w:r>
        <w:rPr>
          <w:spacing w:val="40"/>
        </w:rPr>
        <w:t> </w:t>
      </w:r>
      <w:r>
        <w:rPr/>
        <w:t>(TCJA) of 2017 focuses on curbing international profit-shifting rather than addressing tax avoidance strategies inherent to firm size. To reshape the taxation of U.S. multinationals, the TCJA</w:t>
      </w:r>
      <w:r>
        <w:rPr>
          <w:spacing w:val="40"/>
        </w:rPr>
        <w:t> </w:t>
      </w:r>
      <w:r>
        <w:rPr/>
        <w:t>introduced a one-time transition tax on unrepatriated earnings alongside three core </w:t>
      </w:r>
      <w:r>
        <w:rPr>
          <w:spacing w:val="-2"/>
        </w:rPr>
        <w:t>provisions:</w:t>
      </w:r>
    </w:p>
    <w:p>
      <w:pPr>
        <w:pStyle w:val="BodyText"/>
        <w:spacing w:before="258"/>
        <w:ind w:left="712" w:right="1362" w:firstLine="15"/>
        <w:jc w:val="both"/>
      </w:pPr>
      <w:r>
        <w:rPr>
          <w:vertAlign w:val="superscript"/>
        </w:rPr>
        <w:t>2</w:t>
      </w:r>
      <w:r>
        <w:rPr>
          <w:vertAlign w:val="baseline"/>
        </w:rPr>
        <w:t> The “political cost” theory suggests a positive relation between firm size and ETR, </w:t>
      </w:r>
      <w:r>
        <w:rPr>
          <w:vertAlign w:val="baseline"/>
        </w:rPr>
        <w:t>because</w:t>
      </w:r>
      <w:r>
        <w:rPr>
          <w:spacing w:val="40"/>
          <w:vertAlign w:val="baseline"/>
        </w:rPr>
        <w:t> </w:t>
      </w:r>
      <w:r>
        <w:rPr>
          <w:vertAlign w:val="baseline"/>
        </w:rPr>
        <w:t>large</w:t>
      </w:r>
      <w:r>
        <w:rPr>
          <w:spacing w:val="80"/>
          <w:vertAlign w:val="baseline"/>
        </w:rPr>
        <w:t> </w:t>
      </w:r>
      <w:r>
        <w:rPr>
          <w:vertAlign w:val="baseline"/>
        </w:rPr>
        <w:t>firms are subject to more public scrutiny and greater social pressure and are exposed to more</w:t>
      </w:r>
      <w:r>
        <w:rPr>
          <w:spacing w:val="40"/>
          <w:vertAlign w:val="baseline"/>
        </w:rPr>
        <w:t> </w:t>
      </w:r>
      <w:r>
        <w:rPr>
          <w:vertAlign w:val="baseline"/>
        </w:rPr>
        <w:t>governmental regulations. In contrast, the “political power” theory suggests a negative relation</w:t>
      </w:r>
      <w:r>
        <w:rPr>
          <w:spacing w:val="40"/>
          <w:vertAlign w:val="baseline"/>
        </w:rPr>
        <w:t> </w:t>
      </w:r>
      <w:r>
        <w:rPr>
          <w:vertAlign w:val="baseline"/>
        </w:rPr>
        <w:t>between firm size and ETR, because large firms have greater resources with which to influence</w:t>
      </w:r>
      <w:r>
        <w:rPr>
          <w:spacing w:val="40"/>
          <w:vertAlign w:val="baseline"/>
        </w:rPr>
        <w:t> </w:t>
      </w:r>
      <w:r>
        <w:rPr>
          <w:vertAlign w:val="baseline"/>
        </w:rPr>
        <w:t>the political</w:t>
      </w:r>
      <w:r>
        <w:rPr>
          <w:spacing w:val="-3"/>
          <w:vertAlign w:val="baseline"/>
        </w:rPr>
        <w:t> </w:t>
      </w:r>
      <w:r>
        <w:rPr>
          <w:vertAlign w:val="baseline"/>
        </w:rPr>
        <w:t>process</w:t>
      </w:r>
      <w:r>
        <w:rPr>
          <w:spacing w:val="-3"/>
          <w:vertAlign w:val="baseline"/>
        </w:rPr>
        <w:t> </w:t>
      </w:r>
      <w:r>
        <w:rPr>
          <w:vertAlign w:val="baseline"/>
        </w:rPr>
        <w:t>in</w:t>
      </w:r>
      <w:r>
        <w:rPr>
          <w:spacing w:val="-3"/>
          <w:vertAlign w:val="baseline"/>
        </w:rPr>
        <w:t> </w:t>
      </w:r>
      <w:r>
        <w:rPr>
          <w:vertAlign w:val="baseline"/>
        </w:rPr>
        <w:t>their</w:t>
      </w:r>
      <w:r>
        <w:rPr>
          <w:spacing w:val="-3"/>
          <w:vertAlign w:val="baseline"/>
        </w:rPr>
        <w:t> </w:t>
      </w:r>
      <w:r>
        <w:rPr>
          <w:vertAlign w:val="baseline"/>
        </w:rPr>
        <w:t>favor,</w:t>
      </w:r>
      <w:r>
        <w:rPr>
          <w:spacing w:val="-3"/>
          <w:vertAlign w:val="baseline"/>
        </w:rPr>
        <w:t> </w:t>
      </w:r>
      <w:r>
        <w:rPr>
          <w:vertAlign w:val="baseline"/>
        </w:rPr>
        <w:t>develop</w:t>
      </w:r>
      <w:r>
        <w:rPr>
          <w:spacing w:val="-3"/>
          <w:vertAlign w:val="baseline"/>
        </w:rPr>
        <w:t> </w:t>
      </w:r>
      <w:r>
        <w:rPr>
          <w:vertAlign w:val="baseline"/>
        </w:rPr>
        <w:t>expertise</w:t>
      </w:r>
      <w:r>
        <w:rPr>
          <w:spacing w:val="-3"/>
          <w:vertAlign w:val="baseline"/>
        </w:rPr>
        <w:t> </w:t>
      </w:r>
      <w:r>
        <w:rPr>
          <w:vertAlign w:val="baseline"/>
        </w:rPr>
        <w:t>in</w:t>
      </w:r>
      <w:r>
        <w:rPr>
          <w:spacing w:val="-3"/>
          <w:vertAlign w:val="baseline"/>
        </w:rPr>
        <w:t> </w:t>
      </w:r>
      <w:r>
        <w:rPr>
          <w:vertAlign w:val="baseline"/>
        </w:rPr>
        <w:t>tax</w:t>
      </w:r>
      <w:r>
        <w:rPr>
          <w:spacing w:val="-3"/>
          <w:vertAlign w:val="baseline"/>
        </w:rPr>
        <w:t> </w:t>
      </w:r>
      <w:r>
        <w:rPr>
          <w:vertAlign w:val="baseline"/>
        </w:rPr>
        <w:t>planning,</w:t>
      </w:r>
      <w:r>
        <w:rPr>
          <w:spacing w:val="-3"/>
          <w:vertAlign w:val="baseline"/>
        </w:rPr>
        <w:t> </w:t>
      </w:r>
      <w:r>
        <w:rPr>
          <w:vertAlign w:val="baseline"/>
        </w:rPr>
        <w:t>and</w:t>
      </w:r>
      <w:r>
        <w:rPr>
          <w:spacing w:val="-3"/>
          <w:vertAlign w:val="baseline"/>
        </w:rPr>
        <w:t> </w:t>
      </w:r>
      <w:r>
        <w:rPr>
          <w:vertAlign w:val="baseline"/>
        </w:rPr>
        <w:t>organize</w:t>
      </w:r>
      <w:r>
        <w:rPr>
          <w:spacing w:val="-3"/>
          <w:vertAlign w:val="baseline"/>
        </w:rPr>
        <w:t> </w:t>
      </w:r>
      <w:r>
        <w:rPr>
          <w:vertAlign w:val="baseline"/>
        </w:rPr>
        <w:t>their activities</w:t>
      </w:r>
      <w:r>
        <w:rPr>
          <w:spacing w:val="40"/>
          <w:vertAlign w:val="baseline"/>
        </w:rPr>
        <w:t> </w:t>
      </w:r>
      <w:r>
        <w:rPr>
          <w:vertAlign w:val="baseline"/>
        </w:rPr>
        <w:t>in optimal tax saving ways. Global Intangible Low-Taxed Income (GILTI), the Base Erosion and Anti-Abuse Tax (BEAT),</w:t>
      </w:r>
      <w:r>
        <w:rPr>
          <w:spacing w:val="40"/>
          <w:vertAlign w:val="baseline"/>
        </w:rPr>
        <w:t> </w:t>
      </w:r>
      <w:r>
        <w:rPr>
          <w:vertAlign w:val="baseline"/>
        </w:rPr>
        <w:t>and Foreign-Derived Intangible Income (FDII).</w:t>
      </w:r>
      <w:r>
        <w:rPr>
          <w:vertAlign w:val="superscript"/>
        </w:rPr>
        <w:t>3</w:t>
      </w:r>
      <w:r>
        <w:rPr>
          <w:vertAlign w:val="baseline"/>
        </w:rPr>
        <w:t> While these measures aim to discourage offshore</w:t>
      </w:r>
      <w:r>
        <w:rPr>
          <w:spacing w:val="40"/>
          <w:vertAlign w:val="baseline"/>
        </w:rPr>
        <w:t> </w:t>
      </w:r>
      <w:r>
        <w:rPr>
          <w:vertAlign w:val="baseline"/>
        </w:rPr>
        <w:t>shifting, they do not directly mitigate the avoidance channels utilized by large domestic</w:t>
      </w:r>
      <w:r>
        <w:rPr>
          <w:spacing w:val="40"/>
          <w:vertAlign w:val="baseline"/>
        </w:rPr>
        <w:t> </w:t>
      </w:r>
      <w:r>
        <w:rPr>
          <w:vertAlign w:val="baseline"/>
        </w:rPr>
        <w:t>corporations.</w:t>
      </w:r>
    </w:p>
    <w:p>
      <w:pPr>
        <w:pStyle w:val="BodyText"/>
      </w:pPr>
    </w:p>
    <w:p>
      <w:pPr>
        <w:pStyle w:val="BodyText"/>
        <w:spacing w:before="31"/>
      </w:pPr>
    </w:p>
    <w:p>
      <w:pPr>
        <w:pStyle w:val="BodyText"/>
        <w:ind w:left="727" w:right="1364"/>
        <w:jc w:val="both"/>
      </w:pPr>
      <w:r>
        <w:rPr/>
        <w:t>If the</w:t>
      </w:r>
      <w:r>
        <w:rPr>
          <w:spacing w:val="-3"/>
        </w:rPr>
        <w:t> </w:t>
      </w:r>
      <w:r>
        <w:rPr/>
        <w:t>pre-2017</w:t>
      </w:r>
      <w:r>
        <w:rPr>
          <w:spacing w:val="-3"/>
        </w:rPr>
        <w:t> </w:t>
      </w:r>
      <w:r>
        <w:rPr/>
        <w:t>decline</w:t>
      </w:r>
      <w:r>
        <w:rPr>
          <w:spacing w:val="-3"/>
        </w:rPr>
        <w:t> </w:t>
      </w:r>
      <w:r>
        <w:rPr/>
        <w:t>in</w:t>
      </w:r>
      <w:r>
        <w:rPr>
          <w:spacing w:val="-3"/>
        </w:rPr>
        <w:t> </w:t>
      </w:r>
      <w:r>
        <w:rPr/>
        <w:t>ETRs</w:t>
      </w:r>
      <w:r>
        <w:rPr>
          <w:spacing w:val="-3"/>
        </w:rPr>
        <w:t> </w:t>
      </w:r>
      <w:r>
        <w:rPr/>
        <w:t>was</w:t>
      </w:r>
      <w:r>
        <w:rPr>
          <w:spacing w:val="-3"/>
        </w:rPr>
        <w:t> </w:t>
      </w:r>
      <w:r>
        <w:rPr/>
        <w:t>primarily</w:t>
      </w:r>
      <w:r>
        <w:rPr>
          <w:spacing w:val="-3"/>
        </w:rPr>
        <w:t> </w:t>
      </w:r>
      <w:r>
        <w:rPr/>
        <w:t>driven</w:t>
      </w:r>
      <w:r>
        <w:rPr>
          <w:spacing w:val="-3"/>
        </w:rPr>
        <w:t> </w:t>
      </w:r>
      <w:r>
        <w:rPr/>
        <w:t>by</w:t>
      </w:r>
      <w:r>
        <w:rPr>
          <w:spacing w:val="-3"/>
        </w:rPr>
        <w:t> </w:t>
      </w:r>
      <w:r>
        <w:rPr/>
        <w:t>firm</w:t>
      </w:r>
      <w:r>
        <w:rPr>
          <w:spacing w:val="-3"/>
        </w:rPr>
        <w:t> </w:t>
      </w:r>
      <w:r>
        <w:rPr/>
        <w:t>size</w:t>
      </w:r>
      <w:r>
        <w:rPr>
          <w:spacing w:val="-3"/>
        </w:rPr>
        <w:t> </w:t>
      </w:r>
      <w:r>
        <w:rPr/>
        <w:t>rather</w:t>
      </w:r>
      <w:r>
        <w:rPr>
          <w:spacing w:val="-3"/>
        </w:rPr>
        <w:t> </w:t>
      </w:r>
      <w:r>
        <w:rPr/>
        <w:t>than</w:t>
      </w:r>
      <w:r>
        <w:rPr>
          <w:spacing w:val="-3"/>
        </w:rPr>
        <w:t> </w:t>
      </w:r>
      <w:r>
        <w:rPr/>
        <w:t>multinational</w:t>
      </w:r>
      <w:r>
        <w:rPr>
          <w:spacing w:val="-3"/>
        </w:rPr>
        <w:t> </w:t>
      </w:r>
      <w:r>
        <w:rPr/>
        <w:t>status, the TCJA’s specific focus on foreign income may render</w:t>
      </w:r>
      <w:r>
        <w:rPr>
          <w:spacing w:val="-5"/>
        </w:rPr>
        <w:t> </w:t>
      </w:r>
      <w:r>
        <w:rPr/>
        <w:t>it</w:t>
      </w:r>
      <w:r>
        <w:rPr>
          <w:spacing w:val="-5"/>
        </w:rPr>
        <w:t> </w:t>
      </w:r>
      <w:r>
        <w:rPr/>
        <w:t>ineffective</w:t>
      </w:r>
      <w:r>
        <w:rPr>
          <w:spacing w:val="-5"/>
        </w:rPr>
        <w:t> </w:t>
      </w:r>
      <w:r>
        <w:rPr/>
        <w:t>at</w:t>
      </w:r>
      <w:r>
        <w:rPr>
          <w:spacing w:val="-5"/>
        </w:rPr>
        <w:t> </w:t>
      </w:r>
      <w:r>
        <w:rPr/>
        <w:t>reversing</w:t>
      </w:r>
      <w:r>
        <w:rPr>
          <w:spacing w:val="-5"/>
        </w:rPr>
        <w:t> </w:t>
      </w:r>
      <w:r>
        <w:rPr/>
        <w:t>the</w:t>
      </w:r>
      <w:r>
        <w:rPr>
          <w:spacing w:val="-5"/>
        </w:rPr>
        <w:t> </w:t>
      </w:r>
      <w:r>
        <w:rPr/>
        <w:t>downward ETR trend. Consequently, the reform might fail to halt the decline in corporate ETRs or narrow the tax gap between large and small firms. Evaluating these outcomes</w:t>
      </w:r>
      <w:r>
        <w:rPr>
          <w:spacing w:val="-3"/>
        </w:rPr>
        <w:t> </w:t>
      </w:r>
      <w:r>
        <w:rPr/>
        <w:t>is</w:t>
      </w:r>
      <w:r>
        <w:rPr>
          <w:spacing w:val="-3"/>
        </w:rPr>
        <w:t> </w:t>
      </w:r>
      <w:r>
        <w:rPr/>
        <w:t>essential</w:t>
      </w:r>
      <w:r>
        <w:rPr>
          <w:spacing w:val="-3"/>
        </w:rPr>
        <w:t> </w:t>
      </w:r>
      <w:r>
        <w:rPr/>
        <w:t>to</w:t>
      </w:r>
      <w:r>
        <w:rPr>
          <w:spacing w:val="-3"/>
        </w:rPr>
        <w:t> </w:t>
      </w:r>
      <w:r>
        <w:rPr/>
        <w:t>determine</w:t>
      </w:r>
      <w:r>
        <w:rPr>
          <w:spacing w:val="-3"/>
        </w:rPr>
        <w:t> </w:t>
      </w:r>
      <w:r>
        <w:rPr/>
        <w:t>if the TCJA met its objectives and to guide future tax policy.</w:t>
      </w:r>
    </w:p>
    <w:p>
      <w:pPr>
        <w:pStyle w:val="BodyText"/>
        <w:spacing w:after="0"/>
        <w:jc w:val="both"/>
        <w:sectPr>
          <w:footerReference w:type="default" r:id="rId274"/>
          <w:pgSz w:w="12240" w:h="15840"/>
          <w:pgMar w:header="0" w:footer="739" w:top="760" w:bottom="920" w:left="720" w:right="0"/>
          <w:pgNumType w:start="226"/>
        </w:sectPr>
      </w:pPr>
    </w:p>
    <w:p>
      <w:pPr>
        <w:pStyle w:val="Heading4"/>
        <w:spacing w:before="60"/>
        <w:ind w:left="727"/>
      </w:pPr>
      <w:r>
        <w:rPr>
          <w:spacing w:val="-2"/>
        </w:rPr>
        <w:t>Methodology</w:t>
      </w:r>
    </w:p>
    <w:p>
      <w:pPr>
        <w:pStyle w:val="BodyText"/>
        <w:spacing w:before="263"/>
        <w:ind w:left="712" w:right="1191" w:firstLine="15"/>
      </w:pPr>
      <w:r>
        <w:rPr/>
        <w:t>Our</w:t>
      </w:r>
      <w:r>
        <w:rPr>
          <w:spacing w:val="40"/>
        </w:rPr>
        <w:t> </w:t>
      </w:r>
      <w:r>
        <w:rPr/>
        <w:t>analysis</w:t>
      </w:r>
      <w:r>
        <w:rPr>
          <w:spacing w:val="40"/>
        </w:rPr>
        <w:t> </w:t>
      </w:r>
      <w:r>
        <w:rPr/>
        <w:t>consists</w:t>
      </w:r>
      <w:r>
        <w:rPr>
          <w:spacing w:val="40"/>
        </w:rPr>
        <w:t> </w:t>
      </w:r>
      <w:r>
        <w:rPr/>
        <w:t>of</w:t>
      </w:r>
      <w:r>
        <w:rPr>
          <w:spacing w:val="27"/>
        </w:rPr>
        <w:t> </w:t>
      </w:r>
      <w:r>
        <w:rPr/>
        <w:t>both</w:t>
      </w:r>
      <w:r>
        <w:rPr>
          <w:spacing w:val="27"/>
        </w:rPr>
        <w:t> </w:t>
      </w:r>
      <w:r>
        <w:rPr/>
        <w:t>descriptive</w:t>
      </w:r>
      <w:r>
        <w:rPr>
          <w:spacing w:val="27"/>
        </w:rPr>
        <w:t> </w:t>
      </w:r>
      <w:r>
        <w:rPr/>
        <w:t>statistics</w:t>
      </w:r>
      <w:r>
        <w:rPr>
          <w:spacing w:val="27"/>
        </w:rPr>
        <w:t> </w:t>
      </w:r>
      <w:r>
        <w:rPr/>
        <w:t>and</w:t>
      </w:r>
      <w:r>
        <w:rPr>
          <w:spacing w:val="27"/>
        </w:rPr>
        <w:t> </w:t>
      </w:r>
      <w:r>
        <w:rPr/>
        <w:t>regressions.</w:t>
      </w:r>
      <w:r>
        <w:rPr>
          <w:spacing w:val="27"/>
        </w:rPr>
        <w:t> </w:t>
      </w:r>
      <w:r>
        <w:rPr/>
        <w:t>Our</w:t>
      </w:r>
      <w:r>
        <w:rPr>
          <w:spacing w:val="27"/>
        </w:rPr>
        <w:t> </w:t>
      </w:r>
      <w:r>
        <w:rPr/>
        <w:t>annual</w:t>
      </w:r>
      <w:r>
        <w:rPr>
          <w:spacing w:val="27"/>
        </w:rPr>
        <w:t> </w:t>
      </w:r>
      <w:r>
        <w:rPr/>
        <w:t>regressions</w:t>
      </w:r>
      <w:r>
        <w:rPr>
          <w:spacing w:val="27"/>
        </w:rPr>
        <w:t> </w:t>
      </w:r>
      <w:r>
        <w:rPr/>
        <w:t>are based on the tax function from Edwards, Kubata and Shevlin (2021):</w:t>
      </w:r>
    </w:p>
    <w:p>
      <w:pPr>
        <w:pStyle w:val="BodyText"/>
        <w:spacing w:before="159"/>
        <w:rPr>
          <w:sz w:val="20"/>
        </w:rPr>
      </w:pPr>
      <w:r>
        <w:rPr>
          <w:sz w:val="20"/>
        </w:rPr>
        <w:drawing>
          <wp:anchor distT="0" distB="0" distL="0" distR="0" allowOverlap="1" layoutInCell="1" locked="0" behindDoc="1" simplePos="0" relativeHeight="487612416">
            <wp:simplePos x="0" y="0"/>
            <wp:positionH relativeFrom="page">
              <wp:posOffset>1033653</wp:posOffset>
            </wp:positionH>
            <wp:positionV relativeFrom="paragraph">
              <wp:posOffset>262537</wp:posOffset>
            </wp:positionV>
            <wp:extent cx="5057775" cy="781050"/>
            <wp:effectExtent l="0" t="0" r="0" b="0"/>
            <wp:wrapTopAndBottom/>
            <wp:docPr id="93" name="Image 93"/>
            <wp:cNvGraphicFramePr>
              <a:graphicFrameLocks/>
            </wp:cNvGraphicFramePr>
            <a:graphic>
              <a:graphicData uri="http://schemas.openxmlformats.org/drawingml/2006/picture">
                <pic:pic>
                  <pic:nvPicPr>
                    <pic:cNvPr id="93" name="Image 93"/>
                    <pic:cNvPicPr/>
                  </pic:nvPicPr>
                  <pic:blipFill>
                    <a:blip r:embed="rId276" cstate="print"/>
                    <a:stretch>
                      <a:fillRect/>
                    </a:stretch>
                  </pic:blipFill>
                  <pic:spPr>
                    <a:xfrm>
                      <a:off x="0" y="0"/>
                      <a:ext cx="5057775" cy="781050"/>
                    </a:xfrm>
                    <a:prstGeom prst="rect">
                      <a:avLst/>
                    </a:prstGeom>
                  </pic:spPr>
                </pic:pic>
              </a:graphicData>
            </a:graphic>
          </wp:anchor>
        </w:drawing>
      </w:r>
    </w:p>
    <w:p>
      <w:pPr>
        <w:pStyle w:val="BodyText"/>
        <w:spacing w:before="187"/>
        <w:ind w:left="727" w:right="1364"/>
        <w:jc w:val="both"/>
      </w:pPr>
      <w:r>
        <w:rPr/>
        <w:t>where ETR is the cash effective tax rate of firm i in</w:t>
      </w:r>
      <w:r>
        <w:rPr>
          <w:spacing w:val="-2"/>
        </w:rPr>
        <w:t> </w:t>
      </w:r>
      <w:r>
        <w:rPr/>
        <w:t>year</w:t>
      </w:r>
      <w:r>
        <w:rPr>
          <w:spacing w:val="-2"/>
        </w:rPr>
        <w:t> </w:t>
      </w:r>
      <w:r>
        <w:rPr/>
        <w:t>t,</w:t>
      </w:r>
      <w:r>
        <w:rPr>
          <w:spacing w:val="-2"/>
        </w:rPr>
        <w:t> </w:t>
      </w:r>
      <w:r>
        <w:rPr/>
        <w:t>defined</w:t>
      </w:r>
      <w:r>
        <w:rPr>
          <w:spacing w:val="-2"/>
        </w:rPr>
        <w:t> </w:t>
      </w:r>
      <w:r>
        <w:rPr/>
        <w:t>as</w:t>
      </w:r>
      <w:r>
        <w:rPr>
          <w:spacing w:val="-2"/>
        </w:rPr>
        <w:t> </w:t>
      </w:r>
      <w:r>
        <w:rPr/>
        <w:t>the</w:t>
      </w:r>
      <w:r>
        <w:rPr>
          <w:spacing w:val="-2"/>
        </w:rPr>
        <w:t> </w:t>
      </w:r>
      <w:r>
        <w:rPr/>
        <w:t>ratio</w:t>
      </w:r>
      <w:r>
        <w:rPr>
          <w:spacing w:val="-2"/>
        </w:rPr>
        <w:t> </w:t>
      </w:r>
      <w:r>
        <w:rPr/>
        <w:t>of</w:t>
      </w:r>
      <w:r>
        <w:rPr>
          <w:spacing w:val="-2"/>
        </w:rPr>
        <w:t> </w:t>
      </w:r>
      <w:r>
        <w:rPr/>
        <w:t>cash</w:t>
      </w:r>
      <w:r>
        <w:rPr>
          <w:spacing w:val="-2"/>
        </w:rPr>
        <w:t> </w:t>
      </w:r>
      <w:r>
        <w:rPr/>
        <w:t>taxes</w:t>
      </w:r>
      <w:r>
        <w:rPr>
          <w:spacing w:val="-2"/>
        </w:rPr>
        <w:t> </w:t>
      </w:r>
      <w:r>
        <w:rPr/>
        <w:t>paid (TXPD) to</w:t>
      </w:r>
      <w:r>
        <w:rPr>
          <w:spacing w:val="-3"/>
        </w:rPr>
        <w:t> </w:t>
      </w:r>
      <w:r>
        <w:rPr/>
        <w:t>pretax</w:t>
      </w:r>
      <w:r>
        <w:rPr>
          <w:spacing w:val="-3"/>
        </w:rPr>
        <w:t> </w:t>
      </w:r>
      <w:r>
        <w:rPr/>
        <w:t>income</w:t>
      </w:r>
      <w:r>
        <w:rPr>
          <w:spacing w:val="-3"/>
        </w:rPr>
        <w:t> </w:t>
      </w:r>
      <w:r>
        <w:rPr/>
        <w:t>(PI).</w:t>
      </w:r>
      <w:r>
        <w:rPr>
          <w:spacing w:val="-3"/>
        </w:rPr>
        <w:t> </w:t>
      </w:r>
      <w:r>
        <w:rPr/>
        <w:t>SIZE</w:t>
      </w:r>
      <w:r>
        <w:rPr>
          <w:spacing w:val="-3"/>
        </w:rPr>
        <w:t> </w:t>
      </w:r>
      <w:r>
        <w:rPr/>
        <w:t>is</w:t>
      </w:r>
      <w:r>
        <w:rPr>
          <w:spacing w:val="-3"/>
        </w:rPr>
        <w:t> </w:t>
      </w:r>
      <w:r>
        <w:rPr/>
        <w:t>the</w:t>
      </w:r>
      <w:r>
        <w:rPr>
          <w:spacing w:val="-3"/>
        </w:rPr>
        <w:t> </w:t>
      </w:r>
      <w:r>
        <w:rPr/>
        <w:t>size</w:t>
      </w:r>
      <w:r>
        <w:rPr>
          <w:spacing w:val="-3"/>
        </w:rPr>
        <w:t> </w:t>
      </w:r>
      <w:r>
        <w:rPr/>
        <w:t>percentile</w:t>
      </w:r>
      <w:r>
        <w:rPr>
          <w:spacing w:val="-3"/>
        </w:rPr>
        <w:t> </w:t>
      </w:r>
      <w:r>
        <w:rPr/>
        <w:t>of</w:t>
      </w:r>
      <w:r>
        <w:rPr>
          <w:spacing w:val="-3"/>
        </w:rPr>
        <w:t> </w:t>
      </w:r>
      <w:r>
        <w:rPr/>
        <w:t>a</w:t>
      </w:r>
      <w:r>
        <w:rPr>
          <w:spacing w:val="-3"/>
        </w:rPr>
        <w:t> </w:t>
      </w:r>
      <w:r>
        <w:rPr/>
        <w:t>firm</w:t>
      </w:r>
      <w:r>
        <w:rPr>
          <w:spacing w:val="-3"/>
        </w:rPr>
        <w:t> </w:t>
      </w:r>
      <w:r>
        <w:rPr/>
        <w:t>in</w:t>
      </w:r>
      <w:r>
        <w:rPr>
          <w:spacing w:val="-3"/>
        </w:rPr>
        <w:t> </w:t>
      </w:r>
      <w:r>
        <w:rPr/>
        <w:t>the</w:t>
      </w:r>
      <w:r>
        <w:rPr>
          <w:spacing w:val="-3"/>
        </w:rPr>
        <w:t> </w:t>
      </w:r>
      <w:r>
        <w:rPr/>
        <w:t>year.</w:t>
      </w:r>
      <w:r>
        <w:rPr>
          <w:spacing w:val="-3"/>
        </w:rPr>
        <w:t> </w:t>
      </w:r>
      <w:r>
        <w:rPr/>
        <w:t>FI</w:t>
      </w:r>
      <w:r>
        <w:rPr>
          <w:spacing w:val="-3"/>
        </w:rPr>
        <w:t> </w:t>
      </w:r>
      <w:r>
        <w:rPr/>
        <w:t>is</w:t>
      </w:r>
      <w:r>
        <w:rPr>
          <w:spacing w:val="-3"/>
        </w:rPr>
        <w:t> </w:t>
      </w:r>
      <w:r>
        <w:rPr/>
        <w:t>the</w:t>
      </w:r>
      <w:r>
        <w:rPr>
          <w:spacing w:val="-3"/>
        </w:rPr>
        <w:t> </w:t>
      </w:r>
      <w:r>
        <w:rPr/>
        <w:t>portion</w:t>
      </w:r>
      <w:r>
        <w:rPr>
          <w:spacing w:val="-3"/>
        </w:rPr>
        <w:t> </w:t>
      </w:r>
      <w:r>
        <w:rPr/>
        <w:t>of foreign income in pretax income. The control variables include other tax-related firm characteristics scaled by PI. Our focus is on the coefficients of SIZE and FI, which show the correlation between ETR and</w:t>
      </w:r>
      <w:r>
        <w:rPr>
          <w:spacing w:val="-4"/>
        </w:rPr>
        <w:t> </w:t>
      </w:r>
      <w:r>
        <w:rPr/>
        <w:t>firm</w:t>
      </w:r>
      <w:r>
        <w:rPr>
          <w:spacing w:val="-4"/>
        </w:rPr>
        <w:t> </w:t>
      </w:r>
      <w:r>
        <w:rPr/>
        <w:t>size</w:t>
      </w:r>
      <w:r>
        <w:rPr>
          <w:spacing w:val="-4"/>
        </w:rPr>
        <w:t> </w:t>
      </w:r>
      <w:r>
        <w:rPr/>
        <w:t>vs.</w:t>
      </w:r>
      <w:r>
        <w:rPr>
          <w:spacing w:val="-4"/>
        </w:rPr>
        <w:t> </w:t>
      </w:r>
      <w:r>
        <w:rPr/>
        <w:t>multinational</w:t>
      </w:r>
      <w:r>
        <w:rPr>
          <w:spacing w:val="-4"/>
        </w:rPr>
        <w:t> </w:t>
      </w:r>
      <w:r>
        <w:rPr/>
        <w:t>status.</w:t>
      </w:r>
      <w:r>
        <w:rPr>
          <w:spacing w:val="-4"/>
        </w:rPr>
        <w:t> </w:t>
      </w:r>
      <w:r>
        <w:rPr/>
        <w:t>Table</w:t>
      </w:r>
      <w:r>
        <w:rPr>
          <w:spacing w:val="-4"/>
        </w:rPr>
        <w:t> </w:t>
      </w:r>
      <w:r>
        <w:rPr/>
        <w:t>1</w:t>
      </w:r>
      <w:r>
        <w:rPr>
          <w:spacing w:val="-4"/>
        </w:rPr>
        <w:t> </w:t>
      </w:r>
      <w:r>
        <w:rPr/>
        <w:t>presents</w:t>
      </w:r>
      <w:r>
        <w:rPr>
          <w:spacing w:val="-4"/>
        </w:rPr>
        <w:t> </w:t>
      </w:r>
      <w:r>
        <w:rPr/>
        <w:t>the</w:t>
      </w:r>
      <w:r>
        <w:rPr>
          <w:spacing w:val="-4"/>
        </w:rPr>
        <w:t> </w:t>
      </w:r>
      <w:r>
        <w:rPr/>
        <w:t>definitions</w:t>
      </w:r>
      <w:r>
        <w:rPr>
          <w:spacing w:val="-4"/>
        </w:rPr>
        <w:t> </w:t>
      </w:r>
      <w:r>
        <w:rPr/>
        <w:t>of all the variables used in the subsequent analyses.</w:t>
      </w:r>
    </w:p>
    <w:p>
      <w:pPr>
        <w:pStyle w:val="BodyText"/>
        <w:spacing w:before="104"/>
        <w:rPr>
          <w:sz w:val="20"/>
        </w:rPr>
      </w:pPr>
      <w:r>
        <w:rPr>
          <w:sz w:val="20"/>
        </w:rPr>
        <w:drawing>
          <wp:anchor distT="0" distB="0" distL="0" distR="0" allowOverlap="1" layoutInCell="1" locked="0" behindDoc="1" simplePos="0" relativeHeight="487612928">
            <wp:simplePos x="0" y="0"/>
            <wp:positionH relativeFrom="page">
              <wp:posOffset>955193</wp:posOffset>
            </wp:positionH>
            <wp:positionV relativeFrom="paragraph">
              <wp:posOffset>227861</wp:posOffset>
            </wp:positionV>
            <wp:extent cx="5885255" cy="5146548"/>
            <wp:effectExtent l="0" t="0" r="0" b="0"/>
            <wp:wrapTopAndBottom/>
            <wp:docPr id="94" name="Image 94"/>
            <wp:cNvGraphicFramePr>
              <a:graphicFrameLocks/>
            </wp:cNvGraphicFramePr>
            <a:graphic>
              <a:graphicData uri="http://schemas.openxmlformats.org/drawingml/2006/picture">
                <pic:pic>
                  <pic:nvPicPr>
                    <pic:cNvPr id="94" name="Image 94"/>
                    <pic:cNvPicPr/>
                  </pic:nvPicPr>
                  <pic:blipFill>
                    <a:blip r:embed="rId277" cstate="print"/>
                    <a:stretch>
                      <a:fillRect/>
                    </a:stretch>
                  </pic:blipFill>
                  <pic:spPr>
                    <a:xfrm>
                      <a:off x="0" y="0"/>
                      <a:ext cx="5885255" cy="5146548"/>
                    </a:xfrm>
                    <a:prstGeom prst="rect">
                      <a:avLst/>
                    </a:prstGeom>
                  </pic:spPr>
                </pic:pic>
              </a:graphicData>
            </a:graphic>
          </wp:anchor>
        </w:drawing>
      </w:r>
    </w:p>
    <w:p>
      <w:pPr>
        <w:pStyle w:val="Heading4"/>
        <w:spacing w:before="114"/>
        <w:ind w:left="0" w:right="763"/>
        <w:jc w:val="center"/>
      </w:pPr>
      <w:r>
        <w:rPr/>
        <w:t>Table</w:t>
      </w:r>
      <w:r>
        <w:rPr>
          <w:spacing w:val="-12"/>
        </w:rPr>
        <w:t> </w:t>
      </w:r>
      <w:r>
        <w:rPr/>
        <w:t>1.</w:t>
      </w:r>
      <w:r>
        <w:rPr>
          <w:spacing w:val="-11"/>
        </w:rPr>
        <w:t> </w:t>
      </w:r>
      <w:r>
        <w:rPr>
          <w:spacing w:val="-2"/>
        </w:rPr>
        <w:t>Variables</w:t>
      </w:r>
    </w:p>
    <w:p>
      <w:pPr>
        <w:pStyle w:val="Heading4"/>
        <w:spacing w:after="0"/>
        <w:jc w:val="center"/>
        <w:sectPr>
          <w:pgSz w:w="12240" w:h="15840"/>
          <w:pgMar w:header="0" w:footer="739" w:top="640" w:bottom="960" w:left="720" w:right="0"/>
        </w:sectPr>
      </w:pPr>
    </w:p>
    <w:p>
      <w:pPr>
        <w:pStyle w:val="BodyText"/>
        <w:spacing w:before="60"/>
        <w:ind w:left="727" w:right="1363"/>
        <w:jc w:val="both"/>
      </w:pPr>
      <w:r>
        <w:rPr/>
        <w:t>Our sample starts with all US firms listed in COMPUSTAT from 1988 to 2024 (the period </w:t>
      </w:r>
      <w:r>
        <w:rPr/>
        <w:t>after the major reform to the US tax system—the Tax Reform Act of 1986, which took effect in mid 1987). We then exclude firm-years (1) from the financial (SIC codes 6000-6999) and utilities (SIC</w:t>
      </w:r>
      <w:r>
        <w:rPr>
          <w:spacing w:val="80"/>
        </w:rPr>
        <w:t> </w:t>
      </w:r>
      <w:r>
        <w:rPr/>
        <w:t>codes 4900-4999) industries, (2) with negative pretax income or negative cash taxes paid,</w:t>
      </w:r>
      <w:r>
        <w:rPr>
          <w:spacing w:val="40"/>
        </w:rPr>
        <w:t> </w:t>
      </w:r>
      <w:r>
        <w:rPr/>
        <w:t>or (3)</w:t>
      </w:r>
      <w:r>
        <w:rPr>
          <w:spacing w:val="80"/>
        </w:rPr>
        <w:t> </w:t>
      </w:r>
      <w:r>
        <w:rPr/>
        <w:t>with missing values for the variables in Equation (1). These screenings result</w:t>
      </w:r>
      <w:r>
        <w:rPr>
          <w:spacing w:val="-2"/>
        </w:rPr>
        <w:t> </w:t>
      </w:r>
      <w:r>
        <w:rPr/>
        <w:t>in</w:t>
      </w:r>
      <w:r>
        <w:rPr>
          <w:spacing w:val="-2"/>
        </w:rPr>
        <w:t> </w:t>
      </w:r>
      <w:r>
        <w:rPr/>
        <w:t>a</w:t>
      </w:r>
      <w:r>
        <w:rPr>
          <w:spacing w:val="-2"/>
        </w:rPr>
        <w:t> </w:t>
      </w:r>
      <w:r>
        <w:rPr/>
        <w:t>sample of 80,980</w:t>
      </w:r>
      <w:r>
        <w:rPr>
          <w:spacing w:val="40"/>
        </w:rPr>
        <w:t> </w:t>
      </w:r>
      <w:r>
        <w:rPr/>
        <w:t>observations.</w:t>
      </w:r>
    </w:p>
    <w:p>
      <w:pPr>
        <w:pStyle w:val="Heading4"/>
        <w:spacing w:before="150"/>
        <w:ind w:left="727"/>
      </w:pPr>
      <w:r>
        <w:rPr>
          <w:spacing w:val="-2"/>
        </w:rPr>
        <w:t>Results</w:t>
      </w:r>
    </w:p>
    <w:p>
      <w:pPr>
        <w:pStyle w:val="BodyText"/>
        <w:spacing w:before="107"/>
        <w:rPr>
          <w:b/>
        </w:rPr>
      </w:pPr>
    </w:p>
    <w:p>
      <w:pPr>
        <w:spacing w:before="0"/>
        <w:ind w:left="712" w:right="0" w:firstLine="0"/>
        <w:jc w:val="left"/>
        <w:rPr>
          <w:i/>
          <w:sz w:val="24"/>
        </w:rPr>
      </w:pPr>
      <w:r>
        <w:rPr>
          <w:i/>
          <w:sz w:val="24"/>
        </w:rPr>
        <w:t>Did</w:t>
      </w:r>
      <w:r>
        <w:rPr>
          <w:i/>
          <w:spacing w:val="-3"/>
          <w:sz w:val="24"/>
        </w:rPr>
        <w:t> </w:t>
      </w:r>
      <w:r>
        <w:rPr>
          <w:i/>
          <w:sz w:val="24"/>
        </w:rPr>
        <w:t>the</w:t>
      </w:r>
      <w:r>
        <w:rPr>
          <w:i/>
          <w:spacing w:val="-3"/>
          <w:sz w:val="24"/>
        </w:rPr>
        <w:t> </w:t>
      </w:r>
      <w:r>
        <w:rPr>
          <w:i/>
          <w:sz w:val="24"/>
        </w:rPr>
        <w:t>TCJA</w:t>
      </w:r>
      <w:r>
        <w:rPr>
          <w:i/>
          <w:spacing w:val="-3"/>
          <w:sz w:val="24"/>
        </w:rPr>
        <w:t> </w:t>
      </w:r>
      <w:r>
        <w:rPr>
          <w:i/>
          <w:sz w:val="24"/>
        </w:rPr>
        <w:t>reverse</w:t>
      </w:r>
      <w:r>
        <w:rPr>
          <w:i/>
          <w:spacing w:val="-3"/>
          <w:sz w:val="24"/>
        </w:rPr>
        <w:t> </w:t>
      </w:r>
      <w:r>
        <w:rPr>
          <w:i/>
          <w:sz w:val="24"/>
        </w:rPr>
        <w:t>the</w:t>
      </w:r>
      <w:r>
        <w:rPr>
          <w:i/>
          <w:spacing w:val="-3"/>
          <w:sz w:val="24"/>
        </w:rPr>
        <w:t> </w:t>
      </w:r>
      <w:r>
        <w:rPr>
          <w:i/>
          <w:sz w:val="24"/>
        </w:rPr>
        <w:t>downward</w:t>
      </w:r>
      <w:r>
        <w:rPr>
          <w:i/>
          <w:spacing w:val="-3"/>
          <w:sz w:val="24"/>
        </w:rPr>
        <w:t> </w:t>
      </w:r>
      <w:r>
        <w:rPr>
          <w:i/>
          <w:sz w:val="24"/>
        </w:rPr>
        <w:t>trend</w:t>
      </w:r>
      <w:r>
        <w:rPr>
          <w:i/>
          <w:spacing w:val="-3"/>
          <w:sz w:val="24"/>
        </w:rPr>
        <w:t> </w:t>
      </w:r>
      <w:r>
        <w:rPr>
          <w:i/>
          <w:sz w:val="24"/>
        </w:rPr>
        <w:t>in</w:t>
      </w:r>
      <w:r>
        <w:rPr>
          <w:i/>
          <w:spacing w:val="-3"/>
          <w:sz w:val="24"/>
        </w:rPr>
        <w:t> </w:t>
      </w:r>
      <w:r>
        <w:rPr>
          <w:i/>
          <w:sz w:val="24"/>
        </w:rPr>
        <w:t>cash</w:t>
      </w:r>
      <w:r>
        <w:rPr>
          <w:i/>
          <w:spacing w:val="-3"/>
          <w:sz w:val="24"/>
        </w:rPr>
        <w:t> </w:t>
      </w:r>
      <w:r>
        <w:rPr>
          <w:i/>
          <w:spacing w:val="-2"/>
          <w:sz w:val="24"/>
        </w:rPr>
        <w:t>ETRs?</w:t>
      </w:r>
    </w:p>
    <w:p>
      <w:pPr>
        <w:pStyle w:val="BodyText"/>
        <w:rPr>
          <w:i/>
        </w:rPr>
      </w:pPr>
    </w:p>
    <w:p>
      <w:pPr>
        <w:pStyle w:val="BodyText"/>
        <w:spacing w:line="244" w:lineRule="auto"/>
        <w:ind w:left="712" w:right="1366" w:firstLine="15"/>
      </w:pPr>
      <w:r>
        <w:rPr/>
        <w:t>Figure</w:t>
      </w:r>
      <w:r>
        <w:rPr>
          <w:spacing w:val="-3"/>
        </w:rPr>
        <w:t> </w:t>
      </w:r>
      <w:r>
        <w:rPr/>
        <w:t>1</w:t>
      </w:r>
      <w:r>
        <w:rPr>
          <w:spacing w:val="-3"/>
        </w:rPr>
        <w:t> </w:t>
      </w:r>
      <w:r>
        <w:rPr/>
        <w:t>presents</w:t>
      </w:r>
      <w:r>
        <w:rPr>
          <w:spacing w:val="-3"/>
        </w:rPr>
        <w:t> </w:t>
      </w:r>
      <w:r>
        <w:rPr/>
        <w:t>a</w:t>
      </w:r>
      <w:r>
        <w:rPr>
          <w:spacing w:val="-3"/>
        </w:rPr>
        <w:t> </w:t>
      </w:r>
      <w:r>
        <w:rPr/>
        <w:t>complex</w:t>
      </w:r>
      <w:r>
        <w:rPr>
          <w:spacing w:val="-3"/>
        </w:rPr>
        <w:t> </w:t>
      </w:r>
      <w:r>
        <w:rPr/>
        <w:t>picture</w:t>
      </w:r>
      <w:r>
        <w:rPr>
          <w:spacing w:val="-3"/>
        </w:rPr>
        <w:t> </w:t>
      </w:r>
      <w:r>
        <w:rPr/>
        <w:t>of</w:t>
      </w:r>
      <w:r>
        <w:rPr>
          <w:spacing w:val="-3"/>
        </w:rPr>
        <w:t> </w:t>
      </w:r>
      <w:r>
        <w:rPr/>
        <w:t>post-TCJA</w:t>
      </w:r>
      <w:r>
        <w:rPr>
          <w:spacing w:val="-3"/>
        </w:rPr>
        <w:t> </w:t>
      </w:r>
      <w:r>
        <w:rPr/>
        <w:t>effective</w:t>
      </w:r>
      <w:r>
        <w:rPr>
          <w:spacing w:val="-3"/>
        </w:rPr>
        <w:t> </w:t>
      </w:r>
      <w:r>
        <w:rPr/>
        <w:t>tax</w:t>
      </w:r>
      <w:r>
        <w:rPr>
          <w:spacing w:val="-3"/>
        </w:rPr>
        <w:t> </w:t>
      </w:r>
      <w:r>
        <w:rPr/>
        <w:t>rate</w:t>
      </w:r>
      <w:r>
        <w:rPr>
          <w:spacing w:val="-3"/>
        </w:rPr>
        <w:t> </w:t>
      </w:r>
      <w:r>
        <w:rPr/>
        <w:t>trends.</w:t>
      </w:r>
      <w:r>
        <w:rPr>
          <w:spacing w:val="-3"/>
        </w:rPr>
        <w:t> </w:t>
      </w:r>
      <w:r>
        <w:rPr/>
        <w:t>The</w:t>
      </w:r>
      <w:r>
        <w:rPr>
          <w:spacing w:val="-3"/>
        </w:rPr>
        <w:t> </w:t>
      </w:r>
      <w:r>
        <w:rPr/>
        <w:t>average</w:t>
      </w:r>
      <w:r>
        <w:rPr>
          <w:spacing w:val="-3"/>
        </w:rPr>
        <w:t> </w:t>
      </w:r>
      <w:r>
        <w:rPr/>
        <w:t>cash</w:t>
      </w:r>
      <w:r>
        <w:rPr>
          <w:spacing w:val="-3"/>
        </w:rPr>
        <w:t> </w:t>
      </w:r>
      <w:r>
        <w:rPr/>
        <w:t>ETR (blue</w:t>
      </w:r>
      <w:r>
        <w:rPr>
          <w:spacing w:val="28"/>
        </w:rPr>
        <w:t> </w:t>
      </w:r>
      <w:r>
        <w:rPr/>
        <w:t>line)</w:t>
      </w:r>
      <w:r>
        <w:rPr>
          <w:spacing w:val="28"/>
        </w:rPr>
        <w:t> </w:t>
      </w:r>
      <w:r>
        <w:rPr/>
        <w:t>appears</w:t>
      </w:r>
      <w:r>
        <w:rPr>
          <w:spacing w:val="28"/>
        </w:rPr>
        <w:t> </w:t>
      </w:r>
      <w:r>
        <w:rPr/>
        <w:t>to</w:t>
      </w:r>
      <w:r>
        <w:rPr>
          <w:spacing w:val="28"/>
        </w:rPr>
        <w:t> </w:t>
      </w:r>
      <w:r>
        <w:rPr/>
        <w:t>stabilize</w:t>
      </w:r>
      <w:r>
        <w:rPr>
          <w:spacing w:val="28"/>
        </w:rPr>
        <w:t> </w:t>
      </w:r>
      <w:r>
        <w:rPr/>
        <w:t>after</w:t>
      </w:r>
      <w:r>
        <w:rPr>
          <w:spacing w:val="28"/>
        </w:rPr>
        <w:t> </w:t>
      </w:r>
      <w:r>
        <w:rPr/>
        <w:t>2017,</w:t>
      </w:r>
      <w:r>
        <w:rPr>
          <w:spacing w:val="28"/>
        </w:rPr>
        <w:t> </w:t>
      </w:r>
      <w:r>
        <w:rPr/>
        <w:t>remaining</w:t>
      </w:r>
      <w:r>
        <w:rPr>
          <w:spacing w:val="28"/>
        </w:rPr>
        <w:t> </w:t>
      </w:r>
      <w:r>
        <w:rPr/>
        <w:t>elevated</w:t>
      </w:r>
      <w:r>
        <w:rPr>
          <w:spacing w:val="28"/>
        </w:rPr>
        <w:t> </w:t>
      </w:r>
      <w:r>
        <w:rPr/>
        <w:t>at</w:t>
      </w:r>
      <w:r>
        <w:rPr>
          <w:spacing w:val="28"/>
        </w:rPr>
        <w:t> </w:t>
      </w:r>
      <w:r>
        <w:rPr/>
        <w:t>24-30%—well above the 21% statutory federal rate. However, this elevation is misleading: cash ETR captures</w:t>
      </w:r>
      <w:r>
        <w:rPr>
          <w:spacing w:val="-3"/>
        </w:rPr>
        <w:t> </w:t>
      </w:r>
      <w:r>
        <w:rPr/>
        <w:t>all</w:t>
      </w:r>
      <w:r>
        <w:rPr>
          <w:spacing w:val="-3"/>
        </w:rPr>
        <w:t> </w:t>
      </w:r>
      <w:r>
        <w:rPr/>
        <w:t>tax</w:t>
      </w:r>
      <w:r>
        <w:rPr>
          <w:spacing w:val="-3"/>
        </w:rPr>
        <w:t> </w:t>
      </w:r>
      <w:r>
        <w:rPr/>
        <w:t>payments including federal, state, local, and foreign taxes, and most importantly, includes substantial one time</w:t>
      </w:r>
      <w:r>
        <w:rPr>
          <w:spacing w:val="40"/>
        </w:rPr>
        <w:t> </w:t>
      </w:r>
      <w:r>
        <w:rPr/>
        <w:t>transition</w:t>
      </w:r>
      <w:r>
        <w:rPr>
          <w:spacing w:val="40"/>
        </w:rPr>
        <w:t> </w:t>
      </w:r>
      <w:r>
        <w:rPr/>
        <w:t>tax</w:t>
      </w:r>
      <w:r>
        <w:rPr>
          <w:spacing w:val="40"/>
        </w:rPr>
        <w:t> </w:t>
      </w:r>
      <w:r>
        <w:rPr/>
        <w:t>payments</w:t>
      </w:r>
      <w:r>
        <w:rPr>
          <w:spacing w:val="40"/>
        </w:rPr>
        <w:t> </w:t>
      </w:r>
      <w:r>
        <w:rPr/>
        <w:t>on</w:t>
      </w:r>
      <w:r>
        <w:rPr>
          <w:spacing w:val="40"/>
        </w:rPr>
        <w:t> </w:t>
      </w:r>
      <w:r>
        <w:rPr/>
        <w:t>previously</w:t>
      </w:r>
      <w:r>
        <w:rPr>
          <w:spacing w:val="40"/>
        </w:rPr>
        <w:t> </w:t>
      </w:r>
      <w:r>
        <w:rPr/>
        <w:t>unrepatriated</w:t>
      </w:r>
      <w:r>
        <w:rPr>
          <w:spacing w:val="40"/>
        </w:rPr>
        <w:t> </w:t>
      </w:r>
      <w:r>
        <w:rPr/>
        <w:t>foreign</w:t>
      </w:r>
      <w:r>
        <w:rPr>
          <w:spacing w:val="40"/>
        </w:rPr>
        <w:t> </w:t>
      </w:r>
      <w:r>
        <w:rPr/>
        <w:t>earnings.</w:t>
      </w:r>
      <w:r>
        <w:rPr>
          <w:spacing w:val="40"/>
        </w:rPr>
        <w:t> </w:t>
      </w:r>
      <w:r>
        <w:rPr/>
        <w:t>These</w:t>
      </w:r>
      <w:r>
        <w:rPr>
          <w:spacing w:val="40"/>
        </w:rPr>
        <w:t> </w:t>
      </w:r>
      <w:r>
        <w:rPr/>
        <w:t>mandatory payments,</w:t>
      </w:r>
      <w:r>
        <w:rPr>
          <w:spacing w:val="40"/>
        </w:rPr>
        <w:t> </w:t>
      </w:r>
      <w:r>
        <w:rPr/>
        <w:t>spread</w:t>
      </w:r>
      <w:r>
        <w:rPr>
          <w:spacing w:val="29"/>
        </w:rPr>
        <w:t> </w:t>
      </w:r>
      <w:r>
        <w:rPr/>
        <w:t>over</w:t>
      </w:r>
      <w:r>
        <w:rPr>
          <w:spacing w:val="29"/>
        </w:rPr>
        <w:t> </w:t>
      </w:r>
      <w:r>
        <w:rPr/>
        <w:t>eight</w:t>
      </w:r>
      <w:r>
        <w:rPr>
          <w:spacing w:val="29"/>
        </w:rPr>
        <w:t> </w:t>
      </w:r>
      <w:r>
        <w:rPr/>
        <w:t>years</w:t>
      </w:r>
      <w:r>
        <w:rPr>
          <w:spacing w:val="29"/>
        </w:rPr>
        <w:t> </w:t>
      </w:r>
      <w:r>
        <w:rPr/>
        <w:t>under</w:t>
      </w:r>
      <w:r>
        <w:rPr>
          <w:spacing w:val="29"/>
        </w:rPr>
        <w:t> </w:t>
      </w:r>
      <w:r>
        <w:rPr/>
        <w:t>TCJA</w:t>
      </w:r>
      <w:r>
        <w:rPr>
          <w:spacing w:val="29"/>
        </w:rPr>
        <w:t> </w:t>
      </w:r>
      <w:r>
        <w:rPr/>
        <w:t>provisions,</w:t>
      </w:r>
      <w:r>
        <w:rPr>
          <w:spacing w:val="29"/>
        </w:rPr>
        <w:t> </w:t>
      </w:r>
      <w:r>
        <w:rPr/>
        <w:t>artificially</w:t>
      </w:r>
      <w:r>
        <w:rPr>
          <w:spacing w:val="29"/>
        </w:rPr>
        <w:t> </w:t>
      </w:r>
      <w:r>
        <w:rPr/>
        <w:t>inflate</w:t>
      </w:r>
      <w:r>
        <w:rPr>
          <w:spacing w:val="29"/>
        </w:rPr>
        <w:t> </w:t>
      </w:r>
      <w:r>
        <w:rPr/>
        <w:t>cash</w:t>
      </w:r>
      <w:r>
        <w:rPr>
          <w:spacing w:val="29"/>
        </w:rPr>
        <w:t> </w:t>
      </w:r>
      <w:r>
        <w:rPr/>
        <w:t>ETR</w:t>
      </w:r>
      <w:r>
        <w:rPr>
          <w:spacing w:val="29"/>
        </w:rPr>
        <w:t> </w:t>
      </w:r>
      <w:r>
        <w:rPr/>
        <w:t>during 2018-2024,</w:t>
      </w:r>
      <w:r>
        <w:rPr>
          <w:spacing w:val="40"/>
        </w:rPr>
        <w:t> </w:t>
      </w:r>
      <w:r>
        <w:rPr/>
        <w:t>making</w:t>
      </w:r>
      <w:r>
        <w:rPr>
          <w:spacing w:val="40"/>
        </w:rPr>
        <w:t> </w:t>
      </w:r>
      <w:r>
        <w:rPr/>
        <w:t>it</w:t>
      </w:r>
      <w:r>
        <w:rPr>
          <w:spacing w:val="40"/>
        </w:rPr>
        <w:t> </w:t>
      </w:r>
      <w:r>
        <w:rPr/>
        <w:t>difficult</w:t>
      </w:r>
      <w:r>
        <w:rPr>
          <w:spacing w:val="40"/>
        </w:rPr>
        <w:t> </w:t>
      </w:r>
      <w:r>
        <w:rPr/>
        <w:t>to</w:t>
      </w:r>
      <w:r>
        <w:rPr>
          <w:spacing w:val="40"/>
        </w:rPr>
        <w:t> </w:t>
      </w:r>
      <w:r>
        <w:rPr/>
        <w:t>assess</w:t>
      </w:r>
      <w:r>
        <w:rPr>
          <w:spacing w:val="40"/>
        </w:rPr>
        <w:t> </w:t>
      </w:r>
      <w:r>
        <w:rPr/>
        <w:t>whether</w:t>
      </w:r>
      <w:r>
        <w:rPr>
          <w:spacing w:val="40"/>
        </w:rPr>
        <w:t> </w:t>
      </w:r>
      <w:r>
        <w:rPr/>
        <w:t>underlying</w:t>
      </w:r>
      <w:r>
        <w:rPr>
          <w:spacing w:val="40"/>
        </w:rPr>
        <w:t> </w:t>
      </w:r>
      <w:r>
        <w:rPr/>
        <w:t>tax</w:t>
      </w:r>
      <w:r>
        <w:rPr>
          <w:spacing w:val="40"/>
        </w:rPr>
        <w:t> </w:t>
      </w:r>
      <w:r>
        <w:rPr/>
        <w:t>avoidance</w:t>
      </w:r>
      <w:r>
        <w:rPr>
          <w:spacing w:val="40"/>
        </w:rPr>
        <w:t> </w:t>
      </w:r>
      <w:r>
        <w:rPr/>
        <w:t>trends</w:t>
      </w:r>
      <w:r>
        <w:rPr>
          <w:spacing w:val="40"/>
        </w:rPr>
        <w:t> </w:t>
      </w:r>
      <w:r>
        <w:rPr/>
        <w:t>have</w:t>
      </w:r>
      <w:r>
        <w:rPr>
          <w:spacing w:val="40"/>
        </w:rPr>
        <w:t> </w:t>
      </w:r>
      <w:r>
        <w:rPr/>
        <w:t>truly </w:t>
      </w:r>
      <w:r>
        <w:rPr>
          <w:spacing w:val="-2"/>
        </w:rPr>
        <w:t>reversed.</w:t>
      </w:r>
    </w:p>
    <w:p>
      <w:pPr>
        <w:pStyle w:val="BodyText"/>
        <w:spacing w:before="256"/>
        <w:ind w:left="727" w:right="1364"/>
        <w:jc w:val="both"/>
      </w:pPr>
      <w:r>
        <w:rPr/>
        <w:t>The federal (GAAP) ETR (orange line) provides clearer insight into domestic</w:t>
      </w:r>
      <w:r>
        <w:rPr>
          <w:spacing w:val="-3"/>
        </w:rPr>
        <w:t> </w:t>
      </w:r>
      <w:r>
        <w:rPr/>
        <w:t>tax</w:t>
      </w:r>
      <w:r>
        <w:rPr>
          <w:spacing w:val="-3"/>
        </w:rPr>
        <w:t> </w:t>
      </w:r>
      <w:r>
        <w:rPr/>
        <w:t>compliance</w:t>
      </w:r>
      <w:r>
        <w:rPr>
          <w:spacing w:val="-3"/>
        </w:rPr>
        <w:t> </w:t>
      </w:r>
      <w:r>
        <w:rPr/>
        <w:t>by isolating federal tax expense. Strikingly, federal ETR dropped sharply from 18-19% in 2017 to 10- 12% during 2018-2020, roughly half the statutory rate. This relative tax avoidance</w:t>
      </w:r>
      <w:r>
        <w:rPr>
          <w:spacing w:val="-2"/>
        </w:rPr>
        <w:t> </w:t>
      </w:r>
      <w:r>
        <w:rPr/>
        <w:t>is</w:t>
      </w:r>
      <w:r>
        <w:rPr>
          <w:spacing w:val="-2"/>
        </w:rPr>
        <w:t> </w:t>
      </w:r>
      <w:r>
        <w:rPr/>
        <w:t>similar to</w:t>
      </w:r>
      <w:r>
        <w:rPr>
          <w:spacing w:val="40"/>
        </w:rPr>
        <w:t> </w:t>
      </w:r>
      <w:r>
        <w:rPr/>
        <w:t>that prior to 2017.</w:t>
      </w:r>
      <w:r>
        <w:rPr>
          <w:spacing w:val="-3"/>
        </w:rPr>
        <w:t> </w:t>
      </w:r>
      <w:r>
        <w:rPr/>
        <w:t>This</w:t>
      </w:r>
      <w:r>
        <w:rPr>
          <w:spacing w:val="-3"/>
        </w:rPr>
        <w:t> </w:t>
      </w:r>
      <w:r>
        <w:rPr/>
        <w:t>persistent</w:t>
      </w:r>
      <w:r>
        <w:rPr>
          <w:spacing w:val="-3"/>
        </w:rPr>
        <w:t> </w:t>
      </w:r>
      <w:r>
        <w:rPr/>
        <w:t>gap</w:t>
      </w:r>
      <w:r>
        <w:rPr>
          <w:spacing w:val="-3"/>
        </w:rPr>
        <w:t> </w:t>
      </w:r>
      <w:r>
        <w:rPr/>
        <w:t>between</w:t>
      </w:r>
      <w:r>
        <w:rPr>
          <w:spacing w:val="-3"/>
        </w:rPr>
        <w:t> </w:t>
      </w:r>
      <w:r>
        <w:rPr/>
        <w:t>statutory</w:t>
      </w:r>
      <w:r>
        <w:rPr>
          <w:spacing w:val="-3"/>
        </w:rPr>
        <w:t> </w:t>
      </w:r>
      <w:r>
        <w:rPr/>
        <w:t>and</w:t>
      </w:r>
      <w:r>
        <w:rPr>
          <w:spacing w:val="-3"/>
        </w:rPr>
        <w:t> </w:t>
      </w:r>
      <w:r>
        <w:rPr/>
        <w:t>effective</w:t>
      </w:r>
      <w:r>
        <w:rPr>
          <w:spacing w:val="-3"/>
        </w:rPr>
        <w:t> </w:t>
      </w:r>
      <w:r>
        <w:rPr/>
        <w:t>rates</w:t>
      </w:r>
      <w:r>
        <w:rPr>
          <w:spacing w:val="-3"/>
        </w:rPr>
        <w:t> </w:t>
      </w:r>
      <w:r>
        <w:rPr/>
        <w:t>suggests</w:t>
      </w:r>
      <w:r>
        <w:rPr>
          <w:spacing w:val="-3"/>
        </w:rPr>
        <w:t> </w:t>
      </w:r>
      <w:r>
        <w:rPr/>
        <w:t>the</w:t>
      </w:r>
      <w:r>
        <w:rPr>
          <w:spacing w:val="-3"/>
        </w:rPr>
        <w:t> </w:t>
      </w:r>
      <w:r>
        <w:rPr/>
        <w:t>TCJA has not effectively reversed the underlying trend in corporate tax avoidance, consistent with our hypothesis that the reform's focus on international provisions failed to address size-based avoidance strategies employed by large domestic corporations.</w:t>
      </w:r>
    </w:p>
    <w:p>
      <w:pPr>
        <w:spacing w:before="272"/>
        <w:ind w:left="712" w:right="0" w:firstLine="0"/>
        <w:jc w:val="left"/>
        <w:rPr>
          <w:i/>
          <w:sz w:val="24"/>
        </w:rPr>
      </w:pPr>
      <w:r>
        <w:rPr>
          <w:i/>
          <w:sz w:val="24"/>
        </w:rPr>
        <w:t>Did</w:t>
      </w:r>
      <w:r>
        <w:rPr>
          <w:i/>
          <w:spacing w:val="-2"/>
          <w:sz w:val="24"/>
        </w:rPr>
        <w:t> </w:t>
      </w:r>
      <w:r>
        <w:rPr>
          <w:i/>
          <w:sz w:val="24"/>
        </w:rPr>
        <w:t>the</w:t>
      </w:r>
      <w:r>
        <w:rPr>
          <w:i/>
          <w:spacing w:val="-2"/>
          <w:sz w:val="24"/>
        </w:rPr>
        <w:t> </w:t>
      </w:r>
      <w:r>
        <w:rPr>
          <w:i/>
          <w:sz w:val="24"/>
        </w:rPr>
        <w:t>TCJA</w:t>
      </w:r>
      <w:r>
        <w:rPr>
          <w:i/>
          <w:spacing w:val="-2"/>
          <w:sz w:val="24"/>
        </w:rPr>
        <w:t> </w:t>
      </w:r>
      <w:r>
        <w:rPr>
          <w:i/>
          <w:sz w:val="24"/>
        </w:rPr>
        <w:t>make</w:t>
      </w:r>
      <w:r>
        <w:rPr>
          <w:i/>
          <w:spacing w:val="-2"/>
          <w:sz w:val="24"/>
        </w:rPr>
        <w:t> </w:t>
      </w:r>
      <w:r>
        <w:rPr>
          <w:i/>
          <w:sz w:val="24"/>
        </w:rPr>
        <w:t>multinational</w:t>
      </w:r>
      <w:r>
        <w:rPr>
          <w:i/>
          <w:spacing w:val="-1"/>
          <w:sz w:val="24"/>
        </w:rPr>
        <w:t> </w:t>
      </w:r>
      <w:r>
        <w:rPr>
          <w:i/>
          <w:sz w:val="24"/>
        </w:rPr>
        <w:t>or</w:t>
      </w:r>
      <w:r>
        <w:rPr>
          <w:i/>
          <w:spacing w:val="-2"/>
          <w:sz w:val="24"/>
        </w:rPr>
        <w:t> </w:t>
      </w:r>
      <w:r>
        <w:rPr>
          <w:i/>
          <w:sz w:val="24"/>
        </w:rPr>
        <w:t>large</w:t>
      </w:r>
      <w:r>
        <w:rPr>
          <w:i/>
          <w:spacing w:val="-2"/>
          <w:sz w:val="24"/>
        </w:rPr>
        <w:t> </w:t>
      </w:r>
      <w:r>
        <w:rPr>
          <w:i/>
          <w:sz w:val="24"/>
        </w:rPr>
        <w:t>corporations</w:t>
      </w:r>
      <w:r>
        <w:rPr>
          <w:i/>
          <w:spacing w:val="-2"/>
          <w:sz w:val="24"/>
        </w:rPr>
        <w:t> </w:t>
      </w:r>
      <w:r>
        <w:rPr>
          <w:i/>
          <w:sz w:val="24"/>
        </w:rPr>
        <w:t>pay</w:t>
      </w:r>
      <w:r>
        <w:rPr>
          <w:i/>
          <w:spacing w:val="-2"/>
          <w:sz w:val="24"/>
        </w:rPr>
        <w:t> </w:t>
      </w:r>
      <w:r>
        <w:rPr>
          <w:i/>
          <w:sz w:val="24"/>
        </w:rPr>
        <w:t>more</w:t>
      </w:r>
      <w:r>
        <w:rPr>
          <w:i/>
          <w:spacing w:val="-1"/>
          <w:sz w:val="24"/>
        </w:rPr>
        <w:t> </w:t>
      </w:r>
      <w:r>
        <w:rPr>
          <w:i/>
          <w:spacing w:val="-4"/>
          <w:sz w:val="24"/>
        </w:rPr>
        <w:t>tax?</w:t>
      </w:r>
    </w:p>
    <w:p>
      <w:pPr>
        <w:pStyle w:val="BodyText"/>
        <w:spacing w:before="107"/>
        <w:rPr>
          <w:i/>
        </w:rPr>
      </w:pPr>
    </w:p>
    <w:p>
      <w:pPr>
        <w:pStyle w:val="BodyText"/>
        <w:ind w:left="712" w:right="1363" w:firstLine="15"/>
        <w:jc w:val="both"/>
      </w:pPr>
      <w:r>
        <w:rPr/>
        <w:t>Figure 2 reports the coefficients</w:t>
      </w:r>
      <w:r>
        <w:rPr>
          <w:spacing w:val="-3"/>
        </w:rPr>
        <w:t> </w:t>
      </w:r>
      <w:r>
        <w:rPr/>
        <w:t>on</w:t>
      </w:r>
      <w:r>
        <w:rPr>
          <w:spacing w:val="-3"/>
        </w:rPr>
        <w:t> </w:t>
      </w:r>
      <w:r>
        <w:rPr/>
        <w:t>SIZE</w:t>
      </w:r>
      <w:r>
        <w:rPr>
          <w:spacing w:val="-3"/>
        </w:rPr>
        <w:t> </w:t>
      </w:r>
      <w:r>
        <w:rPr/>
        <w:t>and</w:t>
      </w:r>
      <w:r>
        <w:rPr>
          <w:spacing w:val="-3"/>
        </w:rPr>
        <w:t> </w:t>
      </w:r>
      <w:r>
        <w:rPr/>
        <w:t>FI</w:t>
      </w:r>
      <w:r>
        <w:rPr>
          <w:spacing w:val="-3"/>
        </w:rPr>
        <w:t> </w:t>
      </w:r>
      <w:r>
        <w:rPr/>
        <w:t>from</w:t>
      </w:r>
      <w:r>
        <w:rPr>
          <w:spacing w:val="-3"/>
        </w:rPr>
        <w:t> </w:t>
      </w:r>
      <w:r>
        <w:rPr/>
        <w:t>annual</w:t>
      </w:r>
      <w:r>
        <w:rPr>
          <w:spacing w:val="-3"/>
        </w:rPr>
        <w:t> </w:t>
      </w:r>
      <w:r>
        <w:rPr/>
        <w:t>cross-sectional</w:t>
      </w:r>
      <w:r>
        <w:rPr>
          <w:spacing w:val="-3"/>
        </w:rPr>
        <w:t> </w:t>
      </w:r>
      <w:r>
        <w:rPr/>
        <w:t>regressions</w:t>
      </w:r>
      <w:r>
        <w:rPr>
          <w:spacing w:val="-3"/>
        </w:rPr>
        <w:t> </w:t>
      </w:r>
      <w:r>
        <w:rPr/>
        <w:t>based</w:t>
      </w:r>
      <w:r>
        <w:rPr>
          <w:spacing w:val="-3"/>
        </w:rPr>
        <w:t> </w:t>
      </w:r>
      <w:r>
        <w:rPr/>
        <w:t>on Equation (1). To ensure comparability across the statutory rate change, we scale all post-2017 coefficients by 35/21 to express them in terms of the pre-TCJA statutory rate.</w:t>
      </w:r>
      <w:r>
        <w:rPr>
          <w:spacing w:val="-3"/>
        </w:rPr>
        <w:t> </w:t>
      </w:r>
      <w:r>
        <w:rPr/>
        <w:t>The</w:t>
      </w:r>
      <w:r>
        <w:rPr>
          <w:spacing w:val="-3"/>
        </w:rPr>
        <w:t> </w:t>
      </w:r>
      <w:r>
        <w:rPr/>
        <w:t>coefficient</w:t>
      </w:r>
      <w:r>
        <w:rPr>
          <w:spacing w:val="-3"/>
        </w:rPr>
        <w:t> </w:t>
      </w:r>
      <w:r>
        <w:rPr/>
        <w:t>on foreign income (FI, orange line, right axis) shows a dramatic spike after 2017, surging from approximately 3-6 in the pre-TCJA period to peaks of 17-19 during 2018-2020, before</w:t>
      </w:r>
      <w:r>
        <w:rPr>
          <w:spacing w:val="40"/>
        </w:rPr>
        <w:t> </w:t>
      </w:r>
      <w:r>
        <w:rPr/>
        <w:t>moderating</w:t>
      </w:r>
      <w:r>
        <w:rPr>
          <w:spacing w:val="40"/>
        </w:rPr>
        <w:t> </w:t>
      </w:r>
      <w:r>
        <w:rPr/>
        <w:t>to around 10-12 by 2024. This massive increase in the FI coefficient—roughly a tripling to</w:t>
      </w:r>
      <w:r>
        <w:rPr>
          <w:spacing w:val="40"/>
        </w:rPr>
        <w:t> </w:t>
      </w:r>
      <w:r>
        <w:rPr/>
        <w:t>quadrupling of its pre-TCJA magnitude—indicates that foreign income has become strongly and</w:t>
      </w:r>
      <w:r>
        <w:rPr>
          <w:spacing w:val="80"/>
        </w:rPr>
        <w:t> </w:t>
      </w:r>
      <w:r>
        <w:rPr/>
        <w:t>positively associated with higher tax payments post-TCJA. This pattern confirms that the reform's</w:t>
      </w:r>
      <w:r>
        <w:rPr>
          <w:spacing w:val="40"/>
        </w:rPr>
        <w:t> </w:t>
      </w:r>
      <w:r>
        <w:rPr/>
        <w:t>international provisions—GILTI (minimum tax on foreign intangible income), BEAT</w:t>
      </w:r>
      <w:r>
        <w:rPr>
          <w:spacing w:val="40"/>
        </w:rPr>
        <w:t> </w:t>
      </w:r>
      <w:r>
        <w:rPr/>
        <w:t>(base</w:t>
      </w:r>
      <w:r>
        <w:rPr>
          <w:spacing w:val="80"/>
        </w:rPr>
        <w:t> </w:t>
      </w:r>
      <w:r>
        <w:rPr/>
        <w:t>erosion</w:t>
      </w:r>
      <w:r>
        <w:rPr>
          <w:spacing w:val="40"/>
        </w:rPr>
        <w:t> </w:t>
      </w:r>
      <w:r>
        <w:rPr/>
        <w:t>anti-abuse</w:t>
      </w:r>
      <w:r>
        <w:rPr>
          <w:spacing w:val="40"/>
        </w:rPr>
        <w:t> </w:t>
      </w:r>
      <w:r>
        <w:rPr/>
        <w:t>tax),</w:t>
      </w:r>
      <w:r>
        <w:rPr>
          <w:spacing w:val="40"/>
        </w:rPr>
        <w:t> </w:t>
      </w:r>
      <w:r>
        <w:rPr/>
        <w:t>and</w:t>
      </w:r>
      <w:r>
        <w:rPr>
          <w:spacing w:val="40"/>
        </w:rPr>
        <w:t> </w:t>
      </w:r>
      <w:r>
        <w:rPr/>
        <w:t>the</w:t>
      </w:r>
      <w:r>
        <w:rPr>
          <w:spacing w:val="40"/>
        </w:rPr>
        <w:t> </w:t>
      </w:r>
      <w:r>
        <w:rPr/>
        <w:t>one-time</w:t>
      </w:r>
      <w:r>
        <w:rPr>
          <w:spacing w:val="40"/>
        </w:rPr>
        <w:t> </w:t>
      </w:r>
      <w:r>
        <w:rPr/>
        <w:t>transition</w:t>
      </w:r>
      <w:r>
        <w:rPr>
          <w:spacing w:val="40"/>
        </w:rPr>
        <w:t> </w:t>
      </w:r>
      <w:r>
        <w:rPr/>
        <w:t>tax</w:t>
      </w:r>
      <w:r>
        <w:rPr>
          <w:spacing w:val="40"/>
        </w:rPr>
        <w:t> </w:t>
      </w:r>
      <w:r>
        <w:rPr/>
        <w:t>on</w:t>
      </w:r>
      <w:r>
        <w:rPr>
          <w:spacing w:val="40"/>
        </w:rPr>
        <w:t> </w:t>
      </w:r>
      <w:r>
        <w:rPr/>
        <w:t>unrepatriated earnings—successfully</w:t>
      </w:r>
      <w:r>
        <w:rPr>
          <w:spacing w:val="40"/>
        </w:rPr>
        <w:t> </w:t>
      </w:r>
      <w:r>
        <w:rPr/>
        <w:t>and substantially increased tax burdens on multinational corporations. Critically,</w:t>
      </w:r>
      <w:r>
        <w:rPr>
          <w:spacing w:val="40"/>
        </w:rPr>
        <w:t> </w:t>
      </w:r>
      <w:r>
        <w:rPr/>
        <w:t>however, multinationals were already paying more tax than domestic firms before 2017: the FI</w:t>
      </w:r>
      <w:r>
        <w:rPr>
          <w:spacing w:val="40"/>
        </w:rPr>
        <w:t> </w:t>
      </w:r>
      <w:r>
        <w:rPr/>
        <w:t>coefficient was consistently positive throughout the entire pre-TCJA period, demonstrating that the TCJA intensified an existing pattern rather than correcting the tax avoidance concerns before</w:t>
      </w:r>
      <w:r>
        <w:rPr>
          <w:spacing w:val="40"/>
        </w:rPr>
        <w:t> </w:t>
      </w:r>
      <w:r>
        <w:rPr/>
        <w:t>2017.</w:t>
      </w:r>
    </w:p>
    <w:p>
      <w:pPr>
        <w:pStyle w:val="BodyText"/>
        <w:spacing w:before="271"/>
        <w:ind w:left="712" w:right="1387" w:firstLine="15"/>
        <w:jc w:val="both"/>
      </w:pPr>
      <w:r>
        <w:rPr/>
        <w:t>In stark contrast, the coefficient</w:t>
      </w:r>
      <w:r>
        <w:rPr>
          <w:spacing w:val="-3"/>
        </w:rPr>
        <w:t> </w:t>
      </w:r>
      <w:r>
        <w:rPr/>
        <w:t>on</w:t>
      </w:r>
      <w:r>
        <w:rPr>
          <w:spacing w:val="-3"/>
        </w:rPr>
        <w:t> </w:t>
      </w:r>
      <w:r>
        <w:rPr/>
        <w:t>SIZE</w:t>
      </w:r>
      <w:r>
        <w:rPr>
          <w:spacing w:val="-3"/>
        </w:rPr>
        <w:t> </w:t>
      </w:r>
      <w:r>
        <w:rPr/>
        <w:t>(blue</w:t>
      </w:r>
      <w:r>
        <w:rPr>
          <w:spacing w:val="-3"/>
        </w:rPr>
        <w:t> </w:t>
      </w:r>
      <w:r>
        <w:rPr/>
        <w:t>line,</w:t>
      </w:r>
      <w:r>
        <w:rPr>
          <w:spacing w:val="-3"/>
        </w:rPr>
        <w:t> </w:t>
      </w:r>
      <w:r>
        <w:rPr/>
        <w:t>left</w:t>
      </w:r>
      <w:r>
        <w:rPr>
          <w:spacing w:val="-3"/>
        </w:rPr>
        <w:t> </w:t>
      </w:r>
      <w:r>
        <w:rPr/>
        <w:t>axis)</w:t>
      </w:r>
      <w:r>
        <w:rPr>
          <w:spacing w:val="-3"/>
        </w:rPr>
        <w:t> </w:t>
      </w:r>
      <w:r>
        <w:rPr/>
        <w:t>tells</w:t>
      </w:r>
      <w:r>
        <w:rPr>
          <w:spacing w:val="-3"/>
        </w:rPr>
        <w:t> </w:t>
      </w:r>
      <w:r>
        <w:rPr/>
        <w:t>a</w:t>
      </w:r>
      <w:r>
        <w:rPr>
          <w:spacing w:val="-3"/>
        </w:rPr>
        <w:t> </w:t>
      </w:r>
      <w:r>
        <w:rPr/>
        <w:t>fundamentally</w:t>
      </w:r>
      <w:r>
        <w:rPr>
          <w:spacing w:val="-3"/>
        </w:rPr>
        <w:t> </w:t>
      </w:r>
      <w:r>
        <w:rPr/>
        <w:t>different</w:t>
      </w:r>
      <w:r>
        <w:rPr>
          <w:spacing w:val="-3"/>
        </w:rPr>
        <w:t> </w:t>
      </w:r>
      <w:r>
        <w:rPr/>
        <w:t>story about large corporations. Throughout the pre-2017 period, the SIZE coefficient was consistently positive from 1988 through the mid-1990s (ranging from 0.05 to 0.13), indicating that larger</w:t>
      </w:r>
      <w:r>
        <w:rPr>
          <w:spacing w:val="40"/>
        </w:rPr>
        <w:t> </w:t>
      </w:r>
      <w:r>
        <w:rPr/>
        <w:t>firms</w:t>
      </w:r>
      <w:r>
        <w:rPr>
          <w:spacing w:val="59"/>
        </w:rPr>
        <w:t>  </w:t>
      </w:r>
      <w:r>
        <w:rPr/>
        <w:t>actually</w:t>
      </w:r>
      <w:r>
        <w:rPr>
          <w:spacing w:val="59"/>
        </w:rPr>
        <w:t> </w:t>
      </w:r>
      <w:r>
        <w:rPr/>
        <w:t>paid</w:t>
      </w:r>
      <w:r>
        <w:rPr>
          <w:spacing w:val="59"/>
        </w:rPr>
        <w:t> </w:t>
      </w:r>
      <w:r>
        <w:rPr/>
        <w:t>more</w:t>
      </w:r>
      <w:r>
        <w:rPr>
          <w:spacing w:val="60"/>
        </w:rPr>
        <w:t> </w:t>
      </w:r>
      <w:r>
        <w:rPr/>
        <w:t>tax</w:t>
      </w:r>
      <w:r>
        <w:rPr>
          <w:spacing w:val="59"/>
        </w:rPr>
        <w:t> </w:t>
      </w:r>
      <w:r>
        <w:rPr/>
        <w:t>than</w:t>
      </w:r>
      <w:r>
        <w:rPr>
          <w:spacing w:val="59"/>
        </w:rPr>
        <w:t> </w:t>
      </w:r>
      <w:r>
        <w:rPr/>
        <w:t>smaller</w:t>
      </w:r>
      <w:r>
        <w:rPr>
          <w:spacing w:val="59"/>
        </w:rPr>
        <w:t> </w:t>
      </w:r>
      <w:r>
        <w:rPr/>
        <w:t>firms</w:t>
      </w:r>
      <w:r>
        <w:rPr>
          <w:spacing w:val="45"/>
        </w:rPr>
        <w:t> </w:t>
      </w:r>
      <w:r>
        <w:rPr/>
        <w:t>during</w:t>
      </w:r>
      <w:r>
        <w:rPr>
          <w:spacing w:val="44"/>
        </w:rPr>
        <w:t> </w:t>
      </w:r>
      <w:r>
        <w:rPr/>
        <w:t>this</w:t>
      </w:r>
      <w:r>
        <w:rPr>
          <w:spacing w:val="44"/>
        </w:rPr>
        <w:t> </w:t>
      </w:r>
      <w:r>
        <w:rPr/>
        <w:t>era.</w:t>
      </w:r>
      <w:r>
        <w:rPr>
          <w:spacing w:val="45"/>
        </w:rPr>
        <w:t> </w:t>
      </w:r>
      <w:r>
        <w:rPr/>
        <w:t>However,</w:t>
      </w:r>
      <w:r>
        <w:rPr>
          <w:spacing w:val="44"/>
        </w:rPr>
        <w:t> </w:t>
      </w:r>
      <w:r>
        <w:rPr/>
        <w:t>this</w:t>
      </w:r>
      <w:r>
        <w:rPr>
          <w:spacing w:val="45"/>
        </w:rPr>
        <w:t> </w:t>
      </w:r>
      <w:r>
        <w:rPr>
          <w:spacing w:val="-2"/>
        </w:rPr>
        <w:t>relationship</w:t>
      </w:r>
    </w:p>
    <w:p>
      <w:pPr>
        <w:pStyle w:val="BodyText"/>
        <w:spacing w:after="0"/>
        <w:jc w:val="both"/>
        <w:sectPr>
          <w:pgSz w:w="12240" w:h="15840"/>
          <w:pgMar w:header="0" w:footer="739" w:top="640" w:bottom="960" w:left="720" w:right="0"/>
        </w:sectPr>
      </w:pPr>
    </w:p>
    <w:p>
      <w:pPr>
        <w:pStyle w:val="BodyText"/>
        <w:spacing w:before="60"/>
        <w:ind w:left="712" w:right="1379"/>
        <w:jc w:val="both"/>
      </w:pPr>
      <w:r>
        <w:rPr/>
        <w:t>reversed</w:t>
      </w:r>
      <w:r>
        <w:rPr>
          <w:spacing w:val="40"/>
        </w:rPr>
        <w:t> </w:t>
      </w:r>
      <w:r>
        <w:rPr/>
        <w:t>dramatically starting in the late 1990s, with the SIZE coefficient turning negative and declining to</w:t>
      </w:r>
      <w:r>
        <w:rPr>
          <w:spacing w:val="40"/>
        </w:rPr>
        <w:t> </w:t>
      </w:r>
      <w:r>
        <w:rPr/>
        <w:t>approximately -0.05 by the mid-2000s and remaining in the -0.03 to -0.05 </w:t>
      </w:r>
      <w:r>
        <w:rPr/>
        <w:t>range through 2017,</w:t>
      </w:r>
      <w:r>
        <w:rPr>
          <w:spacing w:val="80"/>
        </w:rPr>
        <w:t> </w:t>
      </w:r>
      <w:r>
        <w:rPr/>
        <w:t>reflecting the growing "political power" of large firms to reduce their tax</w:t>
      </w:r>
      <w:r>
        <w:rPr>
          <w:spacing w:val="40"/>
        </w:rPr>
        <w:t> </w:t>
      </w:r>
      <w:r>
        <w:rPr/>
        <w:t>payments relative to</w:t>
      </w:r>
      <w:r>
        <w:rPr>
          <w:spacing w:val="40"/>
        </w:rPr>
        <w:t> </w:t>
      </w:r>
      <w:r>
        <w:rPr/>
        <w:t>smaller firms. Post-TCJA, the SIZE coefficient plunges dramatically to approximately -0.18 in</w:t>
      </w:r>
      <w:r>
        <w:rPr>
          <w:spacing w:val="40"/>
        </w:rPr>
        <w:t> </w:t>
      </w:r>
      <w:r>
        <w:rPr/>
        <w:t>2018 (the most negative value in the entire 36-year time series) before recovering somewhat to</w:t>
      </w:r>
      <w:r>
        <w:rPr>
          <w:spacing w:val="40"/>
        </w:rPr>
        <w:t> </w:t>
      </w:r>
      <w:r>
        <w:rPr/>
        <w:t>around -0.10 by 2024. This persistent negative relationship, and especially the sharp 2018 drop,</w:t>
      </w:r>
      <w:r>
        <w:rPr>
          <w:spacing w:val="80"/>
        </w:rPr>
        <w:t> </w:t>
      </w:r>
      <w:r>
        <w:rPr/>
        <w:t>demonstrates that large firms continue to pay significantly less tax than small firms post-TCJA,</w:t>
      </w:r>
      <w:r>
        <w:rPr>
          <w:spacing w:val="40"/>
        </w:rPr>
        <w:t> </w:t>
      </w:r>
      <w:r>
        <w:rPr/>
        <w:t>and the reform has failed to reverse this size-based tax gap.</w:t>
      </w:r>
    </w:p>
    <w:p>
      <w:pPr>
        <w:pStyle w:val="BodyText"/>
        <w:rPr>
          <w:sz w:val="20"/>
        </w:rPr>
      </w:pPr>
    </w:p>
    <w:p>
      <w:pPr>
        <w:pStyle w:val="BodyText"/>
        <w:spacing w:before="128"/>
        <w:rPr>
          <w:sz w:val="20"/>
        </w:rPr>
      </w:pPr>
      <w:r>
        <w:rPr>
          <w:sz w:val="20"/>
        </w:rPr>
        <w:drawing>
          <wp:anchor distT="0" distB="0" distL="0" distR="0" allowOverlap="1" layoutInCell="1" locked="0" behindDoc="1" simplePos="0" relativeHeight="487613440">
            <wp:simplePos x="0" y="0"/>
            <wp:positionH relativeFrom="page">
              <wp:posOffset>1612693</wp:posOffset>
            </wp:positionH>
            <wp:positionV relativeFrom="paragraph">
              <wp:posOffset>243098</wp:posOffset>
            </wp:positionV>
            <wp:extent cx="4085546" cy="2460593"/>
            <wp:effectExtent l="0" t="0" r="0" b="0"/>
            <wp:wrapTopAndBottom/>
            <wp:docPr id="95" name="Image 95"/>
            <wp:cNvGraphicFramePr>
              <a:graphicFrameLocks/>
            </wp:cNvGraphicFramePr>
            <a:graphic>
              <a:graphicData uri="http://schemas.openxmlformats.org/drawingml/2006/picture">
                <pic:pic>
                  <pic:nvPicPr>
                    <pic:cNvPr id="95" name="Image 95"/>
                    <pic:cNvPicPr/>
                  </pic:nvPicPr>
                  <pic:blipFill>
                    <a:blip r:embed="rId278" cstate="print"/>
                    <a:stretch>
                      <a:fillRect/>
                    </a:stretch>
                  </pic:blipFill>
                  <pic:spPr>
                    <a:xfrm>
                      <a:off x="0" y="0"/>
                      <a:ext cx="4085546" cy="2460593"/>
                    </a:xfrm>
                    <a:prstGeom prst="rect">
                      <a:avLst/>
                    </a:prstGeom>
                  </pic:spPr>
                </pic:pic>
              </a:graphicData>
            </a:graphic>
          </wp:anchor>
        </w:drawing>
      </w:r>
    </w:p>
    <w:p>
      <w:pPr>
        <w:pStyle w:val="BodyText"/>
        <w:spacing w:before="131"/>
      </w:pPr>
    </w:p>
    <w:p>
      <w:pPr>
        <w:pStyle w:val="BodyText"/>
        <w:ind w:left="727" w:right="1365"/>
        <w:jc w:val="both"/>
      </w:pPr>
      <w:r>
        <w:rPr/>
        <w:t>Figure 3 reports the average cash ETRs for domestic versus multinational corporations over </w:t>
      </w:r>
      <w:r>
        <w:rPr/>
        <w:t>the sample period. The figure shows that multinational corporations consistently paid higher taxes than domestic corporations throughout the pre-2017 period. Post-2017, this multinational domestic gap has widened substantially. This divergence reinforces that the TCJA successfully increased tax payments among a group</w:t>
      </w:r>
      <w:r>
        <w:rPr>
          <w:spacing w:val="-2"/>
        </w:rPr>
        <w:t> </w:t>
      </w:r>
      <w:r>
        <w:rPr/>
        <w:t>that</w:t>
      </w:r>
      <w:r>
        <w:rPr>
          <w:spacing w:val="-2"/>
        </w:rPr>
        <w:t> </w:t>
      </w:r>
      <w:r>
        <w:rPr/>
        <w:t>was</w:t>
      </w:r>
      <w:r>
        <w:rPr>
          <w:spacing w:val="-2"/>
        </w:rPr>
        <w:t> </w:t>
      </w:r>
      <w:r>
        <w:rPr/>
        <w:t>already</w:t>
      </w:r>
      <w:r>
        <w:rPr>
          <w:spacing w:val="-2"/>
        </w:rPr>
        <w:t> </w:t>
      </w:r>
      <w:r>
        <w:rPr/>
        <w:t>paying</w:t>
      </w:r>
      <w:r>
        <w:rPr>
          <w:spacing w:val="-2"/>
        </w:rPr>
        <w:t> </w:t>
      </w:r>
      <w:r>
        <w:rPr/>
        <w:t>more,</w:t>
      </w:r>
      <w:r>
        <w:rPr>
          <w:spacing w:val="-2"/>
        </w:rPr>
        <w:t> </w:t>
      </w:r>
      <w:r>
        <w:rPr/>
        <w:t>while</w:t>
      </w:r>
      <w:r>
        <w:rPr>
          <w:spacing w:val="-2"/>
        </w:rPr>
        <w:t> </w:t>
      </w:r>
      <w:r>
        <w:rPr/>
        <w:t>failing</w:t>
      </w:r>
      <w:r>
        <w:rPr>
          <w:spacing w:val="-2"/>
        </w:rPr>
        <w:t> </w:t>
      </w:r>
      <w:r>
        <w:rPr/>
        <w:t>to</w:t>
      </w:r>
      <w:r>
        <w:rPr>
          <w:spacing w:val="-2"/>
        </w:rPr>
        <w:t> </w:t>
      </w:r>
      <w:r>
        <w:rPr/>
        <w:t>address</w:t>
      </w:r>
      <w:r>
        <w:rPr>
          <w:spacing w:val="-2"/>
        </w:rPr>
        <w:t> </w:t>
      </w:r>
      <w:r>
        <w:rPr/>
        <w:t>the lower tax payments among domestic corporations.</w:t>
      </w:r>
    </w:p>
    <w:p>
      <w:pPr>
        <w:pStyle w:val="BodyText"/>
        <w:spacing w:before="87"/>
        <w:rPr>
          <w:sz w:val="20"/>
        </w:rPr>
      </w:pPr>
      <w:r>
        <w:rPr>
          <w:sz w:val="20"/>
        </w:rPr>
        <w:drawing>
          <wp:anchor distT="0" distB="0" distL="0" distR="0" allowOverlap="1" layoutInCell="1" locked="0" behindDoc="1" simplePos="0" relativeHeight="487613952">
            <wp:simplePos x="0" y="0"/>
            <wp:positionH relativeFrom="page">
              <wp:posOffset>1627441</wp:posOffset>
            </wp:positionH>
            <wp:positionV relativeFrom="paragraph">
              <wp:posOffset>216796</wp:posOffset>
            </wp:positionV>
            <wp:extent cx="4030184" cy="2429446"/>
            <wp:effectExtent l="0" t="0" r="0" b="0"/>
            <wp:wrapTopAndBottom/>
            <wp:docPr id="96" name="Image 96"/>
            <wp:cNvGraphicFramePr>
              <a:graphicFrameLocks/>
            </wp:cNvGraphicFramePr>
            <a:graphic>
              <a:graphicData uri="http://schemas.openxmlformats.org/drawingml/2006/picture">
                <pic:pic>
                  <pic:nvPicPr>
                    <pic:cNvPr id="96" name="Image 96"/>
                    <pic:cNvPicPr/>
                  </pic:nvPicPr>
                  <pic:blipFill>
                    <a:blip r:embed="rId279" cstate="print"/>
                    <a:stretch>
                      <a:fillRect/>
                    </a:stretch>
                  </pic:blipFill>
                  <pic:spPr>
                    <a:xfrm>
                      <a:off x="0" y="0"/>
                      <a:ext cx="4030184" cy="2429446"/>
                    </a:xfrm>
                    <a:prstGeom prst="rect">
                      <a:avLst/>
                    </a:prstGeom>
                  </pic:spPr>
                </pic:pic>
              </a:graphicData>
            </a:graphic>
          </wp:anchor>
        </w:drawing>
      </w:r>
    </w:p>
    <w:p>
      <w:pPr>
        <w:pStyle w:val="BodyText"/>
        <w:spacing w:before="91"/>
        <w:ind w:left="727" w:right="1363"/>
        <w:jc w:val="both"/>
      </w:pPr>
      <w:r>
        <w:rPr/>
        <w:t>Figures 4 and 5 provide further evidence of the TCJA's differential impact by reporting </w:t>
      </w:r>
      <w:r>
        <w:rPr/>
        <w:t>annual average cash</w:t>
      </w:r>
      <w:r>
        <w:rPr>
          <w:spacing w:val="-3"/>
        </w:rPr>
        <w:t> </w:t>
      </w:r>
      <w:r>
        <w:rPr/>
        <w:t>ETRs</w:t>
      </w:r>
      <w:r>
        <w:rPr>
          <w:spacing w:val="-3"/>
        </w:rPr>
        <w:t> </w:t>
      </w:r>
      <w:r>
        <w:rPr/>
        <w:t>for</w:t>
      </w:r>
      <w:r>
        <w:rPr>
          <w:spacing w:val="-3"/>
        </w:rPr>
        <w:t> </w:t>
      </w:r>
      <w:r>
        <w:rPr/>
        <w:t>small</w:t>
      </w:r>
      <w:r>
        <w:rPr>
          <w:spacing w:val="-3"/>
        </w:rPr>
        <w:t> </w:t>
      </w:r>
      <w:r>
        <w:rPr/>
        <w:t>(0-25th</w:t>
      </w:r>
      <w:r>
        <w:rPr>
          <w:spacing w:val="-3"/>
        </w:rPr>
        <w:t> </w:t>
      </w:r>
      <w:r>
        <w:rPr/>
        <w:t>percentile),</w:t>
      </w:r>
      <w:r>
        <w:rPr>
          <w:spacing w:val="-3"/>
        </w:rPr>
        <w:t> </w:t>
      </w:r>
      <w:r>
        <w:rPr/>
        <w:t>mid-sized</w:t>
      </w:r>
      <w:r>
        <w:rPr>
          <w:spacing w:val="-3"/>
        </w:rPr>
        <w:t> </w:t>
      </w:r>
      <w:r>
        <w:rPr/>
        <w:t>(25th-75th</w:t>
      </w:r>
      <w:r>
        <w:rPr>
          <w:spacing w:val="-3"/>
        </w:rPr>
        <w:t> </w:t>
      </w:r>
      <w:r>
        <w:rPr/>
        <w:t>percentile),</w:t>
      </w:r>
      <w:r>
        <w:rPr>
          <w:spacing w:val="-3"/>
        </w:rPr>
        <w:t> </w:t>
      </w:r>
      <w:r>
        <w:rPr/>
        <w:t>and</w:t>
      </w:r>
      <w:r>
        <w:rPr>
          <w:spacing w:val="-3"/>
        </w:rPr>
        <w:t> </w:t>
      </w:r>
      <w:r>
        <w:rPr/>
        <w:t>large</w:t>
      </w:r>
      <w:r>
        <w:rPr>
          <w:spacing w:val="-3"/>
        </w:rPr>
        <w:t> </w:t>
      </w:r>
      <w:r>
        <w:rPr/>
        <w:t>(75th 100th percentile) firms, differentiating between multinational (Figure 4) and domestic (Figure</w:t>
      </w:r>
      <w:r>
        <w:rPr>
          <w:spacing w:val="-3"/>
        </w:rPr>
        <w:t> </w:t>
      </w:r>
      <w:r>
        <w:rPr/>
        <w:t>5) corporations.</w:t>
      </w:r>
      <w:r>
        <w:rPr>
          <w:spacing w:val="43"/>
        </w:rPr>
        <w:t> </w:t>
      </w:r>
      <w:r>
        <w:rPr/>
        <w:t>Figure</w:t>
      </w:r>
      <w:r>
        <w:rPr>
          <w:spacing w:val="45"/>
        </w:rPr>
        <w:t> </w:t>
      </w:r>
      <w:r>
        <w:rPr/>
        <w:t>4</w:t>
      </w:r>
      <w:r>
        <w:rPr>
          <w:spacing w:val="45"/>
        </w:rPr>
        <w:t> </w:t>
      </w:r>
      <w:r>
        <w:rPr/>
        <w:t>shows</w:t>
      </w:r>
      <w:r>
        <w:rPr>
          <w:spacing w:val="45"/>
        </w:rPr>
        <w:t> </w:t>
      </w:r>
      <w:r>
        <w:rPr/>
        <w:t>that</w:t>
      </w:r>
      <w:r>
        <w:rPr>
          <w:spacing w:val="45"/>
        </w:rPr>
        <w:t> </w:t>
      </w:r>
      <w:r>
        <w:rPr/>
        <w:t>multinational</w:t>
      </w:r>
      <w:r>
        <w:rPr>
          <w:spacing w:val="30"/>
        </w:rPr>
        <w:t> </w:t>
      </w:r>
      <w:r>
        <w:rPr/>
        <w:t>firms</w:t>
      </w:r>
      <w:r>
        <w:rPr>
          <w:spacing w:val="30"/>
        </w:rPr>
        <w:t> </w:t>
      </w:r>
      <w:r>
        <w:rPr/>
        <w:t>across</w:t>
      </w:r>
      <w:r>
        <w:rPr>
          <w:spacing w:val="30"/>
        </w:rPr>
        <w:t> </w:t>
      </w:r>
      <w:r>
        <w:rPr/>
        <w:t>all</w:t>
      </w:r>
      <w:r>
        <w:rPr>
          <w:spacing w:val="30"/>
        </w:rPr>
        <w:t> </w:t>
      </w:r>
      <w:r>
        <w:rPr/>
        <w:t>size</w:t>
      </w:r>
      <w:r>
        <w:rPr>
          <w:spacing w:val="30"/>
        </w:rPr>
        <w:t> </w:t>
      </w:r>
      <w:r>
        <w:rPr/>
        <w:t>categories</w:t>
      </w:r>
      <w:r>
        <w:rPr>
          <w:spacing w:val="30"/>
        </w:rPr>
        <w:t> </w:t>
      </w:r>
      <w:r>
        <w:rPr/>
        <w:t>exhibit</w:t>
      </w:r>
      <w:r>
        <w:rPr>
          <w:spacing w:val="30"/>
        </w:rPr>
        <w:t> </w:t>
      </w:r>
      <w:r>
        <w:rPr>
          <w:spacing w:val="-2"/>
        </w:rPr>
        <w:t>similar</w:t>
      </w:r>
    </w:p>
    <w:p>
      <w:pPr>
        <w:pStyle w:val="BodyText"/>
        <w:spacing w:after="0"/>
        <w:jc w:val="both"/>
        <w:sectPr>
          <w:pgSz w:w="12240" w:h="15840"/>
          <w:pgMar w:header="0" w:footer="739" w:top="640" w:bottom="920" w:left="720" w:right="0"/>
        </w:sectPr>
      </w:pPr>
    </w:p>
    <w:p>
      <w:pPr>
        <w:pStyle w:val="BodyText"/>
        <w:spacing w:before="60"/>
        <w:ind w:left="727" w:right="1363"/>
        <w:jc w:val="both"/>
      </w:pPr>
      <w:r>
        <w:rPr/>
        <w:t>ETR</w:t>
      </w:r>
      <w:r>
        <w:rPr>
          <w:spacing w:val="80"/>
        </w:rPr>
        <w:t> </w:t>
      </w:r>
      <w:r>
        <w:rPr/>
        <w:t>trends both before and after 2017. Small, mid-sized, and large multinationals all experienced</w:t>
      </w:r>
      <w:r>
        <w:rPr>
          <w:spacing w:val="40"/>
        </w:rPr>
        <w:t> </w:t>
      </w:r>
      <w:r>
        <w:rPr/>
        <w:t>comparable pre-TCJA trajectories and responded similarly to the </w:t>
      </w:r>
      <w:r>
        <w:rPr/>
        <w:t>reform's international provisions.</w:t>
      </w:r>
      <w:r>
        <w:rPr>
          <w:spacing w:val="40"/>
        </w:rPr>
        <w:t> </w:t>
      </w:r>
      <w:r>
        <w:rPr/>
        <w:t>In contrast, Figure 5 reveals that the largest domestic firms show the steepest and most persistent</w:t>
      </w:r>
      <w:r>
        <w:rPr>
          <w:spacing w:val="40"/>
        </w:rPr>
        <w:t> </w:t>
      </w:r>
      <w:r>
        <w:rPr/>
        <w:t>downward trend in ETRs throughout the sample period, demonstrating that size-based tax</w:t>
      </w:r>
      <w:r>
        <w:rPr>
          <w:spacing w:val="40"/>
        </w:rPr>
        <w:t> </w:t>
      </w:r>
      <w:r>
        <w:rPr/>
        <w:t>avoidance among domestic corporations has intensified over time and persisted post-TCJA.</w:t>
      </w:r>
    </w:p>
    <w:p>
      <w:pPr>
        <w:pStyle w:val="Heading4"/>
        <w:spacing w:before="270"/>
        <w:ind w:left="727"/>
      </w:pPr>
      <w:r>
        <w:rPr>
          <w:spacing w:val="-2"/>
        </w:rPr>
        <w:t>Conclusion</w:t>
      </w:r>
    </w:p>
    <w:p>
      <w:pPr>
        <w:pStyle w:val="BodyText"/>
        <w:spacing w:before="110"/>
        <w:rPr>
          <w:b/>
        </w:rPr>
      </w:pPr>
    </w:p>
    <w:p>
      <w:pPr>
        <w:pStyle w:val="BodyText"/>
        <w:ind w:left="712" w:right="1363" w:firstLine="15"/>
        <w:jc w:val="both"/>
      </w:pPr>
      <w:r>
        <w:rPr/>
        <w:t>In summary, our results reveal a striking policy mismatch: the TCJA successfully and dramatically</w:t>
      </w:r>
      <w:r>
        <w:rPr>
          <w:spacing w:val="40"/>
        </w:rPr>
        <w:t> </w:t>
      </w:r>
      <w:r>
        <w:rPr/>
        <w:t>increased tax payments among multinational corporations, while simultaneously leaving</w:t>
      </w:r>
      <w:r>
        <w:rPr>
          <w:spacing w:val="80"/>
        </w:rPr>
        <w:t> </w:t>
      </w:r>
      <w:r>
        <w:rPr/>
        <w:t>untouched or even exacerbating the size-based tax avoidance strategies employed </w:t>
      </w:r>
      <w:r>
        <w:rPr/>
        <w:t>by large</w:t>
      </w:r>
      <w:r>
        <w:rPr>
          <w:spacing w:val="40"/>
        </w:rPr>
        <w:t> </w:t>
      </w:r>
      <w:r>
        <w:rPr/>
        <w:t>domestic corporations. The contrast is stark: while foreign income became a major tax liability</w:t>
      </w:r>
      <w:r>
        <w:rPr>
          <w:spacing w:val="40"/>
        </w:rPr>
        <w:t> </w:t>
      </w:r>
      <w:r>
        <w:rPr/>
        <w:t>post-TCJA, firm size became an even stronger predictor of tax. This</w:t>
      </w:r>
      <w:r>
        <w:rPr>
          <w:spacing w:val="-3"/>
        </w:rPr>
        <w:t> </w:t>
      </w:r>
      <w:r>
        <w:rPr/>
        <w:t>divergence</w:t>
      </w:r>
      <w:r>
        <w:rPr>
          <w:spacing w:val="-3"/>
        </w:rPr>
        <w:t> </w:t>
      </w:r>
      <w:r>
        <w:rPr/>
        <w:t>reveals that the reform's narrow focus on</w:t>
      </w:r>
      <w:r>
        <w:rPr>
          <w:spacing w:val="-3"/>
        </w:rPr>
        <w:t> </w:t>
      </w:r>
      <w:r>
        <w:rPr/>
        <w:t>international</w:t>
      </w:r>
      <w:r>
        <w:rPr>
          <w:spacing w:val="-3"/>
        </w:rPr>
        <w:t> </w:t>
      </w:r>
      <w:r>
        <w:rPr/>
        <w:t>provisions</w:t>
      </w:r>
      <w:r>
        <w:rPr>
          <w:spacing w:val="-3"/>
        </w:rPr>
        <w:t> </w:t>
      </w:r>
      <w:r>
        <w:rPr/>
        <w:t>successfully</w:t>
      </w:r>
      <w:r>
        <w:rPr>
          <w:spacing w:val="-3"/>
        </w:rPr>
        <w:t> </w:t>
      </w:r>
      <w:r>
        <w:rPr/>
        <w:t>targeted</w:t>
      </w:r>
      <w:r>
        <w:rPr>
          <w:spacing w:val="-3"/>
        </w:rPr>
        <w:t> </w:t>
      </w:r>
      <w:r>
        <w:rPr/>
        <w:t>multinationals—a group</w:t>
      </w:r>
      <w:r>
        <w:rPr>
          <w:spacing w:val="40"/>
        </w:rPr>
        <w:t> </w:t>
      </w:r>
      <w:r>
        <w:rPr/>
        <w:t>already paying relatively high taxes—while the downward trend in relative tax payments among</w:t>
      </w:r>
      <w:r>
        <w:rPr>
          <w:spacing w:val="40"/>
        </w:rPr>
        <w:t> </w:t>
      </w:r>
      <w:r>
        <w:rPr/>
        <w:t>large domestic firms, which drove the pre-2017 decline, has continued and potentially accelerated after 2017.</w:t>
      </w:r>
    </w:p>
    <w:p>
      <w:pPr>
        <w:pStyle w:val="BodyText"/>
        <w:spacing w:before="101"/>
        <w:rPr>
          <w:sz w:val="20"/>
        </w:rPr>
      </w:pPr>
      <w:r>
        <w:rPr>
          <w:sz w:val="20"/>
        </w:rPr>
        <w:drawing>
          <wp:anchor distT="0" distB="0" distL="0" distR="0" allowOverlap="1" layoutInCell="1" locked="0" behindDoc="1" simplePos="0" relativeHeight="487614464">
            <wp:simplePos x="0" y="0"/>
            <wp:positionH relativeFrom="page">
              <wp:posOffset>1636822</wp:posOffset>
            </wp:positionH>
            <wp:positionV relativeFrom="paragraph">
              <wp:posOffset>225938</wp:posOffset>
            </wp:positionV>
            <wp:extent cx="4289644" cy="2577274"/>
            <wp:effectExtent l="0" t="0" r="0" b="0"/>
            <wp:wrapTopAndBottom/>
            <wp:docPr id="97" name="Image 97"/>
            <wp:cNvGraphicFramePr>
              <a:graphicFrameLocks/>
            </wp:cNvGraphicFramePr>
            <a:graphic>
              <a:graphicData uri="http://schemas.openxmlformats.org/drawingml/2006/picture">
                <pic:pic>
                  <pic:nvPicPr>
                    <pic:cNvPr id="97" name="Image 97"/>
                    <pic:cNvPicPr/>
                  </pic:nvPicPr>
                  <pic:blipFill>
                    <a:blip r:embed="rId280" cstate="print"/>
                    <a:stretch>
                      <a:fillRect/>
                    </a:stretch>
                  </pic:blipFill>
                  <pic:spPr>
                    <a:xfrm>
                      <a:off x="0" y="0"/>
                      <a:ext cx="4289644" cy="2577274"/>
                    </a:xfrm>
                    <a:prstGeom prst="rect">
                      <a:avLst/>
                    </a:prstGeom>
                  </pic:spPr>
                </pic:pic>
              </a:graphicData>
            </a:graphic>
          </wp:anchor>
        </w:drawing>
      </w:r>
      <w:r>
        <w:rPr>
          <w:sz w:val="20"/>
        </w:rPr>
        <w:drawing>
          <wp:anchor distT="0" distB="0" distL="0" distR="0" allowOverlap="1" layoutInCell="1" locked="0" behindDoc="1" simplePos="0" relativeHeight="487614976">
            <wp:simplePos x="0" y="0"/>
            <wp:positionH relativeFrom="page">
              <wp:posOffset>1636672</wp:posOffset>
            </wp:positionH>
            <wp:positionV relativeFrom="paragraph">
              <wp:posOffset>2908457</wp:posOffset>
            </wp:positionV>
            <wp:extent cx="4248532" cy="2554033"/>
            <wp:effectExtent l="0" t="0" r="0" b="0"/>
            <wp:wrapTopAndBottom/>
            <wp:docPr id="98" name="Image 98"/>
            <wp:cNvGraphicFramePr>
              <a:graphicFrameLocks/>
            </wp:cNvGraphicFramePr>
            <a:graphic>
              <a:graphicData uri="http://schemas.openxmlformats.org/drawingml/2006/picture">
                <pic:pic>
                  <pic:nvPicPr>
                    <pic:cNvPr id="98" name="Image 98"/>
                    <pic:cNvPicPr/>
                  </pic:nvPicPr>
                  <pic:blipFill>
                    <a:blip r:embed="rId281" cstate="print"/>
                    <a:stretch>
                      <a:fillRect/>
                    </a:stretch>
                  </pic:blipFill>
                  <pic:spPr>
                    <a:xfrm>
                      <a:off x="0" y="0"/>
                      <a:ext cx="4248532" cy="2554033"/>
                    </a:xfrm>
                    <a:prstGeom prst="rect">
                      <a:avLst/>
                    </a:prstGeom>
                  </pic:spPr>
                </pic:pic>
              </a:graphicData>
            </a:graphic>
          </wp:anchor>
        </w:drawing>
      </w:r>
    </w:p>
    <w:p>
      <w:pPr>
        <w:pStyle w:val="BodyText"/>
        <w:spacing w:before="3"/>
        <w:rPr>
          <w:sz w:val="12"/>
        </w:rPr>
      </w:pPr>
    </w:p>
    <w:p>
      <w:pPr>
        <w:pStyle w:val="BodyText"/>
        <w:spacing w:after="0"/>
        <w:rPr>
          <w:sz w:val="12"/>
        </w:rPr>
        <w:sectPr>
          <w:pgSz w:w="12240" w:h="15840"/>
          <w:pgMar w:header="0" w:footer="739" w:top="640" w:bottom="960" w:left="720" w:right="0"/>
        </w:sectPr>
      </w:pPr>
    </w:p>
    <w:p>
      <w:pPr>
        <w:pStyle w:val="Heading4"/>
        <w:spacing w:before="60"/>
        <w:ind w:left="727"/>
      </w:pPr>
      <w:r>
        <w:rPr>
          <w:spacing w:val="-2"/>
        </w:rPr>
        <w:t>References</w:t>
      </w:r>
    </w:p>
    <w:p>
      <w:pPr>
        <w:pStyle w:val="BodyText"/>
        <w:spacing w:before="160"/>
        <w:ind w:left="712" w:right="1191" w:firstLine="15"/>
      </w:pPr>
      <w:r>
        <w:rPr/>
        <w:t>Belz,</w:t>
      </w:r>
      <w:r>
        <w:rPr>
          <w:spacing w:val="25"/>
        </w:rPr>
        <w:t> </w:t>
      </w:r>
      <w:r>
        <w:rPr/>
        <w:t>T.,</w:t>
      </w:r>
      <w:r>
        <w:rPr>
          <w:spacing w:val="25"/>
        </w:rPr>
        <w:t> </w:t>
      </w:r>
      <w:r>
        <w:rPr/>
        <w:t>von</w:t>
      </w:r>
      <w:r>
        <w:rPr>
          <w:spacing w:val="25"/>
        </w:rPr>
        <w:t> </w:t>
      </w:r>
      <w:r>
        <w:rPr/>
        <w:t>Hagen,</w:t>
      </w:r>
      <w:r>
        <w:rPr>
          <w:spacing w:val="25"/>
        </w:rPr>
        <w:t> </w:t>
      </w:r>
      <w:r>
        <w:rPr/>
        <w:t>D.,</w:t>
      </w:r>
      <w:r>
        <w:rPr>
          <w:spacing w:val="25"/>
        </w:rPr>
        <w:t> </w:t>
      </w:r>
      <w:r>
        <w:rPr/>
        <w:t>&amp;</w:t>
      </w:r>
      <w:r>
        <w:rPr>
          <w:spacing w:val="25"/>
        </w:rPr>
        <w:t> </w:t>
      </w:r>
      <w:r>
        <w:rPr/>
        <w:t>Steffens,</w:t>
      </w:r>
      <w:r>
        <w:rPr>
          <w:spacing w:val="25"/>
        </w:rPr>
        <w:t> </w:t>
      </w:r>
      <w:r>
        <w:rPr/>
        <w:t>C.</w:t>
      </w:r>
      <w:r>
        <w:rPr>
          <w:spacing w:val="25"/>
        </w:rPr>
        <w:t> </w:t>
      </w:r>
      <w:r>
        <w:rPr/>
        <w:t>(2019).</w:t>
      </w:r>
      <w:r>
        <w:rPr>
          <w:spacing w:val="25"/>
        </w:rPr>
        <w:t> </w:t>
      </w:r>
      <w:r>
        <w:rPr/>
        <w:t>Taxes</w:t>
      </w:r>
      <w:r>
        <w:rPr>
          <w:spacing w:val="25"/>
        </w:rPr>
        <w:t> </w:t>
      </w:r>
      <w:r>
        <w:rPr/>
        <w:t>and</w:t>
      </w:r>
      <w:r>
        <w:rPr>
          <w:spacing w:val="25"/>
        </w:rPr>
        <w:t> </w:t>
      </w:r>
      <w:r>
        <w:rPr/>
        <w:t>firm</w:t>
      </w:r>
      <w:r>
        <w:rPr>
          <w:spacing w:val="25"/>
        </w:rPr>
        <w:t> </w:t>
      </w:r>
      <w:r>
        <w:rPr/>
        <w:t>size:</w:t>
      </w:r>
      <w:r>
        <w:rPr>
          <w:spacing w:val="25"/>
        </w:rPr>
        <w:t> </w:t>
      </w:r>
      <w:r>
        <w:rPr/>
        <w:t>Political</w:t>
      </w:r>
      <w:r>
        <w:rPr>
          <w:spacing w:val="25"/>
        </w:rPr>
        <w:t> </w:t>
      </w:r>
      <w:r>
        <w:rPr/>
        <w:t>cost</w:t>
      </w:r>
      <w:r>
        <w:rPr>
          <w:spacing w:val="25"/>
        </w:rPr>
        <w:t> </w:t>
      </w:r>
      <w:r>
        <w:rPr/>
        <w:t>or</w:t>
      </w:r>
      <w:r>
        <w:rPr>
          <w:spacing w:val="25"/>
        </w:rPr>
        <w:t> </w:t>
      </w:r>
      <w:r>
        <w:rPr/>
        <w:t>political power? Journal of Accounting Literature, 42, 1-28.</w:t>
      </w:r>
    </w:p>
    <w:p>
      <w:pPr>
        <w:pStyle w:val="BodyText"/>
      </w:pPr>
    </w:p>
    <w:p>
      <w:pPr>
        <w:pStyle w:val="BodyText"/>
        <w:ind w:left="727" w:right="1191"/>
      </w:pPr>
      <w:r>
        <w:rPr/>
        <w:t>Dyreng,</w:t>
      </w:r>
      <w:r>
        <w:rPr>
          <w:spacing w:val="26"/>
        </w:rPr>
        <w:t> </w:t>
      </w:r>
      <w:r>
        <w:rPr/>
        <w:t>S.,</w:t>
      </w:r>
      <w:r>
        <w:rPr>
          <w:spacing w:val="26"/>
        </w:rPr>
        <w:t> </w:t>
      </w:r>
      <w:r>
        <w:rPr/>
        <w:t>Hanlon,</w:t>
      </w:r>
      <w:r>
        <w:rPr>
          <w:spacing w:val="26"/>
        </w:rPr>
        <w:t> </w:t>
      </w:r>
      <w:r>
        <w:rPr/>
        <w:t>M., Maydew E., &amp; Thornock, J. (2017). Changes in corporate effective </w:t>
      </w:r>
      <w:r>
        <w:rPr/>
        <w:t>tax rates over the past 25 years. Journal of Financial Economics, 124(3), 441-463.</w:t>
      </w:r>
    </w:p>
    <w:p>
      <w:pPr>
        <w:pStyle w:val="BodyText"/>
        <w:spacing w:before="240"/>
        <w:ind w:left="727" w:right="1191"/>
      </w:pPr>
      <w:r>
        <w:rPr/>
        <w:t>Edwards,</w:t>
      </w:r>
      <w:r>
        <w:rPr>
          <w:spacing w:val="25"/>
        </w:rPr>
        <w:t> </w:t>
      </w:r>
      <w:r>
        <w:rPr/>
        <w:t>A.,</w:t>
      </w:r>
      <w:r>
        <w:rPr>
          <w:spacing w:val="25"/>
        </w:rPr>
        <w:t> </w:t>
      </w:r>
      <w:r>
        <w:rPr/>
        <w:t>Kubata,</w:t>
      </w:r>
      <w:r>
        <w:rPr>
          <w:spacing w:val="25"/>
        </w:rPr>
        <w:t> </w:t>
      </w:r>
      <w:r>
        <w:rPr/>
        <w:t>A.,</w:t>
      </w:r>
      <w:r>
        <w:rPr>
          <w:spacing w:val="25"/>
        </w:rPr>
        <w:t> </w:t>
      </w:r>
      <w:r>
        <w:rPr/>
        <w:t>&amp;</w:t>
      </w:r>
      <w:r>
        <w:rPr>
          <w:spacing w:val="25"/>
        </w:rPr>
        <w:t> </w:t>
      </w:r>
      <w:r>
        <w:rPr/>
        <w:t>Shevlin,</w:t>
      </w:r>
      <w:r>
        <w:rPr>
          <w:spacing w:val="25"/>
        </w:rPr>
        <w:t> </w:t>
      </w:r>
      <w:r>
        <w:rPr/>
        <w:t>T.</w:t>
      </w:r>
      <w:r>
        <w:rPr>
          <w:spacing w:val="25"/>
        </w:rPr>
        <w:t> </w:t>
      </w:r>
      <w:r>
        <w:rPr/>
        <w:t>(2021).</w:t>
      </w:r>
      <w:r>
        <w:rPr>
          <w:spacing w:val="25"/>
        </w:rPr>
        <w:t> </w:t>
      </w:r>
      <w:r>
        <w:rPr/>
        <w:t>The decreasing trend in U.S. cash effective </w:t>
      </w:r>
      <w:r>
        <w:rPr/>
        <w:t>tax rates: The role of growth in pre-tax income. The Accounting Review, 96(5), 231-261.</w:t>
      </w:r>
    </w:p>
    <w:p>
      <w:pPr>
        <w:pStyle w:val="BodyText"/>
        <w:spacing w:before="240"/>
        <w:ind w:left="727" w:right="1191"/>
      </w:pPr>
      <w:r>
        <w:rPr/>
        <w:t>Lu,</w:t>
      </w:r>
      <w:r>
        <w:rPr>
          <w:spacing w:val="-7"/>
        </w:rPr>
        <w:t> </w:t>
      </w:r>
      <w:r>
        <w:rPr/>
        <w:t>Y.,</w:t>
      </w:r>
      <w:r>
        <w:rPr>
          <w:spacing w:val="-7"/>
        </w:rPr>
        <w:t> </w:t>
      </w:r>
      <w:r>
        <w:rPr/>
        <w:t>Shao,</w:t>
      </w:r>
      <w:r>
        <w:rPr>
          <w:spacing w:val="-7"/>
        </w:rPr>
        <w:t> </w:t>
      </w:r>
      <w:r>
        <w:rPr/>
        <w:t>L.,</w:t>
      </w:r>
      <w:r>
        <w:rPr>
          <w:spacing w:val="-7"/>
        </w:rPr>
        <w:t> </w:t>
      </w:r>
      <w:r>
        <w:rPr/>
        <w:t>&amp;</w:t>
      </w:r>
      <w:r>
        <w:rPr>
          <w:spacing w:val="-7"/>
        </w:rPr>
        <w:t> </w:t>
      </w:r>
      <w:r>
        <w:rPr/>
        <w:t>Zhang,</w:t>
      </w:r>
      <w:r>
        <w:rPr>
          <w:spacing w:val="-7"/>
        </w:rPr>
        <w:t> </w:t>
      </w:r>
      <w:r>
        <w:rPr/>
        <w:t>Y.</w:t>
      </w:r>
      <w:r>
        <w:rPr>
          <w:spacing w:val="-7"/>
        </w:rPr>
        <w:t> </w:t>
      </w:r>
      <w:r>
        <w:rPr/>
        <w:t>(2023).</w:t>
      </w:r>
      <w:r>
        <w:rPr>
          <w:spacing w:val="-7"/>
        </w:rPr>
        <w:t> </w:t>
      </w:r>
      <w:r>
        <w:rPr/>
        <w:t>Growing</w:t>
      </w:r>
      <w:r>
        <w:rPr>
          <w:spacing w:val="-7"/>
        </w:rPr>
        <w:t> </w:t>
      </w:r>
      <w:r>
        <w:rPr/>
        <w:t>“political</w:t>
      </w:r>
      <w:r>
        <w:rPr>
          <w:spacing w:val="-7"/>
        </w:rPr>
        <w:t> </w:t>
      </w:r>
      <w:r>
        <w:rPr/>
        <w:t>power”</w:t>
      </w:r>
      <w:r>
        <w:rPr>
          <w:spacing w:val="-7"/>
        </w:rPr>
        <w:t> </w:t>
      </w:r>
      <w:r>
        <w:rPr/>
        <w:t>of</w:t>
      </w:r>
      <w:r>
        <w:rPr>
          <w:spacing w:val="-7"/>
        </w:rPr>
        <w:t> </w:t>
      </w:r>
      <w:r>
        <w:rPr/>
        <w:t>large</w:t>
      </w:r>
      <w:r>
        <w:rPr>
          <w:spacing w:val="-7"/>
        </w:rPr>
        <w:t> </w:t>
      </w:r>
      <w:r>
        <w:rPr/>
        <w:t>firms</w:t>
      </w:r>
      <w:r>
        <w:rPr>
          <w:spacing w:val="-7"/>
        </w:rPr>
        <w:t> </w:t>
      </w:r>
      <w:r>
        <w:rPr/>
        <w:t>and</w:t>
      </w:r>
      <w:r>
        <w:rPr>
          <w:spacing w:val="-7"/>
        </w:rPr>
        <w:t> </w:t>
      </w:r>
      <w:r>
        <w:rPr/>
        <w:t>the</w:t>
      </w:r>
      <w:r>
        <w:rPr>
          <w:spacing w:val="-7"/>
        </w:rPr>
        <w:t> </w:t>
      </w:r>
      <w:r>
        <w:rPr/>
        <w:t>downward cash ETR trend. Working paper.</w:t>
      </w:r>
    </w:p>
    <w:p>
      <w:pPr>
        <w:pStyle w:val="BodyText"/>
        <w:spacing w:after="0"/>
        <w:sectPr>
          <w:pgSz w:w="12240" w:h="15840"/>
          <w:pgMar w:header="0" w:footer="739" w:top="640" w:bottom="960" w:left="720" w:right="0"/>
        </w:sectPr>
      </w:pPr>
    </w:p>
    <w:p>
      <w:pPr>
        <w:pStyle w:val="Heading3"/>
        <w:ind w:left="1342" w:right="2802"/>
      </w:pPr>
      <w:bookmarkStart w:name="Worth the Wait? Admissions Timing as a M" w:id="125"/>
      <w:bookmarkEnd w:id="125"/>
      <w:r>
        <w:rPr>
          <w:b w:val="0"/>
        </w:rPr>
      </w:r>
      <w:r>
        <w:rPr/>
        <w:t>Worth</w:t>
      </w:r>
      <w:r>
        <w:rPr>
          <w:spacing w:val="-9"/>
        </w:rPr>
        <w:t> </w:t>
      </w:r>
      <w:r>
        <w:rPr/>
        <w:t>the</w:t>
      </w:r>
      <w:r>
        <w:rPr>
          <w:spacing w:val="-9"/>
        </w:rPr>
        <w:t> </w:t>
      </w:r>
      <w:r>
        <w:rPr/>
        <w:t>Wait?</w:t>
      </w:r>
      <w:r>
        <w:rPr>
          <w:spacing w:val="-9"/>
        </w:rPr>
        <w:t> </w:t>
      </w:r>
      <w:r>
        <w:rPr/>
        <w:t>Admissions</w:t>
      </w:r>
      <w:r>
        <w:rPr>
          <w:spacing w:val="-9"/>
        </w:rPr>
        <w:t> </w:t>
      </w:r>
      <w:r>
        <w:rPr/>
        <w:t>Timing</w:t>
      </w:r>
      <w:r>
        <w:rPr>
          <w:spacing w:val="-9"/>
        </w:rPr>
        <w:t> </w:t>
      </w:r>
      <w:r>
        <w:rPr/>
        <w:t>as</w:t>
      </w:r>
      <w:r>
        <w:rPr>
          <w:spacing w:val="-9"/>
        </w:rPr>
        <w:t> </w:t>
      </w:r>
      <w:r>
        <w:rPr/>
        <w:t>a</w:t>
      </w:r>
      <w:r>
        <w:rPr>
          <w:spacing w:val="-9"/>
        </w:rPr>
        <w:t> </w:t>
      </w:r>
      <w:r>
        <w:rPr/>
        <w:t>Marketing</w:t>
      </w:r>
      <w:r>
        <w:rPr>
          <w:spacing w:val="-9"/>
        </w:rPr>
        <w:t> </w:t>
      </w:r>
      <w:r>
        <w:rPr/>
        <w:t>Signal</w:t>
      </w:r>
      <w:r>
        <w:rPr>
          <w:spacing w:val="-9"/>
        </w:rPr>
        <w:t> </w:t>
      </w:r>
      <w:r>
        <w:rPr/>
        <w:t>in </w:t>
      </w:r>
      <w:bookmarkStart w:name="h.nxwjkqqg699m" w:id="126"/>
      <w:bookmarkEnd w:id="126"/>
      <w:r>
        <w:rPr/>
        <w:t>H</w:t>
      </w:r>
      <w:r>
        <w:rPr/>
        <w:t>igher Ed</w:t>
      </w:r>
    </w:p>
    <w:p>
      <w:pPr>
        <w:pStyle w:val="BodyText"/>
        <w:spacing w:before="291"/>
        <w:ind w:right="1539"/>
        <w:jc w:val="center"/>
      </w:pPr>
      <w:r>
        <w:rPr/>
        <w:t>Elissa Shults, Stacey Robinson and Mike </w:t>
      </w:r>
      <w:r>
        <w:rPr>
          <w:spacing w:val="-2"/>
        </w:rPr>
        <w:t>Brady</w:t>
      </w:r>
    </w:p>
    <w:p>
      <w:pPr>
        <w:pStyle w:val="BodyText"/>
      </w:pPr>
    </w:p>
    <w:p>
      <w:pPr>
        <w:pStyle w:val="BodyText"/>
      </w:pPr>
    </w:p>
    <w:p>
      <w:pPr>
        <w:pStyle w:val="Heading4"/>
        <w:ind w:left="352"/>
      </w:pPr>
      <w:r>
        <w:rPr>
          <w:spacing w:val="-2"/>
        </w:rPr>
        <w:t>Abstract</w:t>
      </w:r>
    </w:p>
    <w:p>
      <w:pPr>
        <w:pStyle w:val="BodyText"/>
        <w:rPr>
          <w:b/>
        </w:rPr>
      </w:pPr>
    </w:p>
    <w:p>
      <w:pPr>
        <w:pStyle w:val="BodyText"/>
        <w:ind w:left="352" w:right="1487"/>
      </w:pPr>
      <w:r>
        <w:rPr/>
        <w:t>In</w:t>
      </w:r>
      <w:r>
        <w:rPr>
          <w:spacing w:val="-5"/>
        </w:rPr>
        <w:t> </w:t>
      </w:r>
      <w:r>
        <w:rPr/>
        <w:t>an</w:t>
      </w:r>
      <w:r>
        <w:rPr>
          <w:spacing w:val="-5"/>
        </w:rPr>
        <w:t> </w:t>
      </w:r>
      <w:r>
        <w:rPr/>
        <w:t>increasingly</w:t>
      </w:r>
      <w:r>
        <w:rPr>
          <w:spacing w:val="-5"/>
        </w:rPr>
        <w:t> </w:t>
      </w:r>
      <w:r>
        <w:rPr/>
        <w:t>competitive</w:t>
      </w:r>
      <w:r>
        <w:rPr>
          <w:spacing w:val="-5"/>
        </w:rPr>
        <w:t> </w:t>
      </w:r>
      <w:r>
        <w:rPr/>
        <w:t>higher</w:t>
      </w:r>
      <w:r>
        <w:rPr>
          <w:spacing w:val="-5"/>
        </w:rPr>
        <w:t> </w:t>
      </w:r>
      <w:r>
        <w:rPr/>
        <w:t>education</w:t>
      </w:r>
      <w:r>
        <w:rPr>
          <w:spacing w:val="-5"/>
        </w:rPr>
        <w:t> </w:t>
      </w:r>
      <w:r>
        <w:rPr/>
        <w:t>landscape,</w:t>
      </w:r>
      <w:r>
        <w:rPr>
          <w:spacing w:val="-5"/>
        </w:rPr>
        <w:t> </w:t>
      </w:r>
      <w:r>
        <w:rPr/>
        <w:t>a</w:t>
      </w:r>
      <w:r>
        <w:rPr>
          <w:spacing w:val="-5"/>
        </w:rPr>
        <w:t> </w:t>
      </w:r>
      <w:r>
        <w:rPr/>
        <w:t>college’s</w:t>
      </w:r>
      <w:r>
        <w:rPr>
          <w:spacing w:val="-5"/>
        </w:rPr>
        <w:t> </w:t>
      </w:r>
      <w:r>
        <w:rPr/>
        <w:t>admissions</w:t>
      </w:r>
      <w:r>
        <w:rPr>
          <w:spacing w:val="-5"/>
        </w:rPr>
        <w:t> </w:t>
      </w:r>
      <w:r>
        <w:rPr/>
        <w:t>strategy</w:t>
      </w:r>
      <w:r>
        <w:rPr>
          <w:spacing w:val="40"/>
        </w:rPr>
        <w:t> </w:t>
      </w:r>
      <w:r>
        <w:rPr/>
        <w:t>functions not only as an operational tool but also as a signal that shapes perceptions of an</w:t>
      </w:r>
      <w:r>
        <w:rPr>
          <w:spacing w:val="40"/>
        </w:rPr>
        <w:t> </w:t>
      </w:r>
      <w:r>
        <w:rPr/>
        <w:t>institution’s quality and prestige. As institutions face intensifying competition for students and a</w:t>
      </w:r>
      <w:r>
        <w:rPr>
          <w:spacing w:val="40"/>
        </w:rPr>
        <w:t> </w:t>
      </w:r>
      <w:r>
        <w:rPr/>
        <w:t>looming enrollment cliff, prospective students often evaluate colleges under conditions of</w:t>
      </w:r>
      <w:r>
        <w:rPr>
          <w:spacing w:val="40"/>
        </w:rPr>
        <w:t> </w:t>
      </w:r>
      <w:r>
        <w:rPr/>
        <w:t>uncertainty, making them more likely to rely on indirect cues when forming impressions of</w:t>
      </w:r>
      <w:r>
        <w:rPr>
          <w:spacing w:val="40"/>
        </w:rPr>
        <w:t> </w:t>
      </w:r>
      <w:r>
        <w:rPr/>
        <w:t>institutional value (Bagley &amp; Portnoi, 2014; Grawe, 2018; Zeithaml, 1988). This research</w:t>
      </w:r>
      <w:r>
        <w:rPr>
          <w:spacing w:val="40"/>
        </w:rPr>
        <w:t> </w:t>
      </w:r>
      <w:r>
        <w:rPr/>
        <w:t>examines how the timing of college admissions decisions, specifically rolling versus traditional</w:t>
      </w:r>
      <w:r>
        <w:rPr>
          <w:spacing w:val="40"/>
        </w:rPr>
        <w:t> </w:t>
      </w:r>
      <w:r>
        <w:rPr/>
        <w:t>models, affect prospective students’ judgements.</w:t>
      </w:r>
      <w:r>
        <w:rPr>
          <w:spacing w:val="-3"/>
        </w:rPr>
        <w:t> </w:t>
      </w:r>
      <w:r>
        <w:rPr/>
        <w:t>While</w:t>
      </w:r>
      <w:r>
        <w:rPr>
          <w:spacing w:val="-3"/>
        </w:rPr>
        <w:t> </w:t>
      </w:r>
      <w:r>
        <w:rPr/>
        <w:t>rolling</w:t>
      </w:r>
      <w:r>
        <w:rPr>
          <w:spacing w:val="-3"/>
        </w:rPr>
        <w:t> </w:t>
      </w:r>
      <w:r>
        <w:rPr/>
        <w:t>admissions</w:t>
      </w:r>
      <w:r>
        <w:rPr>
          <w:spacing w:val="-3"/>
        </w:rPr>
        <w:t> </w:t>
      </w:r>
      <w:r>
        <w:rPr/>
        <w:t>offers</w:t>
      </w:r>
      <w:r>
        <w:rPr>
          <w:spacing w:val="-3"/>
        </w:rPr>
        <w:t> </w:t>
      </w:r>
      <w:r>
        <w:rPr/>
        <w:t>speed</w:t>
      </w:r>
      <w:r>
        <w:rPr>
          <w:spacing w:val="-3"/>
        </w:rPr>
        <w:t> </w:t>
      </w:r>
      <w:r>
        <w:rPr/>
        <w:t>and</w:t>
      </w:r>
      <w:r>
        <w:rPr>
          <w:spacing w:val="40"/>
        </w:rPr>
        <w:t> </w:t>
      </w:r>
      <w:r>
        <w:rPr/>
        <w:t>flexibility,</w:t>
      </w:r>
      <w:r>
        <w:rPr>
          <w:spacing w:val="-3"/>
        </w:rPr>
        <w:t> </w:t>
      </w:r>
      <w:r>
        <w:rPr/>
        <w:t>traditional</w:t>
      </w:r>
      <w:r>
        <w:rPr>
          <w:spacing w:val="-3"/>
        </w:rPr>
        <w:t> </w:t>
      </w:r>
      <w:r>
        <w:rPr/>
        <w:t>admissions</w:t>
      </w:r>
      <w:r>
        <w:rPr>
          <w:spacing w:val="-3"/>
        </w:rPr>
        <w:t> </w:t>
      </w:r>
      <w:r>
        <w:rPr/>
        <w:t>may</w:t>
      </w:r>
      <w:r>
        <w:rPr>
          <w:spacing w:val="-3"/>
        </w:rPr>
        <w:t> </w:t>
      </w:r>
      <w:r>
        <w:rPr/>
        <w:t>create perceptions of exclusivity and high demand by</w:t>
      </w:r>
      <w:r>
        <w:rPr>
          <w:spacing w:val="40"/>
        </w:rPr>
        <w:t> </w:t>
      </w:r>
      <w:r>
        <w:rPr/>
        <w:t>introducing a structured delay. Rolling admissions typically provides decisions on an ongoing</w:t>
      </w:r>
      <w:r>
        <w:rPr>
          <w:spacing w:val="40"/>
        </w:rPr>
        <w:t> </w:t>
      </w:r>
      <w:r>
        <w:rPr/>
        <w:t>basis shortly after application, whereas traditional models follow fixed deadlines and release decisions in coordinated waves, often months later (College Board, 2022; NACAC, 2023; Perna,</w:t>
      </w:r>
      <w:r>
        <w:rPr>
          <w:spacing w:val="40"/>
        </w:rPr>
        <w:t> </w:t>
      </w:r>
      <w:r>
        <w:rPr/>
        <w:t>2006).</w:t>
      </w:r>
    </w:p>
    <w:p>
      <w:pPr>
        <w:pStyle w:val="BodyText"/>
        <w:spacing w:before="9"/>
      </w:pPr>
    </w:p>
    <w:p>
      <w:pPr>
        <w:pStyle w:val="BodyText"/>
        <w:spacing w:line="230" w:lineRule="auto"/>
        <w:ind w:left="352" w:right="1461"/>
      </w:pPr>
      <w:r>
        <w:rPr/>
        <w:t>Drawing on signaling theory and services waiting literature, we argue that college admissions’</w:t>
      </w:r>
      <w:r>
        <w:rPr>
          <w:spacing w:val="40"/>
        </w:rPr>
        <w:t> </w:t>
      </w:r>
      <w:r>
        <w:rPr/>
        <w:t>wait time (rolling v. traditional) serves as an extrinsic cue of institutional selectivity and value,</w:t>
      </w:r>
      <w:r>
        <w:rPr>
          <w:spacing w:val="40"/>
        </w:rPr>
        <w:t> </w:t>
      </w:r>
      <w:r>
        <w:rPr/>
        <w:t>with longer</w:t>
      </w:r>
      <w:r>
        <w:rPr>
          <w:spacing w:val="-5"/>
        </w:rPr>
        <w:t> </w:t>
      </w:r>
      <w:r>
        <w:rPr/>
        <w:t>waits</w:t>
      </w:r>
      <w:r>
        <w:rPr>
          <w:spacing w:val="-5"/>
        </w:rPr>
        <w:t> </w:t>
      </w:r>
      <w:r>
        <w:rPr/>
        <w:t>signaling</w:t>
      </w:r>
      <w:r>
        <w:rPr>
          <w:spacing w:val="-5"/>
        </w:rPr>
        <w:t> </w:t>
      </w:r>
      <w:r>
        <w:rPr/>
        <w:t>higher</w:t>
      </w:r>
      <w:r>
        <w:rPr>
          <w:spacing w:val="-5"/>
        </w:rPr>
        <w:t> </w:t>
      </w:r>
      <w:r>
        <w:rPr/>
        <w:t>perceptions</w:t>
      </w:r>
      <w:r>
        <w:rPr>
          <w:spacing w:val="-5"/>
        </w:rPr>
        <w:t> </w:t>
      </w:r>
      <w:r>
        <w:rPr/>
        <w:t>of</w:t>
      </w:r>
      <w:r>
        <w:rPr>
          <w:spacing w:val="-5"/>
        </w:rPr>
        <w:t> </w:t>
      </w:r>
      <w:r>
        <w:rPr/>
        <w:t>institutional</w:t>
      </w:r>
      <w:r>
        <w:rPr>
          <w:spacing w:val="-5"/>
        </w:rPr>
        <w:t> </w:t>
      </w:r>
      <w:r>
        <w:rPr/>
        <w:t>quality.</w:t>
      </w:r>
      <w:r>
        <w:rPr>
          <w:spacing w:val="-5"/>
        </w:rPr>
        <w:t> </w:t>
      </w:r>
      <w:r>
        <w:rPr/>
        <w:t>Consumers</w:t>
      </w:r>
      <w:r>
        <w:rPr>
          <w:spacing w:val="-5"/>
        </w:rPr>
        <w:t> </w:t>
      </w:r>
      <w:r>
        <w:rPr/>
        <w:t>frequently</w:t>
      </w:r>
      <w:r>
        <w:rPr>
          <w:spacing w:val="40"/>
        </w:rPr>
        <w:t> </w:t>
      </w:r>
      <w:r>
        <w:rPr/>
        <w:t>infer</w:t>
      </w:r>
      <w:r>
        <w:rPr>
          <w:spacing w:val="-5"/>
        </w:rPr>
        <w:t> </w:t>
      </w:r>
      <w:r>
        <w:rPr/>
        <w:t>quality from</w:t>
      </w:r>
      <w:r>
        <w:rPr>
          <w:spacing w:val="-2"/>
        </w:rPr>
        <w:t> </w:t>
      </w:r>
      <w:r>
        <w:rPr/>
        <w:t>extrinsic</w:t>
      </w:r>
      <w:r>
        <w:rPr>
          <w:spacing w:val="-2"/>
        </w:rPr>
        <w:t> </w:t>
      </w:r>
      <w:r>
        <w:rPr/>
        <w:t>cues</w:t>
      </w:r>
      <w:r>
        <w:rPr>
          <w:spacing w:val="-2"/>
        </w:rPr>
        <w:t> </w:t>
      </w:r>
      <w:r>
        <w:rPr/>
        <w:t>in</w:t>
      </w:r>
      <w:r>
        <w:rPr>
          <w:spacing w:val="-2"/>
        </w:rPr>
        <w:t> </w:t>
      </w:r>
      <w:r>
        <w:rPr/>
        <w:t>uncertain</w:t>
      </w:r>
      <w:r>
        <w:rPr>
          <w:spacing w:val="-2"/>
        </w:rPr>
        <w:t> </w:t>
      </w:r>
      <w:r>
        <w:rPr/>
        <w:t>contexts,</w:t>
      </w:r>
      <w:r>
        <w:rPr>
          <w:spacing w:val="-2"/>
        </w:rPr>
        <w:t> </w:t>
      </w:r>
      <w:r>
        <w:rPr/>
        <w:t>particularly</w:t>
      </w:r>
      <w:r>
        <w:rPr>
          <w:spacing w:val="-2"/>
        </w:rPr>
        <w:t> </w:t>
      </w:r>
      <w:r>
        <w:rPr/>
        <w:t>in</w:t>
      </w:r>
      <w:r>
        <w:rPr>
          <w:spacing w:val="-2"/>
        </w:rPr>
        <w:t> </w:t>
      </w:r>
      <w:r>
        <w:rPr/>
        <w:t>services</w:t>
      </w:r>
      <w:r>
        <w:rPr>
          <w:spacing w:val="-2"/>
        </w:rPr>
        <w:t> </w:t>
      </w:r>
      <w:r>
        <w:rPr/>
        <w:t>where</w:t>
      </w:r>
      <w:r>
        <w:rPr>
          <w:spacing w:val="-2"/>
        </w:rPr>
        <w:t> </w:t>
      </w:r>
      <w:r>
        <w:rPr/>
        <w:t>outcomes</w:t>
      </w:r>
      <w:r>
        <w:rPr>
          <w:spacing w:val="40"/>
        </w:rPr>
        <w:t> </w:t>
      </w:r>
      <w:r>
        <w:rPr/>
        <w:t>are</w:t>
      </w:r>
      <w:r>
        <w:rPr>
          <w:spacing w:val="-2"/>
        </w:rPr>
        <w:t> </w:t>
      </w:r>
      <w:r>
        <w:rPr/>
        <w:t>intangible</w:t>
      </w:r>
      <w:r>
        <w:rPr>
          <w:spacing w:val="-2"/>
        </w:rPr>
        <w:t> </w:t>
      </w:r>
      <w:r>
        <w:rPr/>
        <w:t>and realized</w:t>
      </w:r>
      <w:r>
        <w:rPr>
          <w:spacing w:val="-3"/>
        </w:rPr>
        <w:t> </w:t>
      </w:r>
      <w:r>
        <w:rPr/>
        <w:t>only</w:t>
      </w:r>
      <w:r>
        <w:rPr>
          <w:spacing w:val="-3"/>
        </w:rPr>
        <w:t> </w:t>
      </w:r>
      <w:r>
        <w:rPr/>
        <w:t>after</w:t>
      </w:r>
      <w:r>
        <w:rPr>
          <w:spacing w:val="-3"/>
        </w:rPr>
        <w:t> </w:t>
      </w:r>
      <w:r>
        <w:rPr/>
        <w:t>commitment</w:t>
      </w:r>
      <w:r>
        <w:rPr>
          <w:spacing w:val="-3"/>
        </w:rPr>
        <w:t> </w:t>
      </w:r>
      <w:r>
        <w:rPr/>
        <w:t>(Kirmani</w:t>
      </w:r>
      <w:r>
        <w:rPr>
          <w:spacing w:val="-3"/>
        </w:rPr>
        <w:t> </w:t>
      </w:r>
      <w:r>
        <w:rPr/>
        <w:t>&amp;</w:t>
      </w:r>
      <w:r>
        <w:rPr>
          <w:spacing w:val="-3"/>
        </w:rPr>
        <w:t> </w:t>
      </w:r>
      <w:r>
        <w:rPr/>
        <w:t>Rao,</w:t>
      </w:r>
      <w:r>
        <w:rPr>
          <w:spacing w:val="-3"/>
        </w:rPr>
        <w:t> </w:t>
      </w:r>
      <w:r>
        <w:rPr/>
        <w:t>2000;</w:t>
      </w:r>
      <w:r>
        <w:rPr>
          <w:spacing w:val="-3"/>
        </w:rPr>
        <w:t> </w:t>
      </w:r>
      <w:r>
        <w:rPr/>
        <w:t>Murray,</w:t>
      </w:r>
      <w:r>
        <w:rPr>
          <w:spacing w:val="-3"/>
        </w:rPr>
        <w:t> </w:t>
      </w:r>
      <w:r>
        <w:rPr/>
        <w:t>1991;</w:t>
      </w:r>
      <w:r>
        <w:rPr>
          <w:spacing w:val="40"/>
        </w:rPr>
        <w:t> </w:t>
      </w:r>
      <w:r>
        <w:rPr/>
        <w:t>Zeithaml,</w:t>
      </w:r>
      <w:r>
        <w:rPr>
          <w:spacing w:val="-3"/>
        </w:rPr>
        <w:t> </w:t>
      </w:r>
      <w:r>
        <w:rPr/>
        <w:t>1988).</w:t>
      </w:r>
      <w:r>
        <w:rPr>
          <w:spacing w:val="-3"/>
        </w:rPr>
        <w:t> </w:t>
      </w:r>
      <w:r>
        <w:rPr/>
        <w:t>Admissions timing</w:t>
      </w:r>
      <w:r>
        <w:rPr>
          <w:spacing w:val="-3"/>
        </w:rPr>
        <w:t> </w:t>
      </w:r>
      <w:r>
        <w:rPr/>
        <w:t>can</w:t>
      </w:r>
      <w:r>
        <w:rPr>
          <w:spacing w:val="-3"/>
        </w:rPr>
        <w:t> </w:t>
      </w:r>
      <w:r>
        <w:rPr/>
        <w:t>function</w:t>
      </w:r>
      <w:r>
        <w:rPr>
          <w:spacing w:val="-3"/>
        </w:rPr>
        <w:t> </w:t>
      </w:r>
      <w:r>
        <w:rPr/>
        <w:t>as</w:t>
      </w:r>
      <w:r>
        <w:rPr>
          <w:spacing w:val="-3"/>
        </w:rPr>
        <w:t> </w:t>
      </w:r>
      <w:r>
        <w:rPr/>
        <w:t>a</w:t>
      </w:r>
      <w:r>
        <w:rPr>
          <w:spacing w:val="-3"/>
        </w:rPr>
        <w:t> </w:t>
      </w:r>
      <w:r>
        <w:rPr/>
        <w:t>non-monetary</w:t>
      </w:r>
      <w:r>
        <w:rPr>
          <w:spacing w:val="-3"/>
        </w:rPr>
        <w:t> </w:t>
      </w:r>
      <w:r>
        <w:rPr/>
        <w:t>“time</w:t>
      </w:r>
      <w:r>
        <w:rPr>
          <w:spacing w:val="-3"/>
        </w:rPr>
        <w:t> </w:t>
      </w:r>
      <w:r>
        <w:rPr/>
        <w:t>price,”</w:t>
      </w:r>
      <w:r>
        <w:rPr>
          <w:spacing w:val="-3"/>
        </w:rPr>
        <w:t> </w:t>
      </w:r>
      <w:r>
        <w:rPr/>
        <w:t>where</w:t>
      </w:r>
      <w:r>
        <w:rPr>
          <w:spacing w:val="-3"/>
        </w:rPr>
        <w:t> </w:t>
      </w:r>
      <w:r>
        <w:rPr/>
        <w:t>delays</w:t>
      </w:r>
      <w:r>
        <w:rPr>
          <w:spacing w:val="40"/>
        </w:rPr>
        <w:t> </w:t>
      </w:r>
      <w:r>
        <w:rPr/>
        <w:t>may</w:t>
      </w:r>
      <w:r>
        <w:rPr>
          <w:spacing w:val="-3"/>
        </w:rPr>
        <w:t> </w:t>
      </w:r>
      <w:r>
        <w:rPr/>
        <w:t>be</w:t>
      </w:r>
      <w:r>
        <w:rPr>
          <w:spacing w:val="-3"/>
        </w:rPr>
        <w:t> </w:t>
      </w:r>
      <w:r>
        <w:rPr/>
        <w:t>interpreted</w:t>
      </w:r>
      <w:r>
        <w:rPr>
          <w:spacing w:val="-3"/>
        </w:rPr>
        <w:t> </w:t>
      </w:r>
      <w:r>
        <w:rPr/>
        <w:t>as</w:t>
      </w:r>
      <w:r>
        <w:rPr>
          <w:spacing w:val="-3"/>
        </w:rPr>
        <w:t> </w:t>
      </w:r>
      <w:r>
        <w:rPr/>
        <w:t>evidence</w:t>
      </w:r>
      <w:r>
        <w:rPr>
          <w:spacing w:val="-3"/>
        </w:rPr>
        <w:t> </w:t>
      </w:r>
      <w:r>
        <w:rPr/>
        <w:t>of greater</w:t>
      </w:r>
      <w:r>
        <w:rPr>
          <w:spacing w:val="-3"/>
        </w:rPr>
        <w:t> </w:t>
      </w:r>
      <w:r>
        <w:rPr/>
        <w:t>demand,</w:t>
      </w:r>
      <w:r>
        <w:rPr>
          <w:spacing w:val="-3"/>
        </w:rPr>
        <w:t> </w:t>
      </w:r>
      <w:r>
        <w:rPr/>
        <w:t>scarcity,</w:t>
      </w:r>
      <w:r>
        <w:rPr>
          <w:spacing w:val="-3"/>
        </w:rPr>
        <w:t> </w:t>
      </w:r>
      <w:r>
        <w:rPr/>
        <w:t>or</w:t>
      </w:r>
      <w:r>
        <w:rPr>
          <w:spacing w:val="-3"/>
        </w:rPr>
        <w:t> </w:t>
      </w:r>
      <w:r>
        <w:rPr/>
        <w:t>more</w:t>
      </w:r>
      <w:r>
        <w:rPr>
          <w:spacing w:val="-3"/>
        </w:rPr>
        <w:t> </w:t>
      </w:r>
      <w:r>
        <w:rPr/>
        <w:t>deliberate</w:t>
      </w:r>
      <w:r>
        <w:rPr>
          <w:spacing w:val="-3"/>
        </w:rPr>
        <w:t> </w:t>
      </w:r>
      <w:r>
        <w:rPr/>
        <w:t>evaluation</w:t>
      </w:r>
      <w:r>
        <w:rPr>
          <w:spacing w:val="40"/>
        </w:rPr>
        <w:t> </w:t>
      </w:r>
      <w:r>
        <w:rPr/>
        <w:t>(Leclerc</w:t>
      </w:r>
      <w:r>
        <w:rPr>
          <w:spacing w:val="-3"/>
        </w:rPr>
        <w:t> </w:t>
      </w:r>
      <w:r>
        <w:rPr/>
        <w:t>et</w:t>
      </w:r>
      <w:r>
        <w:rPr>
          <w:spacing w:val="-3"/>
        </w:rPr>
        <w:t> </w:t>
      </w:r>
      <w:r>
        <w:rPr/>
        <w:t>al.,</w:t>
      </w:r>
      <w:r>
        <w:rPr>
          <w:spacing w:val="-3"/>
        </w:rPr>
        <w:t> </w:t>
      </w:r>
      <w:r>
        <w:rPr/>
        <w:t>1995;</w:t>
      </w:r>
      <w:r>
        <w:rPr>
          <w:spacing w:val="-3"/>
        </w:rPr>
        <w:t> </w:t>
      </w:r>
      <w:r>
        <w:rPr/>
        <w:t>Maister,</w:t>
      </w:r>
      <w:r>
        <w:rPr>
          <w:spacing w:val="-3"/>
        </w:rPr>
        <w:t> </w:t>
      </w:r>
      <w:r>
        <w:rPr/>
        <w:t>1985;</w:t>
      </w:r>
      <w:r>
        <w:rPr>
          <w:spacing w:val="-3"/>
        </w:rPr>
        <w:t> </w:t>
      </w:r>
      <w:r>
        <w:rPr/>
        <w:t>Zhou</w:t>
      </w:r>
      <w:r>
        <w:rPr>
          <w:spacing w:val="-3"/>
        </w:rPr>
        <w:t> </w:t>
      </w:r>
      <w:r>
        <w:rPr/>
        <w:t>&amp; Soman, 2003). This logic aligns with signaling</w:t>
      </w:r>
      <w:r>
        <w:rPr>
          <w:spacing w:val="40"/>
        </w:rPr>
        <w:t> </w:t>
      </w:r>
      <w:r>
        <w:rPr/>
        <w:t>theory’s emphasis on diagnosticity which suggests that when stronger indicators are unavailable,</w:t>
      </w:r>
      <w:r>
        <w:rPr>
          <w:spacing w:val="40"/>
        </w:rPr>
        <w:t> </w:t>
      </w:r>
      <w:r>
        <w:rPr/>
        <w:t>temporal structure may help applicants differentiate higher versus lower quality institutions</w:t>
      </w:r>
      <w:r>
        <w:rPr>
          <w:spacing w:val="40"/>
        </w:rPr>
        <w:t> </w:t>
      </w:r>
      <w:r>
        <w:rPr/>
        <w:t>(Boulding &amp; Kirmani, 1993; Kirmani &amp; Rao, 2000).</w:t>
      </w:r>
    </w:p>
    <w:p>
      <w:pPr>
        <w:pStyle w:val="BodyText"/>
        <w:spacing w:before="9"/>
      </w:pPr>
    </w:p>
    <w:p>
      <w:pPr>
        <w:pStyle w:val="BodyText"/>
        <w:spacing w:line="230" w:lineRule="auto" w:before="1"/>
        <w:ind w:left="352" w:right="1554"/>
      </w:pPr>
      <w:r>
        <w:rPr/>
        <w:t>Across two experimental studies, we show that traditional admissions timelines increase</w:t>
      </w:r>
      <w:r>
        <w:rPr>
          <w:spacing w:val="40"/>
        </w:rPr>
        <w:t> </w:t>
      </w:r>
      <w:r>
        <w:rPr/>
        <w:t>perceived prestige and selectivity, specifically that longer wait durations independently elevate</w:t>
      </w:r>
      <w:r>
        <w:rPr>
          <w:spacing w:val="40"/>
        </w:rPr>
        <w:t> </w:t>
      </w:r>
      <w:r>
        <w:rPr/>
        <w:t>perceived institutional quality. Study 1 tests whether admissions structure (rolling vs. traditional)</w:t>
      </w:r>
      <w:r>
        <w:rPr>
          <w:spacing w:val="40"/>
        </w:rPr>
        <w:t> </w:t>
      </w:r>
      <w:r>
        <w:rPr/>
        <w:t>shifts perceptions of institutional prestige, selectivity, and enrollment intent, holding institutional attributes constant. Study 2 isolates wait duration while holding admissions structure constant to examine</w:t>
      </w:r>
      <w:r>
        <w:rPr>
          <w:spacing w:val="-4"/>
        </w:rPr>
        <w:t> </w:t>
      </w:r>
      <w:r>
        <w:rPr/>
        <w:t>whether</w:t>
      </w:r>
      <w:r>
        <w:rPr>
          <w:spacing w:val="-4"/>
        </w:rPr>
        <w:t> </w:t>
      </w:r>
      <w:r>
        <w:rPr/>
        <w:t>longer</w:t>
      </w:r>
      <w:r>
        <w:rPr>
          <w:spacing w:val="-4"/>
        </w:rPr>
        <w:t> </w:t>
      </w:r>
      <w:r>
        <w:rPr/>
        <w:t>delays</w:t>
      </w:r>
      <w:r>
        <w:rPr>
          <w:spacing w:val="-4"/>
        </w:rPr>
        <w:t> </w:t>
      </w:r>
      <w:r>
        <w:rPr/>
        <w:t>increase</w:t>
      </w:r>
      <w:r>
        <w:rPr>
          <w:spacing w:val="-4"/>
        </w:rPr>
        <w:t> </w:t>
      </w:r>
      <w:r>
        <w:rPr/>
        <w:t>perceived</w:t>
      </w:r>
      <w:r>
        <w:rPr>
          <w:spacing w:val="-4"/>
        </w:rPr>
        <w:t> </w:t>
      </w:r>
      <w:r>
        <w:rPr/>
        <w:t>institutional</w:t>
      </w:r>
      <w:r>
        <w:rPr>
          <w:spacing w:val="-4"/>
        </w:rPr>
        <w:t> </w:t>
      </w:r>
      <w:r>
        <w:rPr/>
        <w:t>quality</w:t>
      </w:r>
      <w:r>
        <w:rPr>
          <w:spacing w:val="-4"/>
        </w:rPr>
        <w:t> </w:t>
      </w:r>
      <w:r>
        <w:rPr/>
        <w:t>and</w:t>
      </w:r>
      <w:r>
        <w:rPr>
          <w:spacing w:val="-4"/>
        </w:rPr>
        <w:t> </w:t>
      </w:r>
      <w:r>
        <w:rPr/>
        <w:t>emotional</w:t>
      </w:r>
      <w:r>
        <w:rPr>
          <w:spacing w:val="-4"/>
        </w:rPr>
        <w:t> </w:t>
      </w:r>
      <w:r>
        <w:rPr/>
        <w:t>investment</w:t>
      </w:r>
      <w:r>
        <w:rPr>
          <w:spacing w:val="40"/>
        </w:rPr>
        <w:t> </w:t>
      </w:r>
      <w:r>
        <w:rPr/>
        <w:t>in the outcome, consistent with prior work showing that waiting can shape value inference and affective reactions (Giebelhausen et al., 2011; Taylor, 1991; Zhou &amp; Soman, 2003). Together,</w:t>
      </w:r>
      <w:r>
        <w:rPr>
          <w:spacing w:val="40"/>
        </w:rPr>
        <w:t> </w:t>
      </w:r>
      <w:r>
        <w:rPr/>
        <w:t>the findings highlight how operational policies in higher education can serve as brand-relevant</w:t>
      </w:r>
      <w:r>
        <w:rPr>
          <w:spacing w:val="40"/>
        </w:rPr>
        <w:t> </w:t>
      </w:r>
      <w:r>
        <w:rPr/>
        <w:t>signals that shape applicant inference, particularly when applicants lack familiarity with the</w:t>
      </w:r>
      <w:r>
        <w:rPr>
          <w:spacing w:val="40"/>
        </w:rPr>
        <w:t> </w:t>
      </w:r>
      <w:r>
        <w:rPr/>
        <w:t>institution (Hossler et al., 1999; Perna, 2006).</w:t>
      </w:r>
    </w:p>
    <w:p>
      <w:pPr>
        <w:pStyle w:val="BodyText"/>
        <w:spacing w:before="5"/>
      </w:pPr>
    </w:p>
    <w:p>
      <w:pPr>
        <w:pStyle w:val="BodyText"/>
        <w:spacing w:line="228" w:lineRule="auto"/>
        <w:ind w:left="352" w:right="1619"/>
      </w:pPr>
      <w:r>
        <w:rPr/>
        <w:t>These</w:t>
      </w:r>
      <w:r>
        <w:rPr>
          <w:spacing w:val="-4"/>
        </w:rPr>
        <w:t> </w:t>
      </w:r>
      <w:r>
        <w:rPr/>
        <w:t>findings</w:t>
      </w:r>
      <w:r>
        <w:rPr>
          <w:spacing w:val="-4"/>
        </w:rPr>
        <w:t> </w:t>
      </w:r>
      <w:r>
        <w:rPr/>
        <w:t>contribute</w:t>
      </w:r>
      <w:r>
        <w:rPr>
          <w:spacing w:val="-4"/>
        </w:rPr>
        <w:t> </w:t>
      </w:r>
      <w:r>
        <w:rPr/>
        <w:t>to</w:t>
      </w:r>
      <w:r>
        <w:rPr>
          <w:spacing w:val="-4"/>
        </w:rPr>
        <w:t> </w:t>
      </w:r>
      <w:r>
        <w:rPr/>
        <w:t>signaling</w:t>
      </w:r>
      <w:r>
        <w:rPr>
          <w:spacing w:val="-4"/>
        </w:rPr>
        <w:t> </w:t>
      </w:r>
      <w:r>
        <w:rPr/>
        <w:t>theory</w:t>
      </w:r>
      <w:r>
        <w:rPr>
          <w:spacing w:val="-4"/>
        </w:rPr>
        <w:t> </w:t>
      </w:r>
      <w:r>
        <w:rPr/>
        <w:t>and</w:t>
      </w:r>
      <w:r>
        <w:rPr>
          <w:spacing w:val="-4"/>
        </w:rPr>
        <w:t> </w:t>
      </w:r>
      <w:r>
        <w:rPr/>
        <w:t>extend</w:t>
      </w:r>
      <w:r>
        <w:rPr>
          <w:spacing w:val="-4"/>
        </w:rPr>
        <w:t> </w:t>
      </w:r>
      <w:r>
        <w:rPr/>
        <w:t>prior</w:t>
      </w:r>
      <w:r>
        <w:rPr>
          <w:spacing w:val="-4"/>
        </w:rPr>
        <w:t> </w:t>
      </w:r>
      <w:r>
        <w:rPr/>
        <w:t>waiting</w:t>
      </w:r>
      <w:r>
        <w:rPr>
          <w:spacing w:val="-4"/>
        </w:rPr>
        <w:t> </w:t>
      </w:r>
      <w:r>
        <w:rPr/>
        <w:t>research</w:t>
      </w:r>
      <w:r>
        <w:rPr>
          <w:spacing w:val="-4"/>
        </w:rPr>
        <w:t> </w:t>
      </w:r>
      <w:r>
        <w:rPr/>
        <w:t>by</w:t>
      </w:r>
      <w:r>
        <w:rPr>
          <w:spacing w:val="-4"/>
        </w:rPr>
        <w:t> </w:t>
      </w:r>
      <w:r>
        <w:rPr/>
        <w:t>demonstrating how wait time in high-stakes decision contexts influence perceptions of an institutions quality.</w:t>
      </w:r>
    </w:p>
    <w:p>
      <w:pPr>
        <w:pStyle w:val="BodyText"/>
        <w:spacing w:line="228" w:lineRule="auto" w:before="2"/>
        <w:ind w:left="352" w:right="1381"/>
      </w:pPr>
      <w:r>
        <w:rPr/>
        <w:t>Specifically,</w:t>
      </w:r>
      <w:r>
        <w:rPr>
          <w:spacing w:val="-5"/>
        </w:rPr>
        <w:t> </w:t>
      </w:r>
      <w:r>
        <w:rPr/>
        <w:t>we</w:t>
      </w:r>
      <w:r>
        <w:rPr>
          <w:spacing w:val="-5"/>
        </w:rPr>
        <w:t> </w:t>
      </w:r>
      <w:r>
        <w:rPr/>
        <w:t>extend</w:t>
      </w:r>
      <w:r>
        <w:rPr>
          <w:spacing w:val="-5"/>
        </w:rPr>
        <w:t> </w:t>
      </w:r>
      <w:r>
        <w:rPr/>
        <w:t>signaling</w:t>
      </w:r>
      <w:r>
        <w:rPr>
          <w:spacing w:val="-5"/>
        </w:rPr>
        <w:t> </w:t>
      </w:r>
      <w:r>
        <w:rPr/>
        <w:t>accounts</w:t>
      </w:r>
      <w:r>
        <w:rPr>
          <w:spacing w:val="-5"/>
        </w:rPr>
        <w:t> </w:t>
      </w:r>
      <w:r>
        <w:rPr/>
        <w:t>that</w:t>
      </w:r>
      <w:r>
        <w:rPr>
          <w:spacing w:val="-5"/>
        </w:rPr>
        <w:t> </w:t>
      </w:r>
      <w:r>
        <w:rPr/>
        <w:t>have</w:t>
      </w:r>
      <w:r>
        <w:rPr>
          <w:spacing w:val="-5"/>
        </w:rPr>
        <w:t> </w:t>
      </w:r>
      <w:r>
        <w:rPr/>
        <w:t>emphasized</w:t>
      </w:r>
      <w:r>
        <w:rPr>
          <w:spacing w:val="-5"/>
        </w:rPr>
        <w:t> </w:t>
      </w:r>
      <w:r>
        <w:rPr/>
        <w:t>warranties,</w:t>
      </w:r>
      <w:r>
        <w:rPr>
          <w:spacing w:val="-5"/>
        </w:rPr>
        <w:t> </w:t>
      </w:r>
      <w:r>
        <w:rPr/>
        <w:t>price,</w:t>
      </w:r>
      <w:r>
        <w:rPr>
          <w:spacing w:val="-5"/>
        </w:rPr>
        <w:t> </w:t>
      </w:r>
      <w:r>
        <w:rPr/>
        <w:t>and</w:t>
      </w:r>
      <w:r>
        <w:rPr>
          <w:spacing w:val="-5"/>
        </w:rPr>
        <w:t> </w:t>
      </w:r>
      <w:r>
        <w:rPr/>
        <w:t>other</w:t>
      </w:r>
      <w:r>
        <w:rPr>
          <w:spacing w:val="40"/>
        </w:rPr>
        <w:t> </w:t>
      </w:r>
      <w:r>
        <w:rPr/>
        <w:t>market cues by identifying temporal structure as an underexamined quality signal (Boulding &amp;</w:t>
      </w:r>
      <w:r>
        <w:rPr>
          <w:spacing w:val="40"/>
        </w:rPr>
        <w:t> </w:t>
      </w:r>
      <w:r>
        <w:rPr/>
        <w:t>Kirmani, 1993; Kirmani &amp; Rao, 2000). We also extend waiting research beyond short, transactional service encounters to long-horizon, identity-relevant decisions (Giebelhausen et al.,</w:t>
      </w:r>
      <w:r>
        <w:rPr>
          <w:spacing w:val="40"/>
        </w:rPr>
        <w:t> </w:t>
      </w:r>
      <w:r>
        <w:rPr/>
        <w:t>2011; Maister, 1985).</w:t>
      </w:r>
    </w:p>
    <w:p>
      <w:pPr>
        <w:pStyle w:val="BodyText"/>
        <w:spacing w:after="0" w:line="228" w:lineRule="auto"/>
        <w:sectPr>
          <w:pgSz w:w="12240" w:h="15840"/>
          <w:pgMar w:header="0" w:footer="739" w:top="640" w:bottom="960" w:left="720" w:right="0"/>
        </w:sectPr>
      </w:pPr>
    </w:p>
    <w:p>
      <w:pPr>
        <w:pStyle w:val="BodyText"/>
        <w:spacing w:line="232" w:lineRule="auto" w:before="81"/>
        <w:ind w:left="352" w:right="1725"/>
      </w:pPr>
      <w:r>
        <w:rPr/>
        <w:t>This</w:t>
      </w:r>
      <w:r>
        <w:rPr>
          <w:spacing w:val="-4"/>
        </w:rPr>
        <w:t> </w:t>
      </w:r>
      <w:r>
        <w:rPr/>
        <w:t>work</w:t>
      </w:r>
      <w:r>
        <w:rPr>
          <w:spacing w:val="-4"/>
        </w:rPr>
        <w:t> </w:t>
      </w:r>
      <w:r>
        <w:rPr/>
        <w:t>offers</w:t>
      </w:r>
      <w:r>
        <w:rPr>
          <w:spacing w:val="-4"/>
        </w:rPr>
        <w:t> </w:t>
      </w:r>
      <w:r>
        <w:rPr/>
        <w:t>actionable</w:t>
      </w:r>
      <w:r>
        <w:rPr>
          <w:spacing w:val="-4"/>
        </w:rPr>
        <w:t> </w:t>
      </w:r>
      <w:r>
        <w:rPr/>
        <w:t>insights</w:t>
      </w:r>
      <w:r>
        <w:rPr>
          <w:spacing w:val="-4"/>
        </w:rPr>
        <w:t> </w:t>
      </w:r>
      <w:r>
        <w:rPr/>
        <w:t>for</w:t>
      </w:r>
      <w:r>
        <w:rPr>
          <w:spacing w:val="-4"/>
        </w:rPr>
        <w:t> </w:t>
      </w:r>
      <w:r>
        <w:rPr/>
        <w:t>enrollment</w:t>
      </w:r>
      <w:r>
        <w:rPr>
          <w:spacing w:val="-4"/>
        </w:rPr>
        <w:t> </w:t>
      </w:r>
      <w:r>
        <w:rPr/>
        <w:t>strategies</w:t>
      </w:r>
      <w:r>
        <w:rPr>
          <w:spacing w:val="-4"/>
        </w:rPr>
        <w:t> </w:t>
      </w:r>
      <w:r>
        <w:rPr/>
        <w:t>and</w:t>
      </w:r>
      <w:r>
        <w:rPr>
          <w:spacing w:val="-4"/>
        </w:rPr>
        <w:t> </w:t>
      </w:r>
      <w:r>
        <w:rPr/>
        <w:t>a</w:t>
      </w:r>
      <w:r>
        <w:rPr>
          <w:spacing w:val="-4"/>
        </w:rPr>
        <w:t> </w:t>
      </w:r>
      <w:r>
        <w:rPr/>
        <w:t>pedagogically</w:t>
      </w:r>
      <w:r>
        <w:rPr>
          <w:spacing w:val="-4"/>
        </w:rPr>
        <w:t> </w:t>
      </w:r>
      <w:r>
        <w:rPr/>
        <w:t>rich</w:t>
      </w:r>
      <w:r>
        <w:rPr>
          <w:spacing w:val="40"/>
        </w:rPr>
        <w:t> </w:t>
      </w:r>
      <w:r>
        <w:rPr/>
        <w:t>illustration of how marketing cues shape consumer inference in service-based decision contexts.</w:t>
      </w:r>
    </w:p>
    <w:p>
      <w:pPr>
        <w:pStyle w:val="BodyText"/>
        <w:spacing w:before="7"/>
      </w:pPr>
    </w:p>
    <w:p>
      <w:pPr>
        <w:pStyle w:val="BodyText"/>
        <w:spacing w:line="228" w:lineRule="auto"/>
        <w:ind w:left="352" w:right="2135"/>
      </w:pPr>
      <w:r>
        <w:rPr>
          <w:b/>
        </w:rPr>
        <w:t>Keywords:</w:t>
      </w:r>
      <w:r>
        <w:rPr>
          <w:b/>
          <w:spacing w:val="-9"/>
        </w:rPr>
        <w:t> </w:t>
      </w:r>
      <w:r>
        <w:rPr/>
        <w:t>signaling</w:t>
      </w:r>
      <w:r>
        <w:rPr>
          <w:spacing w:val="-9"/>
        </w:rPr>
        <w:t> </w:t>
      </w:r>
      <w:r>
        <w:rPr/>
        <w:t>theory,</w:t>
      </w:r>
      <w:r>
        <w:rPr>
          <w:spacing w:val="-9"/>
        </w:rPr>
        <w:t> </w:t>
      </w:r>
      <w:r>
        <w:rPr/>
        <w:t>admissions</w:t>
      </w:r>
      <w:r>
        <w:rPr>
          <w:spacing w:val="-9"/>
        </w:rPr>
        <w:t> </w:t>
      </w:r>
      <w:r>
        <w:rPr/>
        <w:t>strategy,</w:t>
      </w:r>
      <w:r>
        <w:rPr>
          <w:spacing w:val="-9"/>
        </w:rPr>
        <w:t> </w:t>
      </w:r>
      <w:r>
        <w:rPr/>
        <w:t>higher</w:t>
      </w:r>
      <w:r>
        <w:rPr>
          <w:spacing w:val="-9"/>
        </w:rPr>
        <w:t> </w:t>
      </w:r>
      <w:r>
        <w:rPr/>
        <w:t>education</w:t>
      </w:r>
      <w:r>
        <w:rPr>
          <w:spacing w:val="-9"/>
        </w:rPr>
        <w:t> </w:t>
      </w:r>
      <w:r>
        <w:rPr/>
        <w:t>marketing,</w:t>
      </w:r>
      <w:r>
        <w:rPr>
          <w:spacing w:val="-9"/>
        </w:rPr>
        <w:t> </w:t>
      </w:r>
      <w:r>
        <w:rPr/>
        <w:t>rolling </w:t>
      </w:r>
      <w:r>
        <w:rPr>
          <w:spacing w:val="-2"/>
        </w:rPr>
        <w:t>admissions</w:t>
      </w:r>
    </w:p>
    <w:p>
      <w:pPr>
        <w:pStyle w:val="BodyText"/>
        <w:spacing w:before="2"/>
      </w:pPr>
    </w:p>
    <w:p>
      <w:pPr>
        <w:pStyle w:val="Heading4"/>
        <w:ind w:left="352"/>
      </w:pPr>
      <w:r>
        <w:rPr>
          <w:spacing w:val="-2"/>
        </w:rPr>
        <w:t>References</w:t>
      </w:r>
    </w:p>
    <w:p>
      <w:pPr>
        <w:pStyle w:val="BodyText"/>
        <w:spacing w:line="230" w:lineRule="auto" w:before="274"/>
        <w:ind w:left="352" w:right="2135"/>
      </w:pPr>
      <w:r>
        <w:rPr/>
        <w:t>Avery,</w:t>
      </w:r>
      <w:r>
        <w:rPr>
          <w:spacing w:val="-6"/>
        </w:rPr>
        <w:t> </w:t>
      </w:r>
      <w:r>
        <w:rPr/>
        <w:t>C.,</w:t>
      </w:r>
      <w:r>
        <w:rPr>
          <w:spacing w:val="-6"/>
        </w:rPr>
        <w:t> </w:t>
      </w:r>
      <w:r>
        <w:rPr/>
        <w:t>&amp;</w:t>
      </w:r>
      <w:r>
        <w:rPr>
          <w:spacing w:val="-6"/>
        </w:rPr>
        <w:t> </w:t>
      </w:r>
      <w:r>
        <w:rPr/>
        <w:t>Levin,</w:t>
      </w:r>
      <w:r>
        <w:rPr>
          <w:spacing w:val="-6"/>
        </w:rPr>
        <w:t> </w:t>
      </w:r>
      <w:r>
        <w:rPr/>
        <w:t>J.</w:t>
      </w:r>
      <w:r>
        <w:rPr>
          <w:spacing w:val="-6"/>
        </w:rPr>
        <w:t> </w:t>
      </w:r>
      <w:r>
        <w:rPr/>
        <w:t>(2010).</w:t>
      </w:r>
      <w:r>
        <w:rPr>
          <w:spacing w:val="-6"/>
        </w:rPr>
        <w:t> </w:t>
      </w:r>
      <w:r>
        <w:rPr/>
        <w:t>Early</w:t>
      </w:r>
      <w:r>
        <w:rPr>
          <w:spacing w:val="-6"/>
        </w:rPr>
        <w:t> </w:t>
      </w:r>
      <w:r>
        <w:rPr/>
        <w:t>admissions</w:t>
      </w:r>
      <w:r>
        <w:rPr>
          <w:spacing w:val="-6"/>
        </w:rPr>
        <w:t> </w:t>
      </w:r>
      <w:r>
        <w:rPr/>
        <w:t>at</w:t>
      </w:r>
      <w:r>
        <w:rPr>
          <w:spacing w:val="-6"/>
        </w:rPr>
        <w:t> </w:t>
      </w:r>
      <w:r>
        <w:rPr/>
        <w:t>selective</w:t>
      </w:r>
      <w:r>
        <w:rPr>
          <w:spacing w:val="-6"/>
        </w:rPr>
        <w:t> </w:t>
      </w:r>
      <w:r>
        <w:rPr/>
        <w:t>colleges.</w:t>
      </w:r>
      <w:r>
        <w:rPr>
          <w:spacing w:val="-6"/>
        </w:rPr>
        <w:t> </w:t>
      </w:r>
      <w:r>
        <w:rPr>
          <w:i/>
        </w:rPr>
        <w:t>American</w:t>
      </w:r>
      <w:r>
        <w:rPr>
          <w:i/>
          <w:spacing w:val="-6"/>
        </w:rPr>
        <w:t> </w:t>
      </w:r>
      <w:r>
        <w:rPr>
          <w:i/>
        </w:rPr>
        <w:t>Economic</w:t>
      </w:r>
      <w:r>
        <w:rPr>
          <w:i/>
        </w:rPr>
        <w:t> Review, 100</w:t>
      </w:r>
      <w:r>
        <w:rPr/>
        <w:t>(5), 2125–2156. </w:t>
      </w:r>
      <w:hyperlink r:id="rId282">
        <w:r>
          <w:rPr/>
          <w:t>https://doi.org/10.1257/aer.100.5.2125</w:t>
        </w:r>
      </w:hyperlink>
    </w:p>
    <w:p>
      <w:pPr>
        <w:pStyle w:val="BodyText"/>
        <w:spacing w:before="2"/>
      </w:pPr>
    </w:p>
    <w:p>
      <w:pPr>
        <w:pStyle w:val="BodyText"/>
        <w:spacing w:line="270" w:lineRule="exact"/>
        <w:ind w:left="352"/>
      </w:pPr>
      <w:r>
        <w:rPr/>
        <w:t>Bagley,</w:t>
      </w:r>
      <w:r>
        <w:rPr>
          <w:spacing w:val="-2"/>
        </w:rPr>
        <w:t> </w:t>
      </w:r>
      <w:r>
        <w:rPr/>
        <w:t>S.</w:t>
      </w:r>
      <w:r>
        <w:rPr>
          <w:spacing w:val="-1"/>
        </w:rPr>
        <w:t> </w:t>
      </w:r>
      <w:r>
        <w:rPr/>
        <w:t>S.,</w:t>
      </w:r>
      <w:r>
        <w:rPr>
          <w:spacing w:val="-1"/>
        </w:rPr>
        <w:t> </w:t>
      </w:r>
      <w:r>
        <w:rPr/>
        <w:t>&amp;</w:t>
      </w:r>
      <w:r>
        <w:rPr>
          <w:spacing w:val="-1"/>
        </w:rPr>
        <w:t> </w:t>
      </w:r>
      <w:r>
        <w:rPr/>
        <w:t>Portnoi,</w:t>
      </w:r>
      <w:r>
        <w:rPr>
          <w:spacing w:val="-1"/>
        </w:rPr>
        <w:t> </w:t>
      </w:r>
      <w:r>
        <w:rPr/>
        <w:t>L.</w:t>
      </w:r>
      <w:r>
        <w:rPr>
          <w:spacing w:val="-1"/>
        </w:rPr>
        <w:t> </w:t>
      </w:r>
      <w:r>
        <w:rPr/>
        <w:t>M.</w:t>
      </w:r>
      <w:r>
        <w:rPr>
          <w:spacing w:val="-1"/>
        </w:rPr>
        <w:t> </w:t>
      </w:r>
      <w:r>
        <w:rPr/>
        <w:t>(2014).</w:t>
      </w:r>
      <w:r>
        <w:rPr>
          <w:spacing w:val="-1"/>
        </w:rPr>
        <w:t> </w:t>
      </w:r>
      <w:r>
        <w:rPr/>
        <w:t>Setting</w:t>
      </w:r>
      <w:r>
        <w:rPr>
          <w:spacing w:val="-1"/>
        </w:rPr>
        <w:t> </w:t>
      </w:r>
      <w:r>
        <w:rPr/>
        <w:t>the</w:t>
      </w:r>
      <w:r>
        <w:rPr>
          <w:spacing w:val="-1"/>
        </w:rPr>
        <w:t> </w:t>
      </w:r>
      <w:r>
        <w:rPr/>
        <w:t>stage:</w:t>
      </w:r>
      <w:r>
        <w:rPr>
          <w:spacing w:val="-1"/>
        </w:rPr>
        <w:t> </w:t>
      </w:r>
      <w:r>
        <w:rPr/>
        <w:t>Global</w:t>
      </w:r>
      <w:r>
        <w:rPr>
          <w:spacing w:val="-1"/>
        </w:rPr>
        <w:t> </w:t>
      </w:r>
      <w:r>
        <w:rPr/>
        <w:t>competition</w:t>
      </w:r>
      <w:r>
        <w:rPr>
          <w:spacing w:val="-1"/>
        </w:rPr>
        <w:t> </w:t>
      </w:r>
      <w:r>
        <w:rPr/>
        <w:t>in</w:t>
      </w:r>
      <w:r>
        <w:rPr>
          <w:spacing w:val="-1"/>
        </w:rPr>
        <w:t> </w:t>
      </w:r>
      <w:r>
        <w:rPr/>
        <w:t>higher</w:t>
      </w:r>
      <w:r>
        <w:rPr>
          <w:spacing w:val="-1"/>
        </w:rPr>
        <w:t> </w:t>
      </w:r>
      <w:r>
        <w:rPr>
          <w:spacing w:val="-2"/>
        </w:rPr>
        <w:t>education.</w:t>
      </w:r>
    </w:p>
    <w:p>
      <w:pPr>
        <w:spacing w:line="270" w:lineRule="exact" w:before="0"/>
        <w:ind w:left="352" w:right="0" w:firstLine="0"/>
        <w:jc w:val="left"/>
        <w:rPr>
          <w:sz w:val="24"/>
        </w:rPr>
      </w:pPr>
      <w:r>
        <w:rPr>
          <w:i/>
          <w:sz w:val="24"/>
        </w:rPr>
        <w:t>New</w:t>
      </w:r>
      <w:r>
        <w:rPr>
          <w:i/>
          <w:spacing w:val="-3"/>
          <w:sz w:val="24"/>
        </w:rPr>
        <w:t> </w:t>
      </w:r>
      <w:r>
        <w:rPr>
          <w:i/>
          <w:sz w:val="24"/>
        </w:rPr>
        <w:t>Directions</w:t>
      </w:r>
      <w:r>
        <w:rPr>
          <w:i/>
          <w:spacing w:val="-3"/>
          <w:sz w:val="24"/>
        </w:rPr>
        <w:t> </w:t>
      </w:r>
      <w:r>
        <w:rPr>
          <w:i/>
          <w:sz w:val="24"/>
        </w:rPr>
        <w:t>for</w:t>
      </w:r>
      <w:r>
        <w:rPr>
          <w:i/>
          <w:spacing w:val="-2"/>
          <w:sz w:val="24"/>
        </w:rPr>
        <w:t> </w:t>
      </w:r>
      <w:r>
        <w:rPr>
          <w:i/>
          <w:sz w:val="24"/>
        </w:rPr>
        <w:t>Higher</w:t>
      </w:r>
      <w:r>
        <w:rPr>
          <w:i/>
          <w:spacing w:val="-3"/>
          <w:sz w:val="24"/>
        </w:rPr>
        <w:t> </w:t>
      </w:r>
      <w:r>
        <w:rPr>
          <w:i/>
          <w:sz w:val="24"/>
        </w:rPr>
        <w:t>Education,</w:t>
      </w:r>
      <w:r>
        <w:rPr>
          <w:i/>
          <w:spacing w:val="-2"/>
          <w:sz w:val="24"/>
        </w:rPr>
        <w:t> </w:t>
      </w:r>
      <w:r>
        <w:rPr>
          <w:i/>
          <w:sz w:val="24"/>
        </w:rPr>
        <w:t>2014</w:t>
      </w:r>
      <w:r>
        <w:rPr>
          <w:sz w:val="24"/>
        </w:rPr>
        <w:t>(168),</w:t>
      </w:r>
      <w:r>
        <w:rPr>
          <w:spacing w:val="-3"/>
          <w:sz w:val="24"/>
        </w:rPr>
        <w:t> </w:t>
      </w:r>
      <w:r>
        <w:rPr>
          <w:sz w:val="24"/>
        </w:rPr>
        <w:t>5–11.</w:t>
      </w:r>
      <w:r>
        <w:rPr>
          <w:spacing w:val="-2"/>
          <w:sz w:val="24"/>
        </w:rPr>
        <w:t> </w:t>
      </w:r>
      <w:hyperlink r:id="rId283">
        <w:r>
          <w:rPr>
            <w:spacing w:val="-2"/>
            <w:sz w:val="24"/>
          </w:rPr>
          <w:t>https://doi.org/10.1002/he.20081</w:t>
        </w:r>
      </w:hyperlink>
    </w:p>
    <w:p>
      <w:pPr>
        <w:pStyle w:val="BodyText"/>
        <w:spacing w:before="7"/>
      </w:pPr>
    </w:p>
    <w:p>
      <w:pPr>
        <w:pStyle w:val="BodyText"/>
        <w:spacing w:line="230" w:lineRule="auto"/>
        <w:ind w:left="352" w:right="1773"/>
        <w:jc w:val="both"/>
      </w:pPr>
      <w:r>
        <w:rPr/>
        <w:t>Bastedo, M. N., Bowman, N. A., Glasener, K. M., &amp; Kelly, J. L. (2018). What are we </w:t>
      </w:r>
      <w:r>
        <w:rPr/>
        <w:t>talking about when we talk about holistic review? </w:t>
      </w:r>
      <w:r>
        <w:rPr>
          <w:i/>
        </w:rPr>
        <w:t>The Journal of Higher Education, 89</w:t>
      </w:r>
      <w:r>
        <w:rPr/>
        <w:t>(5), 782–805. </w:t>
      </w:r>
      <w:hyperlink r:id="rId284">
        <w:r>
          <w:rPr>
            <w:spacing w:val="-2"/>
          </w:rPr>
          <w:t>https://doi.org/10.1080/00221546.2018.1442633</w:t>
        </w:r>
      </w:hyperlink>
    </w:p>
    <w:p>
      <w:pPr>
        <w:pStyle w:val="BodyText"/>
        <w:spacing w:before="11"/>
      </w:pPr>
    </w:p>
    <w:p>
      <w:pPr>
        <w:pStyle w:val="BodyText"/>
        <w:spacing w:line="230" w:lineRule="auto"/>
        <w:ind w:left="352" w:right="1619"/>
      </w:pPr>
      <w:r>
        <w:rPr/>
        <w:t>Boulding, W., &amp; Kirmani, A. (1993). A consumer-side experimental examination of signaling theory:</w:t>
      </w:r>
      <w:r>
        <w:rPr>
          <w:spacing w:val="-4"/>
        </w:rPr>
        <w:t> </w:t>
      </w:r>
      <w:r>
        <w:rPr/>
        <w:t>Do</w:t>
      </w:r>
      <w:r>
        <w:rPr>
          <w:spacing w:val="-4"/>
        </w:rPr>
        <w:t> </w:t>
      </w:r>
      <w:r>
        <w:rPr/>
        <w:t>consumers</w:t>
      </w:r>
      <w:r>
        <w:rPr>
          <w:spacing w:val="-4"/>
        </w:rPr>
        <w:t> </w:t>
      </w:r>
      <w:r>
        <w:rPr/>
        <w:t>perceive</w:t>
      </w:r>
      <w:r>
        <w:rPr>
          <w:spacing w:val="-4"/>
        </w:rPr>
        <w:t> </w:t>
      </w:r>
      <w:r>
        <w:rPr/>
        <w:t>warranties</w:t>
      </w:r>
      <w:r>
        <w:rPr>
          <w:spacing w:val="-4"/>
        </w:rPr>
        <w:t> </w:t>
      </w:r>
      <w:r>
        <w:rPr/>
        <w:t>as</w:t>
      </w:r>
      <w:r>
        <w:rPr>
          <w:spacing w:val="-4"/>
        </w:rPr>
        <w:t> </w:t>
      </w:r>
      <w:r>
        <w:rPr/>
        <w:t>signals</w:t>
      </w:r>
      <w:r>
        <w:rPr>
          <w:spacing w:val="-4"/>
        </w:rPr>
        <w:t> </w:t>
      </w:r>
      <w:r>
        <w:rPr/>
        <w:t>of</w:t>
      </w:r>
      <w:r>
        <w:rPr>
          <w:spacing w:val="-4"/>
        </w:rPr>
        <w:t> </w:t>
      </w:r>
      <w:r>
        <w:rPr/>
        <w:t>quality?</w:t>
      </w:r>
      <w:r>
        <w:rPr>
          <w:spacing w:val="-4"/>
        </w:rPr>
        <w:t> </w:t>
      </w:r>
      <w:r>
        <w:rPr>
          <w:i/>
        </w:rPr>
        <w:t>Journal</w:t>
      </w:r>
      <w:r>
        <w:rPr>
          <w:i/>
          <w:spacing w:val="-4"/>
        </w:rPr>
        <w:t> </w:t>
      </w:r>
      <w:r>
        <w:rPr>
          <w:i/>
        </w:rPr>
        <w:t>of</w:t>
      </w:r>
      <w:r>
        <w:rPr>
          <w:i/>
          <w:spacing w:val="-4"/>
        </w:rPr>
        <w:t> </w:t>
      </w:r>
      <w:r>
        <w:rPr>
          <w:i/>
        </w:rPr>
        <w:t>Consumer</w:t>
      </w:r>
      <w:r>
        <w:rPr>
          <w:i/>
          <w:spacing w:val="-4"/>
        </w:rPr>
        <w:t> </w:t>
      </w:r>
      <w:r>
        <w:rPr>
          <w:i/>
        </w:rPr>
        <w:t>Research,</w:t>
      </w:r>
      <w:r>
        <w:rPr>
          <w:i/>
        </w:rPr>
        <w:t> 20</w:t>
      </w:r>
      <w:r>
        <w:rPr/>
        <w:t>(1), 111–123. </w:t>
      </w:r>
      <w:hyperlink r:id="rId285">
        <w:r>
          <w:rPr/>
          <w:t>https://doi.org/10.1086/209336</w:t>
        </w:r>
      </w:hyperlink>
    </w:p>
    <w:p>
      <w:pPr>
        <w:pStyle w:val="BodyText"/>
        <w:spacing w:before="7"/>
      </w:pPr>
    </w:p>
    <w:p>
      <w:pPr>
        <w:pStyle w:val="BodyText"/>
        <w:spacing w:line="230" w:lineRule="auto"/>
        <w:ind w:left="352" w:right="2135"/>
      </w:pPr>
      <w:r>
        <w:rPr/>
        <w:t>Dodds, W. B., Monroe, K. B., &amp; Grewal, D. (1991). Effects of price, brand, and store information</w:t>
      </w:r>
      <w:r>
        <w:rPr>
          <w:spacing w:val="-5"/>
        </w:rPr>
        <w:t> </w:t>
      </w:r>
      <w:r>
        <w:rPr/>
        <w:t>on</w:t>
      </w:r>
      <w:r>
        <w:rPr>
          <w:spacing w:val="-5"/>
        </w:rPr>
        <w:t> </w:t>
      </w:r>
      <w:r>
        <w:rPr/>
        <w:t>buyers’</w:t>
      </w:r>
      <w:r>
        <w:rPr>
          <w:spacing w:val="-5"/>
        </w:rPr>
        <w:t> </w:t>
      </w:r>
      <w:r>
        <w:rPr/>
        <w:t>product</w:t>
      </w:r>
      <w:r>
        <w:rPr>
          <w:spacing w:val="-5"/>
        </w:rPr>
        <w:t> </w:t>
      </w:r>
      <w:r>
        <w:rPr/>
        <w:t>evaluations.</w:t>
      </w:r>
      <w:r>
        <w:rPr>
          <w:spacing w:val="-5"/>
        </w:rPr>
        <w:t> </w:t>
      </w:r>
      <w:r>
        <w:rPr>
          <w:i/>
        </w:rPr>
        <w:t>Journal</w:t>
      </w:r>
      <w:r>
        <w:rPr>
          <w:i/>
          <w:spacing w:val="-5"/>
        </w:rPr>
        <w:t> </w:t>
      </w:r>
      <w:r>
        <w:rPr>
          <w:i/>
        </w:rPr>
        <w:t>of</w:t>
      </w:r>
      <w:r>
        <w:rPr>
          <w:i/>
          <w:spacing w:val="-5"/>
        </w:rPr>
        <w:t> </w:t>
      </w:r>
      <w:r>
        <w:rPr>
          <w:i/>
        </w:rPr>
        <w:t>Marketing</w:t>
      </w:r>
      <w:r>
        <w:rPr>
          <w:i/>
          <w:spacing w:val="-5"/>
        </w:rPr>
        <w:t> </w:t>
      </w:r>
      <w:r>
        <w:rPr>
          <w:i/>
        </w:rPr>
        <w:t>Research,</w:t>
      </w:r>
      <w:r>
        <w:rPr>
          <w:i/>
          <w:spacing w:val="-5"/>
        </w:rPr>
        <w:t> </w:t>
      </w:r>
      <w:r>
        <w:rPr>
          <w:i/>
        </w:rPr>
        <w:t>28</w:t>
      </w:r>
      <w:r>
        <w:rPr/>
        <w:t>(3),</w:t>
      </w:r>
      <w:r>
        <w:rPr>
          <w:spacing w:val="-5"/>
        </w:rPr>
        <w:t> </w:t>
      </w:r>
      <w:r>
        <w:rPr/>
        <w:t>307–</w:t>
      </w:r>
      <w:r>
        <w:rPr/>
        <w:t>319. </w:t>
      </w:r>
      <w:hyperlink r:id="rId286">
        <w:r>
          <w:rPr>
            <w:spacing w:val="-2"/>
          </w:rPr>
          <w:t>https://doi.org/10.2307/3172866</w:t>
        </w:r>
      </w:hyperlink>
    </w:p>
    <w:p>
      <w:pPr>
        <w:pStyle w:val="BodyText"/>
        <w:spacing w:before="11"/>
      </w:pPr>
    </w:p>
    <w:p>
      <w:pPr>
        <w:spacing w:line="228" w:lineRule="auto" w:before="1"/>
        <w:ind w:left="352" w:right="2135" w:firstLine="0"/>
        <w:jc w:val="left"/>
        <w:rPr>
          <w:sz w:val="24"/>
        </w:rPr>
      </w:pPr>
      <w:r>
        <w:rPr>
          <w:sz w:val="24"/>
        </w:rPr>
        <w:t>Giebelhausen, M., Robinson, S. G., &amp; Cronin, J. J. (2011). Worth waiting for: Increasing satisfaction</w:t>
      </w:r>
      <w:r>
        <w:rPr>
          <w:spacing w:val="-4"/>
          <w:sz w:val="24"/>
        </w:rPr>
        <w:t> </w:t>
      </w:r>
      <w:r>
        <w:rPr>
          <w:sz w:val="24"/>
        </w:rPr>
        <w:t>by</w:t>
      </w:r>
      <w:r>
        <w:rPr>
          <w:spacing w:val="-4"/>
          <w:sz w:val="24"/>
        </w:rPr>
        <w:t> </w:t>
      </w:r>
      <w:r>
        <w:rPr>
          <w:sz w:val="24"/>
        </w:rPr>
        <w:t>making</w:t>
      </w:r>
      <w:r>
        <w:rPr>
          <w:spacing w:val="-4"/>
          <w:sz w:val="24"/>
        </w:rPr>
        <w:t> </w:t>
      </w:r>
      <w:r>
        <w:rPr>
          <w:sz w:val="24"/>
        </w:rPr>
        <w:t>consumers</w:t>
      </w:r>
      <w:r>
        <w:rPr>
          <w:spacing w:val="-4"/>
          <w:sz w:val="24"/>
        </w:rPr>
        <w:t> </w:t>
      </w:r>
      <w:r>
        <w:rPr>
          <w:sz w:val="24"/>
        </w:rPr>
        <w:t>wait.</w:t>
      </w:r>
      <w:r>
        <w:rPr>
          <w:spacing w:val="-4"/>
          <w:sz w:val="24"/>
        </w:rPr>
        <w:t> </w:t>
      </w:r>
      <w:r>
        <w:rPr>
          <w:i/>
          <w:sz w:val="24"/>
        </w:rPr>
        <w:t>Journal</w:t>
      </w:r>
      <w:r>
        <w:rPr>
          <w:i/>
          <w:spacing w:val="-4"/>
          <w:sz w:val="24"/>
        </w:rPr>
        <w:t> </w:t>
      </w:r>
      <w:r>
        <w:rPr>
          <w:i/>
          <w:sz w:val="24"/>
        </w:rPr>
        <w:t>of</w:t>
      </w:r>
      <w:r>
        <w:rPr>
          <w:i/>
          <w:spacing w:val="-4"/>
          <w:sz w:val="24"/>
        </w:rPr>
        <w:t> </w:t>
      </w:r>
      <w:r>
        <w:rPr>
          <w:i/>
          <w:sz w:val="24"/>
        </w:rPr>
        <w:t>the</w:t>
      </w:r>
      <w:r>
        <w:rPr>
          <w:i/>
          <w:spacing w:val="-4"/>
          <w:sz w:val="24"/>
        </w:rPr>
        <w:t> </w:t>
      </w:r>
      <w:r>
        <w:rPr>
          <w:i/>
          <w:sz w:val="24"/>
        </w:rPr>
        <w:t>Academy</w:t>
      </w:r>
      <w:r>
        <w:rPr>
          <w:i/>
          <w:spacing w:val="-4"/>
          <w:sz w:val="24"/>
        </w:rPr>
        <w:t> </w:t>
      </w:r>
      <w:r>
        <w:rPr>
          <w:i/>
          <w:sz w:val="24"/>
        </w:rPr>
        <w:t>of</w:t>
      </w:r>
      <w:r>
        <w:rPr>
          <w:i/>
          <w:spacing w:val="-4"/>
          <w:sz w:val="24"/>
        </w:rPr>
        <w:t> </w:t>
      </w:r>
      <w:r>
        <w:rPr>
          <w:i/>
          <w:sz w:val="24"/>
        </w:rPr>
        <w:t>Marketing</w:t>
      </w:r>
      <w:r>
        <w:rPr>
          <w:i/>
          <w:spacing w:val="-4"/>
          <w:sz w:val="24"/>
        </w:rPr>
        <w:t> </w:t>
      </w:r>
      <w:r>
        <w:rPr>
          <w:i/>
          <w:sz w:val="24"/>
        </w:rPr>
        <w:t>Science,</w:t>
      </w:r>
      <w:r>
        <w:rPr>
          <w:i/>
          <w:spacing w:val="-4"/>
          <w:sz w:val="24"/>
        </w:rPr>
        <w:t> </w:t>
      </w:r>
      <w:r>
        <w:rPr>
          <w:i/>
          <w:sz w:val="24"/>
        </w:rPr>
        <w:t>39</w:t>
      </w:r>
      <w:r>
        <w:rPr>
          <w:sz w:val="24"/>
        </w:rPr>
        <w:t>(6), 889–905. </w:t>
      </w:r>
      <w:hyperlink r:id="rId287">
        <w:r>
          <w:rPr>
            <w:sz w:val="24"/>
          </w:rPr>
          <w:t>https://doi.org/10.1007/s11747-010-0222-5</w:t>
        </w:r>
      </w:hyperlink>
    </w:p>
    <w:p>
      <w:pPr>
        <w:pStyle w:val="BodyText"/>
        <w:spacing w:before="12"/>
      </w:pPr>
    </w:p>
    <w:p>
      <w:pPr>
        <w:spacing w:line="232" w:lineRule="auto" w:before="0"/>
        <w:ind w:left="352" w:right="1619" w:firstLine="0"/>
        <w:jc w:val="left"/>
        <w:rPr>
          <w:sz w:val="24"/>
        </w:rPr>
      </w:pPr>
      <w:r>
        <w:rPr>
          <w:sz w:val="24"/>
        </w:rPr>
        <w:t>Grawe,</w:t>
      </w:r>
      <w:r>
        <w:rPr>
          <w:spacing w:val="-4"/>
          <w:sz w:val="24"/>
        </w:rPr>
        <w:t> </w:t>
      </w:r>
      <w:r>
        <w:rPr>
          <w:sz w:val="24"/>
        </w:rPr>
        <w:t>N.</w:t>
      </w:r>
      <w:r>
        <w:rPr>
          <w:spacing w:val="-4"/>
          <w:sz w:val="24"/>
        </w:rPr>
        <w:t> </w:t>
      </w:r>
      <w:r>
        <w:rPr>
          <w:sz w:val="24"/>
        </w:rPr>
        <w:t>D.</w:t>
      </w:r>
      <w:r>
        <w:rPr>
          <w:spacing w:val="-4"/>
          <w:sz w:val="24"/>
        </w:rPr>
        <w:t> </w:t>
      </w:r>
      <w:r>
        <w:rPr>
          <w:sz w:val="24"/>
        </w:rPr>
        <w:t>(2018).</w:t>
      </w:r>
      <w:r>
        <w:rPr>
          <w:spacing w:val="-4"/>
          <w:sz w:val="24"/>
        </w:rPr>
        <w:t> </w:t>
      </w:r>
      <w:r>
        <w:rPr>
          <w:i/>
          <w:sz w:val="24"/>
        </w:rPr>
        <w:t>Demographics</w:t>
      </w:r>
      <w:r>
        <w:rPr>
          <w:i/>
          <w:spacing w:val="-4"/>
          <w:sz w:val="24"/>
        </w:rPr>
        <w:t> </w:t>
      </w:r>
      <w:r>
        <w:rPr>
          <w:i/>
          <w:sz w:val="24"/>
        </w:rPr>
        <w:t>and</w:t>
      </w:r>
      <w:r>
        <w:rPr>
          <w:i/>
          <w:spacing w:val="-4"/>
          <w:sz w:val="24"/>
        </w:rPr>
        <w:t> </w:t>
      </w:r>
      <w:r>
        <w:rPr>
          <w:i/>
          <w:sz w:val="24"/>
        </w:rPr>
        <w:t>the</w:t>
      </w:r>
      <w:r>
        <w:rPr>
          <w:i/>
          <w:spacing w:val="-4"/>
          <w:sz w:val="24"/>
        </w:rPr>
        <w:t> </w:t>
      </w:r>
      <w:r>
        <w:rPr>
          <w:i/>
          <w:sz w:val="24"/>
        </w:rPr>
        <w:t>demand</w:t>
      </w:r>
      <w:r>
        <w:rPr>
          <w:i/>
          <w:spacing w:val="-4"/>
          <w:sz w:val="24"/>
        </w:rPr>
        <w:t> </w:t>
      </w:r>
      <w:r>
        <w:rPr>
          <w:i/>
          <w:sz w:val="24"/>
        </w:rPr>
        <w:t>for</w:t>
      </w:r>
      <w:r>
        <w:rPr>
          <w:i/>
          <w:spacing w:val="-4"/>
          <w:sz w:val="24"/>
        </w:rPr>
        <w:t> </w:t>
      </w:r>
      <w:r>
        <w:rPr>
          <w:i/>
          <w:sz w:val="24"/>
        </w:rPr>
        <w:t>higher</w:t>
      </w:r>
      <w:r>
        <w:rPr>
          <w:i/>
          <w:spacing w:val="-4"/>
          <w:sz w:val="24"/>
        </w:rPr>
        <w:t> </w:t>
      </w:r>
      <w:r>
        <w:rPr>
          <w:i/>
          <w:sz w:val="24"/>
        </w:rPr>
        <w:t>education</w:t>
      </w:r>
      <w:r>
        <w:rPr>
          <w:sz w:val="24"/>
        </w:rPr>
        <w:t>.</w:t>
      </w:r>
      <w:r>
        <w:rPr>
          <w:spacing w:val="-4"/>
          <w:sz w:val="24"/>
        </w:rPr>
        <w:t> </w:t>
      </w:r>
      <w:r>
        <w:rPr>
          <w:sz w:val="24"/>
        </w:rPr>
        <w:t>Johns</w:t>
      </w:r>
      <w:r>
        <w:rPr>
          <w:spacing w:val="-4"/>
          <w:sz w:val="24"/>
        </w:rPr>
        <w:t> </w:t>
      </w:r>
      <w:r>
        <w:rPr>
          <w:sz w:val="24"/>
        </w:rPr>
        <w:t>Hopkins University Press.</w:t>
      </w:r>
    </w:p>
    <w:p>
      <w:pPr>
        <w:pStyle w:val="BodyText"/>
        <w:spacing w:before="8"/>
      </w:pPr>
    </w:p>
    <w:p>
      <w:pPr>
        <w:spacing w:line="228" w:lineRule="auto" w:before="0"/>
        <w:ind w:left="352" w:right="2135" w:firstLine="0"/>
        <w:jc w:val="left"/>
        <w:rPr>
          <w:sz w:val="24"/>
        </w:rPr>
      </w:pPr>
      <w:r>
        <w:rPr>
          <w:sz w:val="24"/>
        </w:rPr>
        <w:t>Hoover,</w:t>
      </w:r>
      <w:r>
        <w:rPr>
          <w:spacing w:val="-4"/>
          <w:sz w:val="24"/>
        </w:rPr>
        <w:t> </w:t>
      </w:r>
      <w:r>
        <w:rPr>
          <w:sz w:val="24"/>
        </w:rPr>
        <w:t>E.</w:t>
      </w:r>
      <w:r>
        <w:rPr>
          <w:spacing w:val="-4"/>
          <w:sz w:val="24"/>
        </w:rPr>
        <w:t> </w:t>
      </w:r>
      <w:r>
        <w:rPr>
          <w:sz w:val="24"/>
        </w:rPr>
        <w:t>(2009,</w:t>
      </w:r>
      <w:r>
        <w:rPr>
          <w:spacing w:val="-4"/>
          <w:sz w:val="24"/>
        </w:rPr>
        <w:t> </w:t>
      </w:r>
      <w:r>
        <w:rPr>
          <w:sz w:val="24"/>
        </w:rPr>
        <w:t>January</w:t>
      </w:r>
      <w:r>
        <w:rPr>
          <w:spacing w:val="-4"/>
          <w:sz w:val="24"/>
        </w:rPr>
        <w:t> </w:t>
      </w:r>
      <w:r>
        <w:rPr>
          <w:sz w:val="24"/>
        </w:rPr>
        <w:t>22).</w:t>
      </w:r>
      <w:r>
        <w:rPr>
          <w:spacing w:val="-4"/>
          <w:sz w:val="24"/>
        </w:rPr>
        <w:t> </w:t>
      </w:r>
      <w:r>
        <w:rPr>
          <w:sz w:val="24"/>
        </w:rPr>
        <w:t>Rolling</w:t>
      </w:r>
      <w:r>
        <w:rPr>
          <w:spacing w:val="-4"/>
          <w:sz w:val="24"/>
        </w:rPr>
        <w:t> </w:t>
      </w:r>
      <w:r>
        <w:rPr>
          <w:sz w:val="24"/>
        </w:rPr>
        <w:t>admissions</w:t>
      </w:r>
      <w:r>
        <w:rPr>
          <w:spacing w:val="-4"/>
          <w:sz w:val="24"/>
        </w:rPr>
        <w:t> </w:t>
      </w:r>
      <w:r>
        <w:rPr>
          <w:sz w:val="24"/>
        </w:rPr>
        <w:t>gain</w:t>
      </w:r>
      <w:r>
        <w:rPr>
          <w:spacing w:val="-4"/>
          <w:sz w:val="24"/>
        </w:rPr>
        <w:t> </w:t>
      </w:r>
      <w:r>
        <w:rPr>
          <w:sz w:val="24"/>
        </w:rPr>
        <w:t>popularity</w:t>
      </w:r>
      <w:r>
        <w:rPr>
          <w:spacing w:val="-4"/>
          <w:sz w:val="24"/>
        </w:rPr>
        <w:t> </w:t>
      </w:r>
      <w:r>
        <w:rPr>
          <w:sz w:val="24"/>
        </w:rPr>
        <w:t>as</w:t>
      </w:r>
      <w:r>
        <w:rPr>
          <w:spacing w:val="-4"/>
          <w:sz w:val="24"/>
        </w:rPr>
        <w:t> </w:t>
      </w:r>
      <w:r>
        <w:rPr>
          <w:sz w:val="24"/>
        </w:rPr>
        <w:t>more</w:t>
      </w:r>
      <w:r>
        <w:rPr>
          <w:spacing w:val="-4"/>
          <w:sz w:val="24"/>
        </w:rPr>
        <w:t> </w:t>
      </w:r>
      <w:r>
        <w:rPr>
          <w:sz w:val="24"/>
        </w:rPr>
        <w:t>students</w:t>
      </w:r>
      <w:r>
        <w:rPr>
          <w:spacing w:val="-4"/>
          <w:sz w:val="24"/>
        </w:rPr>
        <w:t> </w:t>
      </w:r>
      <w:r>
        <w:rPr>
          <w:sz w:val="24"/>
        </w:rPr>
        <w:t>apply</w:t>
      </w:r>
      <w:r>
        <w:rPr>
          <w:spacing w:val="-4"/>
          <w:sz w:val="24"/>
        </w:rPr>
        <w:t> </w:t>
      </w:r>
      <w:r>
        <w:rPr>
          <w:sz w:val="24"/>
        </w:rPr>
        <w:t>to more colleges. </w:t>
      </w:r>
      <w:r>
        <w:rPr>
          <w:i/>
          <w:sz w:val="24"/>
        </w:rPr>
        <w:t>The Chronicle of Higher Education</w:t>
      </w:r>
      <w:r>
        <w:rPr>
          <w:sz w:val="24"/>
        </w:rPr>
        <w:t>.</w:t>
      </w:r>
    </w:p>
    <w:p>
      <w:pPr>
        <w:pStyle w:val="BodyText"/>
        <w:spacing w:before="13"/>
      </w:pPr>
    </w:p>
    <w:p>
      <w:pPr>
        <w:spacing w:line="228" w:lineRule="auto" w:before="0"/>
        <w:ind w:left="352" w:right="2401" w:firstLine="0"/>
        <w:jc w:val="left"/>
        <w:rPr>
          <w:sz w:val="24"/>
        </w:rPr>
      </w:pPr>
      <w:r>
        <w:rPr>
          <w:sz w:val="24"/>
        </w:rPr>
        <w:t>Hossler,</w:t>
      </w:r>
      <w:r>
        <w:rPr>
          <w:spacing w:val="-1"/>
          <w:sz w:val="24"/>
        </w:rPr>
        <w:t> </w:t>
      </w:r>
      <w:r>
        <w:rPr>
          <w:sz w:val="24"/>
        </w:rPr>
        <w:t>D.,</w:t>
      </w:r>
      <w:r>
        <w:rPr>
          <w:spacing w:val="-1"/>
          <w:sz w:val="24"/>
        </w:rPr>
        <w:t> </w:t>
      </w:r>
      <w:r>
        <w:rPr>
          <w:sz w:val="24"/>
        </w:rPr>
        <w:t>Schmit,</w:t>
      </w:r>
      <w:r>
        <w:rPr>
          <w:spacing w:val="-1"/>
          <w:sz w:val="24"/>
        </w:rPr>
        <w:t> </w:t>
      </w:r>
      <w:r>
        <w:rPr>
          <w:sz w:val="24"/>
        </w:rPr>
        <w:t>J.,</w:t>
      </w:r>
      <w:r>
        <w:rPr>
          <w:spacing w:val="-1"/>
          <w:sz w:val="24"/>
        </w:rPr>
        <w:t> </w:t>
      </w:r>
      <w:r>
        <w:rPr>
          <w:sz w:val="24"/>
        </w:rPr>
        <w:t>&amp;</w:t>
      </w:r>
      <w:r>
        <w:rPr>
          <w:spacing w:val="-1"/>
          <w:sz w:val="24"/>
        </w:rPr>
        <w:t> </w:t>
      </w:r>
      <w:r>
        <w:rPr>
          <w:sz w:val="24"/>
        </w:rPr>
        <w:t>Vesper,</w:t>
      </w:r>
      <w:r>
        <w:rPr>
          <w:spacing w:val="-1"/>
          <w:sz w:val="24"/>
        </w:rPr>
        <w:t> </w:t>
      </w:r>
      <w:r>
        <w:rPr>
          <w:sz w:val="24"/>
        </w:rPr>
        <w:t>N.</w:t>
      </w:r>
      <w:r>
        <w:rPr>
          <w:spacing w:val="-1"/>
          <w:sz w:val="24"/>
        </w:rPr>
        <w:t> </w:t>
      </w:r>
      <w:r>
        <w:rPr>
          <w:sz w:val="24"/>
        </w:rPr>
        <w:t>(1999).</w:t>
      </w:r>
      <w:r>
        <w:rPr>
          <w:spacing w:val="-1"/>
          <w:sz w:val="24"/>
        </w:rPr>
        <w:t> </w:t>
      </w:r>
      <w:r>
        <w:rPr>
          <w:i/>
          <w:sz w:val="24"/>
        </w:rPr>
        <w:t>Going</w:t>
      </w:r>
      <w:r>
        <w:rPr>
          <w:i/>
          <w:spacing w:val="-1"/>
          <w:sz w:val="24"/>
        </w:rPr>
        <w:t> </w:t>
      </w:r>
      <w:r>
        <w:rPr>
          <w:i/>
          <w:sz w:val="24"/>
        </w:rPr>
        <w:t>to</w:t>
      </w:r>
      <w:r>
        <w:rPr>
          <w:i/>
          <w:spacing w:val="-1"/>
          <w:sz w:val="24"/>
        </w:rPr>
        <w:t> </w:t>
      </w:r>
      <w:r>
        <w:rPr>
          <w:i/>
          <w:sz w:val="24"/>
        </w:rPr>
        <w:t>college:</w:t>
      </w:r>
      <w:r>
        <w:rPr>
          <w:i/>
          <w:spacing w:val="-1"/>
          <w:sz w:val="24"/>
        </w:rPr>
        <w:t> </w:t>
      </w:r>
      <w:r>
        <w:rPr>
          <w:i/>
          <w:sz w:val="24"/>
        </w:rPr>
        <w:t>How</w:t>
      </w:r>
      <w:r>
        <w:rPr>
          <w:i/>
          <w:spacing w:val="-1"/>
          <w:sz w:val="24"/>
        </w:rPr>
        <w:t> </w:t>
      </w:r>
      <w:r>
        <w:rPr>
          <w:i/>
          <w:sz w:val="24"/>
        </w:rPr>
        <w:t>social,</w:t>
      </w:r>
      <w:r>
        <w:rPr>
          <w:i/>
          <w:spacing w:val="-1"/>
          <w:sz w:val="24"/>
        </w:rPr>
        <w:t> </w:t>
      </w:r>
      <w:r>
        <w:rPr>
          <w:i/>
          <w:sz w:val="24"/>
        </w:rPr>
        <w:t>economic,</w:t>
      </w:r>
      <w:r>
        <w:rPr>
          <w:i/>
          <w:spacing w:val="-1"/>
          <w:sz w:val="24"/>
        </w:rPr>
        <w:t> </w:t>
      </w:r>
      <w:r>
        <w:rPr>
          <w:i/>
          <w:sz w:val="24"/>
        </w:rPr>
        <w:t>and</w:t>
      </w:r>
      <w:r>
        <w:rPr>
          <w:i/>
          <w:sz w:val="24"/>
        </w:rPr>
        <w:t> educational factors influence the decisions students make</w:t>
      </w:r>
      <w:r>
        <w:rPr>
          <w:sz w:val="24"/>
        </w:rPr>
        <w:t>. Johns Hopkins University </w:t>
      </w:r>
      <w:r>
        <w:rPr>
          <w:spacing w:val="-2"/>
          <w:sz w:val="24"/>
        </w:rPr>
        <w:t>Press.</w:t>
      </w:r>
    </w:p>
    <w:p>
      <w:pPr>
        <w:pStyle w:val="BodyText"/>
        <w:spacing w:before="12"/>
      </w:pPr>
    </w:p>
    <w:p>
      <w:pPr>
        <w:pStyle w:val="BodyText"/>
        <w:spacing w:line="230" w:lineRule="auto"/>
        <w:ind w:left="352" w:right="2135"/>
      </w:pPr>
      <w:r>
        <w:rPr/>
        <w:t>Kirmani,</w:t>
      </w:r>
      <w:r>
        <w:rPr>
          <w:spacing w:val="-3"/>
        </w:rPr>
        <w:t> </w:t>
      </w:r>
      <w:r>
        <w:rPr/>
        <w:t>A.,</w:t>
      </w:r>
      <w:r>
        <w:rPr>
          <w:spacing w:val="-3"/>
        </w:rPr>
        <w:t> </w:t>
      </w:r>
      <w:r>
        <w:rPr/>
        <w:t>&amp;</w:t>
      </w:r>
      <w:r>
        <w:rPr>
          <w:spacing w:val="-3"/>
        </w:rPr>
        <w:t> </w:t>
      </w:r>
      <w:r>
        <w:rPr/>
        <w:t>Rao,</w:t>
      </w:r>
      <w:r>
        <w:rPr>
          <w:spacing w:val="-3"/>
        </w:rPr>
        <w:t> </w:t>
      </w:r>
      <w:r>
        <w:rPr/>
        <w:t>A.</w:t>
      </w:r>
      <w:r>
        <w:rPr>
          <w:spacing w:val="-3"/>
        </w:rPr>
        <w:t> </w:t>
      </w:r>
      <w:r>
        <w:rPr/>
        <w:t>R.</w:t>
      </w:r>
      <w:r>
        <w:rPr>
          <w:spacing w:val="-3"/>
        </w:rPr>
        <w:t> </w:t>
      </w:r>
      <w:r>
        <w:rPr/>
        <w:t>(2000).</w:t>
      </w:r>
      <w:r>
        <w:rPr>
          <w:spacing w:val="-3"/>
        </w:rPr>
        <w:t> </w:t>
      </w:r>
      <w:r>
        <w:rPr/>
        <w:t>No</w:t>
      </w:r>
      <w:r>
        <w:rPr>
          <w:spacing w:val="-3"/>
        </w:rPr>
        <w:t> </w:t>
      </w:r>
      <w:r>
        <w:rPr/>
        <w:t>pain,</w:t>
      </w:r>
      <w:r>
        <w:rPr>
          <w:spacing w:val="-3"/>
        </w:rPr>
        <w:t> </w:t>
      </w:r>
      <w:r>
        <w:rPr/>
        <w:t>no</w:t>
      </w:r>
      <w:r>
        <w:rPr>
          <w:spacing w:val="-3"/>
        </w:rPr>
        <w:t> </w:t>
      </w:r>
      <w:r>
        <w:rPr/>
        <w:t>gain:</w:t>
      </w:r>
      <w:r>
        <w:rPr>
          <w:spacing w:val="-3"/>
        </w:rPr>
        <w:t> </w:t>
      </w:r>
      <w:r>
        <w:rPr/>
        <w:t>A</w:t>
      </w:r>
      <w:r>
        <w:rPr>
          <w:spacing w:val="-3"/>
        </w:rPr>
        <w:t> </w:t>
      </w:r>
      <w:r>
        <w:rPr/>
        <w:t>critical</w:t>
      </w:r>
      <w:r>
        <w:rPr>
          <w:spacing w:val="-3"/>
        </w:rPr>
        <w:t> </w:t>
      </w:r>
      <w:r>
        <w:rPr/>
        <w:t>review</w:t>
      </w:r>
      <w:r>
        <w:rPr>
          <w:spacing w:val="-3"/>
        </w:rPr>
        <w:t> </w:t>
      </w:r>
      <w:r>
        <w:rPr/>
        <w:t>of</w:t>
      </w:r>
      <w:r>
        <w:rPr>
          <w:spacing w:val="-3"/>
        </w:rPr>
        <w:t> </w:t>
      </w:r>
      <w:r>
        <w:rPr/>
        <w:t>the</w:t>
      </w:r>
      <w:r>
        <w:rPr>
          <w:spacing w:val="-3"/>
        </w:rPr>
        <w:t> </w:t>
      </w:r>
      <w:r>
        <w:rPr/>
        <w:t>literature</w:t>
      </w:r>
      <w:r>
        <w:rPr>
          <w:spacing w:val="-3"/>
        </w:rPr>
        <w:t> </w:t>
      </w:r>
      <w:r>
        <w:rPr/>
        <w:t>on signaling unobservable product quality. </w:t>
      </w:r>
      <w:r>
        <w:rPr>
          <w:i/>
        </w:rPr>
        <w:t>Journal of Marketing, 64</w:t>
      </w:r>
      <w:r>
        <w:rPr/>
        <w:t>(2), 66–79. </w:t>
      </w:r>
      <w:hyperlink r:id="rId288">
        <w:r>
          <w:rPr>
            <w:spacing w:val="-2"/>
          </w:rPr>
          <w:t>https://doi.org/10.1509/jmkg.64.2.66.18000</w:t>
        </w:r>
      </w:hyperlink>
    </w:p>
    <w:p>
      <w:pPr>
        <w:pStyle w:val="BodyText"/>
        <w:spacing w:before="11"/>
      </w:pPr>
    </w:p>
    <w:p>
      <w:pPr>
        <w:pStyle w:val="BodyText"/>
        <w:spacing w:line="228" w:lineRule="auto" w:before="1"/>
        <w:ind w:left="352" w:right="1878"/>
        <w:jc w:val="both"/>
      </w:pPr>
      <w:r>
        <w:rPr/>
        <w:t>Leclerc,</w:t>
      </w:r>
      <w:r>
        <w:rPr>
          <w:spacing w:val="-6"/>
        </w:rPr>
        <w:t> </w:t>
      </w:r>
      <w:r>
        <w:rPr/>
        <w:t>F.,</w:t>
      </w:r>
      <w:r>
        <w:rPr>
          <w:spacing w:val="-6"/>
        </w:rPr>
        <w:t> </w:t>
      </w:r>
      <w:r>
        <w:rPr/>
        <w:t>Schmitt,</w:t>
      </w:r>
      <w:r>
        <w:rPr>
          <w:spacing w:val="-6"/>
        </w:rPr>
        <w:t> </w:t>
      </w:r>
      <w:r>
        <w:rPr/>
        <w:t>B.</w:t>
      </w:r>
      <w:r>
        <w:rPr>
          <w:spacing w:val="-6"/>
        </w:rPr>
        <w:t> </w:t>
      </w:r>
      <w:r>
        <w:rPr/>
        <w:t>H.,</w:t>
      </w:r>
      <w:r>
        <w:rPr>
          <w:spacing w:val="-6"/>
        </w:rPr>
        <w:t> </w:t>
      </w:r>
      <w:r>
        <w:rPr/>
        <w:t>&amp;</w:t>
      </w:r>
      <w:r>
        <w:rPr>
          <w:spacing w:val="-6"/>
        </w:rPr>
        <w:t> </w:t>
      </w:r>
      <w:r>
        <w:rPr/>
        <w:t>Dubé-Rioux,</w:t>
      </w:r>
      <w:r>
        <w:rPr>
          <w:spacing w:val="-6"/>
        </w:rPr>
        <w:t> </w:t>
      </w:r>
      <w:r>
        <w:rPr/>
        <w:t>L.</w:t>
      </w:r>
      <w:r>
        <w:rPr>
          <w:spacing w:val="-6"/>
        </w:rPr>
        <w:t> </w:t>
      </w:r>
      <w:r>
        <w:rPr/>
        <w:t>(1995).</w:t>
      </w:r>
      <w:r>
        <w:rPr>
          <w:spacing w:val="-6"/>
        </w:rPr>
        <w:t> </w:t>
      </w:r>
      <w:r>
        <w:rPr/>
        <w:t>Waiting</w:t>
      </w:r>
      <w:r>
        <w:rPr>
          <w:spacing w:val="-6"/>
        </w:rPr>
        <w:t> </w:t>
      </w:r>
      <w:r>
        <w:rPr/>
        <w:t>time</w:t>
      </w:r>
      <w:r>
        <w:rPr>
          <w:spacing w:val="-6"/>
        </w:rPr>
        <w:t> </w:t>
      </w:r>
      <w:r>
        <w:rPr/>
        <w:t>and</w:t>
      </w:r>
      <w:r>
        <w:rPr>
          <w:spacing w:val="-6"/>
        </w:rPr>
        <w:t> </w:t>
      </w:r>
      <w:r>
        <w:rPr/>
        <w:t>decision</w:t>
      </w:r>
      <w:r>
        <w:rPr>
          <w:spacing w:val="-6"/>
        </w:rPr>
        <w:t> </w:t>
      </w:r>
      <w:r>
        <w:rPr/>
        <w:t>making:</w:t>
      </w:r>
      <w:r>
        <w:rPr>
          <w:spacing w:val="-6"/>
        </w:rPr>
        <w:t> </w:t>
      </w:r>
      <w:r>
        <w:rPr/>
        <w:t>Is</w:t>
      </w:r>
      <w:r>
        <w:rPr>
          <w:spacing w:val="-6"/>
        </w:rPr>
        <w:t> </w:t>
      </w:r>
      <w:r>
        <w:rPr/>
        <w:t>time like money? </w:t>
      </w:r>
      <w:r>
        <w:rPr>
          <w:i/>
        </w:rPr>
        <w:t>Journal of Consumer Research, 22</w:t>
      </w:r>
      <w:r>
        <w:rPr/>
        <w:t>(1), 110–119. </w:t>
      </w:r>
      <w:hyperlink r:id="rId289">
        <w:r>
          <w:rPr/>
          <w:t>https://doi.org/10.1086/209439</w:t>
        </w:r>
      </w:hyperlink>
    </w:p>
    <w:p>
      <w:pPr>
        <w:pStyle w:val="BodyText"/>
        <w:spacing w:before="11"/>
      </w:pPr>
    </w:p>
    <w:p>
      <w:pPr>
        <w:pStyle w:val="BodyText"/>
        <w:spacing w:line="232" w:lineRule="auto"/>
        <w:ind w:left="352" w:right="1841"/>
        <w:jc w:val="both"/>
      </w:pPr>
      <w:r>
        <w:rPr/>
        <w:t>Maister,</w:t>
      </w:r>
      <w:r>
        <w:rPr>
          <w:spacing w:val="-4"/>
        </w:rPr>
        <w:t> </w:t>
      </w:r>
      <w:r>
        <w:rPr/>
        <w:t>D.</w:t>
      </w:r>
      <w:r>
        <w:rPr>
          <w:spacing w:val="-4"/>
        </w:rPr>
        <w:t> </w:t>
      </w:r>
      <w:r>
        <w:rPr/>
        <w:t>H.</w:t>
      </w:r>
      <w:r>
        <w:rPr>
          <w:spacing w:val="-4"/>
        </w:rPr>
        <w:t> </w:t>
      </w:r>
      <w:r>
        <w:rPr/>
        <w:t>(1985).</w:t>
      </w:r>
      <w:r>
        <w:rPr>
          <w:spacing w:val="-4"/>
        </w:rPr>
        <w:t> </w:t>
      </w:r>
      <w:r>
        <w:rPr/>
        <w:t>The</w:t>
      </w:r>
      <w:r>
        <w:rPr>
          <w:spacing w:val="-4"/>
        </w:rPr>
        <w:t> </w:t>
      </w:r>
      <w:r>
        <w:rPr/>
        <w:t>psychology</w:t>
      </w:r>
      <w:r>
        <w:rPr>
          <w:spacing w:val="-4"/>
        </w:rPr>
        <w:t> </w:t>
      </w:r>
      <w:r>
        <w:rPr/>
        <w:t>of</w:t>
      </w:r>
      <w:r>
        <w:rPr>
          <w:spacing w:val="-4"/>
        </w:rPr>
        <w:t> </w:t>
      </w:r>
      <w:r>
        <w:rPr/>
        <w:t>waiting</w:t>
      </w:r>
      <w:r>
        <w:rPr>
          <w:spacing w:val="-4"/>
        </w:rPr>
        <w:t> </w:t>
      </w:r>
      <w:r>
        <w:rPr/>
        <w:t>lines.</w:t>
      </w:r>
      <w:r>
        <w:rPr>
          <w:spacing w:val="-4"/>
        </w:rPr>
        <w:t> </w:t>
      </w:r>
      <w:r>
        <w:rPr/>
        <w:t>In</w:t>
      </w:r>
      <w:r>
        <w:rPr>
          <w:spacing w:val="-4"/>
        </w:rPr>
        <w:t> </w:t>
      </w:r>
      <w:r>
        <w:rPr/>
        <w:t>J.</w:t>
      </w:r>
      <w:r>
        <w:rPr>
          <w:spacing w:val="-4"/>
        </w:rPr>
        <w:t> </w:t>
      </w:r>
      <w:r>
        <w:rPr/>
        <w:t>A.</w:t>
      </w:r>
      <w:r>
        <w:rPr>
          <w:spacing w:val="-4"/>
        </w:rPr>
        <w:t> </w:t>
      </w:r>
      <w:r>
        <w:rPr/>
        <w:t>Czepiel,</w:t>
      </w:r>
      <w:r>
        <w:rPr>
          <w:spacing w:val="-4"/>
        </w:rPr>
        <w:t> </w:t>
      </w:r>
      <w:r>
        <w:rPr/>
        <w:t>M.</w:t>
      </w:r>
      <w:r>
        <w:rPr>
          <w:spacing w:val="-4"/>
        </w:rPr>
        <w:t> </w:t>
      </w:r>
      <w:r>
        <w:rPr/>
        <w:t>R.</w:t>
      </w:r>
      <w:r>
        <w:rPr>
          <w:spacing w:val="-4"/>
        </w:rPr>
        <w:t> </w:t>
      </w:r>
      <w:r>
        <w:rPr/>
        <w:t>Solomon,</w:t>
      </w:r>
      <w:r>
        <w:rPr>
          <w:spacing w:val="-4"/>
        </w:rPr>
        <w:t> </w:t>
      </w:r>
      <w:r>
        <w:rPr/>
        <w:t>&amp;</w:t>
      </w:r>
      <w:r>
        <w:rPr>
          <w:spacing w:val="-4"/>
        </w:rPr>
        <w:t> </w:t>
      </w:r>
      <w:r>
        <w:rPr/>
        <w:t>C.</w:t>
      </w:r>
      <w:r>
        <w:rPr>
          <w:spacing w:val="-4"/>
        </w:rPr>
        <w:t> </w:t>
      </w:r>
      <w:r>
        <w:rPr/>
        <w:t>F. Surprenant (Eds.), </w:t>
      </w:r>
      <w:r>
        <w:rPr>
          <w:i/>
        </w:rPr>
        <w:t>The service encounter </w:t>
      </w:r>
      <w:r>
        <w:rPr/>
        <w:t>(pp. 113–123). Lexington Books.</w:t>
      </w:r>
    </w:p>
    <w:p>
      <w:pPr>
        <w:pStyle w:val="BodyText"/>
        <w:spacing w:before="8"/>
      </w:pPr>
    </w:p>
    <w:p>
      <w:pPr>
        <w:pStyle w:val="BodyText"/>
        <w:spacing w:line="228" w:lineRule="auto"/>
        <w:ind w:left="352" w:right="1381"/>
      </w:pPr>
      <w:r>
        <w:rPr/>
        <w:t>Murray,</w:t>
      </w:r>
      <w:r>
        <w:rPr>
          <w:spacing w:val="-5"/>
        </w:rPr>
        <w:t> </w:t>
      </w:r>
      <w:r>
        <w:rPr/>
        <w:t>K.</w:t>
      </w:r>
      <w:r>
        <w:rPr>
          <w:spacing w:val="-5"/>
        </w:rPr>
        <w:t> </w:t>
      </w:r>
      <w:r>
        <w:rPr/>
        <w:t>B.</w:t>
      </w:r>
      <w:r>
        <w:rPr>
          <w:spacing w:val="-5"/>
        </w:rPr>
        <w:t> </w:t>
      </w:r>
      <w:r>
        <w:rPr/>
        <w:t>(1991).</w:t>
      </w:r>
      <w:r>
        <w:rPr>
          <w:spacing w:val="-5"/>
        </w:rPr>
        <w:t> </w:t>
      </w:r>
      <w:r>
        <w:rPr/>
        <w:t>A</w:t>
      </w:r>
      <w:r>
        <w:rPr>
          <w:spacing w:val="-5"/>
        </w:rPr>
        <w:t> </w:t>
      </w:r>
      <w:r>
        <w:rPr/>
        <w:t>test</w:t>
      </w:r>
      <w:r>
        <w:rPr>
          <w:spacing w:val="-5"/>
        </w:rPr>
        <w:t> </w:t>
      </w:r>
      <w:r>
        <w:rPr/>
        <w:t>of</w:t>
      </w:r>
      <w:r>
        <w:rPr>
          <w:spacing w:val="-5"/>
        </w:rPr>
        <w:t> </w:t>
      </w:r>
      <w:r>
        <w:rPr/>
        <w:t>services</w:t>
      </w:r>
      <w:r>
        <w:rPr>
          <w:spacing w:val="-5"/>
        </w:rPr>
        <w:t> </w:t>
      </w:r>
      <w:r>
        <w:rPr/>
        <w:t>marketing</w:t>
      </w:r>
      <w:r>
        <w:rPr>
          <w:spacing w:val="-5"/>
        </w:rPr>
        <w:t> </w:t>
      </w:r>
      <w:r>
        <w:rPr/>
        <w:t>theory:</w:t>
      </w:r>
      <w:r>
        <w:rPr>
          <w:spacing w:val="-5"/>
        </w:rPr>
        <w:t> </w:t>
      </w:r>
      <w:r>
        <w:rPr/>
        <w:t>Consumer</w:t>
      </w:r>
      <w:r>
        <w:rPr>
          <w:spacing w:val="-5"/>
        </w:rPr>
        <w:t> </w:t>
      </w:r>
      <w:r>
        <w:rPr/>
        <w:t>information</w:t>
      </w:r>
      <w:r>
        <w:rPr>
          <w:spacing w:val="-5"/>
        </w:rPr>
        <w:t> </w:t>
      </w:r>
      <w:r>
        <w:rPr/>
        <w:t>acquisition activities. </w:t>
      </w:r>
      <w:r>
        <w:rPr>
          <w:i/>
        </w:rPr>
        <w:t>Journal of Marketing, 55</w:t>
      </w:r>
      <w:r>
        <w:rPr/>
        <w:t>(1), 10–25. </w:t>
      </w:r>
      <w:hyperlink r:id="rId290">
        <w:r>
          <w:rPr/>
          <w:t>https://doi.org/10.2307/1252200</w:t>
        </w:r>
      </w:hyperlink>
    </w:p>
    <w:p>
      <w:pPr>
        <w:pStyle w:val="BodyText"/>
        <w:spacing w:after="0" w:line="228" w:lineRule="auto"/>
        <w:sectPr>
          <w:pgSz w:w="12240" w:h="15840"/>
          <w:pgMar w:header="0" w:footer="739" w:top="620" w:bottom="960" w:left="720" w:right="0"/>
        </w:sectPr>
      </w:pPr>
    </w:p>
    <w:p>
      <w:pPr>
        <w:spacing w:line="230" w:lineRule="auto" w:before="79"/>
        <w:ind w:left="352" w:right="1619" w:firstLine="0"/>
        <w:jc w:val="left"/>
        <w:rPr>
          <w:sz w:val="24"/>
        </w:rPr>
      </w:pPr>
      <w:r>
        <w:rPr>
          <w:sz w:val="24"/>
        </w:rPr>
        <w:t>National</w:t>
      </w:r>
      <w:r>
        <w:rPr>
          <w:spacing w:val="-5"/>
          <w:sz w:val="24"/>
        </w:rPr>
        <w:t> </w:t>
      </w:r>
      <w:r>
        <w:rPr>
          <w:sz w:val="24"/>
        </w:rPr>
        <w:t>Association</w:t>
      </w:r>
      <w:r>
        <w:rPr>
          <w:spacing w:val="-5"/>
          <w:sz w:val="24"/>
        </w:rPr>
        <w:t> </w:t>
      </w:r>
      <w:r>
        <w:rPr>
          <w:sz w:val="24"/>
        </w:rPr>
        <w:t>for</w:t>
      </w:r>
      <w:r>
        <w:rPr>
          <w:spacing w:val="-5"/>
          <w:sz w:val="24"/>
        </w:rPr>
        <w:t> </w:t>
      </w:r>
      <w:r>
        <w:rPr>
          <w:sz w:val="24"/>
        </w:rPr>
        <w:t>College</w:t>
      </w:r>
      <w:r>
        <w:rPr>
          <w:spacing w:val="-5"/>
          <w:sz w:val="24"/>
        </w:rPr>
        <w:t> </w:t>
      </w:r>
      <w:r>
        <w:rPr>
          <w:sz w:val="24"/>
        </w:rPr>
        <w:t>Admission</w:t>
      </w:r>
      <w:r>
        <w:rPr>
          <w:spacing w:val="-5"/>
          <w:sz w:val="24"/>
        </w:rPr>
        <w:t> </w:t>
      </w:r>
      <w:r>
        <w:rPr>
          <w:sz w:val="24"/>
        </w:rPr>
        <w:t>Counseling.</w:t>
      </w:r>
      <w:r>
        <w:rPr>
          <w:spacing w:val="-5"/>
          <w:sz w:val="24"/>
        </w:rPr>
        <w:t> </w:t>
      </w:r>
      <w:r>
        <w:rPr>
          <w:sz w:val="24"/>
        </w:rPr>
        <w:t>(2023).</w:t>
      </w:r>
      <w:r>
        <w:rPr>
          <w:spacing w:val="-5"/>
          <w:sz w:val="24"/>
        </w:rPr>
        <w:t> </w:t>
      </w:r>
      <w:r>
        <w:rPr>
          <w:i/>
          <w:sz w:val="24"/>
        </w:rPr>
        <w:t>College</w:t>
      </w:r>
      <w:r>
        <w:rPr>
          <w:i/>
          <w:spacing w:val="-5"/>
          <w:sz w:val="24"/>
        </w:rPr>
        <w:t> </w:t>
      </w:r>
      <w:r>
        <w:rPr>
          <w:i/>
          <w:sz w:val="24"/>
        </w:rPr>
        <w:t>admissions</w:t>
      </w:r>
      <w:r>
        <w:rPr>
          <w:i/>
          <w:spacing w:val="-5"/>
          <w:sz w:val="24"/>
        </w:rPr>
        <w:t> </w:t>
      </w:r>
      <w:r>
        <w:rPr>
          <w:i/>
          <w:sz w:val="24"/>
        </w:rPr>
        <w:t>glossary:</w:t>
      </w:r>
      <w:r>
        <w:rPr>
          <w:i/>
          <w:sz w:val="24"/>
        </w:rPr>
        <w:t> Rolling admission</w:t>
      </w:r>
      <w:r>
        <w:rPr>
          <w:sz w:val="24"/>
        </w:rPr>
        <w:t>. </w:t>
      </w:r>
      <w:hyperlink r:id="rId291">
        <w:r>
          <w:rPr>
            <w:sz w:val="24"/>
          </w:rPr>
          <w:t>https://www.nacacnet.org</w:t>
        </w:r>
      </w:hyperlink>
    </w:p>
    <w:p>
      <w:pPr>
        <w:pStyle w:val="BodyText"/>
        <w:spacing w:before="9"/>
      </w:pPr>
    </w:p>
    <w:p>
      <w:pPr>
        <w:spacing w:line="230" w:lineRule="auto" w:before="0"/>
        <w:ind w:left="352" w:right="1715" w:firstLine="0"/>
        <w:jc w:val="left"/>
        <w:rPr>
          <w:sz w:val="24"/>
        </w:rPr>
      </w:pPr>
      <w:r>
        <w:rPr>
          <w:sz w:val="24"/>
        </w:rPr>
        <w:t>Perna, L. W. (2006). Studying college access and choice: A proposed conceptual model. In J. C. Smart</w:t>
      </w:r>
      <w:r>
        <w:rPr>
          <w:spacing w:val="-8"/>
          <w:sz w:val="24"/>
        </w:rPr>
        <w:t> </w:t>
      </w:r>
      <w:r>
        <w:rPr>
          <w:sz w:val="24"/>
        </w:rPr>
        <w:t>(Ed.),</w:t>
      </w:r>
      <w:r>
        <w:rPr>
          <w:spacing w:val="-8"/>
          <w:sz w:val="24"/>
        </w:rPr>
        <w:t> </w:t>
      </w:r>
      <w:r>
        <w:rPr>
          <w:i/>
          <w:sz w:val="24"/>
        </w:rPr>
        <w:t>Higher</w:t>
      </w:r>
      <w:r>
        <w:rPr>
          <w:i/>
          <w:spacing w:val="-8"/>
          <w:sz w:val="24"/>
        </w:rPr>
        <w:t> </w:t>
      </w:r>
      <w:r>
        <w:rPr>
          <w:i/>
          <w:sz w:val="24"/>
        </w:rPr>
        <w:t>education:</w:t>
      </w:r>
      <w:r>
        <w:rPr>
          <w:i/>
          <w:spacing w:val="-8"/>
          <w:sz w:val="24"/>
        </w:rPr>
        <w:t> </w:t>
      </w:r>
      <w:r>
        <w:rPr>
          <w:i/>
          <w:sz w:val="24"/>
        </w:rPr>
        <w:t>Handbook</w:t>
      </w:r>
      <w:r>
        <w:rPr>
          <w:i/>
          <w:spacing w:val="-8"/>
          <w:sz w:val="24"/>
        </w:rPr>
        <w:t> </w:t>
      </w:r>
      <w:r>
        <w:rPr>
          <w:i/>
          <w:sz w:val="24"/>
        </w:rPr>
        <w:t>of</w:t>
      </w:r>
      <w:r>
        <w:rPr>
          <w:i/>
          <w:spacing w:val="-8"/>
          <w:sz w:val="24"/>
        </w:rPr>
        <w:t> </w:t>
      </w:r>
      <w:r>
        <w:rPr>
          <w:i/>
          <w:sz w:val="24"/>
        </w:rPr>
        <w:t>theory</w:t>
      </w:r>
      <w:r>
        <w:rPr>
          <w:i/>
          <w:spacing w:val="-8"/>
          <w:sz w:val="24"/>
        </w:rPr>
        <w:t> </w:t>
      </w:r>
      <w:r>
        <w:rPr>
          <w:i/>
          <w:sz w:val="24"/>
        </w:rPr>
        <w:t>and</w:t>
      </w:r>
      <w:r>
        <w:rPr>
          <w:i/>
          <w:spacing w:val="-8"/>
          <w:sz w:val="24"/>
        </w:rPr>
        <w:t> </w:t>
      </w:r>
      <w:r>
        <w:rPr>
          <w:i/>
          <w:sz w:val="24"/>
        </w:rPr>
        <w:t>research</w:t>
      </w:r>
      <w:r>
        <w:rPr>
          <w:i/>
          <w:spacing w:val="-8"/>
          <w:sz w:val="24"/>
        </w:rPr>
        <w:t> </w:t>
      </w:r>
      <w:r>
        <w:rPr>
          <w:sz w:val="24"/>
        </w:rPr>
        <w:t>(Vol.</w:t>
      </w:r>
      <w:r>
        <w:rPr>
          <w:spacing w:val="-8"/>
          <w:sz w:val="24"/>
        </w:rPr>
        <w:t> </w:t>
      </w:r>
      <w:r>
        <w:rPr>
          <w:sz w:val="24"/>
        </w:rPr>
        <w:t>21,</w:t>
      </w:r>
      <w:r>
        <w:rPr>
          <w:spacing w:val="-8"/>
          <w:sz w:val="24"/>
        </w:rPr>
        <w:t> </w:t>
      </w:r>
      <w:r>
        <w:rPr>
          <w:sz w:val="24"/>
        </w:rPr>
        <w:t>pp.</w:t>
      </w:r>
      <w:r>
        <w:rPr>
          <w:spacing w:val="-8"/>
          <w:sz w:val="24"/>
        </w:rPr>
        <w:t> </w:t>
      </w:r>
      <w:r>
        <w:rPr>
          <w:sz w:val="24"/>
        </w:rPr>
        <w:t>99–157).</w:t>
      </w:r>
      <w:r>
        <w:rPr>
          <w:spacing w:val="40"/>
          <w:sz w:val="24"/>
        </w:rPr>
        <w:t> </w:t>
      </w:r>
      <w:r>
        <w:rPr>
          <w:sz w:val="24"/>
        </w:rPr>
        <w:t>Springer. </w:t>
      </w:r>
      <w:hyperlink r:id="rId292">
        <w:r>
          <w:rPr>
            <w:spacing w:val="-2"/>
            <w:sz w:val="24"/>
          </w:rPr>
          <w:t>https://doi.org/10.1007/1-4020-4512-3_3</w:t>
        </w:r>
      </w:hyperlink>
    </w:p>
    <w:p>
      <w:pPr>
        <w:pStyle w:val="BodyText"/>
        <w:spacing w:before="9"/>
      </w:pPr>
    </w:p>
    <w:p>
      <w:pPr>
        <w:pStyle w:val="BodyText"/>
        <w:spacing w:line="230" w:lineRule="auto"/>
        <w:ind w:left="352" w:right="1191"/>
      </w:pPr>
      <w:r>
        <w:rPr/>
        <w:t>Taylor, S. E. (1991). Asymmetrical effects of positive and negative events: The mobilization–minimization</w:t>
      </w:r>
      <w:r>
        <w:rPr>
          <w:spacing w:val="-10"/>
        </w:rPr>
        <w:t> </w:t>
      </w:r>
      <w:r>
        <w:rPr/>
        <w:t>hypothesis.</w:t>
      </w:r>
      <w:r>
        <w:rPr>
          <w:spacing w:val="-10"/>
        </w:rPr>
        <w:t> </w:t>
      </w:r>
      <w:r>
        <w:rPr>
          <w:i/>
        </w:rPr>
        <w:t>Psychological</w:t>
      </w:r>
      <w:r>
        <w:rPr>
          <w:i/>
          <w:spacing w:val="-10"/>
        </w:rPr>
        <w:t> </w:t>
      </w:r>
      <w:r>
        <w:rPr>
          <w:i/>
        </w:rPr>
        <w:t>Bulletin,</w:t>
      </w:r>
      <w:r>
        <w:rPr>
          <w:i/>
          <w:spacing w:val="-10"/>
        </w:rPr>
        <w:t> </w:t>
      </w:r>
      <w:r>
        <w:rPr>
          <w:i/>
        </w:rPr>
        <w:t>110</w:t>
      </w:r>
      <w:r>
        <w:rPr/>
        <w:t>(1),</w:t>
      </w:r>
      <w:r>
        <w:rPr>
          <w:spacing w:val="-10"/>
        </w:rPr>
        <w:t> </w:t>
      </w:r>
      <w:r>
        <w:rPr/>
        <w:t>67–85.</w:t>
      </w:r>
      <w:r>
        <w:rPr>
          <w:spacing w:val="-10"/>
        </w:rPr>
        <w:t> </w:t>
      </w:r>
      <w:hyperlink r:id="rId293">
        <w:r>
          <w:rPr/>
          <w:t>https://doi.org/10.1037/0033-</w:t>
        </w:r>
      </w:hyperlink>
      <w:r>
        <w:rPr>
          <w:spacing w:val="-2"/>
        </w:rPr>
        <w:t>2909.110.1.67</w:t>
      </w:r>
    </w:p>
    <w:p>
      <w:pPr>
        <w:pStyle w:val="BodyText"/>
        <w:spacing w:before="13"/>
      </w:pPr>
    </w:p>
    <w:p>
      <w:pPr>
        <w:pStyle w:val="BodyText"/>
        <w:spacing w:line="228" w:lineRule="auto"/>
        <w:ind w:left="352" w:right="1725"/>
      </w:pPr>
      <w:r>
        <w:rPr/>
        <w:t>Zeithaml,</w:t>
      </w:r>
      <w:r>
        <w:rPr>
          <w:spacing w:val="-7"/>
        </w:rPr>
        <w:t> </w:t>
      </w:r>
      <w:r>
        <w:rPr/>
        <w:t>V.</w:t>
      </w:r>
      <w:r>
        <w:rPr>
          <w:spacing w:val="-7"/>
        </w:rPr>
        <w:t> </w:t>
      </w:r>
      <w:r>
        <w:rPr/>
        <w:t>A.</w:t>
      </w:r>
      <w:r>
        <w:rPr>
          <w:spacing w:val="-7"/>
        </w:rPr>
        <w:t> </w:t>
      </w:r>
      <w:r>
        <w:rPr/>
        <w:t>(1988).</w:t>
      </w:r>
      <w:r>
        <w:rPr>
          <w:spacing w:val="-7"/>
        </w:rPr>
        <w:t> </w:t>
      </w:r>
      <w:r>
        <w:rPr/>
        <w:t>Consumer</w:t>
      </w:r>
      <w:r>
        <w:rPr>
          <w:spacing w:val="-7"/>
        </w:rPr>
        <w:t> </w:t>
      </w:r>
      <w:r>
        <w:rPr/>
        <w:t>perceptions</w:t>
      </w:r>
      <w:r>
        <w:rPr>
          <w:spacing w:val="-7"/>
        </w:rPr>
        <w:t> </w:t>
      </w:r>
      <w:r>
        <w:rPr/>
        <w:t>of</w:t>
      </w:r>
      <w:r>
        <w:rPr>
          <w:spacing w:val="-7"/>
        </w:rPr>
        <w:t> </w:t>
      </w:r>
      <w:r>
        <w:rPr/>
        <w:t>price,</w:t>
      </w:r>
      <w:r>
        <w:rPr>
          <w:spacing w:val="-7"/>
        </w:rPr>
        <w:t> </w:t>
      </w:r>
      <w:r>
        <w:rPr/>
        <w:t>quality,</w:t>
      </w:r>
      <w:r>
        <w:rPr>
          <w:spacing w:val="-7"/>
        </w:rPr>
        <w:t> </w:t>
      </w:r>
      <w:r>
        <w:rPr/>
        <w:t>and</w:t>
      </w:r>
      <w:r>
        <w:rPr>
          <w:spacing w:val="-7"/>
        </w:rPr>
        <w:t> </w:t>
      </w:r>
      <w:r>
        <w:rPr/>
        <w:t>value:</w:t>
      </w:r>
      <w:r>
        <w:rPr>
          <w:spacing w:val="-7"/>
        </w:rPr>
        <w:t> </w:t>
      </w:r>
      <w:r>
        <w:rPr/>
        <w:t>A</w:t>
      </w:r>
      <w:r>
        <w:rPr>
          <w:spacing w:val="-7"/>
        </w:rPr>
        <w:t> </w:t>
      </w:r>
      <w:r>
        <w:rPr/>
        <w:t>means–end</w:t>
      </w:r>
      <w:r>
        <w:rPr>
          <w:spacing w:val="-7"/>
        </w:rPr>
        <w:t> </w:t>
      </w:r>
      <w:r>
        <w:rPr/>
        <w:t>model and synthesis of evidence. </w:t>
      </w:r>
      <w:r>
        <w:rPr>
          <w:i/>
        </w:rPr>
        <w:t>Journal of Marketing, 52</w:t>
      </w:r>
      <w:r>
        <w:rPr/>
        <w:t>(3), 2–22. </w:t>
      </w:r>
      <w:hyperlink r:id="rId294">
        <w:r>
          <w:rPr/>
          <w:t>https://doi.org/10.2307/1251446</w:t>
        </w:r>
      </w:hyperlink>
    </w:p>
    <w:p>
      <w:pPr>
        <w:pStyle w:val="BodyText"/>
        <w:spacing w:before="12"/>
      </w:pPr>
    </w:p>
    <w:p>
      <w:pPr>
        <w:pStyle w:val="BodyText"/>
        <w:spacing w:line="228" w:lineRule="auto" w:before="1"/>
        <w:ind w:left="352" w:right="2135"/>
      </w:pPr>
      <w:r>
        <w:rPr/>
        <w:t>Zhou,</w:t>
      </w:r>
      <w:r>
        <w:rPr>
          <w:spacing w:val="-3"/>
        </w:rPr>
        <w:t> </w:t>
      </w:r>
      <w:r>
        <w:rPr/>
        <w:t>R.,</w:t>
      </w:r>
      <w:r>
        <w:rPr>
          <w:spacing w:val="-3"/>
        </w:rPr>
        <w:t> </w:t>
      </w:r>
      <w:r>
        <w:rPr/>
        <w:t>&amp;</w:t>
      </w:r>
      <w:r>
        <w:rPr>
          <w:spacing w:val="-3"/>
        </w:rPr>
        <w:t> </w:t>
      </w:r>
      <w:r>
        <w:rPr/>
        <w:t>Soman,</w:t>
      </w:r>
      <w:r>
        <w:rPr>
          <w:spacing w:val="-3"/>
        </w:rPr>
        <w:t> </w:t>
      </w:r>
      <w:r>
        <w:rPr/>
        <w:t>D.</w:t>
      </w:r>
      <w:r>
        <w:rPr>
          <w:spacing w:val="-3"/>
        </w:rPr>
        <w:t> </w:t>
      </w:r>
      <w:r>
        <w:rPr/>
        <w:t>(2003).</w:t>
      </w:r>
      <w:r>
        <w:rPr>
          <w:spacing w:val="-3"/>
        </w:rPr>
        <w:t> </w:t>
      </w:r>
      <w:r>
        <w:rPr/>
        <w:t>Looking</w:t>
      </w:r>
      <w:r>
        <w:rPr>
          <w:spacing w:val="-3"/>
        </w:rPr>
        <w:t> </w:t>
      </w:r>
      <w:r>
        <w:rPr/>
        <w:t>back:</w:t>
      </w:r>
      <w:r>
        <w:rPr>
          <w:spacing w:val="-3"/>
        </w:rPr>
        <w:t> </w:t>
      </w:r>
      <w:r>
        <w:rPr/>
        <w:t>Exploring</w:t>
      </w:r>
      <w:r>
        <w:rPr>
          <w:spacing w:val="-3"/>
        </w:rPr>
        <w:t> </w:t>
      </w:r>
      <w:r>
        <w:rPr/>
        <w:t>the</w:t>
      </w:r>
      <w:r>
        <w:rPr>
          <w:spacing w:val="-3"/>
        </w:rPr>
        <w:t> </w:t>
      </w:r>
      <w:r>
        <w:rPr/>
        <w:t>psychology</w:t>
      </w:r>
      <w:r>
        <w:rPr>
          <w:spacing w:val="-3"/>
        </w:rPr>
        <w:t> </w:t>
      </w:r>
      <w:r>
        <w:rPr/>
        <w:t>of</w:t>
      </w:r>
      <w:r>
        <w:rPr>
          <w:spacing w:val="-3"/>
        </w:rPr>
        <w:t> </w:t>
      </w:r>
      <w:r>
        <w:rPr/>
        <w:t>queuing</w:t>
      </w:r>
      <w:r>
        <w:rPr>
          <w:spacing w:val="-3"/>
        </w:rPr>
        <w:t> </w:t>
      </w:r>
      <w:r>
        <w:rPr/>
        <w:t>and</w:t>
      </w:r>
      <w:r>
        <w:rPr>
          <w:spacing w:val="-3"/>
        </w:rPr>
        <w:t> </w:t>
      </w:r>
      <w:r>
        <w:rPr/>
        <w:t>the effect of the number of people behind. </w:t>
      </w:r>
      <w:r>
        <w:rPr>
          <w:i/>
        </w:rPr>
        <w:t>Journal of Consumer Research, 29</w:t>
      </w:r>
      <w:r>
        <w:rPr/>
        <w:t>(4), 517–530. </w:t>
      </w:r>
      <w:hyperlink r:id="rId295">
        <w:r>
          <w:rPr>
            <w:spacing w:val="-2"/>
          </w:rPr>
          <w:t>https://doi.org/10.1086/346251</w:t>
        </w:r>
      </w:hyperlink>
    </w:p>
    <w:p>
      <w:pPr>
        <w:pStyle w:val="BodyText"/>
        <w:spacing w:after="0" w:line="228" w:lineRule="auto"/>
        <w:sectPr>
          <w:pgSz w:w="12240" w:h="15840"/>
          <w:pgMar w:header="0" w:footer="739" w:top="620" w:bottom="960" w:left="720" w:right="0"/>
        </w:sectPr>
      </w:pPr>
    </w:p>
    <w:p>
      <w:pPr>
        <w:pStyle w:val="Heading3"/>
        <w:spacing w:line="230" w:lineRule="auto" w:before="80"/>
        <w:ind w:left="2181" w:hanging="1141"/>
        <w:jc w:val="left"/>
      </w:pPr>
      <w:bookmarkStart w:name="Beyond the Bottom Line: A Historical and" w:id="127"/>
      <w:bookmarkEnd w:id="127"/>
      <w:r>
        <w:rPr>
          <w:b w:val="0"/>
        </w:rPr>
      </w:r>
      <w:bookmarkStart w:name="h.8lrnewvueyth" w:id="128"/>
      <w:bookmarkEnd w:id="128"/>
      <w:r>
        <w:rPr>
          <w:b w:val="0"/>
        </w:rPr>
      </w:r>
      <w:r>
        <w:rPr/>
        <w:t>Beyond</w:t>
      </w:r>
      <w:r>
        <w:rPr>
          <w:spacing w:val="-5"/>
        </w:rPr>
        <w:t> </w:t>
      </w:r>
      <w:r>
        <w:rPr/>
        <w:t>the</w:t>
      </w:r>
      <w:r>
        <w:rPr>
          <w:spacing w:val="-5"/>
        </w:rPr>
        <w:t> </w:t>
      </w:r>
      <w:r>
        <w:rPr/>
        <w:t>Bottom</w:t>
      </w:r>
      <w:r>
        <w:rPr>
          <w:spacing w:val="-5"/>
        </w:rPr>
        <w:t> </w:t>
      </w:r>
      <w:r>
        <w:rPr/>
        <w:t>Line:</w:t>
      </w:r>
      <w:r>
        <w:rPr>
          <w:spacing w:val="-5"/>
        </w:rPr>
        <w:t> </w:t>
      </w:r>
      <w:r>
        <w:rPr/>
        <w:t>A</w:t>
      </w:r>
      <w:r>
        <w:rPr>
          <w:spacing w:val="-5"/>
        </w:rPr>
        <w:t> </w:t>
      </w:r>
      <w:r>
        <w:rPr/>
        <w:t>Historical</w:t>
      </w:r>
      <w:r>
        <w:rPr>
          <w:spacing w:val="-5"/>
        </w:rPr>
        <w:t> </w:t>
      </w:r>
      <w:r>
        <w:rPr/>
        <w:t>and</w:t>
      </w:r>
      <w:r>
        <w:rPr>
          <w:spacing w:val="-5"/>
        </w:rPr>
        <w:t> </w:t>
      </w:r>
      <w:r>
        <w:rPr/>
        <w:t>Cultural</w:t>
      </w:r>
      <w:r>
        <w:rPr>
          <w:spacing w:val="-5"/>
        </w:rPr>
        <w:t> </w:t>
      </w:r>
      <w:r>
        <w:rPr/>
        <w:t>Analysis</w:t>
      </w:r>
      <w:r>
        <w:rPr>
          <w:spacing w:val="-5"/>
        </w:rPr>
        <w:t> </w:t>
      </w:r>
      <w:r>
        <w:rPr/>
        <w:t>of</w:t>
      </w:r>
      <w:r>
        <w:rPr>
          <w:spacing w:val="-5"/>
        </w:rPr>
        <w:t> </w:t>
      </w:r>
      <w:r>
        <w:rPr/>
        <w:t>Corporate Responsibility in the United States and Central Europe</w:t>
      </w:r>
    </w:p>
    <w:p>
      <w:pPr>
        <w:pStyle w:val="BodyText"/>
        <w:spacing w:line="480" w:lineRule="auto" w:before="290"/>
        <w:ind w:left="352" w:right="3268" w:firstLine="3745"/>
      </w:pPr>
      <w:r>
        <w:rPr/>
        <w:t>Tayden Sikorski and Santosh Nandi Keywords:</w:t>
      </w:r>
      <w:r>
        <w:rPr>
          <w:spacing w:val="-12"/>
        </w:rPr>
        <w:t> </w:t>
      </w:r>
      <w:r>
        <w:rPr/>
        <w:t>Corporate</w:t>
      </w:r>
      <w:r>
        <w:rPr>
          <w:spacing w:val="-13"/>
        </w:rPr>
        <w:t> </w:t>
      </w:r>
      <w:r>
        <w:rPr/>
        <w:t>responsibility,</w:t>
      </w:r>
      <w:r>
        <w:rPr>
          <w:spacing w:val="-12"/>
        </w:rPr>
        <w:t> </w:t>
      </w:r>
      <w:r>
        <w:rPr/>
        <w:t>Cultural</w:t>
      </w:r>
      <w:r>
        <w:rPr>
          <w:spacing w:val="-13"/>
        </w:rPr>
        <w:t> </w:t>
      </w:r>
      <w:r>
        <w:rPr/>
        <w:t>differences,</w:t>
      </w:r>
      <w:r>
        <w:rPr>
          <w:spacing w:val="-12"/>
        </w:rPr>
        <w:t> </w:t>
      </w:r>
      <w:r>
        <w:rPr/>
        <w:t>Sustainability,</w:t>
      </w:r>
      <w:r>
        <w:rPr>
          <w:spacing w:val="-13"/>
        </w:rPr>
        <w:t> </w:t>
      </w:r>
      <w:r>
        <w:rPr/>
        <w:t>Ethics</w:t>
      </w:r>
    </w:p>
    <w:p>
      <w:pPr>
        <w:pStyle w:val="BodyText"/>
        <w:spacing w:line="230" w:lineRule="auto"/>
        <w:ind w:left="352" w:right="1366"/>
        <w:jc w:val="both"/>
      </w:pPr>
      <w:r>
        <w:rPr/>
        <w:t>Corporate responsibility has traditionally been framed in the United States as a voluntary</w:t>
      </w:r>
      <w:r>
        <w:rPr>
          <w:spacing w:val="80"/>
        </w:rPr>
        <w:t> </w:t>
      </w:r>
      <w:r>
        <w:rPr/>
        <w:t>extension of profit-driven business practices. However, increased attention on environmental</w:t>
      </w:r>
      <w:r>
        <w:rPr>
          <w:spacing w:val="40"/>
        </w:rPr>
        <w:t> </w:t>
      </w:r>
      <w:r>
        <w:rPr/>
        <w:t>sustainability, ethical labor standards, and corporate transparency has challenged the assumption</w:t>
      </w:r>
      <w:r>
        <w:rPr>
          <w:spacing w:val="40"/>
        </w:rPr>
        <w:t> </w:t>
      </w:r>
      <w:r>
        <w:rPr/>
        <w:t>that financial performance alone defines a business’ success. Despite the global spread of</w:t>
      </w:r>
      <w:r>
        <w:rPr>
          <w:spacing w:val="80"/>
        </w:rPr>
        <w:t> </w:t>
      </w:r>
      <w:r>
        <w:rPr/>
        <w:t>Western business models, perceptions of corporate responsibility continue to vary across regions</w:t>
      </w:r>
      <w:r>
        <w:rPr>
          <w:spacing w:val="40"/>
        </w:rPr>
        <w:t> </w:t>
      </w:r>
      <w:r>
        <w:rPr/>
        <w:t>due</w:t>
      </w:r>
      <w:r>
        <w:rPr>
          <w:spacing w:val="-2"/>
        </w:rPr>
        <w:t> </w:t>
      </w:r>
      <w:r>
        <w:rPr/>
        <w:t>to</w:t>
      </w:r>
      <w:r>
        <w:rPr>
          <w:spacing w:val="-2"/>
        </w:rPr>
        <w:t> </w:t>
      </w:r>
      <w:r>
        <w:rPr/>
        <w:t>differences</w:t>
      </w:r>
      <w:r>
        <w:rPr>
          <w:spacing w:val="-2"/>
        </w:rPr>
        <w:t> </w:t>
      </w:r>
      <w:r>
        <w:rPr/>
        <w:t>in cultural values, historical experience, and legal frameworks. This study</w:t>
      </w:r>
      <w:r>
        <w:rPr>
          <w:spacing w:val="40"/>
        </w:rPr>
        <w:t> </w:t>
      </w:r>
      <w:r>
        <w:rPr/>
        <w:t>examines how corporate responsibility is understood and practiced in the United States compared</w:t>
      </w:r>
      <w:r>
        <w:rPr>
          <w:spacing w:val="40"/>
        </w:rPr>
        <w:t> </w:t>
      </w:r>
      <w:r>
        <w:rPr/>
        <w:t>to countries in Central Europe, specifically Hungary, where I plan to study abroad.</w:t>
      </w:r>
    </w:p>
    <w:p>
      <w:pPr>
        <w:pStyle w:val="BodyText"/>
        <w:spacing w:line="230" w:lineRule="auto" w:before="229"/>
        <w:ind w:left="352" w:right="1365"/>
        <w:jc w:val="both"/>
      </w:pPr>
      <w:r>
        <w:rPr/>
        <w:t>The central issue addressed in this research is how cultural differences influence</w:t>
      </w:r>
      <w:r>
        <w:rPr>
          <w:spacing w:val="40"/>
        </w:rPr>
        <w:t> </w:t>
      </w:r>
      <w:r>
        <w:rPr/>
        <w:t>corporate approaches to ethical responsibility and sustainability. While U.S. firms often treat</w:t>
      </w:r>
      <w:r>
        <w:rPr>
          <w:spacing w:val="40"/>
        </w:rPr>
        <w:t> </w:t>
      </w:r>
      <w:r>
        <w:rPr/>
        <w:t>corporate responsibility as a strategic or reputational choice, many European countries embed</w:t>
      </w:r>
      <w:r>
        <w:rPr>
          <w:spacing w:val="40"/>
        </w:rPr>
        <w:t> </w:t>
      </w:r>
      <w:r>
        <w:rPr/>
        <w:t>social and environmental accountability more firmly into regulatory laws and social</w:t>
      </w:r>
      <w:r>
        <w:rPr>
          <w:spacing w:val="40"/>
        </w:rPr>
        <w:t> </w:t>
      </w:r>
      <w:r>
        <w:rPr/>
        <w:t>expectations. Understanding these differences is important because corporations play a</w:t>
      </w:r>
      <w:r>
        <w:rPr>
          <w:spacing w:val="40"/>
        </w:rPr>
        <w:t> </w:t>
      </w:r>
      <w:r>
        <w:rPr/>
        <w:t>significant</w:t>
      </w:r>
      <w:r>
        <w:rPr>
          <w:spacing w:val="-2"/>
        </w:rPr>
        <w:t> </w:t>
      </w:r>
      <w:r>
        <w:rPr/>
        <w:t>role</w:t>
      </w:r>
      <w:r>
        <w:rPr>
          <w:spacing w:val="-2"/>
        </w:rPr>
        <w:t> </w:t>
      </w:r>
      <w:r>
        <w:rPr/>
        <w:t>in</w:t>
      </w:r>
      <w:r>
        <w:rPr>
          <w:spacing w:val="-2"/>
        </w:rPr>
        <w:t> </w:t>
      </w:r>
      <w:r>
        <w:rPr/>
        <w:t>shaping environmental outcomes and community well-being. As businesses</w:t>
      </w:r>
      <w:r>
        <w:rPr>
          <w:spacing w:val="40"/>
        </w:rPr>
        <w:t> </w:t>
      </w:r>
      <w:r>
        <w:rPr/>
        <w:t>increasingly operate across borders, a disconnect between cultural expectations and corporate</w:t>
      </w:r>
      <w:r>
        <w:rPr>
          <w:spacing w:val="80"/>
        </w:rPr>
        <w:t> </w:t>
      </w:r>
      <w:r>
        <w:rPr/>
        <w:t>practices can lead to public distrust, accusations of greenwashing, and ineffective sustainability</w:t>
      </w:r>
      <w:r>
        <w:rPr>
          <w:spacing w:val="40"/>
        </w:rPr>
        <w:t> </w:t>
      </w:r>
      <w:r>
        <w:rPr/>
        <w:t>initiatives.</w:t>
      </w:r>
    </w:p>
    <w:p>
      <w:pPr>
        <w:pStyle w:val="BodyText"/>
        <w:spacing w:line="230" w:lineRule="auto" w:before="241"/>
        <w:ind w:left="352" w:right="1364"/>
        <w:jc w:val="both"/>
      </w:pPr>
      <w:r>
        <w:rPr/>
        <w:t>This research is significant because it contributes to ongoing debates centering around the</w:t>
      </w:r>
      <w:r>
        <w:rPr>
          <w:spacing w:val="40"/>
        </w:rPr>
        <w:t> </w:t>
      </w:r>
      <w:r>
        <w:rPr/>
        <w:t>role </w:t>
      </w:r>
      <w:r>
        <w:rPr/>
        <w:t>of business in society and the limitation of a profit-centered model in corporate governance.</w:t>
      </w:r>
      <w:r>
        <w:rPr>
          <w:spacing w:val="40"/>
        </w:rPr>
        <w:t> </w:t>
      </w:r>
      <w:r>
        <w:rPr/>
        <w:t>By comparing two regions both with conventionally successful economies but differing cultural traditions, the study aims to identify how corporate responsibility can be more effectively aligned</w:t>
      </w:r>
      <w:r>
        <w:rPr>
          <w:spacing w:val="40"/>
        </w:rPr>
        <w:t> </w:t>
      </w:r>
      <w:r>
        <w:rPr/>
        <w:t>with societal values. The findings may offer insights into how businesses can balance economic success with ethical accountability in a globalized economy to benefit the people and</w:t>
      </w:r>
      <w:r>
        <w:rPr>
          <w:spacing w:val="40"/>
        </w:rPr>
        <w:t> </w:t>
      </w:r>
      <w:r>
        <w:rPr/>
        <w:t>communities </w:t>
      </w:r>
      <w:r>
        <w:rPr>
          <w:spacing w:val="-2"/>
        </w:rPr>
        <w:t>involved.</w:t>
      </w:r>
    </w:p>
    <w:p>
      <w:pPr>
        <w:pStyle w:val="BodyText"/>
        <w:spacing w:line="230" w:lineRule="auto" w:before="242"/>
        <w:ind w:left="352" w:right="1365"/>
        <w:jc w:val="both"/>
      </w:pPr>
      <w:r>
        <w:rPr/>
        <w:t>The study will employ a qualitative, comparative methodology. It will draw on existing</w:t>
      </w:r>
      <w:r>
        <w:rPr>
          <w:spacing w:val="40"/>
        </w:rPr>
        <w:t> </w:t>
      </w:r>
      <w:r>
        <w:rPr/>
        <w:t>academic literature on corporate responsibility, sustainability, and business ethics, as well as</w:t>
      </w:r>
      <w:r>
        <w:rPr>
          <w:spacing w:val="40"/>
        </w:rPr>
        <w:t> </w:t>
      </w:r>
      <w:r>
        <w:rPr/>
        <w:t>legal analyses</w:t>
      </w:r>
      <w:r>
        <w:rPr>
          <w:spacing w:val="-4"/>
        </w:rPr>
        <w:t> </w:t>
      </w:r>
      <w:r>
        <w:rPr/>
        <w:t>of corporate accountability frameworks in the United States and Central Europe.</w:t>
      </w:r>
      <w:r>
        <w:rPr>
          <w:spacing w:val="40"/>
        </w:rPr>
        <w:t> </w:t>
      </w:r>
      <w:r>
        <w:rPr/>
        <w:t>In addition, cultural insights will be informed by coursework and academic engagement during</w:t>
      </w:r>
      <w:r>
        <w:rPr>
          <w:spacing w:val="40"/>
        </w:rPr>
        <w:t> </w:t>
      </w:r>
      <w:r>
        <w:rPr/>
        <w:t>my study abroad in Budapest, Hungary. Where feasible, informal interviews or surveys with</w:t>
      </w:r>
      <w:r>
        <w:rPr>
          <w:spacing w:val="40"/>
        </w:rPr>
        <w:t> </w:t>
      </w:r>
      <w:r>
        <w:rPr/>
        <w:t>business students, faculty, and professionals may be used to supplement secondary research and</w:t>
      </w:r>
      <w:r>
        <w:rPr>
          <w:spacing w:val="40"/>
        </w:rPr>
        <w:t> </w:t>
      </w:r>
      <w:r>
        <w:rPr/>
        <w:t>provide firsthand perspectives.</w:t>
      </w:r>
    </w:p>
    <w:p>
      <w:pPr>
        <w:pStyle w:val="BodyText"/>
        <w:spacing w:line="230" w:lineRule="auto" w:before="243"/>
        <w:ind w:left="352" w:right="1364"/>
        <w:jc w:val="both"/>
      </w:pPr>
      <w:r>
        <w:rPr/>
        <w:t>The outcomes of this research will be of interest to business students, policymakers, and</w:t>
      </w:r>
      <w:r>
        <w:rPr>
          <w:spacing w:val="40"/>
        </w:rPr>
        <w:t> </w:t>
      </w:r>
      <w:r>
        <w:rPr/>
        <w:t>current </w:t>
      </w:r>
      <w:r>
        <w:rPr/>
        <w:t>or aspiring entrepreneurs from any culture. By highlighting how cultural values shape</w:t>
      </w:r>
      <w:r>
        <w:rPr>
          <w:spacing w:val="40"/>
        </w:rPr>
        <w:t> </w:t>
      </w:r>
      <w:r>
        <w:rPr/>
        <w:t>expectations of corporate</w:t>
      </w:r>
      <w:r>
        <w:rPr>
          <w:spacing w:val="-3"/>
        </w:rPr>
        <w:t> </w:t>
      </w:r>
      <w:r>
        <w:rPr/>
        <w:t>behavior,</w:t>
      </w:r>
      <w:r>
        <w:rPr>
          <w:spacing w:val="-3"/>
        </w:rPr>
        <w:t> </w:t>
      </w:r>
      <w:r>
        <w:rPr/>
        <w:t>the</w:t>
      </w:r>
      <w:r>
        <w:rPr>
          <w:spacing w:val="-3"/>
        </w:rPr>
        <w:t> </w:t>
      </w:r>
      <w:r>
        <w:rPr/>
        <w:t>study</w:t>
      </w:r>
      <w:r>
        <w:rPr>
          <w:spacing w:val="-3"/>
        </w:rPr>
        <w:t> </w:t>
      </w:r>
      <w:r>
        <w:rPr/>
        <w:t>seeks</w:t>
      </w:r>
      <w:r>
        <w:rPr>
          <w:spacing w:val="-3"/>
        </w:rPr>
        <w:t> </w:t>
      </w:r>
      <w:r>
        <w:rPr/>
        <w:t>to</w:t>
      </w:r>
      <w:r>
        <w:rPr>
          <w:spacing w:val="-3"/>
        </w:rPr>
        <w:t> </w:t>
      </w:r>
      <w:r>
        <w:rPr/>
        <w:t>inform</w:t>
      </w:r>
      <w:r>
        <w:rPr>
          <w:spacing w:val="-3"/>
        </w:rPr>
        <w:t> </w:t>
      </w:r>
      <w:r>
        <w:rPr/>
        <w:t>more</w:t>
      </w:r>
      <w:r>
        <w:rPr>
          <w:spacing w:val="-3"/>
        </w:rPr>
        <w:t> </w:t>
      </w:r>
      <w:r>
        <w:rPr/>
        <w:t>culturally</w:t>
      </w:r>
      <w:r>
        <w:rPr>
          <w:spacing w:val="-3"/>
        </w:rPr>
        <w:t> </w:t>
      </w:r>
      <w:r>
        <w:rPr/>
        <w:t>aware</w:t>
      </w:r>
      <w:r>
        <w:rPr>
          <w:spacing w:val="-3"/>
        </w:rPr>
        <w:t> </w:t>
      </w:r>
      <w:r>
        <w:rPr/>
        <w:t>and</w:t>
      </w:r>
      <w:r>
        <w:rPr>
          <w:spacing w:val="-3"/>
        </w:rPr>
        <w:t> </w:t>
      </w:r>
      <w:r>
        <w:rPr/>
        <w:t>socially</w:t>
      </w:r>
      <w:r>
        <w:rPr>
          <w:spacing w:val="40"/>
        </w:rPr>
        <w:t> </w:t>
      </w:r>
      <w:r>
        <w:rPr/>
        <w:t>responsible</w:t>
      </w:r>
      <w:r>
        <w:rPr>
          <w:spacing w:val="-3"/>
        </w:rPr>
        <w:t> </w:t>
      </w:r>
      <w:r>
        <w:rPr/>
        <w:t>business practices that extend beyond the bottom line.</w:t>
      </w:r>
    </w:p>
    <w:p>
      <w:pPr>
        <w:pStyle w:val="BodyText"/>
        <w:spacing w:after="0" w:line="230" w:lineRule="auto"/>
        <w:jc w:val="both"/>
        <w:sectPr>
          <w:pgSz w:w="12240" w:h="15840"/>
          <w:pgMar w:header="0" w:footer="739" w:top="620" w:bottom="960" w:left="720" w:right="0"/>
        </w:sectPr>
      </w:pPr>
    </w:p>
    <w:p>
      <w:pPr>
        <w:pStyle w:val="Heading2"/>
        <w:spacing w:line="247" w:lineRule="auto" w:before="59"/>
        <w:ind w:left="3371" w:hanging="1998"/>
      </w:pPr>
      <w:bookmarkStart w:name="A Meta-analysis to Uncover the Effects o" w:id="129"/>
      <w:bookmarkEnd w:id="129"/>
      <w:r>
        <w:rPr>
          <w:b w:val="0"/>
        </w:rPr>
      </w:r>
      <w:r>
        <w:rPr/>
        <w:t>A</w:t>
      </w:r>
      <w:r>
        <w:rPr>
          <w:spacing w:val="-9"/>
        </w:rPr>
        <w:t> </w:t>
      </w:r>
      <w:r>
        <w:rPr/>
        <w:t>Meta-analysis</w:t>
      </w:r>
      <w:r>
        <w:rPr>
          <w:spacing w:val="-9"/>
        </w:rPr>
        <w:t> </w:t>
      </w:r>
      <w:r>
        <w:rPr/>
        <w:t>to</w:t>
      </w:r>
      <w:r>
        <w:rPr>
          <w:spacing w:val="-9"/>
        </w:rPr>
        <w:t> </w:t>
      </w:r>
      <w:r>
        <w:rPr/>
        <w:t>Uncover</w:t>
      </w:r>
      <w:r>
        <w:rPr>
          <w:spacing w:val="-9"/>
        </w:rPr>
        <w:t> </w:t>
      </w:r>
      <w:r>
        <w:rPr/>
        <w:t>the</w:t>
      </w:r>
      <w:r>
        <w:rPr>
          <w:spacing w:val="-9"/>
        </w:rPr>
        <w:t> </w:t>
      </w:r>
      <w:r>
        <w:rPr/>
        <w:t>Effects</w:t>
      </w:r>
      <w:r>
        <w:rPr>
          <w:spacing w:val="-9"/>
        </w:rPr>
        <w:t> </w:t>
      </w:r>
      <w:r>
        <w:rPr/>
        <w:t>of</w:t>
      </w:r>
      <w:r>
        <w:rPr>
          <w:spacing w:val="-9"/>
        </w:rPr>
        <w:t> </w:t>
      </w:r>
      <w:r>
        <w:rPr/>
        <w:t>Ground</w:t>
      </w:r>
      <w:r>
        <w:rPr>
          <w:spacing w:val="-9"/>
        </w:rPr>
        <w:t> </w:t>
      </w:r>
      <w:r>
        <w:rPr/>
        <w:t>and</w:t>
      </w:r>
      <w:r>
        <w:rPr>
          <w:spacing w:val="-9"/>
        </w:rPr>
        <w:t> </w:t>
      </w:r>
      <w:r>
        <w:rPr/>
        <w:t>Drinking </w:t>
      </w:r>
      <w:bookmarkStart w:name="h.efeamcqaxp6d" w:id="130"/>
      <w:bookmarkEnd w:id="130"/>
      <w:r>
        <w:rPr/>
        <w:t>W</w:t>
      </w:r>
      <w:r>
        <w:rPr/>
        <w:t>ater Pollution on Home Values</w:t>
      </w:r>
    </w:p>
    <w:p>
      <w:pPr>
        <w:pStyle w:val="BodyText"/>
        <w:spacing w:before="277"/>
        <w:ind w:left="113"/>
        <w:jc w:val="center"/>
      </w:pPr>
      <w:r>
        <w:rPr/>
        <w:t>Anna Silva and Dennis </w:t>
      </w:r>
      <w:r>
        <w:rPr>
          <w:spacing w:val="-2"/>
        </w:rPr>
        <w:t>Guignet</w:t>
      </w:r>
    </w:p>
    <w:p>
      <w:pPr>
        <w:pStyle w:val="BodyText"/>
        <w:spacing w:before="78"/>
      </w:pPr>
    </w:p>
    <w:p>
      <w:pPr>
        <w:pStyle w:val="BodyText"/>
        <w:spacing w:before="1"/>
        <w:ind w:left="352"/>
        <w:jc w:val="both"/>
      </w:pPr>
      <w:r>
        <w:rPr/>
        <w:t>Keywords</w:t>
      </w:r>
      <w:r>
        <w:rPr>
          <w:spacing w:val="-3"/>
        </w:rPr>
        <w:t> </w:t>
      </w:r>
      <w:r>
        <w:rPr/>
        <w:t>(3-5):</w:t>
      </w:r>
      <w:r>
        <w:rPr>
          <w:spacing w:val="-2"/>
        </w:rPr>
        <w:t> </w:t>
      </w:r>
      <w:r>
        <w:rPr/>
        <w:t>Drinking</w:t>
      </w:r>
      <w:r>
        <w:rPr>
          <w:spacing w:val="-2"/>
        </w:rPr>
        <w:t> </w:t>
      </w:r>
      <w:r>
        <w:rPr/>
        <w:t>water,</w:t>
      </w:r>
      <w:r>
        <w:rPr>
          <w:spacing w:val="-2"/>
        </w:rPr>
        <w:t> </w:t>
      </w:r>
      <w:r>
        <w:rPr/>
        <w:t>groundwater,</w:t>
      </w:r>
      <w:r>
        <w:rPr>
          <w:spacing w:val="-3"/>
        </w:rPr>
        <w:t> </w:t>
      </w:r>
      <w:r>
        <w:rPr/>
        <w:t>home</w:t>
      </w:r>
      <w:r>
        <w:rPr>
          <w:spacing w:val="-2"/>
        </w:rPr>
        <w:t> </w:t>
      </w:r>
      <w:bookmarkStart w:name="  " w:id="131"/>
      <w:bookmarkEnd w:id="131"/>
      <w:r>
        <w:rPr/>
        <w:t>price,</w:t>
      </w:r>
      <w:r>
        <w:rPr>
          <w:spacing w:val="-2"/>
        </w:rPr>
        <w:t> </w:t>
      </w:r>
      <w:r>
        <w:rPr/>
        <w:t>home</w:t>
      </w:r>
      <w:r>
        <w:rPr>
          <w:spacing w:val="-2"/>
        </w:rPr>
        <w:t> </w:t>
      </w:r>
      <w:r>
        <w:rPr/>
        <w:t>value,</w:t>
      </w:r>
      <w:r>
        <w:rPr>
          <w:spacing w:val="-2"/>
        </w:rPr>
        <w:t> </w:t>
      </w:r>
      <w:r>
        <w:rPr/>
        <w:t>meta-</w:t>
      </w:r>
      <w:r>
        <w:rPr>
          <w:spacing w:val="-2"/>
        </w:rPr>
        <w:t>analysis</w:t>
      </w:r>
    </w:p>
    <w:p>
      <w:pPr>
        <w:pStyle w:val="BodyText"/>
        <w:spacing w:line="230" w:lineRule="auto" w:before="219"/>
        <w:ind w:left="352" w:right="1363"/>
        <w:jc w:val="both"/>
      </w:pPr>
      <w:r>
        <w:rPr>
          <w:b/>
          <w:sz w:val="20"/>
        </w:rPr>
        <w:t>ABSTRACT:</w:t>
      </w:r>
      <w:r>
        <w:rPr>
          <w:b/>
          <w:spacing w:val="40"/>
          <w:sz w:val="20"/>
        </w:rPr>
        <w:t> </w:t>
      </w:r>
      <w:r>
        <w:rPr/>
        <w:t>Access to clean potable water is essential for a healthy life. Approximately 15% of people in the United States rely on private wells as their primary water source, and yet there is </w:t>
      </w:r>
      <w:r>
        <w:rPr/>
        <w:t>no required monitoring of these water sources [1]. Testing and treating private wells can be</w:t>
      </w:r>
      <w:r>
        <w:rPr>
          <w:spacing w:val="40"/>
        </w:rPr>
        <w:t> </w:t>
      </w:r>
      <w:r>
        <w:rPr/>
        <w:t>expensive, and residents relying on a private well are often unaware of the need for routine</w:t>
      </w:r>
      <w:r>
        <w:rPr>
          <w:spacing w:val="40"/>
        </w:rPr>
        <w:t> </w:t>
      </w:r>
      <w:r>
        <w:rPr/>
        <w:t>testing. Harmful contaminants can go undetected and be consumed by unaware residents. In</w:t>
      </w:r>
      <w:r>
        <w:rPr>
          <w:spacing w:val="40"/>
        </w:rPr>
        <w:t> </w:t>
      </w:r>
      <w:r>
        <w:rPr/>
        <w:t>contrast, public water systems are regulated</w:t>
      </w:r>
      <w:r>
        <w:rPr>
          <w:spacing w:val="-4"/>
        </w:rPr>
        <w:t> </w:t>
      </w:r>
      <w:r>
        <w:rPr/>
        <w:t>by</w:t>
      </w:r>
      <w:r>
        <w:rPr>
          <w:spacing w:val="-4"/>
        </w:rPr>
        <w:t> </w:t>
      </w:r>
      <w:r>
        <w:rPr/>
        <w:t>the</w:t>
      </w:r>
      <w:r>
        <w:rPr>
          <w:spacing w:val="-4"/>
        </w:rPr>
        <w:t> </w:t>
      </w:r>
      <w:r>
        <w:rPr/>
        <w:t>Safe</w:t>
      </w:r>
      <w:r>
        <w:rPr>
          <w:spacing w:val="-4"/>
        </w:rPr>
        <w:t> </w:t>
      </w:r>
      <w:r>
        <w:rPr/>
        <w:t>Drinking</w:t>
      </w:r>
      <w:r>
        <w:rPr>
          <w:spacing w:val="-4"/>
        </w:rPr>
        <w:t> </w:t>
      </w:r>
      <w:r>
        <w:rPr/>
        <w:t>Water</w:t>
      </w:r>
      <w:r>
        <w:rPr>
          <w:spacing w:val="-4"/>
        </w:rPr>
        <w:t> </w:t>
      </w:r>
      <w:r>
        <w:rPr/>
        <w:t>Act,</w:t>
      </w:r>
      <w:r>
        <w:rPr>
          <w:spacing w:val="-4"/>
        </w:rPr>
        <w:t> </w:t>
      </w:r>
      <w:r>
        <w:rPr/>
        <w:t>which</w:t>
      </w:r>
      <w:r>
        <w:rPr>
          <w:spacing w:val="-4"/>
        </w:rPr>
        <w:t> </w:t>
      </w:r>
      <w:r>
        <w:rPr/>
        <w:t>requires</w:t>
      </w:r>
      <w:r>
        <w:rPr>
          <w:spacing w:val="40"/>
        </w:rPr>
        <w:t> </w:t>
      </w:r>
      <w:r>
        <w:rPr/>
        <w:t>water</w:t>
      </w:r>
      <w:r>
        <w:rPr>
          <w:spacing w:val="-4"/>
        </w:rPr>
        <w:t> </w:t>
      </w:r>
      <w:r>
        <w:rPr/>
        <w:t>monitoring</w:t>
      </w:r>
      <w:r>
        <w:rPr>
          <w:spacing w:val="-4"/>
        </w:rPr>
        <w:t> </w:t>
      </w:r>
      <w:r>
        <w:rPr/>
        <w:t>to</w:t>
      </w:r>
      <w:r>
        <w:rPr>
          <w:spacing w:val="-4"/>
        </w:rPr>
        <w:t> </w:t>
      </w:r>
      <w:r>
        <w:rPr/>
        <w:t>ensure</w:t>
      </w:r>
      <w:r>
        <w:rPr>
          <w:spacing w:val="-4"/>
        </w:rPr>
        <w:t> </w:t>
      </w:r>
      <w:r>
        <w:rPr/>
        <w:t>the provision of safe potable water.</w:t>
      </w:r>
      <w:r>
        <w:rPr>
          <w:spacing w:val="-4"/>
        </w:rPr>
        <w:t> </w:t>
      </w:r>
      <w:r>
        <w:rPr/>
        <w:t>Such</w:t>
      </w:r>
      <w:r>
        <w:rPr>
          <w:spacing w:val="-4"/>
        </w:rPr>
        <w:t> </w:t>
      </w:r>
      <w:r>
        <w:rPr/>
        <w:t>provisions</w:t>
      </w:r>
      <w:r>
        <w:rPr>
          <w:spacing w:val="-4"/>
        </w:rPr>
        <w:t> </w:t>
      </w:r>
      <w:r>
        <w:rPr/>
        <w:t>are</w:t>
      </w:r>
      <w:r>
        <w:rPr>
          <w:spacing w:val="-4"/>
        </w:rPr>
        <w:t> </w:t>
      </w:r>
      <w:r>
        <w:rPr/>
        <w:t>not</w:t>
      </w:r>
      <w:r>
        <w:rPr>
          <w:spacing w:val="40"/>
        </w:rPr>
        <w:t> </w:t>
      </w:r>
      <w:r>
        <w:rPr/>
        <w:t>guaranteed,</w:t>
      </w:r>
      <w:r>
        <w:rPr>
          <w:spacing w:val="-4"/>
        </w:rPr>
        <w:t> </w:t>
      </w:r>
      <w:r>
        <w:rPr/>
        <w:t>however,</w:t>
      </w:r>
      <w:r>
        <w:rPr>
          <w:spacing w:val="-4"/>
        </w:rPr>
        <w:t> </w:t>
      </w:r>
      <w:r>
        <w:rPr/>
        <w:t>as</w:t>
      </w:r>
      <w:r>
        <w:rPr>
          <w:spacing w:val="-4"/>
        </w:rPr>
        <w:t> </w:t>
      </w:r>
      <w:r>
        <w:rPr/>
        <w:t>illustrated</w:t>
      </w:r>
      <w:r>
        <w:rPr>
          <w:spacing w:val="-4"/>
        </w:rPr>
        <w:t> </w:t>
      </w:r>
      <w:r>
        <w:rPr/>
        <w:t>by</w:t>
      </w:r>
      <w:r>
        <w:rPr>
          <w:spacing w:val="-4"/>
        </w:rPr>
        <w:t> </w:t>
      </w:r>
      <w:r>
        <w:rPr/>
        <w:t>recent incidents of lead pollution in Flint, MI, and</w:t>
      </w:r>
      <w:r>
        <w:rPr>
          <w:spacing w:val="-4"/>
        </w:rPr>
        <w:t> </w:t>
      </w:r>
      <w:r>
        <w:rPr/>
        <w:t>PFAS</w:t>
      </w:r>
      <w:r>
        <w:rPr>
          <w:spacing w:val="40"/>
        </w:rPr>
        <w:t> </w:t>
      </w:r>
      <w:r>
        <w:rPr/>
        <w:t>contamination</w:t>
      </w:r>
      <w:r>
        <w:rPr>
          <w:spacing w:val="-4"/>
        </w:rPr>
        <w:t> </w:t>
      </w:r>
      <w:r>
        <w:rPr/>
        <w:t>in</w:t>
      </w:r>
      <w:r>
        <w:rPr>
          <w:spacing w:val="-4"/>
        </w:rPr>
        <w:t> </w:t>
      </w:r>
      <w:r>
        <w:rPr/>
        <w:t>Wilmington,</w:t>
      </w:r>
      <w:r>
        <w:rPr>
          <w:spacing w:val="-4"/>
        </w:rPr>
        <w:t> </w:t>
      </w:r>
      <w:r>
        <w:rPr/>
        <w:t>NC.</w:t>
      </w:r>
      <w:r>
        <w:rPr>
          <w:spacing w:val="-4"/>
        </w:rPr>
        <w:t> </w:t>
      </w:r>
      <w:r>
        <w:rPr/>
        <w:t>Estimating</w:t>
      </w:r>
      <w:r>
        <w:rPr>
          <w:spacing w:val="-4"/>
        </w:rPr>
        <w:t> </w:t>
      </w:r>
      <w:r>
        <w:rPr/>
        <w:t>the social cost of</w:t>
      </w:r>
      <w:r>
        <w:rPr>
          <w:spacing w:val="-2"/>
        </w:rPr>
        <w:t> </w:t>
      </w:r>
      <w:r>
        <w:rPr/>
        <w:t>contaminated</w:t>
      </w:r>
      <w:r>
        <w:rPr>
          <w:spacing w:val="-2"/>
        </w:rPr>
        <w:t> </w:t>
      </w:r>
      <w:r>
        <w:rPr/>
        <w:t>potable</w:t>
      </w:r>
      <w:r>
        <w:rPr>
          <w:spacing w:val="-2"/>
        </w:rPr>
        <w:t> </w:t>
      </w:r>
      <w:r>
        <w:rPr/>
        <w:t>water</w:t>
      </w:r>
      <w:r>
        <w:rPr>
          <w:spacing w:val="-2"/>
        </w:rPr>
        <w:t> </w:t>
      </w:r>
      <w:r>
        <w:rPr/>
        <w:t>is</w:t>
      </w:r>
      <w:r>
        <w:rPr>
          <w:spacing w:val="40"/>
        </w:rPr>
        <w:t> </w:t>
      </w:r>
      <w:r>
        <w:rPr/>
        <w:t>important</w:t>
      </w:r>
      <w:r>
        <w:rPr>
          <w:spacing w:val="-2"/>
        </w:rPr>
        <w:t> </w:t>
      </w:r>
      <w:r>
        <w:rPr/>
        <w:t>for</w:t>
      </w:r>
      <w:r>
        <w:rPr>
          <w:spacing w:val="-2"/>
        </w:rPr>
        <w:t> </w:t>
      </w:r>
      <w:r>
        <w:rPr/>
        <w:t>informing</w:t>
      </w:r>
      <w:r>
        <w:rPr>
          <w:spacing w:val="-2"/>
        </w:rPr>
        <w:t> </w:t>
      </w:r>
      <w:r>
        <w:rPr/>
        <w:t>policies</w:t>
      </w:r>
      <w:r>
        <w:rPr>
          <w:spacing w:val="-2"/>
        </w:rPr>
        <w:t> </w:t>
      </w:r>
      <w:r>
        <w:rPr/>
        <w:t>and</w:t>
      </w:r>
      <w:r>
        <w:rPr>
          <w:spacing w:val="-2"/>
        </w:rPr>
        <w:t> </w:t>
      </w:r>
      <w:r>
        <w:rPr/>
        <w:t>programs</w:t>
      </w:r>
      <w:r>
        <w:rPr>
          <w:spacing w:val="-2"/>
        </w:rPr>
        <w:t> </w:t>
      </w:r>
      <w:r>
        <w:rPr/>
        <w:t>to</w:t>
      </w:r>
      <w:r>
        <w:rPr>
          <w:spacing w:val="-2"/>
        </w:rPr>
        <w:t> </w:t>
      </w:r>
      <w:r>
        <w:rPr/>
        <w:t>protect human health. Hedonic property value</w:t>
      </w:r>
      <w:r>
        <w:rPr>
          <w:spacing w:val="80"/>
        </w:rPr>
        <w:t> </w:t>
      </w:r>
      <w:r>
        <w:rPr/>
        <w:t>methods are an ideal revealed preference approach to monetize the impacts in this context</w:t>
      </w:r>
      <w:r>
        <w:rPr>
          <w:spacing w:val="40"/>
        </w:rPr>
        <w:t> </w:t>
      </w:r>
      <w:r>
        <w:rPr/>
        <w:t>because potable water services are directly linked to a home. Little research exists on how</w:t>
      </w:r>
      <w:r>
        <w:rPr>
          <w:spacing w:val="80"/>
        </w:rPr>
        <w:t> </w:t>
      </w:r>
      <w:r>
        <w:rPr/>
        <w:t>ground and</w:t>
      </w:r>
      <w:r>
        <w:rPr>
          <w:spacing w:val="-3"/>
        </w:rPr>
        <w:t> </w:t>
      </w:r>
      <w:r>
        <w:rPr/>
        <w:t>drinking</w:t>
      </w:r>
      <w:r>
        <w:rPr>
          <w:spacing w:val="-3"/>
        </w:rPr>
        <w:t> </w:t>
      </w:r>
      <w:r>
        <w:rPr/>
        <w:t>water</w:t>
      </w:r>
      <w:r>
        <w:rPr>
          <w:spacing w:val="-3"/>
        </w:rPr>
        <w:t> </w:t>
      </w:r>
      <w:r>
        <w:rPr/>
        <w:t>quality</w:t>
      </w:r>
      <w:r>
        <w:rPr>
          <w:spacing w:val="-3"/>
        </w:rPr>
        <w:t> </w:t>
      </w:r>
      <w:r>
        <w:rPr/>
        <w:t>affect</w:t>
      </w:r>
      <w:r>
        <w:rPr>
          <w:spacing w:val="-3"/>
        </w:rPr>
        <w:t> </w:t>
      </w:r>
      <w:r>
        <w:rPr/>
        <w:t>home</w:t>
      </w:r>
      <w:r>
        <w:rPr>
          <w:spacing w:val="-3"/>
        </w:rPr>
        <w:t> </w:t>
      </w:r>
      <w:r>
        <w:rPr/>
        <w:t>values,</w:t>
      </w:r>
      <w:r>
        <w:rPr>
          <w:spacing w:val="-3"/>
        </w:rPr>
        <w:t> </w:t>
      </w:r>
      <w:r>
        <w:rPr/>
        <w:t>primarily</w:t>
      </w:r>
      <w:r>
        <w:rPr>
          <w:spacing w:val="-3"/>
        </w:rPr>
        <w:t> </w:t>
      </w:r>
      <w:r>
        <w:rPr/>
        <w:t>due</w:t>
      </w:r>
      <w:r>
        <w:rPr>
          <w:spacing w:val="-3"/>
        </w:rPr>
        <w:t> </w:t>
      </w:r>
      <w:r>
        <w:rPr/>
        <w:t>to a general lack of data on</w:t>
      </w:r>
      <w:r>
        <w:rPr>
          <w:spacing w:val="40"/>
        </w:rPr>
        <w:t> </w:t>
      </w:r>
      <w:r>
        <w:rPr/>
        <w:t>potable water quality, particularly in the context of private wells.</w:t>
      </w:r>
    </w:p>
    <w:p>
      <w:pPr>
        <w:pStyle w:val="BodyText"/>
        <w:spacing w:line="230" w:lineRule="auto" w:before="159"/>
        <w:ind w:left="352" w:right="1365"/>
        <w:jc w:val="both"/>
      </w:pPr>
      <w:r>
        <w:rPr/>
        <w:t>To</w:t>
      </w:r>
      <w:r>
        <w:rPr>
          <w:spacing w:val="26"/>
        </w:rPr>
        <w:t> </w:t>
      </w:r>
      <w:r>
        <w:rPr/>
        <w:t>fill this gap and bring awareness to homeowners and policymakers, we construct a</w:t>
      </w:r>
      <w:r>
        <w:rPr>
          <w:spacing w:val="80"/>
        </w:rPr>
        <w:t> </w:t>
      </w:r>
      <w:r>
        <w:rPr/>
        <w:t>meta-</w:t>
      </w:r>
      <w:r>
        <w:rPr/>
        <w:t>dataset of hedonic property value studies that explicitly estimate the association between</w:t>
      </w:r>
      <w:r>
        <w:rPr>
          <w:spacing w:val="40"/>
        </w:rPr>
        <w:t> </w:t>
      </w:r>
      <w:r>
        <w:rPr/>
        <w:t>potable water quality and home values in the United States. Using all pairwise combinations</w:t>
      </w:r>
      <w:r>
        <w:rPr>
          <w:spacing w:val="80"/>
        </w:rPr>
        <w:t> </w:t>
      </w:r>
      <w:r>
        <w:rPr/>
        <w:t>from a set of keywords, we systematically searched the</w:t>
      </w:r>
      <w:r>
        <w:rPr>
          <w:spacing w:val="-2"/>
        </w:rPr>
        <w:t> </w:t>
      </w:r>
      <w:r>
        <w:rPr/>
        <w:t>economic</w:t>
      </w:r>
      <w:r>
        <w:rPr>
          <w:spacing w:val="-2"/>
        </w:rPr>
        <w:t> </w:t>
      </w:r>
      <w:r>
        <w:rPr/>
        <w:t>literature</w:t>
      </w:r>
      <w:r>
        <w:rPr>
          <w:spacing w:val="-2"/>
        </w:rPr>
        <w:t> </w:t>
      </w:r>
      <w:r>
        <w:rPr/>
        <w:t>and</w:t>
      </w:r>
      <w:r>
        <w:rPr>
          <w:spacing w:val="-2"/>
        </w:rPr>
        <w:t> </w:t>
      </w:r>
      <w:r>
        <w:rPr/>
        <w:t>identified</w:t>
      </w:r>
      <w:r>
        <w:rPr>
          <w:spacing w:val="-2"/>
        </w:rPr>
        <w:t> </w:t>
      </w:r>
      <w:r>
        <w:rPr/>
        <w:t>42</w:t>
      </w:r>
      <w:r>
        <w:rPr>
          <w:spacing w:val="40"/>
        </w:rPr>
        <w:t> </w:t>
      </w:r>
      <w:r>
        <w:rPr/>
        <w:t>candidate</w:t>
      </w:r>
      <w:r>
        <w:rPr>
          <w:spacing w:val="-2"/>
        </w:rPr>
        <w:t> </w:t>
      </w:r>
      <w:r>
        <w:rPr/>
        <w:t>studies</w:t>
      </w:r>
      <w:r>
        <w:rPr>
          <w:spacing w:val="-2"/>
        </w:rPr>
        <w:t> </w:t>
      </w:r>
      <w:r>
        <w:rPr/>
        <w:t>for potential inclusion in our meta-dataset. We established a list of criteria to</w:t>
      </w:r>
      <w:r>
        <w:rPr>
          <w:spacing w:val="40"/>
        </w:rPr>
        <w:t> </w:t>
      </w:r>
      <w:r>
        <w:rPr/>
        <w:t>determine which studies should be included, and identified 15 relevant</w:t>
      </w:r>
      <w:r>
        <w:rPr>
          <w:spacing w:val="-2"/>
        </w:rPr>
        <w:t> </w:t>
      </w:r>
      <w:r>
        <w:rPr/>
        <w:t>studies.</w:t>
      </w:r>
      <w:r>
        <w:rPr>
          <w:spacing w:val="-2"/>
        </w:rPr>
        <w:t> </w:t>
      </w:r>
      <w:r>
        <w:rPr/>
        <w:t>Our</w:t>
      </w:r>
      <w:r>
        <w:rPr>
          <w:spacing w:val="-2"/>
        </w:rPr>
        <w:t> </w:t>
      </w:r>
      <w:r>
        <w:rPr/>
        <w:t>criteria</w:t>
      </w:r>
      <w:r>
        <w:rPr>
          <w:spacing w:val="-2"/>
        </w:rPr>
        <w:t> </w:t>
      </w:r>
      <w:r>
        <w:rPr/>
        <w:t>for</w:t>
      </w:r>
      <w:r>
        <w:rPr>
          <w:spacing w:val="40"/>
        </w:rPr>
        <w:t> </w:t>
      </w:r>
      <w:r>
        <w:rPr/>
        <w:t>inclusion</w:t>
      </w:r>
      <w:r>
        <w:rPr>
          <w:spacing w:val="-2"/>
        </w:rPr>
        <w:t> </w:t>
      </w:r>
      <w:r>
        <w:rPr/>
        <w:t>requires</w:t>
      </w:r>
      <w:r>
        <w:rPr>
          <w:spacing w:val="-2"/>
        </w:rPr>
        <w:t> </w:t>
      </w:r>
      <w:r>
        <w:rPr/>
        <w:t>the</w:t>
      </w:r>
      <w:r>
        <w:rPr>
          <w:spacing w:val="-2"/>
        </w:rPr>
        <w:t> </w:t>
      </w:r>
      <w:r>
        <w:rPr/>
        <w:t>study</w:t>
      </w:r>
      <w:r>
        <w:rPr>
          <w:spacing w:val="-2"/>
        </w:rPr>
        <w:t> </w:t>
      </w:r>
      <w:r>
        <w:rPr/>
        <w:t>to be it’s most recent version, it must identify the effect of ground or</w:t>
      </w:r>
      <w:r>
        <w:rPr>
          <w:spacing w:val="40"/>
        </w:rPr>
        <w:t> </w:t>
      </w:r>
      <w:r>
        <w:rPr/>
        <w:t>drinking water quality on home prices or assessed value, and it must use direct or indirect</w:t>
      </w:r>
      <w:r>
        <w:rPr>
          <w:spacing w:val="40"/>
        </w:rPr>
        <w:t> </w:t>
      </w:r>
      <w:r>
        <w:rPr/>
        <w:t>measures that soley reflect ground or drinking water contamination. The 15 included studies</w:t>
      </w:r>
      <w:r>
        <w:rPr>
          <w:spacing w:val="40"/>
        </w:rPr>
        <w:t> </w:t>
      </w:r>
      <w:r>
        <w:rPr/>
        <w:t>cover numerous drinking water issues, including industrial pollution (e.g., PFAS, VOCs), leaking</w:t>
      </w:r>
      <w:r>
        <w:rPr>
          <w:spacing w:val="40"/>
        </w:rPr>
        <w:t> </w:t>
      </w:r>
      <w:r>
        <w:rPr/>
        <w:t>underground storage tanks, agricultural runoff, and lead service lines. Eight of these</w:t>
      </w:r>
      <w:r>
        <w:rPr>
          <w:spacing w:val="-3"/>
        </w:rPr>
        <w:t> </w:t>
      </w:r>
      <w:r>
        <w:rPr/>
        <w:t>studies</w:t>
      </w:r>
      <w:r>
        <w:rPr>
          <w:spacing w:val="40"/>
        </w:rPr>
        <w:t> </w:t>
      </w:r>
      <w:r>
        <w:rPr/>
        <w:t>focus</w:t>
      </w:r>
      <w:r>
        <w:rPr>
          <w:spacing w:val="-3"/>
        </w:rPr>
        <w:t> </w:t>
      </w:r>
      <w:r>
        <w:rPr/>
        <w:t>on</w:t>
      </w:r>
      <w:r>
        <w:rPr>
          <w:spacing w:val="-3"/>
        </w:rPr>
        <w:t> </w:t>
      </w:r>
      <w:r>
        <w:rPr/>
        <w:t>private</w:t>
      </w:r>
      <w:r>
        <w:rPr>
          <w:spacing w:val="-3"/>
        </w:rPr>
        <w:t> </w:t>
      </w:r>
      <w:r>
        <w:rPr/>
        <w:t>potable</w:t>
      </w:r>
      <w:r>
        <w:rPr>
          <w:spacing w:val="-3"/>
        </w:rPr>
        <w:t> </w:t>
      </w:r>
      <w:r>
        <w:rPr/>
        <w:t>wells</w:t>
      </w:r>
      <w:r>
        <w:rPr>
          <w:spacing w:val="-3"/>
        </w:rPr>
        <w:t> </w:t>
      </w:r>
      <w:r>
        <w:rPr/>
        <w:t>and</w:t>
      </w:r>
      <w:r>
        <w:rPr>
          <w:spacing w:val="-3"/>
        </w:rPr>
        <w:t> </w:t>
      </w:r>
      <w:r>
        <w:rPr/>
        <w:t>groundwater, and the other seven examine public water</w:t>
      </w:r>
      <w:r>
        <w:rPr>
          <w:spacing w:val="40"/>
        </w:rPr>
        <w:t> </w:t>
      </w:r>
      <w:r>
        <w:rPr/>
        <w:t>systems. The publication dates range from 1990 to 2026, and the study areas span from FL to</w:t>
      </w:r>
      <w:r>
        <w:rPr>
          <w:spacing w:val="40"/>
        </w:rPr>
        <w:t> </w:t>
      </w:r>
      <w:r>
        <w:rPr/>
        <w:t>ME, and as far west as CA. The studies utilize a variety of econometric methods, including</w:t>
      </w:r>
      <w:r>
        <w:rPr>
          <w:spacing w:val="40"/>
        </w:rPr>
        <w:t> </w:t>
      </w:r>
      <w:r>
        <w:rPr/>
        <w:t>two-sample t-tests, hedonic price regressions, matching, spatial econometrics, and</w:t>
      </w:r>
      <w:r>
        <w:rPr>
          <w:spacing w:val="40"/>
        </w:rPr>
        <w:t> </w:t>
      </w:r>
      <w:r>
        <w:rPr/>
        <w:t>difference-in-differences. The final meta-dataset of 15 studies includes n=338 meta-observations,</w:t>
      </w:r>
      <w:r>
        <w:rPr>
          <w:spacing w:val="40"/>
        </w:rPr>
        <w:t> </w:t>
      </w:r>
      <w:r>
        <w:rPr/>
        <w:t>with each study contributing anywhere from one to 64 unique estimates of how contamination</w:t>
      </w:r>
      <w:r>
        <w:rPr>
          <w:spacing w:val="40"/>
        </w:rPr>
        <w:t> </w:t>
      </w:r>
      <w:r>
        <w:rPr/>
        <w:t>affects home values.</w:t>
      </w:r>
    </w:p>
    <w:p>
      <w:pPr>
        <w:pStyle w:val="BodyText"/>
        <w:spacing w:line="230" w:lineRule="auto" w:before="156"/>
        <w:ind w:left="352" w:right="1365"/>
        <w:jc w:val="both"/>
      </w:pPr>
      <w:r>
        <w:rPr/>
        <w:t>We employ a series of meta-analytic techniques to empirically synthesize this literature,</w:t>
      </w:r>
      <w:r>
        <w:rPr>
          <w:spacing w:val="40"/>
        </w:rPr>
        <w:t> </w:t>
      </w:r>
      <w:r>
        <w:rPr/>
        <w:t>estimating mean unit values and meta-regression models, utilizing a range of</w:t>
      </w:r>
      <w:r>
        <w:rPr>
          <w:spacing w:val="-3"/>
        </w:rPr>
        <w:t> </w:t>
      </w:r>
      <w:r>
        <w:rPr/>
        <w:t>weighting</w:t>
      </w:r>
      <w:r>
        <w:rPr>
          <w:spacing w:val="-3"/>
        </w:rPr>
        <w:t> </w:t>
      </w:r>
      <w:r>
        <w:rPr/>
        <w:t>schemes</w:t>
      </w:r>
      <w:r>
        <w:rPr>
          <w:spacing w:val="40"/>
        </w:rPr>
        <w:t> </w:t>
      </w:r>
      <w:r>
        <w:rPr/>
        <w:t>to</w:t>
      </w:r>
      <w:r>
        <w:rPr>
          <w:spacing w:val="-3"/>
        </w:rPr>
        <w:t> </w:t>
      </w:r>
      <w:r>
        <w:rPr/>
        <w:t>account</w:t>
      </w:r>
      <w:r>
        <w:rPr>
          <w:spacing w:val="-3"/>
        </w:rPr>
        <w:t> </w:t>
      </w:r>
      <w:r>
        <w:rPr/>
        <w:t>for clustering and primary estimate precision, and assessing and adjusting for</w:t>
      </w:r>
      <w:r>
        <w:rPr>
          <w:spacing w:val="40"/>
        </w:rPr>
        <w:t> </w:t>
      </w:r>
      <w:r>
        <w:rPr/>
        <w:t>publication bias. Preliminary meta-regression results suggest that drinking water contamination leads to a 5-10% decline in</w:t>
      </w:r>
      <w:r>
        <w:rPr>
          <w:spacing w:val="-3"/>
        </w:rPr>
        <w:t> </w:t>
      </w:r>
      <w:r>
        <w:rPr/>
        <w:t>home</w:t>
      </w:r>
      <w:r>
        <w:rPr>
          <w:spacing w:val="-3"/>
        </w:rPr>
        <w:t> </w:t>
      </w:r>
      <w:r>
        <w:rPr/>
        <w:t>values,</w:t>
      </w:r>
      <w:r>
        <w:rPr>
          <w:spacing w:val="-3"/>
        </w:rPr>
        <w:t> </w:t>
      </w:r>
      <w:r>
        <w:rPr/>
        <w:t>on</w:t>
      </w:r>
      <w:r>
        <w:rPr>
          <w:spacing w:val="-3"/>
        </w:rPr>
        <w:t> </w:t>
      </w:r>
      <w:r>
        <w:rPr/>
        <w:t>average,</w:t>
      </w:r>
      <w:r>
        <w:rPr>
          <w:spacing w:val="-3"/>
        </w:rPr>
        <w:t> </w:t>
      </w:r>
      <w:r>
        <w:rPr/>
        <w:t>and</w:t>
      </w:r>
      <w:r>
        <w:rPr>
          <w:spacing w:val="-3"/>
        </w:rPr>
        <w:t> </w:t>
      </w:r>
      <w:r>
        <w:rPr/>
        <w:t>that</w:t>
      </w:r>
      <w:r>
        <w:rPr>
          <w:spacing w:val="-3"/>
        </w:rPr>
        <w:t> </w:t>
      </w:r>
      <w:r>
        <w:rPr/>
        <w:t>this</w:t>
      </w:r>
      <w:r>
        <w:rPr>
          <w:spacing w:val="-3"/>
        </w:rPr>
        <w:t> </w:t>
      </w:r>
      <w:r>
        <w:rPr/>
        <w:t>depreciation</w:t>
      </w:r>
      <w:r>
        <w:rPr>
          <w:spacing w:val="-3"/>
        </w:rPr>
        <w:t> </w:t>
      </w:r>
      <w:r>
        <w:rPr/>
        <w:t>persists</w:t>
      </w:r>
      <w:r>
        <w:rPr>
          <w:spacing w:val="-3"/>
        </w:rPr>
        <w:t> </w:t>
      </w:r>
      <w:r>
        <w:rPr/>
        <w:t>for</w:t>
      </w:r>
      <w:r>
        <w:rPr>
          <w:spacing w:val="40"/>
        </w:rPr>
        <w:t> </w:t>
      </w:r>
      <w:r>
        <w:rPr/>
        <w:t>several</w:t>
      </w:r>
      <w:r>
        <w:rPr>
          <w:spacing w:val="-3"/>
        </w:rPr>
        <w:t> </w:t>
      </w:r>
      <w:r>
        <w:rPr/>
        <w:t>years.</w:t>
      </w:r>
      <w:r>
        <w:rPr>
          <w:spacing w:val="-3"/>
        </w:rPr>
        <w:t> </w:t>
      </w:r>
      <w:r>
        <w:rPr/>
        <w:t>Additionally, we find greater price declines when contamination levels exceed</w:t>
      </w:r>
      <w:r>
        <w:rPr>
          <w:spacing w:val="40"/>
        </w:rPr>
        <w:t> </w:t>
      </w:r>
      <w:r>
        <w:rPr/>
        <w:t>regulatory health standards. Our results can help inform benefit-cost analyses of future drinking</w:t>
      </w:r>
      <w:r>
        <w:rPr>
          <w:spacing w:val="40"/>
        </w:rPr>
        <w:t> </w:t>
      </w:r>
      <w:r>
        <w:rPr/>
        <w:t>water policies, as well as local decisions regarding potable water sources, land use, and public</w:t>
      </w:r>
      <w:r>
        <w:rPr>
          <w:spacing w:val="40"/>
        </w:rPr>
        <w:t> </w:t>
      </w:r>
      <w:r>
        <w:rPr/>
        <w:t>health.</w:t>
      </w:r>
    </w:p>
    <w:p>
      <w:pPr>
        <w:pStyle w:val="BodyText"/>
        <w:spacing w:before="152"/>
        <w:ind w:left="352"/>
        <w:jc w:val="both"/>
      </w:pPr>
      <w:r>
        <w:rPr>
          <w:spacing w:val="-2"/>
        </w:rPr>
        <w:t>Works</w:t>
      </w:r>
      <w:r>
        <w:rPr>
          <w:spacing w:val="-10"/>
        </w:rPr>
        <w:t> </w:t>
      </w:r>
      <w:r>
        <w:rPr>
          <w:spacing w:val="-2"/>
        </w:rPr>
        <w:t>Cited</w:t>
      </w:r>
    </w:p>
    <w:p>
      <w:pPr>
        <w:spacing w:line="230" w:lineRule="auto" w:before="163"/>
        <w:ind w:left="352" w:right="1191" w:firstLine="0"/>
        <w:jc w:val="left"/>
        <w:rPr>
          <w:sz w:val="20"/>
        </w:rPr>
      </w:pPr>
      <w:r>
        <w:rPr>
          <w:sz w:val="20"/>
        </w:rPr>
        <w:t>[1]</w:t>
      </w:r>
      <w:r>
        <w:rPr>
          <w:spacing w:val="-9"/>
          <w:sz w:val="20"/>
        </w:rPr>
        <w:t> </w:t>
      </w:r>
      <w:r>
        <w:rPr>
          <w:sz w:val="20"/>
        </w:rPr>
        <w:t>US</w:t>
      </w:r>
      <w:r>
        <w:rPr>
          <w:spacing w:val="-9"/>
          <w:sz w:val="20"/>
        </w:rPr>
        <w:t> </w:t>
      </w:r>
      <w:r>
        <w:rPr>
          <w:sz w:val="20"/>
        </w:rPr>
        <w:t>EPA</w:t>
      </w:r>
      <w:r>
        <w:rPr>
          <w:spacing w:val="-9"/>
          <w:sz w:val="20"/>
        </w:rPr>
        <w:t> </w:t>
      </w:r>
      <w:r>
        <w:rPr>
          <w:sz w:val="20"/>
        </w:rPr>
        <w:t>(Environmental</w:t>
      </w:r>
      <w:r>
        <w:rPr>
          <w:spacing w:val="-9"/>
          <w:sz w:val="20"/>
        </w:rPr>
        <w:t> </w:t>
      </w:r>
      <w:r>
        <w:rPr>
          <w:sz w:val="20"/>
        </w:rPr>
        <w:t>Protection</w:t>
      </w:r>
      <w:r>
        <w:rPr>
          <w:spacing w:val="-9"/>
          <w:sz w:val="20"/>
        </w:rPr>
        <w:t> </w:t>
      </w:r>
      <w:r>
        <w:rPr>
          <w:sz w:val="20"/>
        </w:rPr>
        <w:t>Agency).</w:t>
      </w:r>
      <w:r>
        <w:rPr>
          <w:spacing w:val="-9"/>
          <w:sz w:val="20"/>
        </w:rPr>
        <w:t> </w:t>
      </w:r>
      <w:r>
        <w:rPr>
          <w:sz w:val="20"/>
        </w:rPr>
        <w:t>2025.</w:t>
      </w:r>
      <w:r>
        <w:rPr>
          <w:spacing w:val="-9"/>
          <w:sz w:val="20"/>
        </w:rPr>
        <w:t> </w:t>
      </w:r>
      <w:r>
        <w:rPr>
          <w:sz w:val="20"/>
        </w:rPr>
        <w:t>Private</w:t>
      </w:r>
      <w:r>
        <w:rPr>
          <w:spacing w:val="-9"/>
          <w:sz w:val="20"/>
        </w:rPr>
        <w:t> </w:t>
      </w:r>
      <w:r>
        <w:rPr>
          <w:sz w:val="20"/>
        </w:rPr>
        <w:t>Drinking</w:t>
      </w:r>
      <w:r>
        <w:rPr>
          <w:spacing w:val="-9"/>
          <w:sz w:val="20"/>
        </w:rPr>
        <w:t> </w:t>
      </w:r>
      <w:r>
        <w:rPr>
          <w:sz w:val="20"/>
        </w:rPr>
        <w:t>Water</w:t>
      </w:r>
      <w:r>
        <w:rPr>
          <w:spacing w:val="-9"/>
          <w:sz w:val="20"/>
        </w:rPr>
        <w:t> </w:t>
      </w:r>
      <w:r>
        <w:rPr>
          <w:sz w:val="20"/>
        </w:rPr>
        <w:t>Wells,</w:t>
      </w:r>
      <w:r>
        <w:rPr>
          <w:spacing w:val="33"/>
          <w:sz w:val="20"/>
        </w:rPr>
        <w:t> </w:t>
      </w:r>
      <w:hyperlink r:id="rId296">
        <w:r>
          <w:rPr>
            <w:sz w:val="20"/>
          </w:rPr>
          <w:t>https://www.epa.gov/privatewells,</w:t>
        </w:r>
      </w:hyperlink>
      <w:r>
        <w:rPr>
          <w:sz w:val="20"/>
        </w:rPr>
        <w:t> Accessed 14 January 2026.</w:t>
      </w:r>
    </w:p>
    <w:p>
      <w:pPr>
        <w:spacing w:after="0" w:line="230" w:lineRule="auto"/>
        <w:jc w:val="left"/>
        <w:rPr>
          <w:sz w:val="20"/>
        </w:rPr>
        <w:sectPr>
          <w:pgSz w:w="12240" w:h="15840"/>
          <w:pgMar w:header="0" w:footer="739" w:top="640" w:bottom="960" w:left="720" w:right="0"/>
        </w:sectPr>
      </w:pPr>
    </w:p>
    <w:p>
      <w:pPr>
        <w:pStyle w:val="Heading3"/>
        <w:spacing w:line="266" w:lineRule="auto"/>
        <w:ind w:left="2580" w:right="0" w:hanging="1566"/>
        <w:jc w:val="left"/>
      </w:pPr>
      <w:bookmarkStart w:name="A Randomized, Auto-Graded Excel Accounti" w:id="132"/>
      <w:bookmarkEnd w:id="132"/>
      <w:r>
        <w:rPr>
          <w:b w:val="0"/>
        </w:rPr>
      </w:r>
      <w:r>
        <w:rPr/>
        <w:t>A</w:t>
      </w:r>
      <w:r>
        <w:rPr>
          <w:spacing w:val="-6"/>
        </w:rPr>
        <w:t> </w:t>
      </w:r>
      <w:r>
        <w:rPr/>
        <w:t>Randomized,</w:t>
      </w:r>
      <w:r>
        <w:rPr>
          <w:spacing w:val="-6"/>
        </w:rPr>
        <w:t> </w:t>
      </w:r>
      <w:r>
        <w:rPr/>
        <w:t>Auto-Graded</w:t>
      </w:r>
      <w:r>
        <w:rPr>
          <w:spacing w:val="-6"/>
        </w:rPr>
        <w:t> </w:t>
      </w:r>
      <w:r>
        <w:rPr/>
        <w:t>Excel</w:t>
      </w:r>
      <w:r>
        <w:rPr>
          <w:spacing w:val="-6"/>
        </w:rPr>
        <w:t> </w:t>
      </w:r>
      <w:r>
        <w:rPr/>
        <w:t>Accounting</w:t>
      </w:r>
      <w:r>
        <w:rPr>
          <w:spacing w:val="-6"/>
        </w:rPr>
        <w:t> </w:t>
      </w:r>
      <w:r>
        <w:rPr/>
        <w:t>Cycle</w:t>
      </w:r>
      <w:r>
        <w:rPr>
          <w:spacing w:val="-6"/>
        </w:rPr>
        <w:t> </w:t>
      </w:r>
      <w:r>
        <w:rPr/>
        <w:t>Project</w:t>
      </w:r>
      <w:r>
        <w:rPr>
          <w:spacing w:val="-6"/>
        </w:rPr>
        <w:t> </w:t>
      </w:r>
      <w:r>
        <w:rPr/>
        <w:t>for</w:t>
      </w:r>
      <w:r>
        <w:rPr>
          <w:spacing w:val="-6"/>
        </w:rPr>
        <w:t> </w:t>
      </w:r>
      <w:r>
        <w:rPr/>
        <w:t>Intermediate </w:t>
      </w:r>
      <w:bookmarkStart w:name="h.3ivbxwrvk43" w:id="133"/>
      <w:bookmarkEnd w:id="133"/>
      <w:r>
        <w:rPr/>
        <w:t>A</w:t>
      </w:r>
      <w:r>
        <w:rPr/>
        <w:t>ccounting I: Design and Early Classroom Evidence</w:t>
      </w:r>
    </w:p>
    <w:p>
      <w:pPr>
        <w:pStyle w:val="BodyText"/>
        <w:spacing w:before="292"/>
        <w:ind w:left="113"/>
        <w:jc w:val="center"/>
      </w:pPr>
      <w:r>
        <w:rPr/>
        <w:t>Wenye</w:t>
      </w:r>
      <w:r>
        <w:rPr>
          <w:spacing w:val="-10"/>
        </w:rPr>
        <w:t> </w:t>
      </w:r>
      <w:r>
        <w:rPr/>
        <w:t>Tang</w:t>
      </w:r>
      <w:r>
        <w:rPr>
          <w:spacing w:val="-9"/>
        </w:rPr>
        <w:t> </w:t>
      </w:r>
      <w:r>
        <w:rPr/>
        <w:t>and</w:t>
      </w:r>
      <w:r>
        <w:rPr>
          <w:spacing w:val="-9"/>
        </w:rPr>
        <w:t> </w:t>
      </w:r>
      <w:r>
        <w:rPr/>
        <w:t>Chris</w:t>
      </w:r>
      <w:r>
        <w:rPr>
          <w:spacing w:val="-9"/>
        </w:rPr>
        <w:t> </w:t>
      </w:r>
      <w:r>
        <w:rPr>
          <w:spacing w:val="-2"/>
        </w:rPr>
        <w:t>McNeil</w:t>
      </w:r>
    </w:p>
    <w:p>
      <w:pPr>
        <w:pStyle w:val="BodyText"/>
        <w:spacing w:line="266" w:lineRule="auto" w:before="183"/>
        <w:ind w:left="352" w:right="285"/>
        <w:jc w:val="both"/>
      </w:pPr>
      <w:r>
        <w:rPr/>
        <w:t>Accounting-cycle projects are a core pedagogical tool in Intermediate Accounting I. In addition,</w:t>
      </w:r>
      <w:r>
        <w:rPr>
          <w:spacing w:val="40"/>
        </w:rPr>
        <w:t> </w:t>
      </w:r>
      <w:r>
        <w:rPr/>
        <w:t>these projects can be employed to enhance student Excel skills, which are highly valued by many</w:t>
      </w:r>
      <w:r>
        <w:rPr>
          <w:spacing w:val="40"/>
        </w:rPr>
        <w:t> </w:t>
      </w:r>
      <w:r>
        <w:rPr/>
        <w:t>potential employers. However, such projects can be challenging to implement due to the laborious</w:t>
      </w:r>
      <w:r>
        <w:rPr>
          <w:spacing w:val="40"/>
        </w:rPr>
        <w:t> </w:t>
      </w:r>
      <w:r>
        <w:rPr/>
        <w:t>nature of grading them. Furthermore, manual grading hinders prompt feedback that is of course</w:t>
      </w:r>
      <w:r>
        <w:rPr>
          <w:spacing w:val="40"/>
        </w:rPr>
        <w:t> </w:t>
      </w:r>
      <w:r>
        <w:rPr/>
        <w:t>critical for effective student learning.</w:t>
      </w:r>
      <w:r>
        <w:rPr>
          <w:spacing w:val="40"/>
        </w:rPr>
        <w:t> </w:t>
      </w:r>
      <w:r>
        <w:rPr/>
        <w:t>We develop and pilot a macro-enabled Excel project that</w:t>
      </w:r>
      <w:r>
        <w:rPr>
          <w:spacing w:val="40"/>
        </w:rPr>
        <w:t> </w:t>
      </w:r>
      <w:r>
        <w:rPr/>
        <w:t>automates timely feedback and enables instructors to easily update the project across classes or</w:t>
      </w:r>
      <w:r>
        <w:rPr>
          <w:spacing w:val="40"/>
        </w:rPr>
        <w:t> </w:t>
      </w:r>
      <w:r>
        <w:rPr/>
        <w:t>semesters while preserving the core analytical tasks: preparing an unadjusted trial balance,</w:t>
      </w:r>
      <w:r>
        <w:rPr>
          <w:spacing w:val="40"/>
        </w:rPr>
        <w:t> </w:t>
      </w:r>
      <w:r>
        <w:rPr/>
        <w:t>recording adjusting entries, preparing an adjusted trial balance, and producing an income statement</w:t>
      </w:r>
      <w:r>
        <w:rPr>
          <w:spacing w:val="40"/>
        </w:rPr>
        <w:t> </w:t>
      </w:r>
      <w:r>
        <w:rPr/>
        <w:t>and balance sheet. The workbook uses structured input cells and fixed account ordering to support</w:t>
      </w:r>
      <w:r>
        <w:rPr>
          <w:spacing w:val="80"/>
        </w:rPr>
        <w:t> </w:t>
      </w:r>
      <w:r>
        <w:rPr/>
        <w:t>reliable automated assessment and partial-credit scoring.</w:t>
      </w:r>
      <w:r>
        <w:rPr>
          <w:spacing w:val="-4"/>
        </w:rPr>
        <w:t> </w:t>
      </w:r>
      <w:r>
        <w:rPr/>
        <w:t>With</w:t>
      </w:r>
      <w:r>
        <w:rPr>
          <w:spacing w:val="-4"/>
        </w:rPr>
        <w:t> </w:t>
      </w:r>
      <w:r>
        <w:rPr/>
        <w:t>a</w:t>
      </w:r>
      <w:r>
        <w:rPr>
          <w:spacing w:val="-4"/>
        </w:rPr>
        <w:t> </w:t>
      </w:r>
      <w:r>
        <w:rPr/>
        <w:t>single</w:t>
      </w:r>
      <w:r>
        <w:rPr>
          <w:spacing w:val="-4"/>
        </w:rPr>
        <w:t> </w:t>
      </w:r>
      <w:r>
        <w:rPr/>
        <w:t>“start”</w:t>
      </w:r>
      <w:r>
        <w:rPr>
          <w:spacing w:val="-4"/>
        </w:rPr>
        <w:t> </w:t>
      </w:r>
      <w:r>
        <w:rPr/>
        <w:t>button,</w:t>
      </w:r>
      <w:r>
        <w:rPr>
          <w:spacing w:val="-4"/>
        </w:rPr>
        <w:t> </w:t>
      </w:r>
      <w:r>
        <w:rPr/>
        <w:t>the</w:t>
      </w:r>
      <w:r>
        <w:rPr>
          <w:spacing w:val="-4"/>
        </w:rPr>
        <w:t> </w:t>
      </w:r>
      <w:r>
        <w:rPr/>
        <w:t>file</w:t>
      </w:r>
      <w:r>
        <w:rPr>
          <w:spacing w:val="40"/>
        </w:rPr>
        <w:t> </w:t>
      </w:r>
      <w:r>
        <w:rPr/>
        <w:t>generates a unique set of account balances and required year-end adjustments for the project,</w:t>
      </w:r>
      <w:r>
        <w:rPr>
          <w:spacing w:val="40"/>
        </w:rPr>
        <w:t> </w:t>
      </w:r>
      <w:r>
        <w:rPr/>
        <w:t>enabling repeated practice, reducing answer-sharing, and supporting use across sections and</w:t>
      </w:r>
      <w:r>
        <w:rPr>
          <w:spacing w:val="40"/>
        </w:rPr>
        <w:t> </w:t>
      </w:r>
      <w:r>
        <w:rPr/>
        <w:t>semesters. At the instructor’s option, students can receive immediate real-time feedback as</w:t>
      </w:r>
      <w:r>
        <w:rPr>
          <w:spacing w:val="40"/>
        </w:rPr>
        <w:t> </w:t>
      </w:r>
      <w:r>
        <w:rPr/>
        <w:t>students progress with the project.</w:t>
      </w:r>
    </w:p>
    <w:p>
      <w:pPr>
        <w:pStyle w:val="BodyText"/>
        <w:spacing w:line="266" w:lineRule="auto" w:before="180"/>
        <w:ind w:left="352" w:right="286"/>
        <w:jc w:val="both"/>
      </w:pPr>
      <w:r>
        <w:rPr/>
        <w:t>We outline the case setup, grading, and instructor implementation workflow for in-person delivery.</w:t>
      </w:r>
      <w:r>
        <w:rPr>
          <w:spacing w:val="40"/>
        </w:rPr>
        <w:t> </w:t>
      </w:r>
      <w:r>
        <w:rPr/>
        <w:t>We are currently conducting grader validation and anticipate that automated</w:t>
      </w:r>
      <w:r>
        <w:rPr>
          <w:spacing w:val="-4"/>
        </w:rPr>
        <w:t> </w:t>
      </w:r>
      <w:r>
        <w:rPr/>
        <w:t>scoring</w:t>
      </w:r>
      <w:r>
        <w:rPr>
          <w:spacing w:val="-4"/>
        </w:rPr>
        <w:t> </w:t>
      </w:r>
      <w:r>
        <w:rPr/>
        <w:t>of</w:t>
      </w:r>
      <w:r>
        <w:rPr>
          <w:spacing w:val="-4"/>
        </w:rPr>
        <w:t> </w:t>
      </w:r>
      <w:r>
        <w:rPr/>
        <w:t>work</w:t>
      </w:r>
      <w:r>
        <w:rPr>
          <w:spacing w:val="40"/>
        </w:rPr>
        <w:t> </w:t>
      </w:r>
      <w:r>
        <w:rPr/>
        <w:t>submitted</w:t>
      </w:r>
      <w:r>
        <w:rPr>
          <w:spacing w:val="-4"/>
        </w:rPr>
        <w:t> </w:t>
      </w:r>
      <w:r>
        <w:rPr/>
        <w:t>by</w:t>
      </w:r>
      <w:r>
        <w:rPr>
          <w:spacing w:val="-4"/>
        </w:rPr>
        <w:t> </w:t>
      </w:r>
      <w:r>
        <w:rPr/>
        <w:t>students</w:t>
      </w:r>
      <w:r>
        <w:rPr>
          <w:spacing w:val="-4"/>
        </w:rPr>
        <w:t> </w:t>
      </w:r>
      <w:r>
        <w:rPr/>
        <w:t>will reduce instructor grading time from approximately 10 minutes per</w:t>
      </w:r>
      <w:r>
        <w:rPr>
          <w:spacing w:val="40"/>
        </w:rPr>
        <w:t> </w:t>
      </w:r>
      <w:r>
        <w:rPr/>
        <w:t>submission to about 2 minutes. Overall, the project is intended as a classroom-ready resource</w:t>
      </w:r>
      <w:r>
        <w:rPr>
          <w:spacing w:val="-4"/>
        </w:rPr>
        <w:t> </w:t>
      </w:r>
      <w:r>
        <w:rPr/>
        <w:t>for</w:t>
      </w:r>
      <w:r>
        <w:rPr>
          <w:spacing w:val="40"/>
        </w:rPr>
        <w:t> </w:t>
      </w:r>
      <w:r>
        <w:rPr/>
        <w:t>Intermediate</w:t>
      </w:r>
      <w:r>
        <w:rPr>
          <w:spacing w:val="-4"/>
        </w:rPr>
        <w:t> </w:t>
      </w:r>
      <w:r>
        <w:rPr/>
        <w:t>Accounting</w:t>
      </w:r>
      <w:r>
        <w:rPr>
          <w:spacing w:val="-4"/>
        </w:rPr>
        <w:t> </w:t>
      </w:r>
      <w:r>
        <w:rPr/>
        <w:t>I</w:t>
      </w:r>
      <w:r>
        <w:rPr>
          <w:spacing w:val="-4"/>
        </w:rPr>
        <w:t> </w:t>
      </w:r>
      <w:r>
        <w:rPr/>
        <w:t>that</w:t>
      </w:r>
      <w:r>
        <w:rPr>
          <w:spacing w:val="-4"/>
        </w:rPr>
        <w:t> </w:t>
      </w:r>
      <w:r>
        <w:rPr/>
        <w:t>supports</w:t>
      </w:r>
      <w:r>
        <w:rPr>
          <w:spacing w:val="-4"/>
        </w:rPr>
        <w:t> </w:t>
      </w:r>
      <w:r>
        <w:rPr/>
        <w:t>spreadsheet-based learning of the accounting cycle.</w:t>
      </w:r>
    </w:p>
    <w:p>
      <w:pPr>
        <w:pStyle w:val="BodyText"/>
        <w:spacing w:after="0" w:line="266" w:lineRule="auto"/>
        <w:jc w:val="both"/>
        <w:sectPr>
          <w:pgSz w:w="12240" w:h="15840"/>
          <w:pgMar w:header="0" w:footer="739" w:top="640" w:bottom="960" w:left="720" w:right="0"/>
        </w:sectPr>
      </w:pPr>
    </w:p>
    <w:p>
      <w:pPr>
        <w:pStyle w:val="Heading4"/>
        <w:spacing w:line="230" w:lineRule="auto" w:before="80"/>
        <w:ind w:left="4601" w:right="2207" w:hanging="3793"/>
      </w:pPr>
      <w:bookmarkStart w:name="Challenges and Implementation Strategies" w:id="134"/>
      <w:bookmarkEnd w:id="134"/>
      <w:r>
        <w:rPr>
          <w:b w:val="0"/>
        </w:rPr>
      </w:r>
      <w:bookmarkStart w:name="h.renax4qkfbyf" w:id="135"/>
      <w:bookmarkEnd w:id="135"/>
      <w:r>
        <w:rPr>
          <w:b w:val="0"/>
        </w:rPr>
      </w:r>
      <w:r>
        <w:rPr/>
        <w:t>Challenges</w:t>
      </w:r>
      <w:r>
        <w:rPr>
          <w:spacing w:val="-9"/>
        </w:rPr>
        <w:t> </w:t>
      </w:r>
      <w:r>
        <w:rPr/>
        <w:t>and</w:t>
      </w:r>
      <w:r>
        <w:rPr>
          <w:spacing w:val="-9"/>
        </w:rPr>
        <w:t> </w:t>
      </w:r>
      <w:r>
        <w:rPr/>
        <w:t>Implementation</w:t>
      </w:r>
      <w:r>
        <w:rPr>
          <w:spacing w:val="-9"/>
        </w:rPr>
        <w:t> </w:t>
      </w:r>
      <w:r>
        <w:rPr/>
        <w:t>Strategies:Women</w:t>
      </w:r>
      <w:r>
        <w:rPr>
          <w:spacing w:val="-9"/>
        </w:rPr>
        <w:t> </w:t>
      </w:r>
      <w:r>
        <w:rPr/>
        <w:t>Empowerment</w:t>
      </w:r>
      <w:r>
        <w:rPr>
          <w:spacing w:val="-9"/>
        </w:rPr>
        <w:t> </w:t>
      </w:r>
      <w:r>
        <w:rPr/>
        <w:t>Initiatives</w:t>
      </w:r>
      <w:r>
        <w:rPr>
          <w:spacing w:val="-9"/>
        </w:rPr>
        <w:t> </w:t>
      </w:r>
      <w:r>
        <w:rPr/>
        <w:t>in </w:t>
      </w:r>
      <w:r>
        <w:rPr>
          <w:spacing w:val="-2"/>
        </w:rPr>
        <w:t>India</w:t>
      </w:r>
    </w:p>
    <w:p>
      <w:pPr>
        <w:pStyle w:val="BodyText"/>
        <w:spacing w:line="253" w:lineRule="exact" w:before="253"/>
        <w:ind w:right="718"/>
        <w:jc w:val="center"/>
      </w:pPr>
      <w:r>
        <w:rPr/>
        <w:t>Tate,</w:t>
      </w:r>
      <w:r>
        <w:rPr>
          <w:spacing w:val="-9"/>
        </w:rPr>
        <w:t> </w:t>
      </w:r>
      <w:r>
        <w:rPr/>
        <w:t>Uday</w:t>
      </w:r>
      <w:r>
        <w:rPr>
          <w:spacing w:val="-8"/>
        </w:rPr>
        <w:t> </w:t>
      </w:r>
      <w:r>
        <w:rPr>
          <w:spacing w:val="-5"/>
        </w:rPr>
        <w:t>S.</w:t>
      </w:r>
    </w:p>
    <w:p>
      <w:pPr>
        <w:pStyle w:val="BodyText"/>
        <w:spacing w:line="199" w:lineRule="auto" w:before="15"/>
        <w:ind w:left="2809" w:right="3527"/>
        <w:jc w:val="center"/>
      </w:pPr>
      <w:r>
        <w:rPr/>
        <w:t>Department</w:t>
      </w:r>
      <w:r>
        <w:rPr>
          <w:spacing w:val="-8"/>
        </w:rPr>
        <w:t> </w:t>
      </w:r>
      <w:r>
        <w:rPr/>
        <w:t>of</w:t>
      </w:r>
      <w:r>
        <w:rPr>
          <w:spacing w:val="-8"/>
        </w:rPr>
        <w:t> </w:t>
      </w:r>
      <w:r>
        <w:rPr/>
        <w:t>Marketing,</w:t>
      </w:r>
      <w:r>
        <w:rPr>
          <w:spacing w:val="-8"/>
        </w:rPr>
        <w:t> </w:t>
      </w:r>
      <w:r>
        <w:rPr/>
        <w:t>MIS,</w:t>
      </w:r>
      <w:r>
        <w:rPr>
          <w:spacing w:val="-8"/>
        </w:rPr>
        <w:t> </w:t>
      </w:r>
      <w:r>
        <w:rPr/>
        <w:t>and</w:t>
      </w:r>
      <w:r>
        <w:rPr>
          <w:spacing w:val="-8"/>
        </w:rPr>
        <w:t> </w:t>
      </w:r>
      <w:r>
        <w:rPr/>
        <w:t>Entrepreneurship Lewis College of Business</w:t>
      </w:r>
    </w:p>
    <w:p>
      <w:pPr>
        <w:pStyle w:val="BodyText"/>
        <w:spacing w:line="199" w:lineRule="auto" w:before="2"/>
        <w:ind w:left="4323" w:right="5037" w:firstLine="113"/>
      </w:pPr>
      <w:r>
        <w:rPr/>
        <w:t>Marshall University 1 John Marshall </w:t>
      </w:r>
      <w:r>
        <w:rPr>
          <w:spacing w:val="-2"/>
        </w:rPr>
        <w:t>Drive</w:t>
      </w:r>
    </w:p>
    <w:p>
      <w:pPr>
        <w:pStyle w:val="BodyText"/>
        <w:spacing w:line="199" w:lineRule="auto" w:before="1"/>
        <w:ind w:left="3805" w:right="4523"/>
        <w:jc w:val="center"/>
      </w:pPr>
      <w:r>
        <w:rPr/>
        <w:t>Huntington,</w:t>
      </w:r>
      <w:r>
        <w:rPr>
          <w:spacing w:val="-15"/>
        </w:rPr>
        <w:t> </w:t>
      </w:r>
      <w:r>
        <w:rPr/>
        <w:t>West</w:t>
      </w:r>
      <w:r>
        <w:rPr>
          <w:spacing w:val="-15"/>
        </w:rPr>
        <w:t> </w:t>
      </w:r>
      <w:r>
        <w:rPr/>
        <w:t>Virginia</w:t>
      </w:r>
      <w:r>
        <w:rPr>
          <w:spacing w:val="-15"/>
        </w:rPr>
        <w:t> </w:t>
      </w:r>
      <w:r>
        <w:rPr/>
        <w:t>25755 </w:t>
      </w:r>
      <w:hyperlink r:id="rId298">
        <w:r>
          <w:rPr>
            <w:spacing w:val="-2"/>
          </w:rPr>
          <w:t>tateu@marshall.edu</w:t>
        </w:r>
      </w:hyperlink>
      <w:r>
        <w:rPr>
          <w:spacing w:val="-2"/>
        </w:rPr>
        <w:t> </w:t>
      </w:r>
      <w:r>
        <w:rPr/>
        <w:t>304.634.7203 (Contact Author)</w:t>
      </w:r>
    </w:p>
    <w:p>
      <w:pPr>
        <w:pStyle w:val="BodyText"/>
        <w:spacing w:line="199" w:lineRule="auto" w:before="275"/>
        <w:ind w:left="3718" w:right="4394" w:firstLine="1054"/>
      </w:pPr>
      <w:r>
        <w:rPr/>
        <w:t>Varsha, P. S., Cambridge</w:t>
      </w:r>
      <w:r>
        <w:rPr>
          <w:spacing w:val="-15"/>
        </w:rPr>
        <w:t> </w:t>
      </w:r>
      <w:r>
        <w:rPr/>
        <w:t>Institute</w:t>
      </w:r>
      <w:r>
        <w:rPr>
          <w:spacing w:val="-15"/>
        </w:rPr>
        <w:t> </w:t>
      </w:r>
      <w:r>
        <w:rPr/>
        <w:t>of</w:t>
      </w:r>
      <w:r>
        <w:rPr>
          <w:spacing w:val="-15"/>
        </w:rPr>
        <w:t> </w:t>
      </w:r>
      <w:r>
        <w:rPr/>
        <w:t>Technology</w:t>
      </w:r>
    </w:p>
    <w:p>
      <w:pPr>
        <w:pStyle w:val="BodyText"/>
        <w:spacing w:line="199" w:lineRule="auto" w:before="2"/>
        <w:ind w:left="4293" w:right="2135" w:hanging="913"/>
      </w:pPr>
      <w:r>
        <w:rPr/>
        <w:t>K.</w:t>
      </w:r>
      <w:r>
        <w:rPr>
          <w:spacing w:val="-8"/>
        </w:rPr>
        <w:t> </w:t>
      </w:r>
      <w:r>
        <w:rPr/>
        <w:t>R.</w:t>
      </w:r>
      <w:r>
        <w:rPr>
          <w:spacing w:val="-8"/>
        </w:rPr>
        <w:t> </w:t>
      </w:r>
      <w:r>
        <w:rPr/>
        <w:t>Puram,</w:t>
      </w:r>
      <w:r>
        <w:rPr>
          <w:spacing w:val="-8"/>
        </w:rPr>
        <w:t> </w:t>
      </w:r>
      <w:r>
        <w:rPr/>
        <w:t>Bengaluru,</w:t>
      </w:r>
      <w:r>
        <w:rPr>
          <w:spacing w:val="-8"/>
        </w:rPr>
        <w:t> </w:t>
      </w:r>
      <w:r>
        <w:rPr/>
        <w:t>Karnataka,</w:t>
      </w:r>
      <w:r>
        <w:rPr>
          <w:spacing w:val="-8"/>
        </w:rPr>
        <w:t> </w:t>
      </w:r>
      <w:r>
        <w:rPr/>
        <w:t>India </w:t>
      </w:r>
      <w:hyperlink r:id="rId299">
        <w:r>
          <w:rPr>
            <w:color w:val="457886"/>
            <w:spacing w:val="-2"/>
            <w:u w:val="thick" w:color="457886"/>
          </w:rPr>
          <w:t>Smiracle2@gmail.com</w:t>
        </w:r>
      </w:hyperlink>
    </w:p>
    <w:p>
      <w:pPr>
        <w:pStyle w:val="BodyText"/>
        <w:spacing w:line="239" w:lineRule="exact"/>
        <w:ind w:left="4640"/>
      </w:pPr>
      <w:r>
        <w:rPr/>
        <w:t>91-</w:t>
      </w:r>
      <w:r>
        <w:rPr>
          <w:spacing w:val="-2"/>
        </w:rPr>
        <w:t>9663300348</w:t>
      </w:r>
    </w:p>
    <w:p>
      <w:pPr>
        <w:pStyle w:val="BodyText"/>
        <w:spacing w:line="199" w:lineRule="auto" w:before="263"/>
        <w:ind w:left="4116" w:right="4794" w:firstLine="523"/>
      </w:pPr>
      <w:r>
        <w:rPr/>
        <w:t>Subedi, Deepak Lewis</w:t>
      </w:r>
      <w:r>
        <w:rPr>
          <w:spacing w:val="-13"/>
        </w:rPr>
        <w:t> </w:t>
      </w:r>
      <w:r>
        <w:rPr/>
        <w:t>College</w:t>
      </w:r>
      <w:r>
        <w:rPr>
          <w:spacing w:val="-13"/>
        </w:rPr>
        <w:t> </w:t>
      </w:r>
      <w:r>
        <w:rPr/>
        <w:t>of</w:t>
      </w:r>
      <w:r>
        <w:rPr>
          <w:spacing w:val="-13"/>
        </w:rPr>
        <w:t> </w:t>
      </w:r>
      <w:r>
        <w:rPr/>
        <w:t>Business</w:t>
      </w:r>
    </w:p>
    <w:p>
      <w:pPr>
        <w:pStyle w:val="BodyText"/>
        <w:spacing w:line="199" w:lineRule="auto" w:before="2"/>
        <w:ind w:left="4323" w:right="5037" w:firstLine="113"/>
      </w:pPr>
      <w:r>
        <w:rPr/>
        <w:t>Marshall University 1 John Marshall </w:t>
      </w:r>
      <w:r>
        <w:rPr>
          <w:spacing w:val="-2"/>
        </w:rPr>
        <w:t>Drive</w:t>
      </w:r>
    </w:p>
    <w:p>
      <w:pPr>
        <w:pStyle w:val="BodyText"/>
        <w:spacing w:line="199" w:lineRule="auto" w:before="2"/>
        <w:ind w:left="3805" w:right="4523"/>
        <w:jc w:val="center"/>
      </w:pPr>
      <w:r>
        <w:rPr/>
        <w:t>Huntington,</w:t>
      </w:r>
      <w:r>
        <w:rPr>
          <w:spacing w:val="-15"/>
        </w:rPr>
        <w:t> </w:t>
      </w:r>
      <w:r>
        <w:rPr/>
        <w:t>West</w:t>
      </w:r>
      <w:r>
        <w:rPr>
          <w:spacing w:val="-15"/>
        </w:rPr>
        <w:t> </w:t>
      </w:r>
      <w:r>
        <w:rPr/>
        <w:t>Virginia</w:t>
      </w:r>
      <w:r>
        <w:rPr>
          <w:spacing w:val="-15"/>
        </w:rPr>
        <w:t> </w:t>
      </w:r>
      <w:r>
        <w:rPr/>
        <w:t>25755 </w:t>
      </w:r>
      <w:hyperlink r:id="rId300">
        <w:r>
          <w:rPr>
            <w:color w:val="457886"/>
            <w:spacing w:val="-2"/>
            <w:u w:val="thick" w:color="457886"/>
          </w:rPr>
          <w:t>subedi@marshall.edu</w:t>
        </w:r>
      </w:hyperlink>
    </w:p>
    <w:p>
      <w:pPr>
        <w:pStyle w:val="BodyText"/>
        <w:spacing w:line="240" w:lineRule="exact"/>
        <w:ind w:right="719"/>
        <w:jc w:val="center"/>
      </w:pPr>
      <w:r>
        <w:rPr/>
        <w:t>304-696-</w:t>
      </w:r>
      <w:r>
        <w:rPr>
          <w:spacing w:val="-4"/>
        </w:rPr>
        <w:t>2676</w:t>
      </w:r>
    </w:p>
    <w:p>
      <w:pPr>
        <w:pStyle w:val="BodyText"/>
        <w:spacing w:before="220"/>
        <w:ind w:left="679" w:right="1405"/>
        <w:jc w:val="center"/>
      </w:pPr>
      <w:r>
        <w:rPr/>
        <w:t>Keywords</w:t>
      </w:r>
      <w:r>
        <w:rPr>
          <w:spacing w:val="-3"/>
        </w:rPr>
        <w:t> </w:t>
      </w:r>
      <w:r>
        <w:rPr/>
        <w:t>(3-5):</w:t>
      </w:r>
      <w:r>
        <w:rPr>
          <w:spacing w:val="-2"/>
        </w:rPr>
        <w:t> </w:t>
      </w:r>
      <w:r>
        <w:rPr/>
        <w:t>Women</w:t>
      </w:r>
      <w:r>
        <w:rPr>
          <w:spacing w:val="-2"/>
        </w:rPr>
        <w:t> </w:t>
      </w:r>
      <w:r>
        <w:rPr/>
        <w:t>empowerment,</w:t>
      </w:r>
      <w:r>
        <w:rPr>
          <w:spacing w:val="-2"/>
        </w:rPr>
        <w:t> </w:t>
      </w:r>
      <w:r>
        <w:rPr/>
        <w:t>social</w:t>
      </w:r>
      <w:r>
        <w:rPr>
          <w:spacing w:val="-3"/>
        </w:rPr>
        <w:t> </w:t>
      </w:r>
      <w:r>
        <w:rPr/>
        <w:t>justice,</w:t>
      </w:r>
      <w:r>
        <w:rPr>
          <w:spacing w:val="-2"/>
        </w:rPr>
        <w:t> </w:t>
      </w:r>
      <w:r>
        <w:rPr/>
        <w:t>equal</w:t>
      </w:r>
      <w:r>
        <w:rPr>
          <w:spacing w:val="-2"/>
        </w:rPr>
        <w:t> </w:t>
      </w:r>
      <w:r>
        <w:rPr/>
        <w:t>opportunities,</w:t>
      </w:r>
      <w:r>
        <w:rPr>
          <w:spacing w:val="-2"/>
        </w:rPr>
        <w:t> </w:t>
      </w:r>
      <w:r>
        <w:rPr/>
        <w:t>empowerment</w:t>
      </w:r>
      <w:r>
        <w:rPr>
          <w:spacing w:val="-2"/>
        </w:rPr>
        <w:t> barrier</w:t>
      </w:r>
    </w:p>
    <w:p>
      <w:pPr>
        <w:pStyle w:val="BodyText"/>
        <w:spacing w:before="91"/>
      </w:pPr>
    </w:p>
    <w:p>
      <w:pPr>
        <w:pStyle w:val="BodyText"/>
        <w:spacing w:before="1"/>
        <w:ind w:left="720" w:right="1381"/>
      </w:pPr>
      <w:r>
        <w:rPr/>
        <w:t>Historically, women in India have</w:t>
      </w:r>
      <w:r>
        <w:rPr>
          <w:spacing w:val="-3"/>
        </w:rPr>
        <w:t> </w:t>
      </w:r>
      <w:r>
        <w:rPr/>
        <w:t>played</w:t>
      </w:r>
      <w:r>
        <w:rPr>
          <w:spacing w:val="-3"/>
        </w:rPr>
        <w:t> </w:t>
      </w:r>
      <w:r>
        <w:rPr/>
        <w:t>significant</w:t>
      </w:r>
      <w:r>
        <w:rPr>
          <w:spacing w:val="-3"/>
        </w:rPr>
        <w:t> </w:t>
      </w:r>
      <w:r>
        <w:rPr/>
        <w:t>role</w:t>
      </w:r>
      <w:r>
        <w:rPr>
          <w:spacing w:val="-3"/>
        </w:rPr>
        <w:t> </w:t>
      </w:r>
      <w:r>
        <w:rPr/>
        <w:t>in</w:t>
      </w:r>
      <w:r>
        <w:rPr>
          <w:spacing w:val="-3"/>
        </w:rPr>
        <w:t> </w:t>
      </w:r>
      <w:r>
        <w:rPr/>
        <w:t>the</w:t>
      </w:r>
      <w:r>
        <w:rPr>
          <w:spacing w:val="-3"/>
        </w:rPr>
        <w:t> </w:t>
      </w:r>
      <w:r>
        <w:rPr/>
        <w:t>shaping</w:t>
      </w:r>
      <w:r>
        <w:rPr>
          <w:spacing w:val="-3"/>
        </w:rPr>
        <w:t> </w:t>
      </w:r>
      <w:r>
        <w:rPr/>
        <w:t>the</w:t>
      </w:r>
      <w:r>
        <w:rPr>
          <w:spacing w:val="-3"/>
        </w:rPr>
        <w:t> </w:t>
      </w:r>
      <w:r>
        <w:rPr/>
        <w:t>various</w:t>
      </w:r>
      <w:r>
        <w:rPr>
          <w:spacing w:val="-3"/>
        </w:rPr>
        <w:t> </w:t>
      </w:r>
      <w:r>
        <w:rPr/>
        <w:t>sectors</w:t>
      </w:r>
      <w:r>
        <w:rPr>
          <w:spacing w:val="-3"/>
        </w:rPr>
        <w:t> </w:t>
      </w:r>
      <w:r>
        <w:rPr/>
        <w:t>of</w:t>
      </w:r>
      <w:r>
        <w:rPr>
          <w:spacing w:val="-3"/>
        </w:rPr>
        <w:t> </w:t>
      </w:r>
      <w:r>
        <w:rPr/>
        <w:t>the Indian society, including but not limited to, entrepreneurship, social reforms, politics,</w:t>
      </w:r>
      <w:r>
        <w:rPr>
          <w:spacing w:val="-4"/>
        </w:rPr>
        <w:t> </w:t>
      </w:r>
      <w:r>
        <w:rPr/>
        <w:t>education, and science. And yet, women face the scourge of discrimination, inequalities, maltreatment and abuse</w:t>
      </w:r>
      <w:r>
        <w:rPr>
          <w:spacing w:val="80"/>
        </w:rPr>
        <w:t> </w:t>
      </w:r>
      <w:r>
        <w:rPr/>
        <w:t>in</w:t>
      </w:r>
      <w:r>
        <w:rPr>
          <w:spacing w:val="71"/>
        </w:rPr>
        <w:t> </w:t>
      </w:r>
      <w:r>
        <w:rPr/>
        <w:t>India</w:t>
      </w:r>
      <w:r>
        <w:rPr>
          <w:spacing w:val="71"/>
        </w:rPr>
        <w:t> </w:t>
      </w:r>
      <w:r>
        <w:rPr/>
        <w:t>of</w:t>
      </w:r>
      <w:r>
        <w:rPr>
          <w:spacing w:val="71"/>
        </w:rPr>
        <w:t> </w:t>
      </w:r>
      <w:r>
        <w:rPr/>
        <w:t>21st-century,</w:t>
      </w:r>
      <w:r>
        <w:rPr>
          <w:spacing w:val="71"/>
        </w:rPr>
        <w:t> </w:t>
      </w:r>
      <w:r>
        <w:rPr/>
        <w:t>cutting</w:t>
      </w:r>
      <w:r>
        <w:rPr>
          <w:spacing w:val="71"/>
        </w:rPr>
        <w:t> </w:t>
      </w:r>
      <w:r>
        <w:rPr/>
        <w:t>across,</w:t>
      </w:r>
      <w:r>
        <w:rPr>
          <w:spacing w:val="71"/>
        </w:rPr>
        <w:t> </w:t>
      </w:r>
      <w:r>
        <w:rPr/>
        <w:t>regions,</w:t>
      </w:r>
      <w:r>
        <w:rPr>
          <w:spacing w:val="71"/>
        </w:rPr>
        <w:t> </w:t>
      </w:r>
      <w:r>
        <w:rPr/>
        <w:t>religions,</w:t>
      </w:r>
      <w:r>
        <w:rPr>
          <w:spacing w:val="71"/>
        </w:rPr>
        <w:t> </w:t>
      </w:r>
      <w:r>
        <w:rPr/>
        <w:t>castes</w:t>
      </w:r>
      <w:r>
        <w:rPr>
          <w:spacing w:val="71"/>
        </w:rPr>
        <w:t> </w:t>
      </w:r>
      <w:r>
        <w:rPr/>
        <w:t>and</w:t>
      </w:r>
      <w:r>
        <w:rPr>
          <w:spacing w:val="71"/>
        </w:rPr>
        <w:t> </w:t>
      </w:r>
      <w:r>
        <w:rPr/>
        <w:t>communities. However,</w:t>
      </w:r>
      <w:r>
        <w:rPr>
          <w:spacing w:val="39"/>
        </w:rPr>
        <w:t> </w:t>
      </w:r>
      <w:r>
        <w:rPr/>
        <w:t>the</w:t>
      </w:r>
      <w:r>
        <w:rPr>
          <w:spacing w:val="39"/>
        </w:rPr>
        <w:t> </w:t>
      </w:r>
      <w:r>
        <w:rPr/>
        <w:t>social</w:t>
      </w:r>
      <w:r>
        <w:rPr>
          <w:spacing w:val="39"/>
        </w:rPr>
        <w:t> </w:t>
      </w:r>
      <w:r>
        <w:rPr/>
        <w:t>movement</w:t>
      </w:r>
      <w:r>
        <w:rPr>
          <w:spacing w:val="39"/>
        </w:rPr>
        <w:t> </w:t>
      </w:r>
      <w:r>
        <w:rPr/>
        <w:t>called,</w:t>
      </w:r>
      <w:r>
        <w:rPr>
          <w:spacing w:val="39"/>
        </w:rPr>
        <w:t> </w:t>
      </w:r>
      <w:r>
        <w:rPr/>
        <w:t>Women</w:t>
      </w:r>
      <w:r>
        <w:rPr>
          <w:spacing w:val="39"/>
        </w:rPr>
        <w:t> </w:t>
      </w:r>
      <w:r>
        <w:rPr/>
        <w:t>Empowerment</w:t>
      </w:r>
      <w:r>
        <w:rPr>
          <w:spacing w:val="39"/>
        </w:rPr>
        <w:t> </w:t>
      </w:r>
      <w:r>
        <w:rPr/>
        <w:t>(WE),</w:t>
      </w:r>
      <w:r>
        <w:rPr>
          <w:spacing w:val="39"/>
        </w:rPr>
        <w:t> </w:t>
      </w:r>
      <w:r>
        <w:rPr/>
        <w:t>has</w:t>
      </w:r>
      <w:r>
        <w:rPr>
          <w:spacing w:val="25"/>
        </w:rPr>
        <w:t> </w:t>
      </w:r>
      <w:r>
        <w:rPr/>
        <w:t>drawn</w:t>
      </w:r>
      <w:r>
        <w:rPr>
          <w:spacing w:val="25"/>
        </w:rPr>
        <w:t> </w:t>
      </w:r>
      <w:r>
        <w:rPr/>
        <w:t>attention</w:t>
      </w:r>
      <w:r>
        <w:rPr>
          <w:spacing w:val="25"/>
        </w:rPr>
        <w:t> </w:t>
      </w:r>
      <w:r>
        <w:rPr/>
        <w:t>and efforts</w:t>
      </w:r>
      <w:r>
        <w:rPr>
          <w:spacing w:val="40"/>
        </w:rPr>
        <w:t> </w:t>
      </w:r>
      <w:r>
        <w:rPr/>
        <w:t>from</w:t>
      </w:r>
      <w:r>
        <w:rPr>
          <w:spacing w:val="40"/>
        </w:rPr>
        <w:t> </w:t>
      </w:r>
      <w:r>
        <w:rPr/>
        <w:t>governmental</w:t>
      </w:r>
      <w:r>
        <w:rPr>
          <w:spacing w:val="40"/>
        </w:rPr>
        <w:t> </w:t>
      </w:r>
      <w:r>
        <w:rPr/>
        <w:t>and</w:t>
      </w:r>
      <w:r>
        <w:rPr>
          <w:spacing w:val="40"/>
        </w:rPr>
        <w:t> </w:t>
      </w:r>
      <w:r>
        <w:rPr/>
        <w:t>non-governmental</w:t>
      </w:r>
      <w:r>
        <w:rPr>
          <w:spacing w:val="40"/>
        </w:rPr>
        <w:t> </w:t>
      </w:r>
      <w:r>
        <w:rPr/>
        <w:t>organizations,</w:t>
      </w:r>
      <w:r>
        <w:rPr>
          <w:spacing w:val="40"/>
        </w:rPr>
        <w:t> </w:t>
      </w:r>
      <w:r>
        <w:rPr/>
        <w:t>politicians,</w:t>
      </w:r>
      <w:r>
        <w:rPr>
          <w:spacing w:val="40"/>
        </w:rPr>
        <w:t> </w:t>
      </w:r>
      <w:r>
        <w:rPr/>
        <w:t>social</w:t>
      </w:r>
      <w:r>
        <w:rPr>
          <w:spacing w:val="40"/>
        </w:rPr>
        <w:t> </w:t>
      </w:r>
      <w:r>
        <w:rPr/>
        <w:t>scientists, business,</w:t>
      </w:r>
      <w:r>
        <w:rPr>
          <w:spacing w:val="40"/>
        </w:rPr>
        <w:t> </w:t>
      </w:r>
      <w:r>
        <w:rPr/>
        <w:t>non-business</w:t>
      </w:r>
      <w:r>
        <w:rPr>
          <w:spacing w:val="40"/>
        </w:rPr>
        <w:t> </w:t>
      </w:r>
      <w:r>
        <w:rPr/>
        <w:t>organizations,</w:t>
      </w:r>
      <w:r>
        <w:rPr>
          <w:spacing w:val="40"/>
        </w:rPr>
        <w:t> </w:t>
      </w:r>
      <w:r>
        <w:rPr/>
        <w:t>and</w:t>
      </w:r>
      <w:r>
        <w:rPr>
          <w:spacing w:val="40"/>
        </w:rPr>
        <w:t> </w:t>
      </w:r>
      <w:r>
        <w:rPr/>
        <w:t>individuals, to alleviate the injustices against Indian women.</w:t>
      </w:r>
      <w:r>
        <w:rPr>
          <w:spacing w:val="80"/>
          <w:w w:val="150"/>
        </w:rPr>
        <w:t> </w:t>
      </w:r>
      <w:r>
        <w:rPr/>
        <w:t>The</w:t>
      </w:r>
      <w:r>
        <w:rPr>
          <w:spacing w:val="80"/>
          <w:w w:val="150"/>
        </w:rPr>
        <w:t> </w:t>
      </w:r>
      <w:r>
        <w:rPr/>
        <w:t>presentation</w:t>
      </w:r>
      <w:r>
        <w:rPr>
          <w:spacing w:val="80"/>
          <w:w w:val="150"/>
        </w:rPr>
        <w:t> </w:t>
      </w:r>
      <w:r>
        <w:rPr/>
        <w:t>highlights</w:t>
      </w:r>
      <w:r>
        <w:rPr>
          <w:spacing w:val="80"/>
          <w:w w:val="150"/>
        </w:rPr>
        <w:t> </w:t>
      </w:r>
      <w:r>
        <w:rPr/>
        <w:t>the</w:t>
      </w:r>
      <w:r>
        <w:rPr>
          <w:spacing w:val="80"/>
          <w:w w:val="150"/>
        </w:rPr>
        <w:t> </w:t>
      </w:r>
      <w:r>
        <w:rPr/>
        <w:t>conceptual</w:t>
      </w:r>
      <w:r>
        <w:rPr>
          <w:spacing w:val="80"/>
        </w:rPr>
        <w:t> </w:t>
      </w:r>
      <w:r>
        <w:rPr/>
        <w:t>framework</w:t>
      </w:r>
      <w:r>
        <w:rPr>
          <w:spacing w:val="80"/>
        </w:rPr>
        <w:t> </w:t>
      </w:r>
      <w:r>
        <w:rPr/>
        <w:t>for</w:t>
      </w:r>
      <w:r>
        <w:rPr>
          <w:spacing w:val="80"/>
        </w:rPr>
        <w:t> </w:t>
      </w:r>
      <w:r>
        <w:rPr/>
        <w:t>the</w:t>
      </w:r>
      <w:r>
        <w:rPr>
          <w:spacing w:val="80"/>
        </w:rPr>
        <w:t> </w:t>
      </w:r>
      <w:r>
        <w:rPr/>
        <w:t>development</w:t>
      </w:r>
      <w:r>
        <w:rPr>
          <w:spacing w:val="80"/>
        </w:rPr>
        <w:t> </w:t>
      </w:r>
      <w:r>
        <w:rPr/>
        <w:t>of empowerment for women in India outlining the five main WE dimensions: economic, political,</w:t>
      </w:r>
      <w:r>
        <w:rPr>
          <w:spacing w:val="40"/>
        </w:rPr>
        <w:t> </w:t>
      </w:r>
      <w:r>
        <w:rPr/>
        <w:t>social,</w:t>
      </w:r>
      <w:r>
        <w:rPr>
          <w:spacing w:val="40"/>
        </w:rPr>
        <w:t> </w:t>
      </w:r>
      <w:r>
        <w:rPr/>
        <w:t>legal,</w:t>
      </w:r>
      <w:r>
        <w:rPr>
          <w:spacing w:val="40"/>
        </w:rPr>
        <w:t> </w:t>
      </w:r>
      <w:r>
        <w:rPr/>
        <w:t>and</w:t>
      </w:r>
      <w:r>
        <w:rPr>
          <w:spacing w:val="40"/>
        </w:rPr>
        <w:t> </w:t>
      </w:r>
      <w:r>
        <w:rPr/>
        <w:t>psychological</w:t>
      </w:r>
      <w:r>
        <w:rPr>
          <w:spacing w:val="40"/>
        </w:rPr>
        <w:t> </w:t>
      </w:r>
      <w:r>
        <w:rPr/>
        <w:t>empowerment.</w:t>
      </w:r>
      <w:r>
        <w:rPr>
          <w:spacing w:val="40"/>
        </w:rPr>
        <w:t> </w:t>
      </w:r>
      <w:r>
        <w:rPr/>
        <w:t>Specifically,</w:t>
      </w:r>
      <w:r>
        <w:rPr>
          <w:spacing w:val="40"/>
        </w:rPr>
        <w:t> </w:t>
      </w:r>
      <w:r>
        <w:rPr/>
        <w:t>the</w:t>
      </w:r>
      <w:r>
        <w:rPr>
          <w:spacing w:val="40"/>
        </w:rPr>
        <w:t> </w:t>
      </w:r>
      <w:r>
        <w:rPr/>
        <w:t>presentation</w:t>
      </w:r>
      <w:r>
        <w:rPr>
          <w:spacing w:val="40"/>
        </w:rPr>
        <w:t> </w:t>
      </w:r>
      <w:r>
        <w:rPr/>
        <w:t>focuses</w:t>
      </w:r>
      <w:r>
        <w:rPr>
          <w:spacing w:val="40"/>
        </w:rPr>
        <w:t> </w:t>
      </w:r>
      <w:r>
        <w:rPr/>
        <w:t>on</w:t>
      </w:r>
      <w:r>
        <w:rPr>
          <w:spacing w:val="40"/>
        </w:rPr>
        <w:t> </w:t>
      </w:r>
      <w:r>
        <w:rPr/>
        <w:t>the importance of Women Empowerment for the Indian</w:t>
      </w:r>
      <w:r>
        <w:rPr>
          <w:spacing w:val="-5"/>
        </w:rPr>
        <w:t> </w:t>
      </w:r>
      <w:r>
        <w:rPr/>
        <w:t>society,</w:t>
      </w:r>
      <w:r>
        <w:rPr>
          <w:spacing w:val="-5"/>
        </w:rPr>
        <w:t> </w:t>
      </w:r>
      <w:r>
        <w:rPr/>
        <w:t>the</w:t>
      </w:r>
      <w:r>
        <w:rPr>
          <w:spacing w:val="-5"/>
        </w:rPr>
        <w:t> </w:t>
      </w:r>
      <w:r>
        <w:rPr/>
        <w:t>hurdles</w:t>
      </w:r>
      <w:r>
        <w:rPr>
          <w:spacing w:val="-5"/>
        </w:rPr>
        <w:t> </w:t>
      </w:r>
      <w:r>
        <w:rPr/>
        <w:t>it</w:t>
      </w:r>
      <w:r>
        <w:rPr>
          <w:spacing w:val="-5"/>
        </w:rPr>
        <w:t> </w:t>
      </w:r>
      <w:r>
        <w:rPr/>
        <w:t>faces,</w:t>
      </w:r>
      <w:r>
        <w:rPr>
          <w:spacing w:val="-5"/>
        </w:rPr>
        <w:t> </w:t>
      </w:r>
      <w:r>
        <w:rPr/>
        <w:t>and</w:t>
      </w:r>
      <w:r>
        <w:rPr>
          <w:spacing w:val="-5"/>
        </w:rPr>
        <w:t> </w:t>
      </w:r>
      <w:r>
        <w:rPr/>
        <w:t>strategies</w:t>
      </w:r>
      <w:r>
        <w:rPr>
          <w:spacing w:val="-5"/>
        </w:rPr>
        <w:t> </w:t>
      </w:r>
      <w:r>
        <w:rPr/>
        <w:t>to overcome those hurdles in order to support and advance its mission.</w:t>
      </w:r>
    </w:p>
    <w:p>
      <w:pPr>
        <w:pStyle w:val="BodyText"/>
        <w:spacing w:after="0"/>
        <w:sectPr>
          <w:footerReference w:type="default" r:id="rId297"/>
          <w:pgSz w:w="12240" w:h="15840"/>
          <w:pgMar w:header="0" w:footer="714" w:top="620" w:bottom="900" w:left="720" w:right="0"/>
        </w:sectPr>
      </w:pPr>
    </w:p>
    <w:p>
      <w:pPr>
        <w:pStyle w:val="Heading4"/>
        <w:spacing w:before="60"/>
        <w:ind w:left="2787"/>
      </w:pPr>
      <w:bookmarkStart w:name="Understanding Dyslexic Learning " w:id="136"/>
      <w:bookmarkEnd w:id="136"/>
      <w:r>
        <w:rPr>
          <w:b w:val="0"/>
        </w:rPr>
      </w:r>
      <w:bookmarkStart w:name="h.hrm4jnb7o8ca" w:id="137"/>
      <w:bookmarkEnd w:id="137"/>
      <w:r>
        <w:rPr>
          <w:b w:val="0"/>
        </w:rPr>
      </w:r>
      <w:r>
        <w:rPr/>
        <w:t>Understanding Dyslexic </w:t>
      </w:r>
      <w:r>
        <w:rPr>
          <w:spacing w:val="-2"/>
        </w:rPr>
        <w:t>Learning</w:t>
      </w:r>
    </w:p>
    <w:p>
      <w:pPr>
        <w:pStyle w:val="BodyText"/>
        <w:spacing w:before="65"/>
        <w:rPr>
          <w:b/>
        </w:rPr>
      </w:pPr>
    </w:p>
    <w:p>
      <w:pPr>
        <w:pStyle w:val="BodyText"/>
        <w:ind w:left="2060"/>
      </w:pPr>
      <w:r>
        <w:rPr/>
        <w:t>Maxim</w:t>
      </w:r>
      <w:r>
        <w:rPr>
          <w:spacing w:val="-2"/>
        </w:rPr>
        <w:t> </w:t>
      </w:r>
      <w:r>
        <w:rPr/>
        <w:t>Timperman,</w:t>
      </w:r>
      <w:r>
        <w:rPr>
          <w:spacing w:val="-1"/>
        </w:rPr>
        <w:t> </w:t>
      </w:r>
      <w:r>
        <w:rPr/>
        <w:t>Jason</w:t>
      </w:r>
      <w:r>
        <w:rPr>
          <w:spacing w:val="-2"/>
        </w:rPr>
        <w:t> </w:t>
      </w:r>
      <w:r>
        <w:rPr/>
        <w:t>LaFrance</w:t>
      </w:r>
      <w:r>
        <w:rPr>
          <w:spacing w:val="-1"/>
        </w:rPr>
        <w:t> </w:t>
      </w:r>
      <w:r>
        <w:rPr/>
        <w:t>and</w:t>
      </w:r>
      <w:r>
        <w:rPr>
          <w:spacing w:val="-2"/>
        </w:rPr>
        <w:t> </w:t>
      </w:r>
      <w:r>
        <w:rPr/>
        <w:t>Santosh</w:t>
      </w:r>
      <w:r>
        <w:rPr>
          <w:spacing w:val="-1"/>
        </w:rPr>
        <w:t> </w:t>
      </w:r>
      <w:r>
        <w:rPr>
          <w:spacing w:val="-2"/>
        </w:rPr>
        <w:t>Nandi</w:t>
      </w:r>
    </w:p>
    <w:p>
      <w:pPr>
        <w:pStyle w:val="BodyText"/>
        <w:spacing w:line="230" w:lineRule="auto" w:before="230"/>
        <w:ind w:left="720" w:right="1365"/>
        <w:jc w:val="both"/>
      </w:pPr>
      <w:r>
        <w:rPr/>
        <w:t>Dyslexia affects around 20% of the global population and is defined by the International</w:t>
      </w:r>
      <w:r>
        <w:rPr>
          <w:spacing w:val="80"/>
        </w:rPr>
        <w:t> </w:t>
      </w:r>
      <w:r>
        <w:rPr/>
        <w:t>Dyslexia Association (2025) as “</w:t>
      </w:r>
      <w:r>
        <w:rPr>
          <w:i/>
        </w:rPr>
        <w:t>a specific learning disability characterized by difficulties in</w:t>
      </w:r>
      <w:r>
        <w:rPr>
          <w:i/>
          <w:spacing w:val="40"/>
        </w:rPr>
        <w:t> </w:t>
      </w:r>
      <w:r>
        <w:rPr>
          <w:i/>
        </w:rPr>
        <w:t>word reading affecting accuracy, speed, or both</w:t>
      </w:r>
      <w:r>
        <w:rPr/>
        <w:t>”. Its prevalence and impact on information processing have made it a major focus in higher education research, clearly demonstrating that dyslexia is unrelated to intelligence. This distinct neurological processing also brings real </w:t>
      </w:r>
      <w:r>
        <w:rPr/>
        <w:t>world strengths, widely known in professional fields such as entrepreneurship, engineering, and</w:t>
      </w:r>
      <w:r>
        <w:rPr>
          <w:spacing w:val="80"/>
        </w:rPr>
        <w:t> </w:t>
      </w:r>
      <w:r>
        <w:rPr/>
        <w:t>creative disciplines including architecture, filmmaking, and graphic design.</w:t>
      </w:r>
    </w:p>
    <w:p>
      <w:pPr>
        <w:pStyle w:val="BodyText"/>
        <w:spacing w:line="230" w:lineRule="auto" w:before="162"/>
        <w:ind w:left="720" w:right="1369"/>
        <w:jc w:val="both"/>
      </w:pPr>
      <w:r>
        <w:rPr/>
        <w:t>A major challenge for dyslexic students today is that, although their cognitive strengths are </w:t>
      </w:r>
      <w:r>
        <w:rPr/>
        <w:t>well suited to real world challenges, they must first navigate traditional academic needs in higher education to access those professional opportunities. This becomes particularly challenging as dyslexic students in higher education often struggle with systems designed around individual work, reading-intensive assignments, and non-project-based learning. Within higher education frameworks that have seen little changes since the late eighteenth century, and with</w:t>
      </w:r>
      <w:r>
        <w:rPr>
          <w:spacing w:val="40"/>
        </w:rPr>
        <w:t> </w:t>
      </w:r>
      <w:r>
        <w:rPr/>
        <w:t>approximately 70% of the population being non-dyslexic,</w:t>
      </w:r>
      <w:r>
        <w:rPr>
          <w:spacing w:val="-3"/>
        </w:rPr>
        <w:t> </w:t>
      </w:r>
      <w:r>
        <w:rPr/>
        <w:t>many</w:t>
      </w:r>
      <w:r>
        <w:rPr>
          <w:spacing w:val="-3"/>
        </w:rPr>
        <w:t> </w:t>
      </w:r>
      <w:r>
        <w:rPr/>
        <w:t>of</w:t>
      </w:r>
      <w:r>
        <w:rPr>
          <w:spacing w:val="-3"/>
        </w:rPr>
        <w:t> </w:t>
      </w:r>
      <w:r>
        <w:rPr/>
        <w:t>the</w:t>
      </w:r>
      <w:r>
        <w:rPr>
          <w:spacing w:val="-3"/>
        </w:rPr>
        <w:t> </w:t>
      </w:r>
      <w:r>
        <w:rPr/>
        <w:t>traditional</w:t>
      </w:r>
      <w:r>
        <w:rPr>
          <w:spacing w:val="-3"/>
        </w:rPr>
        <w:t> </w:t>
      </w:r>
      <w:r>
        <w:rPr/>
        <w:t>study</w:t>
      </w:r>
      <w:r>
        <w:rPr>
          <w:spacing w:val="-3"/>
        </w:rPr>
        <w:t> </w:t>
      </w:r>
      <w:r>
        <w:rPr/>
        <w:t>strategies passed down from professors and peers fail to align </w:t>
      </w:r>
      <w:r>
        <w:rPr>
          <w:i/>
        </w:rPr>
        <w:t>what </w:t>
      </w:r>
      <w:r>
        <w:rPr/>
        <w:t>dyslexic students need to take in and process information.</w:t>
      </w:r>
    </w:p>
    <w:p>
      <w:pPr>
        <w:pStyle w:val="BodyText"/>
        <w:spacing w:line="230" w:lineRule="auto" w:before="161"/>
        <w:ind w:left="720" w:right="1367"/>
        <w:jc w:val="both"/>
      </w:pPr>
      <w:r>
        <w:rPr/>
        <w:t>Although current research on dyslexia spans across neurological studies, </w:t>
      </w:r>
      <w:r>
        <w:rPr/>
        <w:t>psychoeducational assessments, and investigations of compensation strategies, these advancements rarely connect dyslexic cognitive strengths with the academic strategies that support learners. Very few studies examine</w:t>
      </w:r>
      <w:r>
        <w:rPr>
          <w:spacing w:val="80"/>
        </w:rPr>
        <w:t> </w:t>
      </w:r>
      <w:r>
        <w:rPr/>
        <w:t>how</w:t>
      </w:r>
      <w:r>
        <w:rPr>
          <w:spacing w:val="80"/>
        </w:rPr>
        <w:t> </w:t>
      </w:r>
      <w:r>
        <w:rPr/>
        <w:t>the</w:t>
      </w:r>
      <w:r>
        <w:rPr>
          <w:spacing w:val="80"/>
        </w:rPr>
        <w:t> </w:t>
      </w:r>
      <w:r>
        <w:rPr/>
        <w:t>study</w:t>
      </w:r>
      <w:r>
        <w:rPr>
          <w:spacing w:val="80"/>
        </w:rPr>
        <w:t> </w:t>
      </w:r>
      <w:r>
        <w:rPr/>
        <w:t>strategies</w:t>
      </w:r>
      <w:r>
        <w:rPr>
          <w:spacing w:val="80"/>
        </w:rPr>
        <w:t> </w:t>
      </w:r>
      <w:r>
        <w:rPr/>
        <w:t>dyslexic</w:t>
      </w:r>
      <w:r>
        <w:rPr>
          <w:spacing w:val="80"/>
        </w:rPr>
        <w:t> </w:t>
      </w:r>
      <w:r>
        <w:rPr/>
        <w:t>students</w:t>
      </w:r>
      <w:r>
        <w:rPr>
          <w:spacing w:val="80"/>
        </w:rPr>
        <w:t> </w:t>
      </w:r>
      <w:r>
        <w:rPr/>
        <w:t>use</w:t>
      </w:r>
      <w:r>
        <w:rPr>
          <w:spacing w:val="80"/>
        </w:rPr>
        <w:t> </w:t>
      </w:r>
      <w:r>
        <w:rPr/>
        <w:t>align</w:t>
      </w:r>
      <w:r>
        <w:rPr>
          <w:spacing w:val="80"/>
        </w:rPr>
        <w:t> </w:t>
      </w:r>
      <w:r>
        <w:rPr/>
        <w:t>with</w:t>
      </w:r>
      <w:r>
        <w:rPr>
          <w:spacing w:val="80"/>
        </w:rPr>
        <w:t> </w:t>
      </w:r>
      <w:r>
        <w:rPr/>
        <w:t>these</w:t>
      </w:r>
      <w:r>
        <w:rPr>
          <w:spacing w:val="80"/>
        </w:rPr>
        <w:t> </w:t>
      </w:r>
      <w:r>
        <w:rPr/>
        <w:t>strengths</w:t>
      </w:r>
      <w:r>
        <w:rPr>
          <w:spacing w:val="80"/>
        </w:rPr>
        <w:t> </w:t>
      </w:r>
      <w:r>
        <w:rPr/>
        <w:t>in higher-education settings. This gap raises a key question: </w:t>
      </w:r>
      <w:r>
        <w:rPr>
          <w:i/>
        </w:rPr>
        <w:t>why </w:t>
      </w:r>
      <w:r>
        <w:rPr/>
        <w:t>are cognitive strengths and academic strategies still treated as separate domains when a direct relationship may exist.</w:t>
      </w:r>
    </w:p>
    <w:p>
      <w:pPr>
        <w:pStyle w:val="BodyText"/>
        <w:spacing w:line="230" w:lineRule="auto" w:before="162"/>
        <w:ind w:left="720" w:right="1365"/>
        <w:jc w:val="both"/>
      </w:pPr>
      <w:r>
        <w:rPr/>
        <w:t>This research aims to examine the relationship between dyslexic students’ cognitive strength profiles and the study strategies they use in higher education. Using qualitative interview </w:t>
      </w:r>
      <w:r>
        <w:rPr/>
        <w:t>data from working professionals with dyslexia who attended and completed higher education, this study</w:t>
      </w:r>
      <w:r>
        <w:rPr>
          <w:spacing w:val="40"/>
        </w:rPr>
        <w:t>  </w:t>
      </w:r>
      <w:r>
        <w:rPr/>
        <w:t>aims</w:t>
      </w:r>
      <w:r>
        <w:rPr>
          <w:spacing w:val="40"/>
        </w:rPr>
        <w:t>  </w:t>
      </w:r>
      <w:r>
        <w:rPr/>
        <w:t>to</w:t>
      </w:r>
      <w:r>
        <w:rPr>
          <w:spacing w:val="40"/>
        </w:rPr>
        <w:t>  </w:t>
      </w:r>
      <w:r>
        <w:rPr/>
        <w:t>apply</w:t>
      </w:r>
      <w:r>
        <w:rPr>
          <w:spacing w:val="40"/>
        </w:rPr>
        <w:t>  </w:t>
      </w:r>
      <w:r>
        <w:rPr/>
        <w:t>the</w:t>
      </w:r>
      <w:r>
        <w:rPr>
          <w:spacing w:val="40"/>
        </w:rPr>
        <w:t>  </w:t>
      </w:r>
      <w:r>
        <w:rPr/>
        <w:t>MIND</w:t>
      </w:r>
      <w:r>
        <w:rPr>
          <w:spacing w:val="40"/>
        </w:rPr>
        <w:t>  </w:t>
      </w:r>
      <w:r>
        <w:rPr/>
        <w:t>framework</w:t>
      </w:r>
      <w:r>
        <w:rPr>
          <w:spacing w:val="40"/>
        </w:rPr>
        <w:t>  </w:t>
      </w:r>
      <w:r>
        <w:rPr/>
        <w:t>(</w:t>
      </w:r>
      <w:r>
        <w:rPr>
          <w:b/>
        </w:rPr>
        <w:t>M</w:t>
      </w:r>
      <w:r>
        <w:rPr/>
        <w:t>aterial</w:t>
      </w:r>
      <w:r>
        <w:rPr>
          <w:spacing w:val="40"/>
        </w:rPr>
        <w:t>  </w:t>
      </w:r>
      <w:r>
        <w:rPr/>
        <w:t>(3D/spatial),</w:t>
      </w:r>
      <w:r>
        <w:rPr>
          <w:spacing w:val="40"/>
        </w:rPr>
        <w:t>  </w:t>
      </w:r>
      <w:r>
        <w:rPr>
          <w:b/>
        </w:rPr>
        <w:t>I</w:t>
      </w:r>
      <w:r>
        <w:rPr/>
        <w:t>nterconnected (big-picture/systems), </w:t>
      </w:r>
      <w:r>
        <w:rPr>
          <w:b/>
        </w:rPr>
        <w:t>N</w:t>
      </w:r>
      <w:r>
        <w:rPr/>
        <w:t>arrative (story/example-based), and </w:t>
      </w:r>
      <w:r>
        <w:rPr>
          <w:b/>
        </w:rPr>
        <w:t>D</w:t>
      </w:r>
      <w:r>
        <w:rPr/>
        <w:t>ynamic (prediction/simulation) reasoning), proposed by Eide and Eide (2023), as an analytical lens to identify patterns of alignment and misalignment between cognitive strengths and academic study practices.</w:t>
      </w:r>
    </w:p>
    <w:p>
      <w:pPr>
        <w:pStyle w:val="BodyText"/>
        <w:spacing w:line="230" w:lineRule="auto" w:before="162"/>
        <w:ind w:left="720" w:right="1381"/>
      </w:pPr>
      <w:r>
        <w:rPr/>
        <w:t>This</w:t>
      </w:r>
      <w:r>
        <w:rPr>
          <w:spacing w:val="-4"/>
        </w:rPr>
        <w:t> </w:t>
      </w:r>
      <w:r>
        <w:rPr/>
        <w:t>study</w:t>
      </w:r>
      <w:r>
        <w:rPr>
          <w:spacing w:val="-4"/>
        </w:rPr>
        <w:t> </w:t>
      </w:r>
      <w:r>
        <w:rPr/>
        <w:t>is</w:t>
      </w:r>
      <w:r>
        <w:rPr>
          <w:spacing w:val="-4"/>
        </w:rPr>
        <w:t> </w:t>
      </w:r>
      <w:r>
        <w:rPr/>
        <w:t>limited</w:t>
      </w:r>
      <w:r>
        <w:rPr>
          <w:spacing w:val="-4"/>
        </w:rPr>
        <w:t> </w:t>
      </w:r>
      <w:r>
        <w:rPr/>
        <w:t>to</w:t>
      </w:r>
      <w:r>
        <w:rPr>
          <w:spacing w:val="-4"/>
        </w:rPr>
        <w:t> </w:t>
      </w:r>
      <w:r>
        <w:rPr/>
        <w:t>mapping</w:t>
      </w:r>
      <w:r>
        <w:rPr>
          <w:spacing w:val="-4"/>
        </w:rPr>
        <w:t> </w:t>
      </w:r>
      <w:r>
        <w:rPr/>
        <w:t>connections</w:t>
      </w:r>
      <w:r>
        <w:rPr>
          <w:spacing w:val="-4"/>
        </w:rPr>
        <w:t> </w:t>
      </w:r>
      <w:r>
        <w:rPr/>
        <w:t>between</w:t>
      </w:r>
      <w:r>
        <w:rPr>
          <w:spacing w:val="-4"/>
        </w:rPr>
        <w:t> </w:t>
      </w:r>
      <w:r>
        <w:rPr/>
        <w:t>students’</w:t>
      </w:r>
      <w:r>
        <w:rPr>
          <w:spacing w:val="-4"/>
        </w:rPr>
        <w:t> </w:t>
      </w:r>
      <w:r>
        <w:rPr/>
        <w:t>cognitive</w:t>
      </w:r>
      <w:r>
        <w:rPr>
          <w:spacing w:val="-4"/>
        </w:rPr>
        <w:t> </w:t>
      </w:r>
      <w:r>
        <w:rPr/>
        <w:t>profiles</w:t>
      </w:r>
      <w:r>
        <w:rPr>
          <w:spacing w:val="-4"/>
        </w:rPr>
        <w:t> </w:t>
      </w:r>
      <w:r>
        <w:rPr/>
        <w:t>and</w:t>
      </w:r>
      <w:r>
        <w:rPr>
          <w:spacing w:val="-4"/>
        </w:rPr>
        <w:t> </w:t>
      </w:r>
      <w:r>
        <w:rPr/>
        <w:t>their reported study strategies, rather than evaluating how those strategies are chosen.</w:t>
      </w:r>
    </w:p>
    <w:p>
      <w:pPr>
        <w:pStyle w:val="BodyText"/>
        <w:spacing w:line="230" w:lineRule="auto" w:before="165"/>
        <w:ind w:left="720" w:right="1365"/>
        <w:jc w:val="both"/>
      </w:pPr>
      <w:r>
        <w:rPr/>
        <w:t>This research will benefit scholars in higher education, disability studies, learning sciences, </w:t>
      </w:r>
      <w:r>
        <w:rPr/>
        <w:t>and educational psychology, along with academic support professionals who seek to better</w:t>
      </w:r>
      <w:r>
        <w:rPr>
          <w:spacing w:val="80"/>
        </w:rPr>
        <w:t> </w:t>
      </w:r>
      <w:r>
        <w:rPr/>
        <w:t>understand how dyslexic students navigate college-level learning environments.</w:t>
      </w:r>
    </w:p>
    <w:p>
      <w:pPr>
        <w:pStyle w:val="BodyText"/>
        <w:spacing w:after="0" w:line="230" w:lineRule="auto"/>
        <w:jc w:val="both"/>
        <w:sectPr>
          <w:pgSz w:w="12240" w:h="15840"/>
          <w:pgMar w:header="0" w:footer="714" w:top="640" w:bottom="960" w:left="720" w:right="0"/>
        </w:sectPr>
      </w:pPr>
    </w:p>
    <w:p>
      <w:pPr>
        <w:pStyle w:val="Heading3"/>
        <w:spacing w:line="230" w:lineRule="auto" w:before="80"/>
        <w:ind w:left="1011" w:right="1640"/>
      </w:pPr>
      <w:bookmarkStart w:name="Bidirectional Price Discovery Between Bi" w:id="138"/>
      <w:bookmarkEnd w:id="138"/>
      <w:r>
        <w:rPr>
          <w:b w:val="0"/>
        </w:rPr>
      </w:r>
      <w:bookmarkStart w:name="h.kl9tzgyawuvs" w:id="139"/>
      <w:bookmarkEnd w:id="139"/>
      <w:r>
        <w:rPr>
          <w:b w:val="0"/>
        </w:rPr>
      </w:r>
      <w:r>
        <w:rPr/>
        <w:t>Bidirectional</w:t>
      </w:r>
      <w:r>
        <w:rPr>
          <w:spacing w:val="-7"/>
        </w:rPr>
        <w:t> </w:t>
      </w:r>
      <w:r>
        <w:rPr/>
        <w:t>Price</w:t>
      </w:r>
      <w:r>
        <w:rPr>
          <w:spacing w:val="-7"/>
        </w:rPr>
        <w:t> </w:t>
      </w:r>
      <w:r>
        <w:rPr/>
        <w:t>Discovery</w:t>
      </w:r>
      <w:r>
        <w:rPr>
          <w:spacing w:val="-7"/>
        </w:rPr>
        <w:t> </w:t>
      </w:r>
      <w:r>
        <w:rPr/>
        <w:t>Between</w:t>
      </w:r>
      <w:r>
        <w:rPr>
          <w:spacing w:val="-7"/>
        </w:rPr>
        <w:t> </w:t>
      </w:r>
      <w:r>
        <w:rPr/>
        <w:t>Bitcoin</w:t>
      </w:r>
      <w:r>
        <w:rPr>
          <w:spacing w:val="-7"/>
        </w:rPr>
        <w:t> </w:t>
      </w:r>
      <w:r>
        <w:rPr/>
        <w:t>Spot</w:t>
      </w:r>
      <w:r>
        <w:rPr>
          <w:spacing w:val="-7"/>
        </w:rPr>
        <w:t> </w:t>
      </w:r>
      <w:r>
        <w:rPr/>
        <w:t>and</w:t>
      </w:r>
      <w:r>
        <w:rPr>
          <w:spacing w:val="-7"/>
        </w:rPr>
        <w:t> </w:t>
      </w:r>
      <w:r>
        <w:rPr/>
        <w:t>Perpetual</w:t>
      </w:r>
      <w:r>
        <w:rPr>
          <w:spacing w:val="-7"/>
        </w:rPr>
        <w:t> </w:t>
      </w:r>
      <w:r>
        <w:rPr/>
        <w:t>Futures </w:t>
      </w:r>
      <w:r>
        <w:rPr>
          <w:spacing w:val="-2"/>
        </w:rPr>
        <w:t>Prices</w:t>
      </w:r>
    </w:p>
    <w:p>
      <w:pPr>
        <w:pStyle w:val="BodyText"/>
        <w:spacing w:before="290"/>
        <w:ind w:left="4210" w:right="4919" w:hanging="23"/>
        <w:jc w:val="center"/>
      </w:pPr>
      <w:r>
        <w:rPr/>
        <w:t>Akash Ashwin Ravenwood High Brentwood, TN </w:t>
      </w:r>
      <w:hyperlink r:id="rId301">
        <w:r>
          <w:rPr>
            <w:color w:val="0000FF"/>
            <w:spacing w:val="-2"/>
            <w:u w:val="thick" w:color="0000FF"/>
          </w:rPr>
          <w:t>akashwin08@gmail.com</w:t>
        </w:r>
      </w:hyperlink>
    </w:p>
    <w:p>
      <w:pPr>
        <w:pStyle w:val="BodyText"/>
      </w:pPr>
    </w:p>
    <w:p>
      <w:pPr>
        <w:pStyle w:val="BodyText"/>
        <w:ind w:left="3435" w:right="4034" w:firstLine="551"/>
      </w:pPr>
      <w:r>
        <w:rPr/>
        <w:t>William J. Trainor Jr., CFA Director,</w:t>
      </w:r>
      <w:r>
        <w:rPr>
          <w:spacing w:val="-8"/>
        </w:rPr>
        <w:t> </w:t>
      </w:r>
      <w:r>
        <w:rPr/>
        <w:t>Center</w:t>
      </w:r>
      <w:r>
        <w:rPr>
          <w:spacing w:val="-8"/>
        </w:rPr>
        <w:t> </w:t>
      </w:r>
      <w:r>
        <w:rPr/>
        <w:t>for</w:t>
      </w:r>
      <w:r>
        <w:rPr>
          <w:spacing w:val="-8"/>
        </w:rPr>
        <w:t> </w:t>
      </w:r>
      <w:r>
        <w:rPr/>
        <w:t>the</w:t>
      </w:r>
      <w:r>
        <w:rPr>
          <w:spacing w:val="-8"/>
        </w:rPr>
        <w:t> </w:t>
      </w:r>
      <w:r>
        <w:rPr/>
        <w:t>Study</w:t>
      </w:r>
      <w:r>
        <w:rPr>
          <w:spacing w:val="-8"/>
        </w:rPr>
        <w:t> </w:t>
      </w:r>
      <w:r>
        <w:rPr/>
        <w:t>of</w:t>
      </w:r>
      <w:r>
        <w:rPr>
          <w:spacing w:val="-8"/>
        </w:rPr>
        <w:t> </w:t>
      </w:r>
      <w:r>
        <w:rPr/>
        <w:t>Finance</w:t>
      </w:r>
    </w:p>
    <w:p>
      <w:pPr>
        <w:pStyle w:val="BodyText"/>
        <w:ind w:left="3512" w:right="4209"/>
        <w:jc w:val="center"/>
      </w:pPr>
      <w:r>
        <w:rPr/>
        <w:t>College</w:t>
      </w:r>
      <w:r>
        <w:rPr>
          <w:spacing w:val="-14"/>
        </w:rPr>
        <w:t> </w:t>
      </w:r>
      <w:r>
        <w:rPr/>
        <w:t>of</w:t>
      </w:r>
      <w:r>
        <w:rPr>
          <w:spacing w:val="-14"/>
        </w:rPr>
        <w:t> </w:t>
      </w:r>
      <w:r>
        <w:rPr/>
        <w:t>Business</w:t>
      </w:r>
      <w:r>
        <w:rPr>
          <w:spacing w:val="-14"/>
        </w:rPr>
        <w:t> </w:t>
      </w:r>
      <w:r>
        <w:rPr/>
        <w:t>and</w:t>
      </w:r>
      <w:r>
        <w:rPr>
          <w:spacing w:val="-14"/>
        </w:rPr>
        <w:t> </w:t>
      </w:r>
      <w:r>
        <w:rPr/>
        <w:t>Technology East Tennessee State University</w:t>
      </w:r>
    </w:p>
    <w:p>
      <w:pPr>
        <w:pStyle w:val="BodyText"/>
        <w:ind w:right="708"/>
        <w:jc w:val="center"/>
      </w:pPr>
      <w:r>
        <w:rPr/>
        <w:t>PO Box </w:t>
      </w:r>
      <w:r>
        <w:rPr>
          <w:spacing w:val="-2"/>
        </w:rPr>
        <w:t>70585</w:t>
      </w:r>
    </w:p>
    <w:p>
      <w:pPr>
        <w:pStyle w:val="BodyText"/>
        <w:ind w:left="3923" w:right="4634" w:firstLine="14"/>
        <w:jc w:val="center"/>
      </w:pPr>
      <w:r>
        <w:rPr/>
        <w:t>Johnson City, TN 37614 </w:t>
      </w:r>
      <w:hyperlink r:id="rId302">
        <w:r>
          <w:rPr>
            <w:color w:val="0000FF"/>
            <w:spacing w:val="-2"/>
            <w:u w:val="thick" w:color="0000FF"/>
          </w:rPr>
          <w:t>Trainor@etsu.edu</w:t>
        </w:r>
      </w:hyperlink>
      <w:r>
        <w:rPr>
          <w:color w:val="0000FF"/>
          <w:spacing w:val="-2"/>
          <w:u w:val="none"/>
        </w:rPr>
        <w:t> </w:t>
      </w:r>
      <w:r>
        <w:rPr>
          <w:u w:val="none"/>
        </w:rPr>
        <w:t>423.439.4665</w:t>
      </w:r>
      <w:r>
        <w:rPr>
          <w:spacing w:val="-15"/>
          <w:u w:val="none"/>
        </w:rPr>
        <w:t> </w:t>
      </w:r>
      <w:r>
        <w:rPr>
          <w:u w:val="none"/>
        </w:rPr>
        <w:t>(Contact</w:t>
      </w:r>
      <w:r>
        <w:rPr>
          <w:spacing w:val="-15"/>
          <w:u w:val="none"/>
        </w:rPr>
        <w:t> </w:t>
      </w:r>
      <w:r>
        <w:rPr>
          <w:u w:val="none"/>
        </w:rPr>
        <w:t>author)</w:t>
      </w:r>
    </w:p>
    <w:p>
      <w:pPr>
        <w:pStyle w:val="BodyText"/>
      </w:pPr>
    </w:p>
    <w:p>
      <w:pPr>
        <w:pStyle w:val="BodyText"/>
        <w:ind w:left="720"/>
      </w:pPr>
      <w:r>
        <w:rPr/>
        <w:t>Key words: Bitcoin, Perpetual Futures, Funding Rate, </w:t>
      </w:r>
      <w:r>
        <w:rPr>
          <w:spacing w:val="-2"/>
        </w:rPr>
        <w:t>Forecasting</w:t>
      </w:r>
    </w:p>
    <w:p>
      <w:pPr>
        <w:pStyle w:val="BodyText"/>
        <w:spacing w:before="28"/>
      </w:pPr>
    </w:p>
    <w:p>
      <w:pPr>
        <w:pStyle w:val="BodyText"/>
        <w:spacing w:line="264" w:lineRule="auto"/>
        <w:ind w:left="720" w:right="1619"/>
      </w:pPr>
      <w:r>
        <w:rPr/>
        <w:t>Bitcoin</w:t>
      </w:r>
      <w:r>
        <w:rPr>
          <w:spacing w:val="-3"/>
        </w:rPr>
        <w:t> </w:t>
      </w:r>
      <w:r>
        <w:rPr/>
        <w:t>was</w:t>
      </w:r>
      <w:r>
        <w:rPr>
          <w:spacing w:val="-3"/>
        </w:rPr>
        <w:t> </w:t>
      </w:r>
      <w:r>
        <w:rPr/>
        <w:t>first</w:t>
      </w:r>
      <w:r>
        <w:rPr>
          <w:spacing w:val="-3"/>
        </w:rPr>
        <w:t> </w:t>
      </w:r>
      <w:r>
        <w:rPr/>
        <w:t>introduced</w:t>
      </w:r>
      <w:r>
        <w:rPr>
          <w:spacing w:val="-3"/>
        </w:rPr>
        <w:t> </w:t>
      </w:r>
      <w:r>
        <w:rPr/>
        <w:t>by</w:t>
      </w:r>
      <w:r>
        <w:rPr>
          <w:spacing w:val="-3"/>
        </w:rPr>
        <w:t> </w:t>
      </w:r>
      <w:r>
        <w:rPr/>
        <w:t>Nakamoto</w:t>
      </w:r>
      <w:r>
        <w:rPr>
          <w:spacing w:val="-3"/>
        </w:rPr>
        <w:t> </w:t>
      </w:r>
      <w:r>
        <w:rPr/>
        <w:t>(2008)</w:t>
      </w:r>
      <w:r>
        <w:rPr>
          <w:spacing w:val="-3"/>
        </w:rPr>
        <w:t> </w:t>
      </w:r>
      <w:r>
        <w:rPr/>
        <w:t>with</w:t>
      </w:r>
      <w:r>
        <w:rPr>
          <w:spacing w:val="-3"/>
        </w:rPr>
        <w:t> </w:t>
      </w:r>
      <w:r>
        <w:rPr/>
        <w:t>actual</w:t>
      </w:r>
      <w:r>
        <w:rPr>
          <w:spacing w:val="-3"/>
        </w:rPr>
        <w:t> </w:t>
      </w:r>
      <w:r>
        <w:rPr/>
        <w:t>mining</w:t>
      </w:r>
      <w:r>
        <w:rPr>
          <w:spacing w:val="-3"/>
        </w:rPr>
        <w:t> </w:t>
      </w:r>
      <w:r>
        <w:rPr/>
        <w:t>beginning</w:t>
      </w:r>
      <w:r>
        <w:rPr>
          <w:spacing w:val="-3"/>
        </w:rPr>
        <w:t> </w:t>
      </w:r>
      <w:r>
        <w:rPr/>
        <w:t>in</w:t>
      </w:r>
      <w:r>
        <w:rPr>
          <w:spacing w:val="-3"/>
        </w:rPr>
        <w:t> </w:t>
      </w:r>
      <w:r>
        <w:rPr/>
        <w:t>January</w:t>
      </w:r>
      <w:r>
        <w:rPr>
          <w:spacing w:val="-3"/>
        </w:rPr>
        <w:t> </w:t>
      </w:r>
      <w:r>
        <w:rPr/>
        <w:t>of 2009. Although prices were unreliable through 2014, the first recorded bitcoin price was</w:t>
      </w:r>
    </w:p>
    <w:p>
      <w:pPr>
        <w:pStyle w:val="BodyText"/>
        <w:spacing w:line="264" w:lineRule="auto" w:before="1"/>
        <w:ind w:left="720" w:right="1381"/>
      </w:pPr>
      <w:r>
        <w:rPr/>
        <w:t>$0.00076 in October of 2009, (New Liberty Standard, 2009). Bitcoin’s growth has been exponential ever since with a current price over $89,000 (January 2026) and a market capitalization</w:t>
      </w:r>
      <w:r>
        <w:rPr>
          <w:spacing w:val="-3"/>
        </w:rPr>
        <w:t> </w:t>
      </w:r>
      <w:r>
        <w:rPr/>
        <w:t>of</w:t>
      </w:r>
      <w:r>
        <w:rPr>
          <w:spacing w:val="-3"/>
        </w:rPr>
        <w:t> </w:t>
      </w:r>
      <w:r>
        <w:rPr/>
        <w:t>over</w:t>
      </w:r>
      <w:r>
        <w:rPr>
          <w:spacing w:val="-3"/>
        </w:rPr>
        <w:t> </w:t>
      </w:r>
      <w:r>
        <w:rPr/>
        <w:t>$3</w:t>
      </w:r>
      <w:r>
        <w:rPr>
          <w:spacing w:val="-3"/>
        </w:rPr>
        <w:t> </w:t>
      </w:r>
      <w:r>
        <w:rPr/>
        <w:t>trillion.</w:t>
      </w:r>
      <w:r>
        <w:rPr>
          <w:spacing w:val="-3"/>
        </w:rPr>
        <w:t> </w:t>
      </w:r>
      <w:r>
        <w:rPr/>
        <w:t>The</w:t>
      </w:r>
      <w:r>
        <w:rPr>
          <w:spacing w:val="-3"/>
        </w:rPr>
        <w:t> </w:t>
      </w:r>
      <w:r>
        <w:rPr/>
        <w:t>highest</w:t>
      </w:r>
      <w:r>
        <w:rPr>
          <w:spacing w:val="-3"/>
        </w:rPr>
        <w:t> </w:t>
      </w:r>
      <w:r>
        <w:rPr/>
        <w:t>recorded</w:t>
      </w:r>
      <w:r>
        <w:rPr>
          <w:spacing w:val="-3"/>
        </w:rPr>
        <w:t> </w:t>
      </w:r>
      <w:r>
        <w:rPr/>
        <w:t>price</w:t>
      </w:r>
      <w:r>
        <w:rPr>
          <w:spacing w:val="-3"/>
        </w:rPr>
        <w:t> </w:t>
      </w:r>
      <w:r>
        <w:rPr/>
        <w:t>was</w:t>
      </w:r>
      <w:r>
        <w:rPr>
          <w:spacing w:val="-3"/>
        </w:rPr>
        <w:t> </w:t>
      </w:r>
      <w:r>
        <w:rPr/>
        <w:t>over</w:t>
      </w:r>
      <w:r>
        <w:rPr>
          <w:spacing w:val="-3"/>
        </w:rPr>
        <w:t> </w:t>
      </w:r>
      <w:r>
        <w:rPr/>
        <w:t>$124,000</w:t>
      </w:r>
      <w:r>
        <w:rPr>
          <w:spacing w:val="-3"/>
        </w:rPr>
        <w:t> </w:t>
      </w:r>
      <w:r>
        <w:rPr/>
        <w:t>in</w:t>
      </w:r>
      <w:r>
        <w:rPr>
          <w:spacing w:val="-3"/>
        </w:rPr>
        <w:t> </w:t>
      </w:r>
      <w:r>
        <w:rPr/>
        <w:t>October</w:t>
      </w:r>
      <w:r>
        <w:rPr>
          <w:spacing w:val="-3"/>
        </w:rPr>
        <w:t> </w:t>
      </w:r>
      <w:r>
        <w:rPr/>
        <w:t>2025.</w:t>
      </w:r>
    </w:p>
    <w:p>
      <w:pPr>
        <w:pStyle w:val="BodyText"/>
        <w:spacing w:line="264" w:lineRule="auto" w:before="215"/>
        <w:ind w:left="720" w:right="1619" w:firstLine="15"/>
      </w:pPr>
      <w:r>
        <w:rPr/>
        <w:t>One of the unique asset qualities of bitcoin is the nearly 24 hour a day trading along with its main derivative asset, perpetual futures. The concept of perpetual futures was proposed by Shiller (1992) and introduced by Bitmex in 2015, (Hayes, 2025). Perpetual futures have seen massive growth and experienced daily trading volume of $187 billion in 2025, (Blythe, 2025). Unlike</w:t>
      </w:r>
      <w:r>
        <w:rPr>
          <w:spacing w:val="-3"/>
        </w:rPr>
        <w:t> </w:t>
      </w:r>
      <w:r>
        <w:rPr/>
        <w:t>regular</w:t>
      </w:r>
      <w:r>
        <w:rPr>
          <w:spacing w:val="-3"/>
        </w:rPr>
        <w:t> </w:t>
      </w:r>
      <w:r>
        <w:rPr/>
        <w:t>futures</w:t>
      </w:r>
      <w:r>
        <w:rPr>
          <w:spacing w:val="-3"/>
        </w:rPr>
        <w:t> </w:t>
      </w:r>
      <w:r>
        <w:rPr/>
        <w:t>contracts</w:t>
      </w:r>
      <w:r>
        <w:rPr>
          <w:spacing w:val="-3"/>
        </w:rPr>
        <w:t> </w:t>
      </w:r>
      <w:r>
        <w:rPr/>
        <w:t>that</w:t>
      </w:r>
      <w:r>
        <w:rPr>
          <w:spacing w:val="-3"/>
        </w:rPr>
        <w:t> </w:t>
      </w:r>
      <w:r>
        <w:rPr/>
        <w:t>have</w:t>
      </w:r>
      <w:r>
        <w:rPr>
          <w:spacing w:val="-3"/>
        </w:rPr>
        <w:t> </w:t>
      </w:r>
      <w:r>
        <w:rPr/>
        <w:t>an</w:t>
      </w:r>
      <w:r>
        <w:rPr>
          <w:spacing w:val="-3"/>
        </w:rPr>
        <w:t> </w:t>
      </w:r>
      <w:r>
        <w:rPr/>
        <w:t>expiration</w:t>
      </w:r>
      <w:r>
        <w:rPr>
          <w:spacing w:val="-3"/>
        </w:rPr>
        <w:t> </w:t>
      </w:r>
      <w:r>
        <w:rPr/>
        <w:t>date,</w:t>
      </w:r>
      <w:r>
        <w:rPr>
          <w:spacing w:val="-3"/>
        </w:rPr>
        <w:t> </w:t>
      </w:r>
      <w:r>
        <w:rPr/>
        <w:t>perpetual</w:t>
      </w:r>
      <w:r>
        <w:rPr>
          <w:spacing w:val="-3"/>
        </w:rPr>
        <w:t> </w:t>
      </w:r>
      <w:r>
        <w:rPr/>
        <w:t>futures</w:t>
      </w:r>
      <w:r>
        <w:rPr>
          <w:spacing w:val="-3"/>
        </w:rPr>
        <w:t> </w:t>
      </w:r>
      <w:r>
        <w:rPr/>
        <w:t>never</w:t>
      </w:r>
      <w:r>
        <w:rPr>
          <w:spacing w:val="-3"/>
        </w:rPr>
        <w:t> </w:t>
      </w:r>
      <w:r>
        <w:rPr/>
        <w:t>expire</w:t>
      </w:r>
      <w:r>
        <w:rPr>
          <w:spacing w:val="-3"/>
        </w:rPr>
        <w:t> </w:t>
      </w:r>
      <w:r>
        <w:rPr/>
        <w:t>and use a funding rate with payments generally settled every eight hours to help keep the futures price in line with the spot price.</w:t>
      </w:r>
    </w:p>
    <w:p>
      <w:pPr>
        <w:pStyle w:val="BodyText"/>
        <w:spacing w:line="264" w:lineRule="auto" w:before="217"/>
        <w:ind w:left="720" w:right="1437" w:firstLine="15"/>
      </w:pPr>
      <w:r>
        <w:rPr/>
        <w:t>This</w:t>
      </w:r>
      <w:r>
        <w:rPr>
          <w:spacing w:val="-3"/>
        </w:rPr>
        <w:t> </w:t>
      </w:r>
      <w:r>
        <w:rPr/>
        <w:t>study</w:t>
      </w:r>
      <w:r>
        <w:rPr>
          <w:spacing w:val="-3"/>
        </w:rPr>
        <w:t> </w:t>
      </w:r>
      <w:r>
        <w:rPr/>
        <w:t>examines</w:t>
      </w:r>
      <w:r>
        <w:rPr>
          <w:spacing w:val="-3"/>
        </w:rPr>
        <w:t> </w:t>
      </w:r>
      <w:r>
        <w:rPr/>
        <w:t>whether</w:t>
      </w:r>
      <w:r>
        <w:rPr>
          <w:spacing w:val="-3"/>
        </w:rPr>
        <w:t> </w:t>
      </w:r>
      <w:r>
        <w:rPr/>
        <w:t>bitcoin</w:t>
      </w:r>
      <w:r>
        <w:rPr>
          <w:spacing w:val="-3"/>
        </w:rPr>
        <w:t> </w:t>
      </w:r>
      <w:r>
        <w:rPr/>
        <w:t>spot</w:t>
      </w:r>
      <w:r>
        <w:rPr>
          <w:spacing w:val="-3"/>
        </w:rPr>
        <w:t> </w:t>
      </w:r>
      <w:r>
        <w:rPr/>
        <w:t>prices</w:t>
      </w:r>
      <w:r>
        <w:rPr>
          <w:spacing w:val="-3"/>
        </w:rPr>
        <w:t> </w:t>
      </w:r>
      <w:r>
        <w:rPr/>
        <w:t>or</w:t>
      </w:r>
      <w:r>
        <w:rPr>
          <w:spacing w:val="-3"/>
        </w:rPr>
        <w:t> </w:t>
      </w:r>
      <w:r>
        <w:rPr/>
        <w:t>perpetual</w:t>
      </w:r>
      <w:r>
        <w:rPr>
          <w:spacing w:val="-3"/>
        </w:rPr>
        <w:t> </w:t>
      </w:r>
      <w:r>
        <w:rPr/>
        <w:t>futures</w:t>
      </w:r>
      <w:r>
        <w:rPr>
          <w:spacing w:val="-3"/>
        </w:rPr>
        <w:t> </w:t>
      </w:r>
      <w:r>
        <w:rPr/>
        <w:t>prices</w:t>
      </w:r>
      <w:r>
        <w:rPr>
          <w:spacing w:val="-3"/>
        </w:rPr>
        <w:t> </w:t>
      </w:r>
      <w:r>
        <w:rPr/>
        <w:t>can</w:t>
      </w:r>
      <w:r>
        <w:rPr>
          <w:spacing w:val="-3"/>
        </w:rPr>
        <w:t> </w:t>
      </w:r>
      <w:r>
        <w:rPr/>
        <w:t>be</w:t>
      </w:r>
      <w:r>
        <w:rPr>
          <w:spacing w:val="-3"/>
        </w:rPr>
        <w:t> </w:t>
      </w:r>
      <w:r>
        <w:rPr/>
        <w:t>used</w:t>
      </w:r>
      <w:r>
        <w:rPr>
          <w:spacing w:val="-3"/>
        </w:rPr>
        <w:t> </w:t>
      </w:r>
      <w:r>
        <w:rPr/>
        <w:t>to</w:t>
      </w:r>
      <w:r>
        <w:rPr>
          <w:spacing w:val="-3"/>
        </w:rPr>
        <w:t> </w:t>
      </w:r>
      <w:r>
        <w:rPr/>
        <w:t>predict the other. Using 5-minute price increments from January 2020 to November 2025, strong bidirectional</w:t>
      </w:r>
      <w:r>
        <w:rPr>
          <w:spacing w:val="-1"/>
        </w:rPr>
        <w:t> </w:t>
      </w:r>
      <w:r>
        <w:rPr/>
        <w:t>causality</w:t>
      </w:r>
      <w:r>
        <w:rPr>
          <w:spacing w:val="-1"/>
        </w:rPr>
        <w:t> </w:t>
      </w:r>
      <w:r>
        <w:rPr/>
        <w:t>is</w:t>
      </w:r>
      <w:r>
        <w:rPr>
          <w:spacing w:val="-1"/>
        </w:rPr>
        <w:t> </w:t>
      </w:r>
      <w:r>
        <w:rPr/>
        <w:t>found</w:t>
      </w:r>
      <w:r>
        <w:rPr>
          <w:spacing w:val="-1"/>
        </w:rPr>
        <w:t> </w:t>
      </w:r>
      <w:r>
        <w:rPr/>
        <w:t>based</w:t>
      </w:r>
      <w:r>
        <w:rPr>
          <w:spacing w:val="-1"/>
        </w:rPr>
        <w:t> </w:t>
      </w:r>
      <w:r>
        <w:rPr/>
        <w:t>on</w:t>
      </w:r>
      <w:r>
        <w:rPr>
          <w:spacing w:val="-1"/>
        </w:rPr>
        <w:t> </w:t>
      </w:r>
      <w:r>
        <w:rPr/>
        <w:t>Granger</w:t>
      </w:r>
      <w:r>
        <w:rPr>
          <w:spacing w:val="-1"/>
        </w:rPr>
        <w:t> </w:t>
      </w:r>
      <w:r>
        <w:rPr/>
        <w:t>(1969)</w:t>
      </w:r>
      <w:r>
        <w:rPr>
          <w:spacing w:val="-1"/>
        </w:rPr>
        <w:t> </w:t>
      </w:r>
      <w:r>
        <w:rPr/>
        <w:t>causality</w:t>
      </w:r>
      <w:r>
        <w:rPr>
          <w:spacing w:val="-1"/>
        </w:rPr>
        <w:t> </w:t>
      </w:r>
      <w:r>
        <w:rPr/>
        <w:t>tests</w:t>
      </w:r>
      <w:r>
        <w:rPr>
          <w:spacing w:val="-1"/>
        </w:rPr>
        <w:t> </w:t>
      </w:r>
      <w:r>
        <w:rPr/>
        <w:t>using</w:t>
      </w:r>
      <w:r>
        <w:rPr>
          <w:spacing w:val="-1"/>
        </w:rPr>
        <w:t> </w:t>
      </w:r>
      <w:r>
        <w:rPr/>
        <w:t>10</w:t>
      </w:r>
      <w:r>
        <w:rPr>
          <w:spacing w:val="-1"/>
        </w:rPr>
        <w:t> </w:t>
      </w:r>
      <w:r>
        <w:rPr/>
        <w:t>lags.</w:t>
      </w:r>
      <w:r>
        <w:rPr>
          <w:spacing w:val="-1"/>
        </w:rPr>
        <w:t> </w:t>
      </w:r>
      <w:r>
        <w:rPr/>
        <w:t>Spot</w:t>
      </w:r>
      <w:r>
        <w:rPr>
          <w:spacing w:val="-1"/>
        </w:rPr>
        <w:t> </w:t>
      </w:r>
      <w:r>
        <w:rPr/>
        <w:t>prices have immediate effects on perpetual futures, but perpetual futures have their strongest effect 35</w:t>
      </w:r>
      <w:r>
        <w:rPr>
          <w:spacing w:val="40"/>
        </w:rPr>
        <w:t> </w:t>
      </w:r>
      <w:r>
        <w:rPr/>
        <w:t>to 50 minutes earlier on spot prices. Due to the funding rate which is charged when the spot and perpetual futures price diverge, it is not clear at this time whether profitable trading rules can be created to take advantage of the bidirectional price discovery from these two financial instruments. Results have implications for investors, short-term traders, and both bitcoin and futures exchanges.</w:t>
      </w:r>
    </w:p>
    <w:p>
      <w:pPr>
        <w:pStyle w:val="BodyText"/>
        <w:spacing w:after="0" w:line="264" w:lineRule="auto"/>
        <w:sectPr>
          <w:pgSz w:w="12240" w:h="15840"/>
          <w:pgMar w:header="0" w:footer="714" w:top="620" w:bottom="960" w:left="720" w:right="0"/>
        </w:sectPr>
      </w:pPr>
    </w:p>
    <w:p>
      <w:pPr>
        <w:pStyle w:val="Heading3"/>
        <w:spacing w:line="244" w:lineRule="auto"/>
        <w:ind w:left="2959" w:right="1725" w:hanging="1895"/>
        <w:jc w:val="left"/>
      </w:pPr>
      <w:bookmarkStart w:name="Authenticity in Recruitment: Assessing t" w:id="140"/>
      <w:bookmarkEnd w:id="140"/>
      <w:r>
        <w:rPr>
          <w:b w:val="0"/>
        </w:rPr>
      </w:r>
      <w:r>
        <w:rPr/>
        <w:t>Authenticity</w:t>
      </w:r>
      <w:r>
        <w:rPr>
          <w:spacing w:val="-8"/>
        </w:rPr>
        <w:t> </w:t>
      </w:r>
      <w:r>
        <w:rPr/>
        <w:t>in</w:t>
      </w:r>
      <w:r>
        <w:rPr>
          <w:spacing w:val="-8"/>
        </w:rPr>
        <w:t> </w:t>
      </w:r>
      <w:r>
        <w:rPr/>
        <w:t>Recruitment:</w:t>
      </w:r>
      <w:r>
        <w:rPr>
          <w:spacing w:val="-8"/>
        </w:rPr>
        <w:t> </w:t>
      </w:r>
      <w:r>
        <w:rPr/>
        <w:t>Assessing</w:t>
      </w:r>
      <w:r>
        <w:rPr>
          <w:spacing w:val="-8"/>
        </w:rPr>
        <w:t> </w:t>
      </w:r>
      <w:r>
        <w:rPr/>
        <w:t>the</w:t>
      </w:r>
      <w:r>
        <w:rPr>
          <w:spacing w:val="-8"/>
        </w:rPr>
        <w:t> </w:t>
      </w:r>
      <w:r>
        <w:rPr/>
        <w:t>Accuracy</w:t>
      </w:r>
      <w:r>
        <w:rPr>
          <w:spacing w:val="-8"/>
        </w:rPr>
        <w:t> </w:t>
      </w:r>
      <w:r>
        <w:rPr/>
        <w:t>of</w:t>
      </w:r>
      <w:r>
        <w:rPr>
          <w:spacing w:val="-8"/>
        </w:rPr>
        <w:t> </w:t>
      </w:r>
      <w:r>
        <w:rPr/>
        <w:t>Career</w:t>
      </w:r>
      <w:r>
        <w:rPr>
          <w:spacing w:val="-8"/>
        </w:rPr>
        <w:t> </w:t>
      </w:r>
      <w:r>
        <w:rPr/>
        <w:t>Websites </w:t>
      </w:r>
      <w:bookmarkStart w:name="h.mwun3689o8aw" w:id="141"/>
      <w:bookmarkEnd w:id="141"/>
      <w:r>
        <w:rPr/>
        <w:t>i</w:t>
      </w:r>
      <w:r>
        <w:rPr/>
        <w:t>n Representing Organizational Cultures</w:t>
      </w:r>
    </w:p>
    <w:p>
      <w:pPr>
        <w:spacing w:before="228"/>
        <w:ind w:left="854" w:right="0" w:firstLine="0"/>
        <w:jc w:val="left"/>
        <w:rPr>
          <w:i/>
          <w:sz w:val="20"/>
        </w:rPr>
      </w:pPr>
      <w:r>
        <w:rPr>
          <w:i/>
          <w:sz w:val="20"/>
        </w:rPr>
        <w:t>Leah</w:t>
      </w:r>
      <w:r>
        <w:rPr>
          <w:i/>
          <w:spacing w:val="-9"/>
          <w:sz w:val="20"/>
        </w:rPr>
        <w:t> </w:t>
      </w:r>
      <w:r>
        <w:rPr>
          <w:i/>
          <w:sz w:val="20"/>
        </w:rPr>
        <w:t>Uteg,</w:t>
      </w:r>
      <w:r>
        <w:rPr>
          <w:i/>
          <w:spacing w:val="-7"/>
          <w:sz w:val="20"/>
        </w:rPr>
        <w:t> </w:t>
      </w:r>
      <w:r>
        <w:rPr>
          <w:i/>
          <w:sz w:val="20"/>
        </w:rPr>
        <w:t>Leslie</w:t>
      </w:r>
      <w:r>
        <w:rPr>
          <w:i/>
          <w:spacing w:val="-7"/>
          <w:sz w:val="20"/>
        </w:rPr>
        <w:t> </w:t>
      </w:r>
      <w:r>
        <w:rPr>
          <w:i/>
          <w:sz w:val="20"/>
        </w:rPr>
        <w:t>Goodman,</w:t>
      </w:r>
      <w:r>
        <w:rPr>
          <w:i/>
          <w:spacing w:val="-6"/>
          <w:sz w:val="20"/>
        </w:rPr>
        <w:t> </w:t>
      </w:r>
      <w:r>
        <w:rPr>
          <w:i/>
          <w:sz w:val="20"/>
        </w:rPr>
        <w:t>Niasia</w:t>
      </w:r>
      <w:r>
        <w:rPr>
          <w:i/>
          <w:spacing w:val="-7"/>
          <w:sz w:val="20"/>
        </w:rPr>
        <w:t> </w:t>
      </w:r>
      <w:r>
        <w:rPr>
          <w:i/>
          <w:sz w:val="20"/>
        </w:rPr>
        <w:t>Jones,</w:t>
      </w:r>
      <w:r>
        <w:rPr>
          <w:i/>
          <w:spacing w:val="-7"/>
          <w:sz w:val="20"/>
        </w:rPr>
        <w:t> </w:t>
      </w:r>
      <w:r>
        <w:rPr>
          <w:i/>
          <w:sz w:val="20"/>
        </w:rPr>
        <w:t>Delaney</w:t>
      </w:r>
      <w:r>
        <w:rPr>
          <w:i/>
          <w:spacing w:val="-6"/>
          <w:sz w:val="20"/>
        </w:rPr>
        <w:t> </w:t>
      </w:r>
      <w:r>
        <w:rPr>
          <w:i/>
          <w:sz w:val="20"/>
        </w:rPr>
        <w:t>Clark,</w:t>
      </w:r>
      <w:r>
        <w:rPr>
          <w:i/>
          <w:spacing w:val="-7"/>
          <w:sz w:val="20"/>
        </w:rPr>
        <w:t> </w:t>
      </w:r>
      <w:r>
        <w:rPr>
          <w:i/>
          <w:sz w:val="20"/>
        </w:rPr>
        <w:t>Tim</w:t>
      </w:r>
      <w:r>
        <w:rPr>
          <w:i/>
          <w:spacing w:val="-7"/>
          <w:sz w:val="20"/>
        </w:rPr>
        <w:t> </w:t>
      </w:r>
      <w:r>
        <w:rPr>
          <w:i/>
          <w:sz w:val="20"/>
        </w:rPr>
        <w:t>Huelsman,</w:t>
      </w:r>
      <w:r>
        <w:rPr>
          <w:i/>
          <w:spacing w:val="-7"/>
          <w:sz w:val="20"/>
        </w:rPr>
        <w:t> </w:t>
      </w:r>
      <w:r>
        <w:rPr>
          <w:i/>
          <w:sz w:val="20"/>
        </w:rPr>
        <w:t>Kristl</w:t>
      </w:r>
      <w:r>
        <w:rPr>
          <w:i/>
          <w:spacing w:val="-6"/>
          <w:sz w:val="20"/>
        </w:rPr>
        <w:t> </w:t>
      </w:r>
      <w:r>
        <w:rPr>
          <w:i/>
          <w:sz w:val="20"/>
        </w:rPr>
        <w:t>Davison</w:t>
      </w:r>
      <w:r>
        <w:rPr>
          <w:i/>
          <w:spacing w:val="-7"/>
          <w:sz w:val="20"/>
        </w:rPr>
        <w:t> </w:t>
      </w:r>
      <w:r>
        <w:rPr>
          <w:i/>
          <w:sz w:val="20"/>
        </w:rPr>
        <w:t>and</w:t>
      </w:r>
      <w:r>
        <w:rPr>
          <w:i/>
          <w:spacing w:val="-7"/>
          <w:sz w:val="20"/>
        </w:rPr>
        <w:t> </w:t>
      </w:r>
      <w:r>
        <w:rPr>
          <w:i/>
          <w:sz w:val="20"/>
        </w:rPr>
        <w:t>Jessica</w:t>
      </w:r>
      <w:r>
        <w:rPr>
          <w:i/>
          <w:spacing w:val="-6"/>
          <w:sz w:val="20"/>
        </w:rPr>
        <w:t> </w:t>
      </w:r>
      <w:r>
        <w:rPr>
          <w:i/>
          <w:spacing w:val="-4"/>
          <w:sz w:val="20"/>
        </w:rPr>
        <w:t>Doll</w:t>
      </w:r>
    </w:p>
    <w:p>
      <w:pPr>
        <w:pStyle w:val="BodyText"/>
        <w:spacing w:before="60"/>
        <w:rPr>
          <w:i/>
          <w:sz w:val="20"/>
        </w:rPr>
      </w:pPr>
    </w:p>
    <w:p>
      <w:pPr>
        <w:pStyle w:val="BodyText"/>
        <w:spacing w:line="237" w:lineRule="auto"/>
        <w:ind w:left="720" w:right="1425"/>
        <w:jc w:val="both"/>
      </w:pPr>
      <w:r>
        <w:rPr/>
        <w:t>Job seekers frequently use career websites and third-party platforms, such as Glassdoor,</w:t>
      </w:r>
      <w:r>
        <w:rPr>
          <w:spacing w:val="-4"/>
        </w:rPr>
        <w:t> </w:t>
      </w:r>
      <w:r>
        <w:rPr/>
        <w:t>Indeed, or Great Places to Work, to learn about an organization’s values</w:t>
      </w:r>
      <w:r>
        <w:rPr>
          <w:spacing w:val="-5"/>
        </w:rPr>
        <w:t> </w:t>
      </w:r>
      <w:r>
        <w:rPr/>
        <w:t>and</w:t>
      </w:r>
      <w:r>
        <w:rPr>
          <w:spacing w:val="-5"/>
        </w:rPr>
        <w:t> </w:t>
      </w:r>
      <w:r>
        <w:rPr/>
        <w:t>culture</w:t>
      </w:r>
      <w:r>
        <w:rPr>
          <w:spacing w:val="-5"/>
        </w:rPr>
        <w:t> </w:t>
      </w:r>
      <w:r>
        <w:rPr/>
        <w:t>(Smith</w:t>
      </w:r>
      <w:r>
        <w:rPr>
          <w:spacing w:val="-5"/>
        </w:rPr>
        <w:t> </w:t>
      </w:r>
      <w:r>
        <w:rPr/>
        <w:t>et</w:t>
      </w:r>
      <w:r>
        <w:rPr>
          <w:spacing w:val="-5"/>
        </w:rPr>
        <w:t> </w:t>
      </w:r>
      <w:r>
        <w:rPr/>
        <w:t>al.,</w:t>
      </w:r>
      <w:r>
        <w:rPr>
          <w:spacing w:val="-5"/>
        </w:rPr>
        <w:t> </w:t>
      </w:r>
      <w:r>
        <w:rPr/>
        <w:t>2022). This behavior, called organizational anticipatory socialization, is the process by which individuals gather information that shapes expectations and influences employment decisions. Research</w:t>
      </w:r>
      <w:r>
        <w:rPr>
          <w:spacing w:val="-4"/>
        </w:rPr>
        <w:t> </w:t>
      </w:r>
      <w:r>
        <w:rPr/>
        <w:t>indicates</w:t>
      </w:r>
      <w:r>
        <w:rPr>
          <w:spacing w:val="-4"/>
        </w:rPr>
        <w:t> </w:t>
      </w:r>
      <w:r>
        <w:rPr/>
        <w:t>that</w:t>
      </w:r>
      <w:r>
        <w:rPr>
          <w:spacing w:val="-4"/>
        </w:rPr>
        <w:t> </w:t>
      </w:r>
      <w:r>
        <w:rPr/>
        <w:t>organizations</w:t>
      </w:r>
      <w:r>
        <w:rPr>
          <w:spacing w:val="-4"/>
        </w:rPr>
        <w:t> </w:t>
      </w:r>
      <w:r>
        <w:rPr/>
        <w:t>use</w:t>
      </w:r>
      <w:r>
        <w:rPr>
          <w:spacing w:val="-4"/>
        </w:rPr>
        <w:t> </w:t>
      </w:r>
      <w:r>
        <w:rPr/>
        <w:t>their</w:t>
      </w:r>
      <w:r>
        <w:rPr>
          <w:spacing w:val="-4"/>
        </w:rPr>
        <w:t> </w:t>
      </w:r>
      <w:r>
        <w:rPr/>
        <w:t>own</w:t>
      </w:r>
      <w:r>
        <w:rPr>
          <w:spacing w:val="-4"/>
        </w:rPr>
        <w:t> </w:t>
      </w:r>
      <w:r>
        <w:rPr/>
        <w:t>websites</w:t>
      </w:r>
      <w:r>
        <w:rPr>
          <w:spacing w:val="-4"/>
        </w:rPr>
        <w:t> </w:t>
      </w:r>
      <w:r>
        <w:rPr/>
        <w:t>to</w:t>
      </w:r>
      <w:r>
        <w:rPr>
          <w:spacing w:val="-4"/>
        </w:rPr>
        <w:t> </w:t>
      </w:r>
      <w:r>
        <w:rPr/>
        <w:t>convey</w:t>
      </w:r>
      <w:r>
        <w:rPr>
          <w:spacing w:val="-4"/>
        </w:rPr>
        <w:t> </w:t>
      </w:r>
      <w:r>
        <w:rPr/>
        <w:t>culture,</w:t>
      </w:r>
      <w:r>
        <w:rPr>
          <w:spacing w:val="-4"/>
        </w:rPr>
        <w:t> </w:t>
      </w:r>
      <w:r>
        <w:rPr/>
        <w:t>yet</w:t>
      </w:r>
      <w:r>
        <w:rPr>
          <w:spacing w:val="-4"/>
        </w:rPr>
        <w:t> </w:t>
      </w:r>
      <w:r>
        <w:rPr/>
        <w:t>little</w:t>
      </w:r>
      <w:r>
        <w:rPr>
          <w:spacing w:val="-4"/>
        </w:rPr>
        <w:t> </w:t>
      </w:r>
      <w:r>
        <w:rPr/>
        <w:t>is</w:t>
      </w:r>
      <w:r>
        <w:rPr>
          <w:spacing w:val="-4"/>
        </w:rPr>
        <w:t> </w:t>
      </w:r>
      <w:r>
        <w:rPr/>
        <w:t>known about how these portrayals align with employees’ actual</w:t>
      </w:r>
      <w:r>
        <w:rPr>
          <w:spacing w:val="-4"/>
        </w:rPr>
        <w:t> </w:t>
      </w:r>
      <w:r>
        <w:rPr/>
        <w:t>experiences</w:t>
      </w:r>
      <w:r>
        <w:rPr>
          <w:spacing w:val="-4"/>
        </w:rPr>
        <w:t> </w:t>
      </w:r>
      <w:r>
        <w:rPr/>
        <w:t>(Smith</w:t>
      </w:r>
      <w:r>
        <w:rPr>
          <w:spacing w:val="-4"/>
        </w:rPr>
        <w:t> </w:t>
      </w:r>
      <w:r>
        <w:rPr/>
        <w:t>et</w:t>
      </w:r>
      <w:r>
        <w:rPr>
          <w:spacing w:val="-4"/>
        </w:rPr>
        <w:t> </w:t>
      </w:r>
      <w:r>
        <w:rPr/>
        <w:t>al.,</w:t>
      </w:r>
      <w:r>
        <w:rPr>
          <w:spacing w:val="-4"/>
        </w:rPr>
        <w:t> </w:t>
      </w:r>
      <w:r>
        <w:rPr/>
        <w:t>2022).</w:t>
      </w:r>
      <w:r>
        <w:rPr>
          <w:spacing w:val="-4"/>
        </w:rPr>
        <w:t> </w:t>
      </w:r>
      <w:r>
        <w:rPr/>
        <w:t>Career websites are a primary tool for employer brand development, using visuals, messaging, and design</w:t>
      </w:r>
      <w:r>
        <w:rPr>
          <w:spacing w:val="-4"/>
        </w:rPr>
        <w:t> </w:t>
      </w:r>
      <w:r>
        <w:rPr/>
        <w:t>consistency</w:t>
      </w:r>
      <w:r>
        <w:rPr>
          <w:spacing w:val="-4"/>
        </w:rPr>
        <w:t> </w:t>
      </w:r>
      <w:r>
        <w:rPr/>
        <w:t>to</w:t>
      </w:r>
      <w:r>
        <w:rPr>
          <w:spacing w:val="-4"/>
        </w:rPr>
        <w:t> </w:t>
      </w:r>
      <w:r>
        <w:rPr/>
        <w:t>shape</w:t>
      </w:r>
      <w:r>
        <w:rPr>
          <w:spacing w:val="-4"/>
        </w:rPr>
        <w:t> </w:t>
      </w:r>
      <w:r>
        <w:rPr/>
        <w:t>job</w:t>
      </w:r>
      <w:r>
        <w:rPr>
          <w:spacing w:val="-4"/>
        </w:rPr>
        <w:t> </w:t>
      </w:r>
      <w:r>
        <w:rPr/>
        <w:t>seekers’</w:t>
      </w:r>
      <w:r>
        <w:rPr>
          <w:spacing w:val="-4"/>
        </w:rPr>
        <w:t> </w:t>
      </w:r>
      <w:r>
        <w:rPr/>
        <w:t>perceptions</w:t>
      </w:r>
      <w:r>
        <w:rPr>
          <w:spacing w:val="-4"/>
        </w:rPr>
        <w:t> </w:t>
      </w:r>
      <w:r>
        <w:rPr/>
        <w:t>of</w:t>
      </w:r>
      <w:r>
        <w:rPr>
          <w:spacing w:val="-4"/>
        </w:rPr>
        <w:t> </w:t>
      </w:r>
      <w:r>
        <w:rPr/>
        <w:t>organizational</w:t>
      </w:r>
      <w:r>
        <w:rPr>
          <w:spacing w:val="-4"/>
        </w:rPr>
        <w:t> </w:t>
      </w:r>
      <w:r>
        <w:rPr/>
        <w:t>culture</w:t>
      </w:r>
      <w:r>
        <w:rPr>
          <w:spacing w:val="-4"/>
        </w:rPr>
        <w:t> </w:t>
      </w:r>
      <w:r>
        <w:rPr/>
        <w:t>(Cober</w:t>
      </w:r>
      <w:r>
        <w:rPr>
          <w:spacing w:val="-4"/>
        </w:rPr>
        <w:t> </w:t>
      </w:r>
      <w:r>
        <w:rPr/>
        <w:t>et</w:t>
      </w:r>
      <w:r>
        <w:rPr>
          <w:spacing w:val="-4"/>
        </w:rPr>
        <w:t> </w:t>
      </w:r>
      <w:r>
        <w:rPr/>
        <w:t>al.,</w:t>
      </w:r>
      <w:r>
        <w:rPr>
          <w:spacing w:val="-4"/>
        </w:rPr>
        <w:t> </w:t>
      </w:r>
      <w:r>
        <w:rPr/>
        <w:t>2004; Gunesh &amp; Maheshwari, 2019). When websites present cohesive designs, job seekers respond more positively, but inaccurate portrayals risk misrepresenting employees and weakening trust (Gunesh &amp; Maheshwari, 2018). Despite their importance, research on the authenticity of career website messaging remains limited.</w:t>
      </w:r>
    </w:p>
    <w:p>
      <w:pPr>
        <w:pStyle w:val="BodyText"/>
        <w:spacing w:line="237" w:lineRule="auto" w:before="270"/>
        <w:ind w:left="720" w:right="1319"/>
        <w:jc w:val="both"/>
      </w:pPr>
      <w:r>
        <w:rPr/>
        <w:t>This study addresses a critical gap between how organizations present values on</w:t>
      </w:r>
      <w:r>
        <w:rPr>
          <w:spacing w:val="-3"/>
        </w:rPr>
        <w:t> </w:t>
      </w:r>
      <w:r>
        <w:rPr/>
        <w:t>their</w:t>
      </w:r>
      <w:r>
        <w:rPr>
          <w:spacing w:val="-3"/>
        </w:rPr>
        <w:t> </w:t>
      </w:r>
      <w:r>
        <w:rPr/>
        <w:t>own</w:t>
      </w:r>
      <w:r>
        <w:rPr>
          <w:spacing w:val="-3"/>
        </w:rPr>
        <w:t> </w:t>
      </w:r>
      <w:r>
        <w:rPr/>
        <w:t>career websites and how effectively these representations reflect authentic culture. Misalignment</w:t>
      </w:r>
      <w:r>
        <w:rPr>
          <w:spacing w:val="40"/>
        </w:rPr>
        <w:t> </w:t>
      </w:r>
      <w:r>
        <w:rPr/>
        <w:t>between online messaging and workplace reality can create dissatisfaction and misfit (Gunesh &amp; Maheshwari, 2019; Human Resource Management International Digest, 2019). Experimental studies further highlight how website design and messaging significantly influence applicant perceptions (Lee et al., 2020), while person–environment fit research stresses that both objective and perceived alignment matter for decision making (Kaur &amp; Dubey, 2014). New job seekers</w:t>
      </w:r>
      <w:r>
        <w:rPr>
          <w:spacing w:val="40"/>
        </w:rPr>
        <w:t> </w:t>
      </w:r>
      <w:r>
        <w:rPr/>
        <w:t>often turn to these sites to clarify uncertainties and gauge culture, so accuracy is crucial for aligning values and expectations (Smith et al., 2022). Accuracy is key to improving recruitment, retention, and organizational culture practices.</w:t>
      </w:r>
    </w:p>
    <w:p>
      <w:pPr>
        <w:pStyle w:val="BodyText"/>
        <w:spacing w:before="5"/>
      </w:pPr>
    </w:p>
    <w:p>
      <w:pPr>
        <w:pStyle w:val="BodyText"/>
        <w:spacing w:before="1"/>
        <w:ind w:left="720" w:right="1413"/>
        <w:jc w:val="both"/>
      </w:pPr>
      <w:r>
        <w:rPr/>
        <w:t>To examine this issue, this study will be piloted with college students and faculty at a mid-size university in the Southeastern U.S. After viewing company websites, the study will ask the students to evaluate the culture through a survey based on culture dimensions</w:t>
      </w:r>
      <w:r>
        <w:rPr>
          <w:spacing w:val="-3"/>
        </w:rPr>
        <w:t> </w:t>
      </w:r>
      <w:r>
        <w:rPr/>
        <w:t>from</w:t>
      </w:r>
      <w:r>
        <w:rPr>
          <w:spacing w:val="-3"/>
        </w:rPr>
        <w:t> </w:t>
      </w:r>
      <w:r>
        <w:rPr/>
        <w:t>Culture</w:t>
      </w:r>
      <w:r>
        <w:rPr>
          <w:spacing w:val="-3"/>
        </w:rPr>
        <w:t> </w:t>
      </w:r>
      <w:r>
        <w:rPr/>
        <w:t>500. After doing so, the study will seek to compare the participants perceptions with those who are part of the organization as reported on third-party sites such as Glassdoor. Once the survey is piloted and validated, the study can be tested with a wider range of participants.</w:t>
      </w:r>
    </w:p>
    <w:p>
      <w:pPr>
        <w:pStyle w:val="BodyText"/>
        <w:spacing w:before="252"/>
      </w:pPr>
    </w:p>
    <w:p>
      <w:pPr>
        <w:spacing w:before="1"/>
        <w:ind w:left="720" w:right="0" w:firstLine="0"/>
        <w:jc w:val="left"/>
        <w:rPr>
          <w:sz w:val="22"/>
        </w:rPr>
      </w:pPr>
      <w:r>
        <w:rPr>
          <w:spacing w:val="-2"/>
          <w:sz w:val="22"/>
        </w:rPr>
        <w:t>References</w:t>
      </w:r>
    </w:p>
    <w:p>
      <w:pPr>
        <w:spacing w:before="252"/>
        <w:ind w:left="1455" w:right="1585" w:hanging="705"/>
        <w:jc w:val="both"/>
        <w:rPr>
          <w:sz w:val="22"/>
        </w:rPr>
      </w:pPr>
      <w:r>
        <w:rPr>
          <w:sz w:val="22"/>
        </w:rPr>
        <w:t>Cober, R. T., Brown, D. J., Keeping, L. M., &amp; Levy, P. E. (2004). Recruitment on the net: How do organizational website characteristics influence. </w:t>
      </w:r>
      <w:r>
        <w:rPr>
          <w:i/>
          <w:sz w:val="22"/>
        </w:rPr>
        <w:t>Journal of Management</w:t>
      </w:r>
      <w:r>
        <w:rPr>
          <w:sz w:val="22"/>
        </w:rPr>
        <w:t>, </w:t>
      </w:r>
      <w:r>
        <w:rPr>
          <w:i/>
          <w:sz w:val="22"/>
        </w:rPr>
        <w:t>30</w:t>
      </w:r>
      <w:r>
        <w:rPr>
          <w:sz w:val="22"/>
        </w:rPr>
        <w:t>(5), 623–646. </w:t>
      </w:r>
      <w:hyperlink r:id="rId303">
        <w:r>
          <w:rPr>
            <w:spacing w:val="-2"/>
            <w:sz w:val="22"/>
          </w:rPr>
          <w:t>https://doi.org/10.1016/j.jm.2004.03.001</w:t>
        </w:r>
      </w:hyperlink>
    </w:p>
    <w:p>
      <w:pPr>
        <w:tabs>
          <w:tab w:pos="3662" w:val="left" w:leader="none"/>
          <w:tab w:pos="5897" w:val="left" w:leader="none"/>
          <w:tab w:pos="7601" w:val="left" w:leader="none"/>
          <w:tab w:pos="9207" w:val="left" w:leader="none"/>
        </w:tabs>
        <w:spacing w:before="1"/>
        <w:ind w:left="1425" w:right="1705" w:hanging="705"/>
        <w:jc w:val="both"/>
        <w:rPr>
          <w:sz w:val="22"/>
        </w:rPr>
      </w:pPr>
      <w:r>
        <w:rPr>
          <w:sz w:val="22"/>
        </w:rPr>
        <w:t>Advertising through recruitment: How banks utilize career websites. (2019). </w:t>
      </w:r>
      <w:r>
        <w:rPr>
          <w:i/>
          <w:sz w:val="22"/>
        </w:rPr>
        <w:t>Human Resource</w:t>
      </w:r>
      <w:r>
        <w:rPr>
          <w:i/>
          <w:sz w:val="22"/>
        </w:rPr>
        <w:t> </w:t>
      </w:r>
      <w:r>
        <w:rPr>
          <w:i/>
          <w:spacing w:val="-2"/>
          <w:sz w:val="22"/>
        </w:rPr>
        <w:t>Management</w:t>
      </w:r>
      <w:r>
        <w:rPr>
          <w:i/>
          <w:sz w:val="22"/>
        </w:rPr>
        <w:tab/>
      </w:r>
      <w:r>
        <w:rPr>
          <w:i/>
          <w:spacing w:val="-2"/>
          <w:sz w:val="22"/>
        </w:rPr>
        <w:t>International</w:t>
      </w:r>
      <w:r>
        <w:rPr>
          <w:i/>
          <w:sz w:val="22"/>
        </w:rPr>
        <w:tab/>
      </w:r>
      <w:r>
        <w:rPr>
          <w:i/>
          <w:spacing w:val="-2"/>
          <w:sz w:val="22"/>
        </w:rPr>
        <w:t>Digest,</w:t>
      </w:r>
      <w:r>
        <w:rPr>
          <w:i/>
          <w:sz w:val="22"/>
        </w:rPr>
        <w:tab/>
      </w:r>
      <w:r>
        <w:rPr>
          <w:i/>
          <w:spacing w:val="-2"/>
          <w:sz w:val="22"/>
        </w:rPr>
        <w:t>27</w:t>
      </w:r>
      <w:r>
        <w:rPr>
          <w:spacing w:val="-2"/>
          <w:sz w:val="22"/>
        </w:rPr>
        <w:t>(6),</w:t>
      </w:r>
      <w:r>
        <w:rPr>
          <w:sz w:val="22"/>
        </w:rPr>
        <w:tab/>
      </w:r>
      <w:r>
        <w:rPr>
          <w:spacing w:val="-2"/>
          <w:sz w:val="22"/>
        </w:rPr>
        <w:t>22–</w:t>
      </w:r>
      <w:r>
        <w:rPr>
          <w:spacing w:val="-2"/>
          <w:sz w:val="22"/>
        </w:rPr>
        <w:t>24. </w:t>
      </w:r>
      <w:hyperlink r:id="rId304">
        <w:r>
          <w:rPr>
            <w:spacing w:val="-2"/>
            <w:sz w:val="22"/>
            <w:u w:val="thick"/>
          </w:rPr>
          <w:t>https://doi.org/10.1108/HRMID-05-2019-0151</w:t>
        </w:r>
      </w:hyperlink>
    </w:p>
    <w:p>
      <w:pPr>
        <w:spacing w:before="0"/>
        <w:ind w:left="1440" w:right="1436" w:hanging="690"/>
        <w:jc w:val="both"/>
        <w:rPr>
          <w:sz w:val="22"/>
        </w:rPr>
      </w:pPr>
      <w:r>
        <w:rPr>
          <w:sz w:val="22"/>
        </w:rPr>
        <w:t>Gunesh, P., &amp; Maheshwari, V. (2019). Role of organizational career websites for employer brand development. </w:t>
      </w:r>
      <w:r>
        <w:rPr>
          <w:i/>
          <w:sz w:val="22"/>
        </w:rPr>
        <w:t>International Journal of Organizational Analysis, 27</w:t>
      </w:r>
      <w:r>
        <w:rPr>
          <w:sz w:val="22"/>
        </w:rPr>
        <w:t>(1), 149–168. </w:t>
      </w:r>
      <w:hyperlink r:id="rId305">
        <w:r>
          <w:rPr>
            <w:spacing w:val="-2"/>
            <w:sz w:val="22"/>
            <w:u w:val="thick"/>
          </w:rPr>
          <w:t>https://doi.org/10.1108/IJOA-01-2018-1327</w:t>
        </w:r>
      </w:hyperlink>
    </w:p>
    <w:p>
      <w:pPr>
        <w:spacing w:before="0"/>
        <w:ind w:left="1440" w:right="1458" w:hanging="720"/>
        <w:jc w:val="both"/>
        <w:rPr>
          <w:sz w:val="22"/>
        </w:rPr>
      </w:pPr>
      <w:r>
        <w:rPr>
          <w:sz w:val="22"/>
        </w:rPr>
        <w:t>Kaur, T., &amp; Dubey, R. K. (2014). Employee Reviews on Company Independent Sites and Its Impact on Organizational Attractiveness: Role of Information Realism, Person -- Environment Fit and Source Credibility Framework. </w:t>
      </w:r>
      <w:r>
        <w:rPr>
          <w:i/>
          <w:sz w:val="22"/>
        </w:rPr>
        <w:t>Business: Theory &amp; Practice</w:t>
      </w:r>
      <w:r>
        <w:rPr>
          <w:sz w:val="22"/>
        </w:rPr>
        <w:t>, </w:t>
      </w:r>
      <w:r>
        <w:rPr>
          <w:i/>
          <w:sz w:val="22"/>
        </w:rPr>
        <w:t>15</w:t>
      </w:r>
      <w:r>
        <w:rPr>
          <w:sz w:val="22"/>
        </w:rPr>
        <w:t>(4), 390–397. </w:t>
      </w:r>
      <w:hyperlink r:id="rId306">
        <w:r>
          <w:rPr>
            <w:spacing w:val="-2"/>
            <w:sz w:val="22"/>
          </w:rPr>
          <w:t>https://doi.org/10.3846/btp.2014.404</w:t>
        </w:r>
      </w:hyperlink>
    </w:p>
    <w:p>
      <w:pPr>
        <w:spacing w:after="0"/>
        <w:jc w:val="both"/>
        <w:rPr>
          <w:sz w:val="22"/>
        </w:rPr>
        <w:sectPr>
          <w:pgSz w:w="12240" w:h="15840"/>
          <w:pgMar w:header="0" w:footer="714" w:top="640" w:bottom="960" w:left="720" w:right="0"/>
        </w:sectPr>
      </w:pPr>
    </w:p>
    <w:p>
      <w:pPr>
        <w:spacing w:before="80"/>
        <w:ind w:left="1440" w:right="1700" w:hanging="720"/>
        <w:jc w:val="both"/>
        <w:rPr>
          <w:sz w:val="22"/>
        </w:rPr>
      </w:pPr>
      <w:r>
        <w:rPr>
          <w:sz w:val="22"/>
        </w:rPr>
        <w:t>Lee, L., Guzzo, R. F., Madera, J. M., &amp; Guchait, P. (2020). Examining applicant online recruitment: The use of fictitious websites in experimental studies. </w:t>
      </w:r>
      <w:r>
        <w:rPr>
          <w:i/>
          <w:sz w:val="22"/>
        </w:rPr>
        <w:t>Cornell Hospitality Quarterly</w:t>
      </w:r>
      <w:r>
        <w:rPr>
          <w:sz w:val="22"/>
        </w:rPr>
        <w:t>, </w:t>
      </w:r>
      <w:r>
        <w:rPr>
          <w:i/>
          <w:sz w:val="22"/>
        </w:rPr>
        <w:t>62</w:t>
      </w:r>
      <w:r>
        <w:rPr>
          <w:sz w:val="22"/>
        </w:rPr>
        <w:t>(1), 76–88. </w:t>
      </w:r>
      <w:hyperlink r:id="rId307">
        <w:r>
          <w:rPr>
            <w:sz w:val="22"/>
          </w:rPr>
          <w:t>https://doi.org/10.1177/1938965520965223</w:t>
        </w:r>
      </w:hyperlink>
    </w:p>
    <w:p>
      <w:pPr>
        <w:spacing w:before="57"/>
        <w:ind w:left="1440" w:right="2031" w:hanging="690"/>
        <w:jc w:val="both"/>
        <w:rPr>
          <w:sz w:val="22"/>
        </w:rPr>
      </w:pPr>
      <w:r>
        <w:rPr>
          <w:sz w:val="22"/>
        </w:rPr>
        <w:t>Smith, S. A., Piercy, C.,</w:t>
      </w:r>
      <w:r>
        <w:rPr>
          <w:spacing w:val="-6"/>
          <w:sz w:val="22"/>
        </w:rPr>
        <w:t> </w:t>
      </w:r>
      <w:r>
        <w:rPr>
          <w:sz w:val="22"/>
        </w:rPr>
        <w:t>&amp;</w:t>
      </w:r>
      <w:r>
        <w:rPr>
          <w:spacing w:val="-6"/>
          <w:sz w:val="22"/>
        </w:rPr>
        <w:t> </w:t>
      </w:r>
      <w:r>
        <w:rPr>
          <w:sz w:val="22"/>
        </w:rPr>
        <w:t>Zhu,</w:t>
      </w:r>
      <w:r>
        <w:rPr>
          <w:spacing w:val="-6"/>
          <w:sz w:val="22"/>
        </w:rPr>
        <w:t> </w:t>
      </w:r>
      <w:r>
        <w:rPr>
          <w:sz w:val="22"/>
        </w:rPr>
        <w:t>Y.</w:t>
      </w:r>
      <w:r>
        <w:rPr>
          <w:spacing w:val="-6"/>
          <w:sz w:val="22"/>
        </w:rPr>
        <w:t> </w:t>
      </w:r>
      <w:r>
        <w:rPr>
          <w:sz w:val="22"/>
        </w:rPr>
        <w:t>(2022).</w:t>
      </w:r>
      <w:r>
        <w:rPr>
          <w:spacing w:val="-6"/>
          <w:sz w:val="22"/>
        </w:rPr>
        <w:t> </w:t>
      </w:r>
      <w:r>
        <w:rPr>
          <w:sz w:val="22"/>
        </w:rPr>
        <w:t>Exploring</w:t>
      </w:r>
      <w:r>
        <w:rPr>
          <w:spacing w:val="-6"/>
          <w:sz w:val="22"/>
        </w:rPr>
        <w:t> </w:t>
      </w:r>
      <w:r>
        <w:rPr>
          <w:sz w:val="22"/>
        </w:rPr>
        <w:t>Early-Career</w:t>
      </w:r>
      <w:r>
        <w:rPr>
          <w:spacing w:val="-6"/>
          <w:sz w:val="22"/>
        </w:rPr>
        <w:t> </w:t>
      </w:r>
      <w:r>
        <w:rPr>
          <w:sz w:val="22"/>
        </w:rPr>
        <w:t>Job</w:t>
      </w:r>
      <w:r>
        <w:rPr>
          <w:spacing w:val="-6"/>
          <w:sz w:val="22"/>
        </w:rPr>
        <w:t> </w:t>
      </w:r>
      <w:r>
        <w:rPr>
          <w:sz w:val="22"/>
        </w:rPr>
        <w:t>Seekers’</w:t>
      </w:r>
      <w:r>
        <w:rPr>
          <w:spacing w:val="-6"/>
          <w:sz w:val="22"/>
        </w:rPr>
        <w:t> </w:t>
      </w:r>
      <w:r>
        <w:rPr>
          <w:sz w:val="22"/>
        </w:rPr>
        <w:t>online</w:t>
      </w:r>
      <w:r>
        <w:rPr>
          <w:spacing w:val="-6"/>
          <w:sz w:val="22"/>
        </w:rPr>
        <w:t> </w:t>
      </w:r>
      <w:r>
        <w:rPr>
          <w:sz w:val="22"/>
        </w:rPr>
        <w:t>uncertainty management. </w:t>
      </w:r>
      <w:r>
        <w:rPr>
          <w:i/>
          <w:sz w:val="22"/>
        </w:rPr>
        <w:t>International Journal of Business Communication</w:t>
      </w:r>
      <w:r>
        <w:rPr>
          <w:sz w:val="22"/>
        </w:rPr>
        <w:t>, </w:t>
      </w:r>
      <w:r>
        <w:rPr>
          <w:i/>
          <w:sz w:val="22"/>
        </w:rPr>
        <w:t>60</w:t>
      </w:r>
      <w:r>
        <w:rPr>
          <w:sz w:val="22"/>
        </w:rPr>
        <w:t>(2), 611–634. </w:t>
      </w:r>
      <w:hyperlink r:id="rId308">
        <w:r>
          <w:rPr>
            <w:spacing w:val="-2"/>
            <w:sz w:val="22"/>
          </w:rPr>
          <w:t>https://doi.org/10.1177/23294884221096673</w:t>
        </w:r>
      </w:hyperlink>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0"/>
        <w:rPr>
          <w:sz w:val="22"/>
        </w:rPr>
      </w:pPr>
    </w:p>
    <w:p>
      <w:pPr>
        <w:pStyle w:val="Heading3"/>
        <w:spacing w:before="0"/>
        <w:ind w:left="1372" w:right="0"/>
        <w:jc w:val="left"/>
      </w:pPr>
      <w:bookmarkStart w:name="Methodologies for Generating Passive Inc" w:id="142"/>
      <w:bookmarkEnd w:id="142"/>
      <w:r>
        <w:rPr>
          <w:b w:val="0"/>
        </w:rPr>
      </w:r>
      <w:bookmarkStart w:name="h.ilzzq58vhxxz" w:id="143"/>
      <w:bookmarkEnd w:id="143"/>
      <w:r>
        <w:rPr>
          <w:b w:val="0"/>
        </w:rPr>
      </w:r>
      <w:r>
        <w:rPr/>
        <w:t>Methodologies</w:t>
      </w:r>
      <w:r>
        <w:rPr>
          <w:spacing w:val="-7"/>
        </w:rPr>
        <w:t> </w:t>
      </w:r>
      <w:r>
        <w:rPr/>
        <w:t>for</w:t>
      </w:r>
      <w:r>
        <w:rPr>
          <w:spacing w:val="-6"/>
        </w:rPr>
        <w:t> </w:t>
      </w:r>
      <w:r>
        <w:rPr/>
        <w:t>Generating</w:t>
      </w:r>
      <w:r>
        <w:rPr>
          <w:spacing w:val="-6"/>
        </w:rPr>
        <w:t> </w:t>
      </w:r>
      <w:r>
        <w:rPr/>
        <w:t>P</w:t>
      </w:r>
      <w:bookmarkStart w:name=" " w:id="144"/>
      <w:bookmarkEnd w:id="144"/>
      <w:r>
        <w:rPr>
          <w:spacing w:val="-1"/>
        </w:rPr>
      </w:r>
      <w:bookmarkStart w:name=" " w:id="145"/>
      <w:bookmarkEnd w:id="145"/>
      <w:r>
        <w:rPr>
          <w:spacing w:val="-1"/>
        </w:rPr>
      </w:r>
      <w:bookmarkStart w:name=" " w:id="146"/>
      <w:bookmarkEnd w:id="146"/>
      <w:r>
        <w:rPr/>
        <w:t>a</w:t>
      </w:r>
      <w:r>
        <w:rPr/>
        <w:t>ssive</w:t>
      </w:r>
      <w:r>
        <w:rPr>
          <w:spacing w:val="-6"/>
        </w:rPr>
        <w:t> </w:t>
      </w:r>
      <w:r>
        <w:rPr/>
        <w:t>Income</w:t>
      </w:r>
      <w:r>
        <w:rPr>
          <w:spacing w:val="-6"/>
        </w:rPr>
        <w:t> </w:t>
      </w:r>
      <w:r>
        <w:rPr/>
        <w:t>as</w:t>
      </w:r>
      <w:r>
        <w:rPr>
          <w:spacing w:val="-6"/>
        </w:rPr>
        <w:t> </w:t>
      </w:r>
      <w:r>
        <w:rPr/>
        <w:t>a</w:t>
      </w:r>
      <w:r>
        <w:rPr>
          <w:spacing w:val="-6"/>
        </w:rPr>
        <w:t> </w:t>
      </w:r>
      <w:r>
        <w:rPr/>
        <w:t>Digital</w:t>
      </w:r>
      <w:r>
        <w:rPr>
          <w:spacing w:val="-6"/>
        </w:rPr>
        <w:t> </w:t>
      </w:r>
      <w:r>
        <w:rPr>
          <w:spacing w:val="-2"/>
        </w:rPr>
        <w:t>Artist</w:t>
      </w:r>
    </w:p>
    <w:p>
      <w:pPr>
        <w:pStyle w:val="BodyText"/>
        <w:spacing w:before="291"/>
        <w:ind w:left="3874" w:right="4460" w:firstLine="798"/>
      </w:pPr>
      <w:r>
        <w:rPr/>
        <w:t>Walker, Levi S. Department of Digital Media East</w:t>
      </w:r>
      <w:r>
        <w:rPr>
          <w:spacing w:val="-15"/>
        </w:rPr>
        <w:t> </w:t>
      </w:r>
      <w:r>
        <w:rPr/>
        <w:t>Tennessee</w:t>
      </w:r>
      <w:r>
        <w:rPr>
          <w:spacing w:val="-15"/>
        </w:rPr>
        <w:t> </w:t>
      </w:r>
      <w:r>
        <w:rPr/>
        <w:t>State</w:t>
      </w:r>
      <w:r>
        <w:rPr>
          <w:spacing w:val="-15"/>
        </w:rPr>
        <w:t> </w:t>
      </w:r>
      <w:r>
        <w:rPr/>
        <w:t>University</w:t>
      </w:r>
    </w:p>
    <w:p>
      <w:pPr>
        <w:pStyle w:val="BodyText"/>
        <w:ind w:left="2855" w:right="3566"/>
        <w:jc w:val="center"/>
      </w:pPr>
      <w:r>
        <w:rPr/>
        <w:t>ETSU</w:t>
      </w:r>
      <w:r>
        <w:rPr>
          <w:spacing w:val="-7"/>
        </w:rPr>
        <w:t> </w:t>
      </w:r>
      <w:r>
        <w:rPr/>
        <w:t>Scott</w:t>
      </w:r>
      <w:r>
        <w:rPr>
          <w:spacing w:val="-7"/>
        </w:rPr>
        <w:t> </w:t>
      </w:r>
      <w:r>
        <w:rPr/>
        <w:t>M.</w:t>
      </w:r>
      <w:r>
        <w:rPr>
          <w:spacing w:val="-7"/>
        </w:rPr>
        <w:t> </w:t>
      </w:r>
      <w:r>
        <w:rPr/>
        <w:t>Niswonger</w:t>
      </w:r>
      <w:r>
        <w:rPr>
          <w:spacing w:val="-7"/>
        </w:rPr>
        <w:t> </w:t>
      </w:r>
      <w:r>
        <w:rPr/>
        <w:t>Digital</w:t>
      </w:r>
      <w:r>
        <w:rPr>
          <w:spacing w:val="-7"/>
        </w:rPr>
        <w:t> </w:t>
      </w:r>
      <w:r>
        <w:rPr/>
        <w:t>Media</w:t>
      </w:r>
      <w:r>
        <w:rPr>
          <w:spacing w:val="-7"/>
        </w:rPr>
        <w:t> </w:t>
      </w:r>
      <w:r>
        <w:rPr/>
        <w:t>Center 2001 Millenium Place</w:t>
      </w:r>
    </w:p>
    <w:p>
      <w:pPr>
        <w:pStyle w:val="BodyText"/>
        <w:ind w:left="3916" w:right="4574" w:hanging="39"/>
        <w:jc w:val="center"/>
      </w:pPr>
      <w:r>
        <w:rPr/>
        <w:t>Johnson City, TN 37604 </w:t>
      </w:r>
      <w:hyperlink r:id="rId309">
        <w:r>
          <w:rPr>
            <w:spacing w:val="-2"/>
          </w:rPr>
          <w:t>levistone01@gmail.com</w:t>
        </w:r>
      </w:hyperlink>
      <w:r>
        <w:rPr>
          <w:spacing w:val="-2"/>
        </w:rPr>
        <w:t> </w:t>
      </w:r>
      <w:r>
        <w:rPr/>
        <w:t>304.573.0293</w:t>
      </w:r>
      <w:r>
        <w:rPr>
          <w:spacing w:val="-15"/>
        </w:rPr>
        <w:t> </w:t>
      </w:r>
      <w:r>
        <w:rPr/>
        <w:t>(Contact</w:t>
      </w:r>
      <w:r>
        <w:rPr>
          <w:spacing w:val="-15"/>
        </w:rPr>
        <w:t> </w:t>
      </w:r>
      <w:r>
        <w:rPr/>
        <w:t>Author)</w:t>
      </w:r>
    </w:p>
    <w:p>
      <w:pPr>
        <w:pStyle w:val="BodyText"/>
        <w:spacing w:line="550" w:lineRule="atLeast" w:before="2"/>
        <w:ind w:left="720" w:right="2135"/>
      </w:pPr>
      <w:r>
        <w:rPr/>
        <w:t>Key</w:t>
      </w:r>
      <w:r>
        <w:rPr>
          <w:spacing w:val="-4"/>
        </w:rPr>
        <w:t> </w:t>
      </w:r>
      <w:r>
        <w:rPr/>
        <w:t>words</w:t>
      </w:r>
      <w:r>
        <w:rPr>
          <w:spacing w:val="-4"/>
        </w:rPr>
        <w:t> </w:t>
      </w:r>
      <w:r>
        <w:rPr/>
        <w:t>(3-5):</w:t>
      </w:r>
      <w:r>
        <w:rPr>
          <w:spacing w:val="-4"/>
        </w:rPr>
        <w:t> </w:t>
      </w:r>
      <w:r>
        <w:rPr/>
        <w:t>passive</w:t>
      </w:r>
      <w:r>
        <w:rPr>
          <w:spacing w:val="-4"/>
        </w:rPr>
        <w:t> </w:t>
      </w:r>
      <w:r>
        <w:rPr/>
        <w:t>income,</w:t>
      </w:r>
      <w:r>
        <w:rPr>
          <w:spacing w:val="-4"/>
        </w:rPr>
        <w:t> </w:t>
      </w:r>
      <w:r>
        <w:rPr/>
        <w:t>3D</w:t>
      </w:r>
      <w:r>
        <w:rPr>
          <w:spacing w:val="-4"/>
        </w:rPr>
        <w:t> </w:t>
      </w:r>
      <w:r>
        <w:rPr/>
        <w:t>art,</w:t>
      </w:r>
      <w:r>
        <w:rPr>
          <w:spacing w:val="-4"/>
        </w:rPr>
        <w:t> </w:t>
      </w:r>
      <w:r>
        <w:rPr/>
        <w:t>social</w:t>
      </w:r>
      <w:r>
        <w:rPr>
          <w:spacing w:val="-4"/>
        </w:rPr>
        <w:t> </w:t>
      </w:r>
      <w:r>
        <w:rPr/>
        <w:t>media,</w:t>
      </w:r>
      <w:r>
        <w:rPr>
          <w:spacing w:val="-4"/>
        </w:rPr>
        <w:t> </w:t>
      </w:r>
      <w:r>
        <w:rPr/>
        <w:t>digital</w:t>
      </w:r>
      <w:r>
        <w:rPr>
          <w:spacing w:val="-4"/>
        </w:rPr>
        <w:t> </w:t>
      </w:r>
      <w:r>
        <w:rPr/>
        <w:t>merchant,</w:t>
      </w:r>
      <w:r>
        <w:rPr>
          <w:spacing w:val="-4"/>
        </w:rPr>
        <w:t> </w:t>
      </w:r>
      <w:r>
        <w:rPr/>
        <w:t>content</w:t>
      </w:r>
      <w:r>
        <w:rPr>
          <w:spacing w:val="-4"/>
        </w:rPr>
        <w:t> </w:t>
      </w:r>
      <w:r>
        <w:rPr/>
        <w:t>creation This research provides an in-depth exploration of 3D workflow methodologies for </w:t>
      </w:r>
      <w:r>
        <w:rPr>
          <w:spacing w:val="-2"/>
        </w:rPr>
        <w:t>digital</w:t>
      </w:r>
    </w:p>
    <w:p>
      <w:pPr>
        <w:pStyle w:val="BodyText"/>
        <w:spacing w:before="2"/>
        <w:ind w:left="720" w:right="1392"/>
      </w:pPr>
      <w:r>
        <w:rPr/>
        <w:t>merchants,</w:t>
      </w:r>
      <w:r>
        <w:rPr>
          <w:spacing w:val="-3"/>
        </w:rPr>
        <w:t> </w:t>
      </w:r>
      <w:r>
        <w:rPr/>
        <w:t>how</w:t>
      </w:r>
      <w:r>
        <w:rPr>
          <w:spacing w:val="-3"/>
        </w:rPr>
        <w:t> </w:t>
      </w:r>
      <w:r>
        <w:rPr/>
        <w:t>and</w:t>
      </w:r>
      <w:r>
        <w:rPr>
          <w:spacing w:val="-3"/>
        </w:rPr>
        <w:t> </w:t>
      </w:r>
      <w:r>
        <w:rPr/>
        <w:t>why</w:t>
      </w:r>
      <w:r>
        <w:rPr>
          <w:spacing w:val="-3"/>
        </w:rPr>
        <w:t> </w:t>
      </w:r>
      <w:r>
        <w:rPr/>
        <w:t>to</w:t>
      </w:r>
      <w:r>
        <w:rPr>
          <w:spacing w:val="-3"/>
        </w:rPr>
        <w:t> </w:t>
      </w:r>
      <w:r>
        <w:rPr/>
        <w:t>implement</w:t>
      </w:r>
      <w:r>
        <w:rPr>
          <w:spacing w:val="-3"/>
        </w:rPr>
        <w:t> </w:t>
      </w:r>
      <w:r>
        <w:rPr/>
        <w:t>them,</w:t>
      </w:r>
      <w:r>
        <w:rPr>
          <w:spacing w:val="-3"/>
        </w:rPr>
        <w:t> </w:t>
      </w:r>
      <w:r>
        <w:rPr/>
        <w:t>and</w:t>
      </w:r>
      <w:r>
        <w:rPr>
          <w:spacing w:val="-3"/>
        </w:rPr>
        <w:t> </w:t>
      </w:r>
      <w:r>
        <w:rPr/>
        <w:t>their</w:t>
      </w:r>
      <w:r>
        <w:rPr>
          <w:spacing w:val="-3"/>
        </w:rPr>
        <w:t> </w:t>
      </w:r>
      <w:r>
        <w:rPr/>
        <w:t>correlation</w:t>
      </w:r>
      <w:r>
        <w:rPr>
          <w:spacing w:val="-3"/>
        </w:rPr>
        <w:t> </w:t>
      </w:r>
      <w:r>
        <w:rPr/>
        <w:t>with</w:t>
      </w:r>
      <w:r>
        <w:rPr>
          <w:spacing w:val="-3"/>
        </w:rPr>
        <w:t> </w:t>
      </w:r>
      <w:r>
        <w:rPr/>
        <w:t>passive</w:t>
      </w:r>
      <w:r>
        <w:rPr>
          <w:spacing w:val="-3"/>
        </w:rPr>
        <w:t> </w:t>
      </w:r>
      <w:r>
        <w:rPr/>
        <w:t>income</w:t>
      </w:r>
      <w:r>
        <w:rPr>
          <w:spacing w:val="-3"/>
        </w:rPr>
        <w:t> </w:t>
      </w:r>
      <w:r>
        <w:rPr/>
        <w:t>earnings. Digestible strategies regarding the development, packaging, marketing, and sale of assets for digital marketplaces are explored at length. Motivated by the state of the digital media industry, this research demonstrates that secondary income is possible through consistent, applied methodologies.</w:t>
      </w:r>
      <w:r>
        <w:rPr>
          <w:spacing w:val="-5"/>
        </w:rPr>
        <w:t> </w:t>
      </w:r>
      <w:r>
        <w:rPr/>
        <w:t>Topics</w:t>
      </w:r>
      <w:r>
        <w:rPr>
          <w:spacing w:val="-5"/>
        </w:rPr>
        <w:t> </w:t>
      </w:r>
      <w:r>
        <w:rPr/>
        <w:t>include</w:t>
      </w:r>
      <w:r>
        <w:rPr>
          <w:spacing w:val="-5"/>
        </w:rPr>
        <w:t> </w:t>
      </w:r>
      <w:r>
        <w:rPr/>
        <w:t>environmental</w:t>
      </w:r>
      <w:r>
        <w:rPr>
          <w:spacing w:val="-5"/>
        </w:rPr>
        <w:t> </w:t>
      </w:r>
      <w:r>
        <w:rPr/>
        <w:t>storytelling,</w:t>
      </w:r>
      <w:r>
        <w:rPr>
          <w:spacing w:val="-5"/>
        </w:rPr>
        <w:t> </w:t>
      </w:r>
      <w:r>
        <w:rPr/>
        <w:t>the</w:t>
      </w:r>
      <w:r>
        <w:rPr>
          <w:spacing w:val="-5"/>
        </w:rPr>
        <w:t> </w:t>
      </w:r>
      <w:r>
        <w:rPr/>
        <w:t>importance</w:t>
      </w:r>
      <w:r>
        <w:rPr>
          <w:spacing w:val="-5"/>
        </w:rPr>
        <w:t> </w:t>
      </w:r>
      <w:r>
        <w:rPr/>
        <w:t>of</w:t>
      </w:r>
      <w:r>
        <w:rPr>
          <w:spacing w:val="-5"/>
        </w:rPr>
        <w:t> </w:t>
      </w:r>
      <w:r>
        <w:rPr/>
        <w:t>being</w:t>
      </w:r>
      <w:r>
        <w:rPr>
          <w:spacing w:val="-5"/>
        </w:rPr>
        <w:t> </w:t>
      </w:r>
      <w:r>
        <w:rPr/>
        <w:t>user</w:t>
      </w:r>
      <w:r>
        <w:rPr>
          <w:spacing w:val="-5"/>
        </w:rPr>
        <w:t> </w:t>
      </w:r>
      <w:r>
        <w:rPr/>
        <w:t>friendly, product variance, applied technical art, catalog feature building, and much more. The author demonstrates the impact of reframing your approach when designing products with the intention to sell, and explores the overarching timeline involved with building a brand identity and social presence as an independent merchant. The research presents a unique outlook on 3D workflows with</w:t>
      </w:r>
      <w:r>
        <w:rPr>
          <w:spacing w:val="-2"/>
        </w:rPr>
        <w:t> </w:t>
      </w:r>
      <w:r>
        <w:rPr/>
        <w:t>an</w:t>
      </w:r>
      <w:r>
        <w:rPr>
          <w:spacing w:val="-2"/>
        </w:rPr>
        <w:t> </w:t>
      </w:r>
      <w:r>
        <w:rPr/>
        <w:t>end</w:t>
      </w:r>
      <w:r>
        <w:rPr>
          <w:spacing w:val="-2"/>
        </w:rPr>
        <w:t> </w:t>
      </w:r>
      <w:r>
        <w:rPr/>
        <w:t>goal</w:t>
      </w:r>
      <w:r>
        <w:rPr>
          <w:spacing w:val="-2"/>
        </w:rPr>
        <w:t> </w:t>
      </w:r>
      <w:r>
        <w:rPr/>
        <w:t>of</w:t>
      </w:r>
      <w:r>
        <w:rPr>
          <w:spacing w:val="-2"/>
        </w:rPr>
        <w:t> </w:t>
      </w:r>
      <w:r>
        <w:rPr/>
        <w:t>generating</w:t>
      </w:r>
      <w:r>
        <w:rPr>
          <w:spacing w:val="-2"/>
        </w:rPr>
        <w:t> </w:t>
      </w:r>
      <w:r>
        <w:rPr/>
        <w:t>additional</w:t>
      </w:r>
      <w:r>
        <w:rPr>
          <w:spacing w:val="-2"/>
        </w:rPr>
        <w:t> </w:t>
      </w:r>
      <w:r>
        <w:rPr/>
        <w:t>revenue,</w:t>
      </w:r>
      <w:r>
        <w:rPr>
          <w:spacing w:val="-2"/>
        </w:rPr>
        <w:t> </w:t>
      </w:r>
      <w:r>
        <w:rPr/>
        <w:t>and</w:t>
      </w:r>
      <w:r>
        <w:rPr>
          <w:spacing w:val="-2"/>
        </w:rPr>
        <w:t> </w:t>
      </w:r>
      <w:r>
        <w:rPr/>
        <w:t>how</w:t>
      </w:r>
      <w:r>
        <w:rPr>
          <w:spacing w:val="-2"/>
        </w:rPr>
        <w:t> </w:t>
      </w:r>
      <w:r>
        <w:rPr/>
        <w:t>they</w:t>
      </w:r>
      <w:r>
        <w:rPr>
          <w:spacing w:val="-2"/>
        </w:rPr>
        <w:t> </w:t>
      </w:r>
      <w:r>
        <w:rPr/>
        <w:t>differ</w:t>
      </w:r>
      <w:r>
        <w:rPr>
          <w:spacing w:val="-2"/>
        </w:rPr>
        <w:t> </w:t>
      </w:r>
      <w:r>
        <w:rPr/>
        <w:t>from</w:t>
      </w:r>
      <w:r>
        <w:rPr>
          <w:spacing w:val="-2"/>
        </w:rPr>
        <w:t> </w:t>
      </w:r>
      <w:r>
        <w:rPr/>
        <w:t>the</w:t>
      </w:r>
      <w:r>
        <w:rPr>
          <w:spacing w:val="-2"/>
        </w:rPr>
        <w:t> </w:t>
      </w:r>
      <w:r>
        <w:rPr/>
        <w:t>norm.</w:t>
      </w:r>
      <w:r>
        <w:rPr>
          <w:spacing w:val="-2"/>
        </w:rPr>
        <w:t> </w:t>
      </w:r>
      <w:r>
        <w:rPr/>
        <w:t>Given</w:t>
      </w:r>
      <w:r>
        <w:rPr>
          <w:spacing w:val="-2"/>
        </w:rPr>
        <w:t> </w:t>
      </w:r>
      <w:r>
        <w:rPr/>
        <w:t>the current condition of creative industries and looming threats from AI, the author presents a non traditional path towards financial stability. In sharing personal analytics, the author provides a valuable resource for aspiring digital content creators and artists looking to begin passively earning</w:t>
      </w:r>
      <w:r>
        <w:rPr>
          <w:spacing w:val="40"/>
        </w:rPr>
        <w:t> </w:t>
      </w:r>
      <w:r>
        <w:rPr/>
        <w:t>a portion of their income.</w:t>
      </w:r>
    </w:p>
    <w:p>
      <w:pPr>
        <w:pStyle w:val="BodyText"/>
        <w:spacing w:after="0"/>
        <w:sectPr>
          <w:pgSz w:w="12240" w:h="15840"/>
          <w:pgMar w:header="0" w:footer="714" w:top="620" w:bottom="960" w:left="720" w:right="0"/>
        </w:sectPr>
      </w:pPr>
    </w:p>
    <w:p>
      <w:pPr>
        <w:pStyle w:val="Heading3"/>
        <w:ind w:left="962" w:right="1622"/>
      </w:pPr>
      <w:bookmarkStart w:name="We’re All A Family: Investigating How Di" w:id="147"/>
      <w:bookmarkEnd w:id="147"/>
      <w:r>
        <w:rPr>
          <w:b w:val="0"/>
        </w:rPr>
      </w:r>
      <w:r>
        <w:rPr/>
        <w:t>We’re</w:t>
      </w:r>
      <w:r>
        <w:rPr>
          <w:spacing w:val="-7"/>
        </w:rPr>
        <w:t> </w:t>
      </w:r>
      <w:r>
        <w:rPr/>
        <w:t>All</w:t>
      </w:r>
      <w:r>
        <w:rPr>
          <w:spacing w:val="-7"/>
        </w:rPr>
        <w:t> </w:t>
      </w:r>
      <w:r>
        <w:rPr/>
        <w:t>A</w:t>
      </w:r>
      <w:r>
        <w:rPr>
          <w:spacing w:val="-7"/>
        </w:rPr>
        <w:t> </w:t>
      </w:r>
      <w:r>
        <w:rPr/>
        <w:t>Family:</w:t>
      </w:r>
      <w:r>
        <w:rPr>
          <w:spacing w:val="-7"/>
        </w:rPr>
        <w:t> </w:t>
      </w:r>
      <w:r>
        <w:rPr/>
        <w:t>Investigating</w:t>
      </w:r>
      <w:r>
        <w:rPr>
          <w:spacing w:val="-7"/>
        </w:rPr>
        <w:t> </w:t>
      </w:r>
      <w:r>
        <w:rPr/>
        <w:t>How</w:t>
      </w:r>
      <w:r>
        <w:rPr>
          <w:spacing w:val="-7"/>
        </w:rPr>
        <w:t> </w:t>
      </w:r>
      <w:r>
        <w:rPr/>
        <w:t>Diversity</w:t>
      </w:r>
      <w:r>
        <w:rPr>
          <w:spacing w:val="-7"/>
        </w:rPr>
        <w:t> </w:t>
      </w:r>
      <w:r>
        <w:rPr/>
        <w:t>Interacts</w:t>
      </w:r>
      <w:r>
        <w:rPr>
          <w:spacing w:val="-7"/>
        </w:rPr>
        <w:t> </w:t>
      </w:r>
      <w:r>
        <w:rPr/>
        <w:t>with</w:t>
      </w:r>
      <w:r>
        <w:rPr>
          <w:spacing w:val="-7"/>
        </w:rPr>
        <w:t> </w:t>
      </w:r>
      <w:r>
        <w:rPr/>
        <w:t>Feelings</w:t>
      </w:r>
      <w:r>
        <w:rPr>
          <w:spacing w:val="-7"/>
        </w:rPr>
        <w:t> </w:t>
      </w:r>
      <w:r>
        <w:rPr/>
        <w:t>of </w:t>
      </w:r>
      <w:bookmarkStart w:name="h.ftq9cryzi5vk" w:id="148"/>
      <w:bookmarkEnd w:id="148"/>
      <w:r>
        <w:rPr/>
        <w:t>M</w:t>
      </w:r>
      <w:r>
        <w:rPr/>
        <w:t>attering,</w:t>
      </w:r>
      <w:r>
        <w:rPr>
          <w:spacing w:val="40"/>
        </w:rPr>
        <w:t> </w:t>
      </w:r>
      <w:r>
        <w:rPr/>
        <w:t>Belonging, Work Outcomes, and Well-Being</w:t>
      </w:r>
    </w:p>
    <w:p>
      <w:pPr>
        <w:pStyle w:val="BodyText"/>
        <w:spacing w:before="276"/>
        <w:ind w:left="1192" w:right="1762"/>
        <w:jc w:val="center"/>
      </w:pPr>
      <w:r>
        <w:rPr/>
        <w:t>Hannah</w:t>
      </w:r>
      <w:r>
        <w:rPr>
          <w:spacing w:val="-11"/>
        </w:rPr>
        <w:t> </w:t>
      </w:r>
      <w:r>
        <w:rPr/>
        <w:t>Wallace,</w:t>
      </w:r>
      <w:r>
        <w:rPr>
          <w:spacing w:val="-11"/>
        </w:rPr>
        <w:t> </w:t>
      </w:r>
      <w:r>
        <w:rPr/>
        <w:t>Brody</w:t>
      </w:r>
      <w:r>
        <w:rPr>
          <w:spacing w:val="-11"/>
        </w:rPr>
        <w:t> </w:t>
      </w:r>
      <w:r>
        <w:rPr/>
        <w:t>Behm,</w:t>
      </w:r>
      <w:r>
        <w:rPr>
          <w:spacing w:val="-11"/>
        </w:rPr>
        <w:t> </w:t>
      </w:r>
      <w:r>
        <w:rPr/>
        <w:t>Bella</w:t>
      </w:r>
      <w:r>
        <w:rPr>
          <w:spacing w:val="-11"/>
        </w:rPr>
        <w:t> </w:t>
      </w:r>
      <w:r>
        <w:rPr/>
        <w:t>Watkins,</w:t>
      </w:r>
      <w:r>
        <w:rPr>
          <w:spacing w:val="-11"/>
        </w:rPr>
        <w:t> </w:t>
      </w:r>
      <w:r>
        <w:rPr/>
        <w:t>Leila</w:t>
      </w:r>
      <w:r>
        <w:rPr>
          <w:spacing w:val="-11"/>
        </w:rPr>
        <w:t> </w:t>
      </w:r>
      <w:r>
        <w:rPr/>
        <w:t>Young,</w:t>
      </w:r>
      <w:r>
        <w:rPr>
          <w:spacing w:val="-11"/>
        </w:rPr>
        <w:t> </w:t>
      </w:r>
      <w:r>
        <w:rPr/>
        <w:t>Tessa</w:t>
      </w:r>
      <w:r>
        <w:rPr>
          <w:spacing w:val="-11"/>
        </w:rPr>
        <w:t> </w:t>
      </w:r>
      <w:r>
        <w:rPr/>
        <w:t>Trate,</w:t>
      </w:r>
      <w:r>
        <w:rPr>
          <w:spacing w:val="-11"/>
        </w:rPr>
        <w:t> </w:t>
      </w:r>
      <w:r>
        <w:rPr/>
        <w:t>Jess</w:t>
      </w:r>
      <w:r>
        <w:rPr>
          <w:spacing w:val="-11"/>
        </w:rPr>
        <w:t> </w:t>
      </w:r>
      <w:r>
        <w:rPr/>
        <w:t>Doll,</w:t>
      </w:r>
      <w:r>
        <w:rPr>
          <w:spacing w:val="-11"/>
        </w:rPr>
        <w:t> </w:t>
      </w:r>
      <w:r>
        <w:rPr/>
        <w:t>Kristl Davison, Tim Huelsman</w:t>
      </w:r>
    </w:p>
    <w:p>
      <w:pPr>
        <w:pStyle w:val="BodyText"/>
      </w:pPr>
    </w:p>
    <w:p>
      <w:pPr>
        <w:pStyle w:val="BodyText"/>
      </w:pPr>
    </w:p>
    <w:p>
      <w:pPr>
        <w:pStyle w:val="BodyText"/>
        <w:spacing w:before="1"/>
        <w:ind w:left="720"/>
      </w:pPr>
      <w:r>
        <w:rPr>
          <w:spacing w:val="-2"/>
        </w:rPr>
        <w:t>ABSTRACT</w:t>
      </w:r>
    </w:p>
    <w:p>
      <w:pPr>
        <w:pStyle w:val="BodyText"/>
        <w:spacing w:before="275"/>
        <w:ind w:left="720" w:right="1474"/>
      </w:pPr>
      <w:r>
        <w:rPr/>
        <w:t>In</w:t>
      </w:r>
      <w:r>
        <w:rPr>
          <w:spacing w:val="-3"/>
        </w:rPr>
        <w:t> </w:t>
      </w:r>
      <w:r>
        <w:rPr/>
        <w:t>the</w:t>
      </w:r>
      <w:r>
        <w:rPr>
          <w:spacing w:val="-3"/>
        </w:rPr>
        <w:t> </w:t>
      </w:r>
      <w:r>
        <w:rPr/>
        <w:t>workforce,</w:t>
      </w:r>
      <w:r>
        <w:rPr>
          <w:spacing w:val="-3"/>
        </w:rPr>
        <w:t> </w:t>
      </w:r>
      <w:r>
        <w:rPr/>
        <w:t>belonging</w:t>
      </w:r>
      <w:r>
        <w:rPr>
          <w:spacing w:val="-3"/>
        </w:rPr>
        <w:t> </w:t>
      </w:r>
      <w:r>
        <w:rPr/>
        <w:t>is</w:t>
      </w:r>
      <w:r>
        <w:rPr>
          <w:spacing w:val="-3"/>
        </w:rPr>
        <w:t> </w:t>
      </w:r>
      <w:r>
        <w:rPr/>
        <w:t>the</w:t>
      </w:r>
      <w:r>
        <w:rPr>
          <w:spacing w:val="-3"/>
        </w:rPr>
        <w:t> </w:t>
      </w:r>
      <w:r>
        <w:rPr/>
        <w:t>degree</w:t>
      </w:r>
      <w:r>
        <w:rPr>
          <w:spacing w:val="-3"/>
        </w:rPr>
        <w:t> </w:t>
      </w:r>
      <w:r>
        <w:rPr/>
        <w:t>to</w:t>
      </w:r>
      <w:r>
        <w:rPr>
          <w:spacing w:val="-3"/>
        </w:rPr>
        <w:t> </w:t>
      </w:r>
      <w:r>
        <w:rPr/>
        <w:t>which</w:t>
      </w:r>
      <w:r>
        <w:rPr>
          <w:spacing w:val="-3"/>
        </w:rPr>
        <w:t> </w:t>
      </w:r>
      <w:r>
        <w:rPr/>
        <w:t>employees</w:t>
      </w:r>
      <w:r>
        <w:rPr>
          <w:spacing w:val="-3"/>
        </w:rPr>
        <w:t> </w:t>
      </w:r>
      <w:r>
        <w:rPr/>
        <w:t>feel</w:t>
      </w:r>
      <w:r>
        <w:rPr>
          <w:spacing w:val="-3"/>
        </w:rPr>
        <w:t> </w:t>
      </w:r>
      <w:r>
        <w:rPr/>
        <w:t>valued,</w:t>
      </w:r>
      <w:r>
        <w:rPr>
          <w:spacing w:val="-3"/>
        </w:rPr>
        <w:t> </w:t>
      </w:r>
      <w:r>
        <w:rPr/>
        <w:t>appreciated,</w:t>
      </w:r>
      <w:r>
        <w:rPr>
          <w:spacing w:val="40"/>
        </w:rPr>
        <w:t> </w:t>
      </w:r>
      <w:r>
        <w:rPr/>
        <w:t>and</w:t>
      </w:r>
      <w:r>
        <w:rPr>
          <w:spacing w:val="-3"/>
        </w:rPr>
        <w:t> </w:t>
      </w:r>
      <w:r>
        <w:rPr/>
        <w:t>fit</w:t>
      </w:r>
      <w:r>
        <w:rPr>
          <w:spacing w:val="-3"/>
        </w:rPr>
        <w:t> </w:t>
      </w:r>
      <w:r>
        <w:rPr/>
        <w:t>in with the organization's integrated system (Thissen et al., 2023). Mattering, a person's</w:t>
      </w:r>
      <w:r>
        <w:rPr>
          <w:spacing w:val="40"/>
        </w:rPr>
        <w:t> </w:t>
      </w:r>
      <w:r>
        <w:rPr/>
        <w:t>perception of their worth to others and belief that they make a difference (Deas et al., 2023; Jung,</w:t>
      </w:r>
      <w:r>
        <w:rPr>
          <w:spacing w:val="40"/>
        </w:rPr>
        <w:t> </w:t>
      </w:r>
      <w:r>
        <w:rPr/>
        <w:t>2015), is just as relevant to the workforce despite receiving little attention in career studies.</w:t>
      </w:r>
      <w:r>
        <w:rPr>
          <w:spacing w:val="40"/>
        </w:rPr>
        <w:t> </w:t>
      </w:r>
      <w:r>
        <w:rPr/>
        <w:t>Feelings of mattering allow workers to experience fulfilled well-being, increased motivation, and</w:t>
      </w:r>
      <w:r>
        <w:rPr>
          <w:spacing w:val="40"/>
        </w:rPr>
        <w:t> </w:t>
      </w:r>
      <w:r>
        <w:rPr/>
        <w:t>lowered job-related stress (Bucher et al., 2019). With 15 to 20% of the world’s population being neurodiverse (Silver et al., 2023; BLS Reports, 2023), research on neurodiversity in the workplace is vital for organizational development and employee satisfaction. How do neurodiversity</w:t>
      </w:r>
      <w:r>
        <w:rPr>
          <w:spacing w:val="-2"/>
        </w:rPr>
        <w:t> </w:t>
      </w:r>
      <w:r>
        <w:rPr/>
        <w:t>and</w:t>
      </w:r>
      <w:r>
        <w:rPr>
          <w:spacing w:val="-2"/>
        </w:rPr>
        <w:t> </w:t>
      </w:r>
      <w:r>
        <w:rPr/>
        <w:t>organizational</w:t>
      </w:r>
      <w:r>
        <w:rPr>
          <w:spacing w:val="-2"/>
        </w:rPr>
        <w:t> </w:t>
      </w:r>
      <w:r>
        <w:rPr/>
        <w:t>systems</w:t>
      </w:r>
      <w:r>
        <w:rPr>
          <w:spacing w:val="-2"/>
        </w:rPr>
        <w:t> </w:t>
      </w:r>
      <w:r>
        <w:rPr/>
        <w:t>interact</w:t>
      </w:r>
      <w:r>
        <w:rPr>
          <w:spacing w:val="-2"/>
        </w:rPr>
        <w:t> </w:t>
      </w:r>
      <w:r>
        <w:rPr/>
        <w:t>and</w:t>
      </w:r>
      <w:r>
        <w:rPr>
          <w:spacing w:val="-2"/>
        </w:rPr>
        <w:t> </w:t>
      </w:r>
      <w:r>
        <w:rPr/>
        <w:t>influence</w:t>
      </w:r>
      <w:r>
        <w:rPr>
          <w:spacing w:val="-2"/>
        </w:rPr>
        <w:t> </w:t>
      </w:r>
      <w:r>
        <w:rPr/>
        <w:t>mattering</w:t>
      </w:r>
      <w:r>
        <w:rPr>
          <w:spacing w:val="-2"/>
        </w:rPr>
        <w:t> </w:t>
      </w:r>
      <w:r>
        <w:rPr/>
        <w:t>and</w:t>
      </w:r>
      <w:r>
        <w:rPr>
          <w:spacing w:val="-2"/>
        </w:rPr>
        <w:t> </w:t>
      </w:r>
      <w:r>
        <w:rPr/>
        <w:t>belonging</w:t>
      </w:r>
      <w:r>
        <w:rPr>
          <w:spacing w:val="-2"/>
        </w:rPr>
        <w:t> </w:t>
      </w:r>
      <w:r>
        <w:rPr/>
        <w:t>among </w:t>
      </w:r>
      <w:r>
        <w:rPr>
          <w:spacing w:val="-2"/>
        </w:rPr>
        <w:t>employees?</w:t>
      </w:r>
    </w:p>
    <w:p>
      <w:pPr>
        <w:pStyle w:val="BodyText"/>
        <w:spacing w:before="104"/>
      </w:pPr>
    </w:p>
    <w:p>
      <w:pPr>
        <w:pStyle w:val="BodyText"/>
        <w:spacing w:before="1"/>
        <w:ind w:left="720" w:right="1619"/>
      </w:pPr>
      <w:r>
        <w:rPr/>
        <w:t>This study aims to investigate how characteristics of diversity and neurodiversity</w:t>
      </w:r>
      <w:r>
        <w:rPr>
          <w:spacing w:val="40"/>
        </w:rPr>
        <w:t> </w:t>
      </w:r>
      <w:r>
        <w:rPr/>
        <w:t>influence employees' sense of belongingness and mattering, and the larger implications of these experiences</w:t>
      </w:r>
      <w:r>
        <w:rPr>
          <w:spacing w:val="-6"/>
        </w:rPr>
        <w:t> </w:t>
      </w:r>
      <w:r>
        <w:rPr/>
        <w:t>on</w:t>
      </w:r>
      <w:r>
        <w:rPr>
          <w:spacing w:val="-6"/>
        </w:rPr>
        <w:t> </w:t>
      </w:r>
      <w:r>
        <w:rPr/>
        <w:t>well-being</w:t>
      </w:r>
      <w:r>
        <w:rPr>
          <w:spacing w:val="-6"/>
        </w:rPr>
        <w:t> </w:t>
      </w:r>
      <w:r>
        <w:rPr/>
        <w:t>and</w:t>
      </w:r>
      <w:r>
        <w:rPr>
          <w:spacing w:val="-6"/>
        </w:rPr>
        <w:t> </w:t>
      </w:r>
      <w:r>
        <w:rPr/>
        <w:t>organizational</w:t>
      </w:r>
      <w:r>
        <w:rPr>
          <w:spacing w:val="-6"/>
        </w:rPr>
        <w:t> </w:t>
      </w:r>
      <w:r>
        <w:rPr/>
        <w:t>development.</w:t>
      </w:r>
      <w:r>
        <w:rPr>
          <w:spacing w:val="-6"/>
        </w:rPr>
        <w:t> </w:t>
      </w:r>
      <w:r>
        <w:rPr/>
        <w:t>We</w:t>
      </w:r>
      <w:r>
        <w:rPr>
          <w:spacing w:val="-6"/>
        </w:rPr>
        <w:t> </w:t>
      </w:r>
      <w:r>
        <w:rPr/>
        <w:t>will</w:t>
      </w:r>
      <w:r>
        <w:rPr>
          <w:spacing w:val="-6"/>
        </w:rPr>
        <w:t> </w:t>
      </w:r>
      <w:r>
        <w:rPr/>
        <w:t>test</w:t>
      </w:r>
      <w:r>
        <w:rPr>
          <w:spacing w:val="-6"/>
        </w:rPr>
        <w:t> </w:t>
      </w:r>
      <w:r>
        <w:rPr/>
        <w:t>four</w:t>
      </w:r>
      <w:r>
        <w:rPr>
          <w:spacing w:val="-6"/>
        </w:rPr>
        <w:t> </w:t>
      </w:r>
      <w:r>
        <w:rPr/>
        <w:t>hypotheses</w:t>
      </w:r>
      <w:r>
        <w:rPr>
          <w:spacing w:val="-6"/>
        </w:rPr>
        <w:t> </w:t>
      </w:r>
      <w:r>
        <w:rPr/>
        <w:t>with this study:</w:t>
      </w:r>
    </w:p>
    <w:p>
      <w:pPr>
        <w:pStyle w:val="BodyText"/>
        <w:spacing w:before="15"/>
      </w:pPr>
    </w:p>
    <w:p>
      <w:pPr>
        <w:pStyle w:val="BodyText"/>
        <w:spacing w:before="1"/>
        <w:ind w:left="720" w:right="2060"/>
      </w:pPr>
      <w:r>
        <w:rPr>
          <w:b/>
        </w:rPr>
        <w:t>H1:</w:t>
      </w:r>
      <w:r>
        <w:rPr>
          <w:b/>
          <w:spacing w:val="-4"/>
        </w:rPr>
        <w:t> </w:t>
      </w:r>
      <w:r>
        <w:rPr/>
        <w:t>Higher</w:t>
      </w:r>
      <w:r>
        <w:rPr>
          <w:spacing w:val="-4"/>
        </w:rPr>
        <w:t> </w:t>
      </w:r>
      <w:r>
        <w:rPr/>
        <w:t>levels</w:t>
      </w:r>
      <w:r>
        <w:rPr>
          <w:spacing w:val="-4"/>
        </w:rPr>
        <w:t> </w:t>
      </w:r>
      <w:r>
        <w:rPr/>
        <w:t>of</w:t>
      </w:r>
      <w:r>
        <w:rPr>
          <w:spacing w:val="-4"/>
        </w:rPr>
        <w:t> </w:t>
      </w:r>
      <w:r>
        <w:rPr/>
        <w:t>workplace</w:t>
      </w:r>
      <w:r>
        <w:rPr>
          <w:spacing w:val="-4"/>
        </w:rPr>
        <w:t> </w:t>
      </w:r>
      <w:r>
        <w:rPr/>
        <w:t>belongingness</w:t>
      </w:r>
      <w:r>
        <w:rPr>
          <w:spacing w:val="-4"/>
        </w:rPr>
        <w:t> </w:t>
      </w:r>
      <w:r>
        <w:rPr/>
        <w:t>will</w:t>
      </w:r>
      <w:r>
        <w:rPr>
          <w:spacing w:val="-4"/>
        </w:rPr>
        <w:t> </w:t>
      </w:r>
      <w:r>
        <w:rPr/>
        <w:t>be</w:t>
      </w:r>
      <w:r>
        <w:rPr>
          <w:spacing w:val="-4"/>
        </w:rPr>
        <w:t> </w:t>
      </w:r>
      <w:r>
        <w:rPr/>
        <w:t>positively</w:t>
      </w:r>
      <w:r>
        <w:rPr>
          <w:spacing w:val="-4"/>
        </w:rPr>
        <w:t> </w:t>
      </w:r>
      <w:r>
        <w:rPr/>
        <w:t>associated</w:t>
      </w:r>
      <w:r>
        <w:rPr>
          <w:spacing w:val="-4"/>
        </w:rPr>
        <w:t> </w:t>
      </w:r>
      <w:r>
        <w:rPr/>
        <w:t>with</w:t>
      </w:r>
      <w:r>
        <w:rPr>
          <w:spacing w:val="-4"/>
        </w:rPr>
        <w:t> </w:t>
      </w:r>
      <w:r>
        <w:rPr/>
        <w:t>employee </w:t>
      </w:r>
      <w:r>
        <w:rPr>
          <w:spacing w:val="-2"/>
        </w:rPr>
        <w:t>well-being.</w:t>
      </w:r>
    </w:p>
    <w:p>
      <w:pPr>
        <w:pStyle w:val="BodyText"/>
        <w:spacing w:before="253"/>
        <w:ind w:left="720" w:right="2240"/>
      </w:pPr>
      <w:r>
        <w:rPr>
          <w:b/>
        </w:rPr>
        <w:t>H2:</w:t>
      </w:r>
      <w:r>
        <w:rPr>
          <w:b/>
          <w:spacing w:val="-4"/>
        </w:rPr>
        <w:t> </w:t>
      </w:r>
      <w:r>
        <w:rPr/>
        <w:t>Higher</w:t>
      </w:r>
      <w:r>
        <w:rPr>
          <w:spacing w:val="-4"/>
        </w:rPr>
        <w:t> </w:t>
      </w:r>
      <w:r>
        <w:rPr/>
        <w:t>perceptions</w:t>
      </w:r>
      <w:r>
        <w:rPr>
          <w:spacing w:val="-4"/>
        </w:rPr>
        <w:t> </w:t>
      </w:r>
      <w:r>
        <w:rPr/>
        <w:t>of</w:t>
      </w:r>
      <w:r>
        <w:rPr>
          <w:spacing w:val="-4"/>
        </w:rPr>
        <w:t> </w:t>
      </w:r>
      <w:r>
        <w:rPr/>
        <w:t>mattering</w:t>
      </w:r>
      <w:r>
        <w:rPr>
          <w:spacing w:val="-4"/>
        </w:rPr>
        <w:t> </w:t>
      </w:r>
      <w:r>
        <w:rPr/>
        <w:t>at</w:t>
      </w:r>
      <w:r>
        <w:rPr>
          <w:spacing w:val="-4"/>
        </w:rPr>
        <w:t> </w:t>
      </w:r>
      <w:r>
        <w:rPr/>
        <w:t>work</w:t>
      </w:r>
      <w:r>
        <w:rPr>
          <w:spacing w:val="-4"/>
        </w:rPr>
        <w:t> </w:t>
      </w:r>
      <w:r>
        <w:rPr/>
        <w:t>will</w:t>
      </w:r>
      <w:r>
        <w:rPr>
          <w:spacing w:val="-4"/>
        </w:rPr>
        <w:t> </w:t>
      </w:r>
      <w:r>
        <w:rPr/>
        <w:t>be</w:t>
      </w:r>
      <w:r>
        <w:rPr>
          <w:spacing w:val="-4"/>
        </w:rPr>
        <w:t> </w:t>
      </w:r>
      <w:r>
        <w:rPr/>
        <w:t>positively</w:t>
      </w:r>
      <w:r>
        <w:rPr>
          <w:spacing w:val="-4"/>
        </w:rPr>
        <w:t> </w:t>
      </w:r>
      <w:r>
        <w:rPr/>
        <w:t>associated</w:t>
      </w:r>
      <w:r>
        <w:rPr>
          <w:spacing w:val="-4"/>
        </w:rPr>
        <w:t> </w:t>
      </w:r>
      <w:r>
        <w:rPr/>
        <w:t>with</w:t>
      </w:r>
      <w:r>
        <w:rPr>
          <w:spacing w:val="-4"/>
        </w:rPr>
        <w:t> </w:t>
      </w:r>
      <w:r>
        <w:rPr/>
        <w:t>employee </w:t>
      </w:r>
      <w:r>
        <w:rPr>
          <w:spacing w:val="-2"/>
        </w:rPr>
        <w:t>well-being.</w:t>
      </w:r>
    </w:p>
    <w:p>
      <w:pPr>
        <w:pStyle w:val="BodyText"/>
        <w:spacing w:before="253"/>
        <w:ind w:left="720" w:right="1381"/>
      </w:pPr>
      <w:r>
        <w:rPr>
          <w:b/>
        </w:rPr>
        <w:t>H3:</w:t>
      </w:r>
      <w:r>
        <w:rPr>
          <w:b/>
          <w:spacing w:val="-4"/>
        </w:rPr>
        <w:t> </w:t>
      </w:r>
      <w:r>
        <w:rPr/>
        <w:t>Neurodivergent</w:t>
      </w:r>
      <w:r>
        <w:rPr>
          <w:spacing w:val="-4"/>
        </w:rPr>
        <w:t> </w:t>
      </w:r>
      <w:r>
        <w:rPr/>
        <w:t>employees</w:t>
      </w:r>
      <w:r>
        <w:rPr>
          <w:spacing w:val="-4"/>
        </w:rPr>
        <w:t> </w:t>
      </w:r>
      <w:r>
        <w:rPr/>
        <w:t>will</w:t>
      </w:r>
      <w:r>
        <w:rPr>
          <w:spacing w:val="-4"/>
        </w:rPr>
        <w:t> </w:t>
      </w:r>
      <w:r>
        <w:rPr/>
        <w:t>report</w:t>
      </w:r>
      <w:r>
        <w:rPr>
          <w:spacing w:val="-4"/>
        </w:rPr>
        <w:t> </w:t>
      </w:r>
      <w:r>
        <w:rPr/>
        <w:t>lower</w:t>
      </w:r>
      <w:r>
        <w:rPr>
          <w:spacing w:val="-4"/>
        </w:rPr>
        <w:t> </w:t>
      </w:r>
      <w:r>
        <w:rPr/>
        <w:t>levels</w:t>
      </w:r>
      <w:r>
        <w:rPr>
          <w:spacing w:val="-4"/>
        </w:rPr>
        <w:t> </w:t>
      </w:r>
      <w:r>
        <w:rPr/>
        <w:t>of</w:t>
      </w:r>
      <w:r>
        <w:rPr>
          <w:spacing w:val="-4"/>
        </w:rPr>
        <w:t> </w:t>
      </w:r>
      <w:r>
        <w:rPr/>
        <w:t>perceived</w:t>
      </w:r>
      <w:r>
        <w:rPr>
          <w:spacing w:val="-4"/>
        </w:rPr>
        <w:t> </w:t>
      </w:r>
      <w:r>
        <w:rPr/>
        <w:t>mattering</w:t>
      </w:r>
      <w:r>
        <w:rPr>
          <w:spacing w:val="-4"/>
        </w:rPr>
        <w:t> </w:t>
      </w:r>
      <w:r>
        <w:rPr/>
        <w:t>at</w:t>
      </w:r>
      <w:r>
        <w:rPr>
          <w:spacing w:val="-4"/>
        </w:rPr>
        <w:t> </w:t>
      </w:r>
      <w:r>
        <w:rPr/>
        <w:t>work</w:t>
      </w:r>
      <w:r>
        <w:rPr>
          <w:spacing w:val="-4"/>
        </w:rPr>
        <w:t> </w:t>
      </w:r>
      <w:r>
        <w:rPr/>
        <w:t>compared to neurotypical employees.</w:t>
      </w:r>
    </w:p>
    <w:p>
      <w:pPr>
        <w:pStyle w:val="BodyText"/>
        <w:spacing w:before="253"/>
        <w:ind w:left="735" w:right="1191" w:hanging="15"/>
      </w:pPr>
      <w:r>
        <w:rPr>
          <w:b/>
        </w:rPr>
        <w:t>H4:</w:t>
      </w:r>
      <w:r>
        <w:rPr>
          <w:b/>
          <w:spacing w:val="-5"/>
        </w:rPr>
        <w:t> </w:t>
      </w:r>
      <w:r>
        <w:rPr/>
        <w:t>Neurodivergent</w:t>
      </w:r>
      <w:r>
        <w:rPr>
          <w:spacing w:val="-5"/>
        </w:rPr>
        <w:t> </w:t>
      </w:r>
      <w:r>
        <w:rPr/>
        <w:t>status</w:t>
      </w:r>
      <w:r>
        <w:rPr>
          <w:spacing w:val="-5"/>
        </w:rPr>
        <w:t> </w:t>
      </w:r>
      <w:r>
        <w:rPr/>
        <w:t>will</w:t>
      </w:r>
      <w:r>
        <w:rPr>
          <w:spacing w:val="-5"/>
        </w:rPr>
        <w:t> </w:t>
      </w:r>
      <w:r>
        <w:rPr/>
        <w:t>be</w:t>
      </w:r>
      <w:r>
        <w:rPr>
          <w:spacing w:val="-5"/>
        </w:rPr>
        <w:t> </w:t>
      </w:r>
      <w:r>
        <w:rPr/>
        <w:t>associated</w:t>
      </w:r>
      <w:r>
        <w:rPr>
          <w:spacing w:val="-5"/>
        </w:rPr>
        <w:t> </w:t>
      </w:r>
      <w:r>
        <w:rPr/>
        <w:t>with</w:t>
      </w:r>
      <w:r>
        <w:rPr>
          <w:spacing w:val="-5"/>
        </w:rPr>
        <w:t> </w:t>
      </w:r>
      <w:r>
        <w:rPr/>
        <w:t>differences</w:t>
      </w:r>
      <w:r>
        <w:rPr>
          <w:spacing w:val="-5"/>
        </w:rPr>
        <w:t> </w:t>
      </w:r>
      <w:r>
        <w:rPr/>
        <w:t>in</w:t>
      </w:r>
      <w:r>
        <w:rPr>
          <w:spacing w:val="-5"/>
        </w:rPr>
        <w:t> </w:t>
      </w:r>
      <w:r>
        <w:rPr/>
        <w:t>workplace</w:t>
      </w:r>
      <w:r>
        <w:rPr>
          <w:spacing w:val="-5"/>
        </w:rPr>
        <w:t> </w:t>
      </w:r>
      <w:r>
        <w:rPr/>
        <w:t>belongingness</w:t>
      </w:r>
      <w:r>
        <w:rPr>
          <w:spacing w:val="-5"/>
        </w:rPr>
        <w:t> </w:t>
      </w:r>
      <w:r>
        <w:rPr/>
        <w:t>and employee well-being.</w:t>
      </w:r>
    </w:p>
    <w:p>
      <w:pPr>
        <w:pStyle w:val="BodyText"/>
        <w:spacing w:before="252"/>
        <w:ind w:left="720" w:right="1191"/>
      </w:pPr>
      <w:r>
        <w:rPr>
          <w:b/>
        </w:rPr>
        <w:t>H4:</w:t>
      </w:r>
      <w:r>
        <w:rPr>
          <w:b/>
          <w:spacing w:val="-6"/>
        </w:rPr>
        <w:t> </w:t>
      </w:r>
      <w:r>
        <w:rPr/>
        <w:t>Workplace</w:t>
      </w:r>
      <w:r>
        <w:rPr>
          <w:spacing w:val="-6"/>
        </w:rPr>
        <w:t> </w:t>
      </w:r>
      <w:r>
        <w:rPr/>
        <w:t>mattering</w:t>
      </w:r>
      <w:r>
        <w:rPr>
          <w:spacing w:val="-6"/>
        </w:rPr>
        <w:t> </w:t>
      </w:r>
      <w:r>
        <w:rPr/>
        <w:t>and</w:t>
      </w:r>
      <w:r>
        <w:rPr>
          <w:spacing w:val="-6"/>
        </w:rPr>
        <w:t> </w:t>
      </w:r>
      <w:r>
        <w:rPr/>
        <w:t>belonging</w:t>
      </w:r>
      <w:r>
        <w:rPr>
          <w:spacing w:val="-6"/>
        </w:rPr>
        <w:t> </w:t>
      </w:r>
      <w:r>
        <w:rPr/>
        <w:t>will</w:t>
      </w:r>
      <w:r>
        <w:rPr>
          <w:spacing w:val="-6"/>
        </w:rPr>
        <w:t> </w:t>
      </w:r>
      <w:r>
        <w:rPr/>
        <w:t>mediate</w:t>
      </w:r>
      <w:r>
        <w:rPr>
          <w:spacing w:val="-6"/>
        </w:rPr>
        <w:t> </w:t>
      </w:r>
      <w:r>
        <w:rPr/>
        <w:t>the</w:t>
      </w:r>
      <w:r>
        <w:rPr>
          <w:spacing w:val="-6"/>
        </w:rPr>
        <w:t> </w:t>
      </w:r>
      <w:r>
        <w:rPr/>
        <w:t>relationship</w:t>
      </w:r>
      <w:r>
        <w:rPr>
          <w:spacing w:val="-6"/>
        </w:rPr>
        <w:t> </w:t>
      </w:r>
      <w:r>
        <w:rPr/>
        <w:t>between</w:t>
      </w:r>
      <w:r>
        <w:rPr>
          <w:spacing w:val="-6"/>
        </w:rPr>
        <w:t> </w:t>
      </w:r>
      <w:r>
        <w:rPr/>
        <w:t>neurodiverse identities and job outcomes (i.e., job satisfaction, productivity, and performance).</w:t>
      </w:r>
    </w:p>
    <w:p>
      <w:pPr>
        <w:pStyle w:val="BodyText"/>
      </w:pPr>
    </w:p>
    <w:p>
      <w:pPr>
        <w:pStyle w:val="BodyText"/>
        <w:spacing w:before="1"/>
        <w:ind w:left="720" w:right="1619"/>
      </w:pPr>
      <w:r>
        <w:rPr/>
        <w:t>Participants were recruited through Prolific and incentivized with $3 for participation.</w:t>
      </w:r>
      <w:r>
        <w:rPr>
          <w:spacing w:val="40"/>
        </w:rPr>
        <w:t> </w:t>
      </w:r>
      <w:r>
        <w:rPr/>
        <w:t>Using random</w:t>
      </w:r>
      <w:r>
        <w:rPr>
          <w:spacing w:val="-3"/>
        </w:rPr>
        <w:t> </w:t>
      </w:r>
      <w:r>
        <w:rPr/>
        <w:t>sampling,</w:t>
      </w:r>
      <w:r>
        <w:rPr>
          <w:spacing w:val="-3"/>
        </w:rPr>
        <w:t> </w:t>
      </w:r>
      <w:r>
        <w:rPr/>
        <w:t>a</w:t>
      </w:r>
      <w:r>
        <w:rPr>
          <w:spacing w:val="-3"/>
        </w:rPr>
        <w:t> </w:t>
      </w:r>
      <w:r>
        <w:rPr/>
        <w:t>total</w:t>
      </w:r>
      <w:r>
        <w:rPr>
          <w:spacing w:val="-3"/>
        </w:rPr>
        <w:t> </w:t>
      </w:r>
      <w:r>
        <w:rPr/>
        <w:t>of</w:t>
      </w:r>
      <w:r>
        <w:rPr>
          <w:spacing w:val="-3"/>
        </w:rPr>
        <w:t> </w:t>
      </w:r>
      <w:r>
        <w:rPr/>
        <w:t>107</w:t>
      </w:r>
      <w:r>
        <w:rPr>
          <w:spacing w:val="-3"/>
        </w:rPr>
        <w:t> </w:t>
      </w:r>
      <w:r>
        <w:rPr/>
        <w:t>individuals</w:t>
      </w:r>
      <w:r>
        <w:rPr>
          <w:spacing w:val="-3"/>
        </w:rPr>
        <w:t> </w:t>
      </w:r>
      <w:r>
        <w:rPr/>
        <w:t>were</w:t>
      </w:r>
      <w:r>
        <w:rPr>
          <w:spacing w:val="-3"/>
        </w:rPr>
        <w:t> </w:t>
      </w:r>
      <w:r>
        <w:rPr/>
        <w:t>recruited,</w:t>
      </w:r>
      <w:r>
        <w:rPr>
          <w:spacing w:val="-3"/>
        </w:rPr>
        <w:t> </w:t>
      </w:r>
      <w:r>
        <w:rPr/>
        <w:t>all</w:t>
      </w:r>
      <w:r>
        <w:rPr>
          <w:spacing w:val="-3"/>
        </w:rPr>
        <w:t> </w:t>
      </w:r>
      <w:r>
        <w:rPr/>
        <w:t>of</w:t>
      </w:r>
      <w:r>
        <w:rPr>
          <w:spacing w:val="-3"/>
        </w:rPr>
        <w:t> </w:t>
      </w:r>
      <w:r>
        <w:rPr/>
        <w:t>whom</w:t>
      </w:r>
      <w:r>
        <w:rPr>
          <w:spacing w:val="-3"/>
        </w:rPr>
        <w:t> </w:t>
      </w:r>
      <w:r>
        <w:rPr/>
        <w:t>were</w:t>
      </w:r>
      <w:r>
        <w:rPr>
          <w:spacing w:val="-3"/>
        </w:rPr>
        <w:t> </w:t>
      </w:r>
      <w:r>
        <w:rPr/>
        <w:t>at</w:t>
      </w:r>
      <w:r>
        <w:rPr>
          <w:spacing w:val="-3"/>
        </w:rPr>
        <w:t> </w:t>
      </w:r>
      <w:r>
        <w:rPr/>
        <w:t>least</w:t>
      </w:r>
      <w:r>
        <w:rPr>
          <w:spacing w:val="-3"/>
        </w:rPr>
        <w:t> </w:t>
      </w:r>
      <w:r>
        <w:rPr/>
        <w:t>18</w:t>
      </w:r>
      <w:r>
        <w:rPr>
          <w:spacing w:val="40"/>
        </w:rPr>
        <w:t> </w:t>
      </w:r>
      <w:r>
        <w:rPr/>
        <w:t>years old and had been employed at their current organization for a minimum of six months.</w:t>
      </w:r>
    </w:p>
    <w:p>
      <w:pPr>
        <w:pStyle w:val="BodyText"/>
        <w:spacing w:before="103"/>
      </w:pPr>
    </w:p>
    <w:p>
      <w:pPr>
        <w:pStyle w:val="BodyText"/>
        <w:spacing w:before="1"/>
        <w:ind w:left="720" w:right="1544"/>
      </w:pPr>
      <w:r>
        <w:rPr/>
        <w:t>From our findings, we can conclude that well-being, belongingness, and mattering are all slightly correlated with each other. The strongest correlation is between the sense of mattering and well-being (r = .762, p &lt; .01), indicating that individuals who feel they matter also tend to report higher levels of well-being. From our study, we found that Neurotypical participants tended to report slightly higher mattering and well-being, but the differences weren’t large enough</w:t>
      </w:r>
      <w:r>
        <w:rPr>
          <w:spacing w:val="-5"/>
        </w:rPr>
        <w:t> </w:t>
      </w:r>
      <w:r>
        <w:rPr/>
        <w:t>to</w:t>
      </w:r>
      <w:r>
        <w:rPr>
          <w:spacing w:val="-5"/>
        </w:rPr>
        <w:t> </w:t>
      </w:r>
      <w:r>
        <w:rPr/>
        <w:t>be</w:t>
      </w:r>
      <w:r>
        <w:rPr>
          <w:spacing w:val="-5"/>
        </w:rPr>
        <w:t> </w:t>
      </w:r>
      <w:r>
        <w:rPr/>
        <w:t>statistically</w:t>
      </w:r>
      <w:r>
        <w:rPr>
          <w:spacing w:val="-5"/>
        </w:rPr>
        <w:t> </w:t>
      </w:r>
      <w:r>
        <w:rPr/>
        <w:t>significant</w:t>
      </w:r>
      <w:r>
        <w:rPr>
          <w:spacing w:val="-5"/>
        </w:rPr>
        <w:t> </w:t>
      </w:r>
      <w:r>
        <w:rPr/>
        <w:t>(Table</w:t>
      </w:r>
      <w:r>
        <w:rPr>
          <w:spacing w:val="-5"/>
        </w:rPr>
        <w:t> </w:t>
      </w:r>
      <w:r>
        <w:rPr/>
        <w:t>2).</w:t>
      </w:r>
      <w:r>
        <w:rPr>
          <w:spacing w:val="-5"/>
        </w:rPr>
        <w:t> </w:t>
      </w:r>
      <w:r>
        <w:rPr/>
        <w:t>The</w:t>
      </w:r>
      <w:r>
        <w:rPr>
          <w:spacing w:val="-5"/>
        </w:rPr>
        <w:t> </w:t>
      </w:r>
      <w:r>
        <w:rPr/>
        <w:t>patterns</w:t>
      </w:r>
      <w:r>
        <w:rPr>
          <w:spacing w:val="-5"/>
        </w:rPr>
        <w:t> </w:t>
      </w:r>
      <w:r>
        <w:rPr/>
        <w:t>hint</w:t>
      </w:r>
      <w:r>
        <w:rPr>
          <w:spacing w:val="-5"/>
        </w:rPr>
        <w:t> </w:t>
      </w:r>
      <w:r>
        <w:rPr/>
        <w:t>that</w:t>
      </w:r>
      <w:r>
        <w:rPr>
          <w:spacing w:val="-5"/>
        </w:rPr>
        <w:t> </w:t>
      </w:r>
      <w:r>
        <w:rPr/>
        <w:t>neurodivergent</w:t>
      </w:r>
      <w:r>
        <w:rPr>
          <w:spacing w:val="-5"/>
        </w:rPr>
        <w:t> </w:t>
      </w:r>
      <w:r>
        <w:rPr/>
        <w:t>participants</w:t>
      </w:r>
    </w:p>
    <w:p>
      <w:pPr>
        <w:pStyle w:val="BodyText"/>
        <w:spacing w:after="0"/>
        <w:sectPr>
          <w:pgSz w:w="12240" w:h="15840"/>
          <w:pgMar w:header="0" w:footer="714" w:top="640" w:bottom="960" w:left="720" w:right="0"/>
        </w:sectPr>
      </w:pPr>
    </w:p>
    <w:p>
      <w:pPr>
        <w:pStyle w:val="BodyText"/>
        <w:spacing w:before="60"/>
        <w:ind w:left="720" w:right="1619"/>
      </w:pPr>
      <w:r>
        <w:rPr/>
        <w:t>may</w:t>
      </w:r>
      <w:r>
        <w:rPr>
          <w:spacing w:val="-3"/>
        </w:rPr>
        <w:t> </w:t>
      </w:r>
      <w:r>
        <w:rPr/>
        <w:t>feel</w:t>
      </w:r>
      <w:r>
        <w:rPr>
          <w:spacing w:val="-3"/>
        </w:rPr>
        <w:t> </w:t>
      </w:r>
      <w:r>
        <w:rPr/>
        <w:t>a</w:t>
      </w:r>
      <w:r>
        <w:rPr>
          <w:spacing w:val="-3"/>
        </w:rPr>
        <w:t> </w:t>
      </w:r>
      <w:r>
        <w:rPr/>
        <w:t>bit</w:t>
      </w:r>
      <w:r>
        <w:rPr>
          <w:spacing w:val="-3"/>
        </w:rPr>
        <w:t> </w:t>
      </w:r>
      <w:r>
        <w:rPr/>
        <w:t>less</w:t>
      </w:r>
      <w:r>
        <w:rPr>
          <w:spacing w:val="-3"/>
        </w:rPr>
        <w:t> </w:t>
      </w:r>
      <w:r>
        <w:rPr/>
        <w:t>valued</w:t>
      </w:r>
      <w:r>
        <w:rPr>
          <w:spacing w:val="-3"/>
        </w:rPr>
        <w:t> </w:t>
      </w:r>
      <w:r>
        <w:rPr/>
        <w:t>or</w:t>
      </w:r>
      <w:r>
        <w:rPr>
          <w:spacing w:val="-3"/>
        </w:rPr>
        <w:t> </w:t>
      </w:r>
      <w:r>
        <w:rPr/>
        <w:t>supported,</w:t>
      </w:r>
      <w:r>
        <w:rPr>
          <w:spacing w:val="-3"/>
        </w:rPr>
        <w:t> </w:t>
      </w:r>
      <w:r>
        <w:rPr/>
        <w:t>even</w:t>
      </w:r>
      <w:r>
        <w:rPr>
          <w:spacing w:val="-3"/>
        </w:rPr>
        <w:t> </w:t>
      </w:r>
      <w:r>
        <w:rPr/>
        <w:t>if</w:t>
      </w:r>
      <w:r>
        <w:rPr>
          <w:spacing w:val="-3"/>
        </w:rPr>
        <w:t> </w:t>
      </w:r>
      <w:r>
        <w:rPr/>
        <w:t>not</w:t>
      </w:r>
      <w:r>
        <w:rPr>
          <w:spacing w:val="-3"/>
        </w:rPr>
        <w:t> </w:t>
      </w:r>
      <w:r>
        <w:rPr/>
        <w:t>dramatically</w:t>
      </w:r>
      <w:r>
        <w:rPr>
          <w:spacing w:val="-3"/>
        </w:rPr>
        <w:t> </w:t>
      </w:r>
      <w:r>
        <w:rPr/>
        <w:t>so.</w:t>
      </w:r>
      <w:r>
        <w:rPr>
          <w:spacing w:val="-3"/>
        </w:rPr>
        <w:t> </w:t>
      </w:r>
      <w:r>
        <w:rPr/>
        <w:t>From</w:t>
      </w:r>
      <w:r>
        <w:rPr>
          <w:spacing w:val="-3"/>
        </w:rPr>
        <w:t> </w:t>
      </w:r>
      <w:r>
        <w:rPr/>
        <w:t>this,</w:t>
      </w:r>
      <w:r>
        <w:rPr>
          <w:spacing w:val="-3"/>
        </w:rPr>
        <w:t> </w:t>
      </w:r>
      <w:r>
        <w:rPr/>
        <w:t>we</w:t>
      </w:r>
      <w:r>
        <w:rPr>
          <w:spacing w:val="-3"/>
        </w:rPr>
        <w:t> </w:t>
      </w:r>
      <w:r>
        <w:rPr/>
        <w:t>can</w:t>
      </w:r>
      <w:r>
        <w:rPr>
          <w:spacing w:val="-3"/>
        </w:rPr>
        <w:t> </w:t>
      </w:r>
      <w:r>
        <w:rPr/>
        <w:t>conclude that further research with a larger sample size is needed to fully understand our research </w:t>
      </w:r>
      <w:r>
        <w:rPr>
          <w:spacing w:val="-2"/>
        </w:rPr>
        <w:t>question.</w:t>
      </w:r>
    </w:p>
    <w:p>
      <w:pPr>
        <w:pStyle w:val="BodyText"/>
        <w:spacing w:before="3"/>
        <w:rPr>
          <w:sz w:val="6"/>
        </w:rPr>
      </w:pPr>
      <w:r>
        <w:rPr>
          <w:sz w:val="6"/>
        </w:rPr>
        <w:drawing>
          <wp:anchor distT="0" distB="0" distL="0" distR="0" allowOverlap="1" layoutInCell="1" locked="0" behindDoc="1" simplePos="0" relativeHeight="487615488">
            <wp:simplePos x="0" y="0"/>
            <wp:positionH relativeFrom="page">
              <wp:posOffset>2017349</wp:posOffset>
            </wp:positionH>
            <wp:positionV relativeFrom="paragraph">
              <wp:posOffset>61050</wp:posOffset>
            </wp:positionV>
            <wp:extent cx="4155841" cy="1748504"/>
            <wp:effectExtent l="0" t="0" r="0" b="0"/>
            <wp:wrapTopAndBottom/>
            <wp:docPr id="100" name="Image 100"/>
            <wp:cNvGraphicFramePr>
              <a:graphicFrameLocks/>
            </wp:cNvGraphicFramePr>
            <a:graphic>
              <a:graphicData uri="http://schemas.openxmlformats.org/drawingml/2006/picture">
                <pic:pic>
                  <pic:nvPicPr>
                    <pic:cNvPr id="100" name="Image 100"/>
                    <pic:cNvPicPr/>
                  </pic:nvPicPr>
                  <pic:blipFill>
                    <a:blip r:embed="rId310" cstate="print"/>
                    <a:stretch>
                      <a:fillRect/>
                    </a:stretch>
                  </pic:blipFill>
                  <pic:spPr>
                    <a:xfrm>
                      <a:off x="0" y="0"/>
                      <a:ext cx="4155841" cy="1748504"/>
                    </a:xfrm>
                    <a:prstGeom prst="rect">
                      <a:avLst/>
                    </a:prstGeom>
                  </pic:spPr>
                </pic:pic>
              </a:graphicData>
            </a:graphic>
          </wp:anchor>
        </w:drawing>
      </w:r>
      <w:r>
        <w:rPr>
          <w:sz w:val="6"/>
        </w:rPr>
        <w:drawing>
          <wp:anchor distT="0" distB="0" distL="0" distR="0" allowOverlap="1" layoutInCell="1" locked="0" behindDoc="1" simplePos="0" relativeHeight="487616000">
            <wp:simplePos x="0" y="0"/>
            <wp:positionH relativeFrom="page">
              <wp:posOffset>1714812</wp:posOffset>
            </wp:positionH>
            <wp:positionV relativeFrom="paragraph">
              <wp:posOffset>1959459</wp:posOffset>
            </wp:positionV>
            <wp:extent cx="4778881" cy="1428369"/>
            <wp:effectExtent l="0" t="0" r="0" b="0"/>
            <wp:wrapTopAndBottom/>
            <wp:docPr id="101" name="Image 101"/>
            <wp:cNvGraphicFramePr>
              <a:graphicFrameLocks/>
            </wp:cNvGraphicFramePr>
            <a:graphic>
              <a:graphicData uri="http://schemas.openxmlformats.org/drawingml/2006/picture">
                <pic:pic>
                  <pic:nvPicPr>
                    <pic:cNvPr id="101" name="Image 101"/>
                    <pic:cNvPicPr/>
                  </pic:nvPicPr>
                  <pic:blipFill>
                    <a:blip r:embed="rId311" cstate="print"/>
                    <a:stretch>
                      <a:fillRect/>
                    </a:stretch>
                  </pic:blipFill>
                  <pic:spPr>
                    <a:xfrm>
                      <a:off x="0" y="0"/>
                      <a:ext cx="4778881" cy="1428369"/>
                    </a:xfrm>
                    <a:prstGeom prst="rect">
                      <a:avLst/>
                    </a:prstGeom>
                  </pic:spPr>
                </pic:pic>
              </a:graphicData>
            </a:graphic>
          </wp:anchor>
        </w:drawing>
      </w:r>
    </w:p>
    <w:p>
      <w:pPr>
        <w:pStyle w:val="BodyText"/>
        <w:spacing w:before="5"/>
        <w:rPr>
          <w:sz w:val="18"/>
        </w:rPr>
      </w:pPr>
    </w:p>
    <w:p>
      <w:pPr>
        <w:pStyle w:val="BodyText"/>
        <w:spacing w:before="94"/>
      </w:pPr>
    </w:p>
    <w:p>
      <w:pPr>
        <w:pStyle w:val="BodyText"/>
        <w:ind w:left="720" w:right="1628"/>
      </w:pPr>
      <w:r>
        <w:rPr/>
        <w:t>The findings of this study highlight how feeling valued at work is closely tied to</w:t>
      </w:r>
      <w:r>
        <w:rPr>
          <w:spacing w:val="40"/>
        </w:rPr>
        <w:t> </w:t>
      </w:r>
      <w:r>
        <w:rPr/>
        <w:t>employee well-being, which is essential for both individual health and organizational</w:t>
      </w:r>
      <w:r>
        <w:rPr>
          <w:spacing w:val="40"/>
        </w:rPr>
        <w:t> </w:t>
      </w:r>
      <w:r>
        <w:rPr/>
        <w:t>effectiveness. The strong relationship between mattering and well-being suggests that</w:t>
      </w:r>
      <w:r>
        <w:rPr>
          <w:spacing w:val="40"/>
        </w:rPr>
        <w:t> </w:t>
      </w:r>
      <w:r>
        <w:rPr/>
        <w:t>workplaces cannot rely on inclusion in name only, but must actively ensure employees feel their</w:t>
      </w:r>
      <w:r>
        <w:rPr>
          <w:spacing w:val="40"/>
        </w:rPr>
        <w:t> </w:t>
      </w:r>
      <w:r>
        <w:rPr/>
        <w:t>contributions are meaningful.</w:t>
      </w:r>
      <w:r>
        <w:rPr>
          <w:spacing w:val="-4"/>
        </w:rPr>
        <w:t> </w:t>
      </w:r>
      <w:r>
        <w:rPr/>
        <w:t>This</w:t>
      </w:r>
      <w:r>
        <w:rPr>
          <w:spacing w:val="-4"/>
        </w:rPr>
        <w:t> </w:t>
      </w:r>
      <w:r>
        <w:rPr/>
        <w:t>research</w:t>
      </w:r>
      <w:r>
        <w:rPr>
          <w:spacing w:val="-4"/>
        </w:rPr>
        <w:t> </w:t>
      </w:r>
      <w:r>
        <w:rPr/>
        <w:t>furthers</w:t>
      </w:r>
      <w:r>
        <w:rPr>
          <w:spacing w:val="-4"/>
        </w:rPr>
        <w:t> </w:t>
      </w:r>
      <w:r>
        <w:rPr/>
        <w:t>the</w:t>
      </w:r>
      <w:r>
        <w:rPr>
          <w:spacing w:val="-4"/>
        </w:rPr>
        <w:t> </w:t>
      </w:r>
      <w:r>
        <w:rPr/>
        <w:t>idea</w:t>
      </w:r>
      <w:r>
        <w:rPr>
          <w:spacing w:val="-4"/>
        </w:rPr>
        <w:t> </w:t>
      </w:r>
      <w:r>
        <w:rPr/>
        <w:t>that</w:t>
      </w:r>
      <w:r>
        <w:rPr>
          <w:spacing w:val="-4"/>
        </w:rPr>
        <w:t> </w:t>
      </w:r>
      <w:r>
        <w:rPr/>
        <w:t>neurodiversity-inclusive</w:t>
      </w:r>
      <w:r>
        <w:rPr>
          <w:spacing w:val="40"/>
        </w:rPr>
        <w:t> </w:t>
      </w:r>
      <w:r>
        <w:rPr/>
        <w:t>practices</w:t>
      </w:r>
      <w:r>
        <w:rPr>
          <w:spacing w:val="-4"/>
        </w:rPr>
        <w:t> </w:t>
      </w:r>
      <w:r>
        <w:rPr/>
        <w:t>may</w:t>
      </w:r>
      <w:r>
        <w:rPr>
          <w:spacing w:val="-4"/>
        </w:rPr>
        <w:t> </w:t>
      </w:r>
      <w:r>
        <w:rPr/>
        <w:t>directly influence job satisfaction, productivity, and performance. Overall, the</w:t>
      </w:r>
      <w:r>
        <w:rPr>
          <w:spacing w:val="40"/>
        </w:rPr>
        <w:t> </w:t>
      </w:r>
      <w:r>
        <w:rPr/>
        <w:t>study underscores the need for more human-centered workplace systems and continued research</w:t>
      </w:r>
      <w:r>
        <w:rPr>
          <w:spacing w:val="40"/>
        </w:rPr>
        <w:t> </w:t>
      </w:r>
      <w:r>
        <w:rPr/>
        <w:t>to build truly inclusive and effective organizations.</w:t>
      </w:r>
    </w:p>
    <w:p>
      <w:pPr>
        <w:pStyle w:val="BodyText"/>
        <w:spacing w:after="0"/>
        <w:sectPr>
          <w:pgSz w:w="12240" w:h="15840"/>
          <w:pgMar w:header="0" w:footer="714" w:top="640" w:bottom="960" w:left="720" w:right="0"/>
        </w:sectPr>
      </w:pPr>
    </w:p>
    <w:p>
      <w:pPr>
        <w:pStyle w:val="Heading3"/>
        <w:spacing w:line="204" w:lineRule="auto" w:before="109"/>
        <w:ind w:left="2279" w:right="2879"/>
      </w:pPr>
      <w:bookmarkStart w:name="Sentiment and Trust Toward Artificial In" w:id="149"/>
      <w:bookmarkEnd w:id="149"/>
      <w:r>
        <w:rPr>
          <w:b w:val="0"/>
        </w:rPr>
      </w:r>
      <w:bookmarkStart w:name="h.lhjrta8h1wp5" w:id="150"/>
      <w:bookmarkEnd w:id="150"/>
      <w:r>
        <w:rPr>
          <w:b w:val="0"/>
        </w:rPr>
      </w:r>
      <w:r>
        <w:rPr/>
        <w:t>Sentiment</w:t>
      </w:r>
      <w:r>
        <w:rPr>
          <w:spacing w:val="-15"/>
        </w:rPr>
        <w:t> </w:t>
      </w:r>
      <w:r>
        <w:rPr/>
        <w:t>and</w:t>
      </w:r>
      <w:r>
        <w:rPr>
          <w:spacing w:val="-15"/>
        </w:rPr>
        <w:t> </w:t>
      </w:r>
      <w:r>
        <w:rPr/>
        <w:t>Trust</w:t>
      </w:r>
      <w:r>
        <w:rPr>
          <w:spacing w:val="-15"/>
        </w:rPr>
        <w:t> </w:t>
      </w:r>
      <w:r>
        <w:rPr/>
        <w:t>Toward</w:t>
      </w:r>
      <w:r>
        <w:rPr>
          <w:spacing w:val="-15"/>
        </w:rPr>
        <w:t> </w:t>
      </w:r>
      <w:r>
        <w:rPr/>
        <w:t>Artificial</w:t>
      </w:r>
      <w:r>
        <w:rPr>
          <w:spacing w:val="-15"/>
        </w:rPr>
        <w:t> </w:t>
      </w:r>
      <w:r>
        <w:rPr/>
        <w:t>Intelligence</w:t>
      </w:r>
      <w:r>
        <w:rPr>
          <w:spacing w:val="-15"/>
        </w:rPr>
        <w:t> </w:t>
      </w:r>
      <w:r>
        <w:rPr/>
        <w:t>in Business Contexts: A Multi</w:t>
      </w:r>
      <w:r>
        <w:rPr>
          <w:rFonts w:ascii="Segoe UI Symbol" w:hAnsi="Segoe UI Symbol"/>
          <w:b w:val="0"/>
        </w:rPr>
        <w:t>‑</w:t>
      </w:r>
      <w:r>
        <w:rPr/>
        <w:t>Stakeholder Assessment</w:t>
      </w:r>
    </w:p>
    <w:p>
      <w:pPr>
        <w:pStyle w:val="BodyText"/>
        <w:spacing w:before="297"/>
        <w:ind w:right="599"/>
        <w:jc w:val="center"/>
      </w:pPr>
      <w:bookmarkStart w:name="Alexander Williams, Johnathan Bitting an" w:id="151"/>
      <w:bookmarkEnd w:id="151"/>
      <w:r>
        <w:rPr/>
      </w:r>
      <w:r>
        <w:rPr/>
        <w:t>Alexander</w:t>
      </w:r>
      <w:r>
        <w:rPr>
          <w:spacing w:val="-2"/>
        </w:rPr>
        <w:t> </w:t>
      </w:r>
      <w:r>
        <w:rPr/>
        <w:t>Williams,</w:t>
      </w:r>
      <w:r>
        <w:rPr>
          <w:spacing w:val="-2"/>
        </w:rPr>
        <w:t> </w:t>
      </w:r>
      <w:bookmarkStart w:name=" " w:id="152"/>
      <w:bookmarkEnd w:id="152"/>
      <w:r>
        <w:rPr/>
        <w:t>Johnathan</w:t>
      </w:r>
      <w:r>
        <w:rPr>
          <w:spacing w:val="-1"/>
        </w:rPr>
        <w:t> </w:t>
      </w:r>
      <w:r>
        <w:rPr/>
        <w:t>Bitting</w:t>
      </w:r>
      <w:r>
        <w:rPr>
          <w:spacing w:val="-2"/>
        </w:rPr>
        <w:t> </w:t>
      </w:r>
      <w:r>
        <w:rPr/>
        <w:t>and</w:t>
      </w:r>
      <w:r>
        <w:rPr>
          <w:spacing w:val="-2"/>
        </w:rPr>
        <w:t> </w:t>
      </w:r>
      <w:r>
        <w:rPr/>
        <w:t>Santosh</w:t>
      </w:r>
      <w:r>
        <w:rPr>
          <w:spacing w:val="-1"/>
        </w:rPr>
        <w:t> </w:t>
      </w:r>
      <w:r>
        <w:rPr>
          <w:spacing w:val="-2"/>
        </w:rPr>
        <w:t>Nandi</w:t>
      </w:r>
    </w:p>
    <w:p>
      <w:pPr>
        <w:pStyle w:val="BodyText"/>
      </w:pPr>
    </w:p>
    <w:p>
      <w:pPr>
        <w:pStyle w:val="BodyText"/>
        <w:spacing w:before="29"/>
      </w:pPr>
    </w:p>
    <w:p>
      <w:pPr>
        <w:pStyle w:val="BodyText"/>
        <w:spacing w:line="230" w:lineRule="auto"/>
        <w:ind w:left="720" w:right="1366"/>
        <w:jc w:val="both"/>
      </w:pPr>
      <w:r>
        <w:rPr/>
        <w:t>Artificial intelligence (AI) has become increasingly embedded in business operations,</w:t>
      </w:r>
      <w:r>
        <w:rPr>
          <w:spacing w:val="-4"/>
        </w:rPr>
        <w:t> </w:t>
      </w:r>
      <w:r>
        <w:rPr/>
        <w:t>workplace decision-making, consumer-facing systems, and other organizational functions across industries. As AI becomes pervasive, understanding how stakeholder groups respond to its adoption is essential.</w:t>
      </w:r>
      <w:r>
        <w:rPr>
          <w:spacing w:val="-3"/>
        </w:rPr>
        <w:t> </w:t>
      </w:r>
      <w:r>
        <w:rPr/>
        <w:t>This</w:t>
      </w:r>
      <w:r>
        <w:rPr>
          <w:spacing w:val="-3"/>
        </w:rPr>
        <w:t> </w:t>
      </w:r>
      <w:r>
        <w:rPr/>
        <w:t>study</w:t>
      </w:r>
      <w:r>
        <w:rPr>
          <w:spacing w:val="-3"/>
        </w:rPr>
        <w:t> </w:t>
      </w:r>
      <w:r>
        <w:rPr/>
        <w:t>therefore</w:t>
      </w:r>
      <w:r>
        <w:rPr>
          <w:spacing w:val="-3"/>
        </w:rPr>
        <w:t> </w:t>
      </w:r>
      <w:r>
        <w:rPr/>
        <w:t>focuses</w:t>
      </w:r>
      <w:r>
        <w:rPr>
          <w:spacing w:val="-3"/>
        </w:rPr>
        <w:t> </w:t>
      </w:r>
      <w:r>
        <w:rPr/>
        <w:t>on</w:t>
      </w:r>
      <w:r>
        <w:rPr>
          <w:spacing w:val="-3"/>
        </w:rPr>
        <w:t> </w:t>
      </w:r>
      <w:r>
        <w:rPr/>
        <w:t>examining</w:t>
      </w:r>
      <w:r>
        <w:rPr>
          <w:spacing w:val="-3"/>
        </w:rPr>
        <w:t> </w:t>
      </w:r>
      <w:r>
        <w:rPr/>
        <w:t>stakeholder</w:t>
      </w:r>
      <w:r>
        <w:rPr>
          <w:spacing w:val="-3"/>
        </w:rPr>
        <w:t> </w:t>
      </w:r>
      <w:r>
        <w:rPr/>
        <w:t>sentiment</w:t>
      </w:r>
      <w:r>
        <w:rPr>
          <w:spacing w:val="-3"/>
        </w:rPr>
        <w:t> </w:t>
      </w:r>
      <w:r>
        <w:rPr/>
        <w:t>toward</w:t>
      </w:r>
      <w:r>
        <w:rPr>
          <w:spacing w:val="-3"/>
        </w:rPr>
        <w:t> </w:t>
      </w:r>
      <w:r>
        <w:rPr/>
        <w:t>AI</w:t>
      </w:r>
      <w:r>
        <w:rPr>
          <w:spacing w:val="-3"/>
        </w:rPr>
        <w:t> </w:t>
      </w:r>
      <w:r>
        <w:rPr/>
        <w:t>and</w:t>
      </w:r>
      <w:r>
        <w:rPr>
          <w:spacing w:val="-3"/>
        </w:rPr>
        <w:t> </w:t>
      </w:r>
      <w:r>
        <w:rPr/>
        <w:t>trust</w:t>
      </w:r>
      <w:r>
        <w:rPr>
          <w:spacing w:val="40"/>
        </w:rPr>
        <w:t> </w:t>
      </w:r>
      <w:r>
        <w:rPr/>
        <w:t>in AI across consumers, employees, and business owners or managers to illuminate the</w:t>
      </w:r>
      <w:r>
        <w:rPr>
          <w:spacing w:val="40"/>
        </w:rPr>
        <w:t> </w:t>
      </w:r>
      <w:r>
        <w:rPr/>
        <w:t>opportunities and challenges associated with AI integration in business contexts.</w:t>
      </w:r>
    </w:p>
    <w:p>
      <w:pPr>
        <w:pStyle w:val="BodyText"/>
        <w:spacing w:line="230" w:lineRule="auto" w:before="163"/>
        <w:ind w:left="720" w:right="1367"/>
        <w:jc w:val="both"/>
      </w:pPr>
      <w:r>
        <w:rPr/>
        <w:t>Although existing research has documented AI adoption rates and technological capabilities, empirical studies assessing stakeholder sentiment and trust remain limited. This gap is </w:t>
      </w:r>
      <w:r>
        <w:rPr/>
        <w:t>further underscored by the lack of comparable measures across different stakeholder groups, leaving unanswered questions about how perceptions vary between consumers, employees, and business decision-makers. Addressing this gap is necessary for developing a</w:t>
      </w:r>
      <w:r>
        <w:rPr>
          <w:spacing w:val="-3"/>
        </w:rPr>
        <w:t> </w:t>
      </w:r>
      <w:r>
        <w:rPr/>
        <w:t>clearer</w:t>
      </w:r>
      <w:r>
        <w:rPr>
          <w:spacing w:val="-3"/>
        </w:rPr>
        <w:t> </w:t>
      </w:r>
      <w:r>
        <w:rPr/>
        <w:t>understanding</w:t>
      </w:r>
      <w:r>
        <w:rPr>
          <w:spacing w:val="-3"/>
        </w:rPr>
        <w:t> </w:t>
      </w:r>
      <w:r>
        <w:rPr/>
        <w:t>of</w:t>
      </w:r>
      <w:r>
        <w:rPr>
          <w:spacing w:val="-3"/>
        </w:rPr>
        <w:t> </w:t>
      </w:r>
      <w:r>
        <w:rPr/>
        <w:t>how AI adoption aligns with the expectations,</w:t>
      </w:r>
      <w:r>
        <w:rPr>
          <w:spacing w:val="-3"/>
        </w:rPr>
        <w:t> </w:t>
      </w:r>
      <w:r>
        <w:rPr/>
        <w:t>concerns,</w:t>
      </w:r>
      <w:r>
        <w:rPr>
          <w:spacing w:val="-3"/>
        </w:rPr>
        <w:t> </w:t>
      </w:r>
      <w:r>
        <w:rPr/>
        <w:t>and</w:t>
      </w:r>
      <w:r>
        <w:rPr>
          <w:spacing w:val="-3"/>
        </w:rPr>
        <w:t> </w:t>
      </w:r>
      <w:r>
        <w:rPr/>
        <w:t>emotional</w:t>
      </w:r>
      <w:r>
        <w:rPr>
          <w:spacing w:val="-3"/>
        </w:rPr>
        <w:t> </w:t>
      </w:r>
      <w:r>
        <w:rPr/>
        <w:t>reactions</w:t>
      </w:r>
      <w:r>
        <w:rPr>
          <w:spacing w:val="-3"/>
        </w:rPr>
        <w:t> </w:t>
      </w:r>
      <w:r>
        <w:rPr/>
        <w:t>of</w:t>
      </w:r>
      <w:r>
        <w:rPr>
          <w:spacing w:val="-3"/>
        </w:rPr>
        <w:t> </w:t>
      </w:r>
      <w:r>
        <w:rPr/>
        <w:t>those</w:t>
      </w:r>
      <w:r>
        <w:rPr>
          <w:spacing w:val="-3"/>
        </w:rPr>
        <w:t> </w:t>
      </w:r>
      <w:r>
        <w:rPr/>
        <w:t>who</w:t>
      </w:r>
      <w:r>
        <w:rPr>
          <w:spacing w:val="-3"/>
        </w:rPr>
        <w:t> </w:t>
      </w:r>
      <w:r>
        <w:rPr/>
        <w:t>interact with or are affected by AI systems.</w:t>
      </w:r>
    </w:p>
    <w:p>
      <w:pPr>
        <w:pStyle w:val="BodyText"/>
        <w:spacing w:line="230" w:lineRule="auto" w:before="162"/>
        <w:ind w:left="720" w:right="1371"/>
        <w:jc w:val="both"/>
      </w:pPr>
      <w:r>
        <w:rPr/>
        <w:t>This research has dual objectives: first, to measure stakeholder sentiment and trust toward </w:t>
      </w:r>
      <w:r>
        <w:rPr/>
        <w:t>AI across consumers, employees, and business owners or managers; and second, to compare these patterns across roles, identify predictors of trust, and examine how trust relates to behavioral outcomes such as acceptance, brand bias, and openness</w:t>
      </w:r>
      <w:r>
        <w:rPr>
          <w:spacing w:val="-3"/>
        </w:rPr>
        <w:t> </w:t>
      </w:r>
      <w:r>
        <w:rPr/>
        <w:t>to</w:t>
      </w:r>
      <w:r>
        <w:rPr>
          <w:spacing w:val="-3"/>
        </w:rPr>
        <w:t> </w:t>
      </w:r>
      <w:r>
        <w:rPr/>
        <w:t>AI</w:t>
      </w:r>
      <w:r>
        <w:rPr>
          <w:spacing w:val="-3"/>
        </w:rPr>
        <w:t> </w:t>
      </w:r>
      <w:r>
        <w:rPr/>
        <w:t>integration.</w:t>
      </w:r>
      <w:r>
        <w:rPr>
          <w:spacing w:val="-3"/>
        </w:rPr>
        <w:t> </w:t>
      </w:r>
      <w:r>
        <w:rPr/>
        <w:t>To</w:t>
      </w:r>
      <w:r>
        <w:rPr>
          <w:spacing w:val="-3"/>
        </w:rPr>
        <w:t> </w:t>
      </w:r>
      <w:r>
        <w:rPr/>
        <w:t>accomplish</w:t>
      </w:r>
      <w:r>
        <w:rPr>
          <w:spacing w:val="-3"/>
        </w:rPr>
        <w:t> </w:t>
      </w:r>
      <w:r>
        <w:rPr/>
        <w:t>this,</w:t>
      </w:r>
      <w:r>
        <w:rPr>
          <w:spacing w:val="-3"/>
        </w:rPr>
        <w:t> </w:t>
      </w:r>
      <w:r>
        <w:rPr/>
        <w:t>the study employs a mixed-methods approach that gathers qualitative insights from open-ended prompts and quantitative data from role-specific surveys distributed within a tech-savvy region within the U.S.</w:t>
      </w:r>
    </w:p>
    <w:p>
      <w:pPr>
        <w:pStyle w:val="BodyText"/>
        <w:spacing w:line="230" w:lineRule="auto" w:before="161"/>
        <w:ind w:left="720" w:right="1365"/>
        <w:jc w:val="both"/>
      </w:pPr>
      <w:r>
        <w:rPr/>
        <w:t>The findings of this study will offer practical value to organizations seeking to implement or expand AI responsibly. By identifying key areas of stakeholder hesitation or anxiety </w:t>
      </w:r>
      <w:r>
        <w:rPr/>
        <w:t>alongside sources of trust, organizations can better align AI strategies with stakeholder expectations and concerns. Demographic patterns related to sentiment and trust may further help tailor AI initiatives to specific user groups. Overall, these insights can guide organizations in developing</w:t>
      </w:r>
      <w:r>
        <w:rPr>
          <w:spacing w:val="40"/>
        </w:rPr>
        <w:t> </w:t>
      </w:r>
      <w:r>
        <w:rPr/>
        <w:t>AI adoption approaches that are more responsive to and informed by stakeholder preferences.</w:t>
      </w:r>
    </w:p>
    <w:p>
      <w:pPr>
        <w:pStyle w:val="BodyText"/>
        <w:spacing w:after="0" w:line="230" w:lineRule="auto"/>
        <w:jc w:val="both"/>
        <w:sectPr>
          <w:pgSz w:w="12240" w:h="15840"/>
          <w:pgMar w:header="0" w:footer="714" w:top="620" w:bottom="960" w:left="720" w:right="0"/>
        </w:sectPr>
      </w:pPr>
    </w:p>
    <w:p>
      <w:pPr>
        <w:pStyle w:val="Heading3"/>
        <w:spacing w:line="223" w:lineRule="auto" w:before="50"/>
        <w:ind w:left="3347" w:right="1392" w:hanging="2301"/>
        <w:jc w:val="left"/>
      </w:pPr>
      <w:bookmarkStart w:name="Passive Drift in AI‑Mediated Platforms: " w:id="153"/>
      <w:bookmarkEnd w:id="153"/>
      <w:r>
        <w:rPr>
          <w:b w:val="0"/>
        </w:rPr>
      </w:r>
      <w:bookmarkStart w:name="h.jnx8bjntevd5" w:id="154"/>
      <w:bookmarkEnd w:id="154"/>
      <w:r>
        <w:rPr>
          <w:b w:val="0"/>
        </w:rPr>
      </w:r>
      <w:r>
        <w:rPr/>
        <w:t>Passive</w:t>
      </w:r>
      <w:r>
        <w:rPr>
          <w:spacing w:val="-9"/>
        </w:rPr>
        <w:t> </w:t>
      </w:r>
      <w:r>
        <w:rPr/>
        <w:t>Drift</w:t>
      </w:r>
      <w:r>
        <w:rPr>
          <w:spacing w:val="-9"/>
        </w:rPr>
        <w:t> </w:t>
      </w:r>
      <w:r>
        <w:rPr/>
        <w:t>in</w:t>
      </w:r>
      <w:r>
        <w:rPr>
          <w:spacing w:val="-9"/>
        </w:rPr>
        <w:t> </w:t>
      </w:r>
      <w:r>
        <w:rPr/>
        <w:t>AI</w:t>
      </w:r>
      <w:r>
        <w:rPr>
          <w:rFonts w:ascii="Segoe UI Symbol" w:hAnsi="Segoe UI Symbol"/>
          <w:b w:val="0"/>
        </w:rPr>
        <w:t>‑</w:t>
      </w:r>
      <w:r>
        <w:rPr/>
        <w:t>Mediated</w:t>
      </w:r>
      <w:r>
        <w:rPr>
          <w:spacing w:val="-9"/>
        </w:rPr>
        <w:t> </w:t>
      </w:r>
      <w:r>
        <w:rPr/>
        <w:t>Platforms:</w:t>
      </w:r>
      <w:r>
        <w:rPr>
          <w:spacing w:val="-9"/>
        </w:rPr>
        <w:t> </w:t>
      </w:r>
      <w:r>
        <w:rPr/>
        <w:t>A</w:t>
      </w:r>
      <w:r>
        <w:rPr>
          <w:spacing w:val="-9"/>
        </w:rPr>
        <w:t> </w:t>
      </w:r>
      <w:r>
        <w:rPr/>
        <w:t>Systematic</w:t>
      </w:r>
      <w:r>
        <w:rPr>
          <w:spacing w:val="-9"/>
        </w:rPr>
        <w:t> </w:t>
      </w:r>
      <w:r>
        <w:rPr/>
        <w:t>Review</w:t>
      </w:r>
      <w:r>
        <w:rPr>
          <w:spacing w:val="-9"/>
        </w:rPr>
        <w:t> </w:t>
      </w:r>
      <w:r>
        <w:rPr/>
        <w:t>of Engagement Mechanisms</w:t>
      </w:r>
    </w:p>
    <w:p>
      <w:pPr>
        <w:pStyle w:val="BodyText"/>
        <w:spacing w:before="293"/>
        <w:ind w:right="719"/>
        <w:jc w:val="center"/>
      </w:pPr>
      <w:r>
        <w:rPr/>
        <w:t>Shishi </w:t>
      </w:r>
      <w:r>
        <w:rPr>
          <w:spacing w:val="-5"/>
        </w:rPr>
        <w:t>Wu</w:t>
      </w:r>
    </w:p>
    <w:p>
      <w:pPr>
        <w:pStyle w:val="BodyText"/>
        <w:spacing w:before="229"/>
        <w:ind w:left="720"/>
        <w:jc w:val="both"/>
      </w:pPr>
      <w:r>
        <w:rPr/>
        <w:t>Key words: Passive drift, digital platforms, recommender systems, user </w:t>
      </w:r>
      <w:r>
        <w:rPr>
          <w:spacing w:val="-2"/>
        </w:rPr>
        <w:t>engagement</w:t>
      </w:r>
    </w:p>
    <w:p>
      <w:pPr>
        <w:pStyle w:val="BodyText"/>
        <w:spacing w:before="91"/>
      </w:pPr>
    </w:p>
    <w:p>
      <w:pPr>
        <w:pStyle w:val="BodyText"/>
        <w:ind w:left="720" w:right="1323" w:firstLine="15"/>
        <w:jc w:val="both"/>
      </w:pPr>
      <w:r>
        <w:rPr/>
        <w:t>This study examines an emerging phenomenon in AI-mediated platforms referred to as </w:t>
      </w:r>
      <w:r>
        <w:rPr>
          <w:i/>
        </w:rPr>
        <w:t>passive</w:t>
      </w:r>
      <w:r>
        <w:rPr>
          <w:i/>
        </w:rPr>
        <w:t> drift</w:t>
      </w:r>
      <w:r>
        <w:rPr/>
        <w:t>. With the widespread adoption of recommender systems, algorithmic ranking, personalization,</w:t>
      </w:r>
      <w:r>
        <w:rPr>
          <w:spacing w:val="40"/>
        </w:rPr>
        <w:t> </w:t>
      </w:r>
      <w:r>
        <w:rPr/>
        <w:t>infinite scrolling, and autoplay features, digital platforms increasingly reshape users’ attention</w:t>
      </w:r>
      <w:r>
        <w:rPr>
          <w:spacing w:val="40"/>
        </w:rPr>
        <w:t> </w:t>
      </w:r>
      <w:r>
        <w:rPr/>
        <w:t>structures and behavioral trajectories. Within such environments, engagement</w:t>
      </w:r>
      <w:r>
        <w:rPr>
          <w:spacing w:val="40"/>
        </w:rPr>
        <w:t> </w:t>
      </w:r>
      <w:r>
        <w:rPr/>
        <w:t>may</w:t>
      </w:r>
      <w:r>
        <w:rPr>
          <w:spacing w:val="80"/>
        </w:rPr>
        <w:t> </w:t>
      </w:r>
      <w:r>
        <w:rPr/>
        <w:t>gradually</w:t>
      </w:r>
      <w:r>
        <w:rPr>
          <w:spacing w:val="80"/>
        </w:rPr>
        <w:t> </w:t>
      </w:r>
      <w:r>
        <w:rPr/>
        <w:t>shift</w:t>
      </w:r>
      <w:r>
        <w:rPr>
          <w:spacing w:val="80"/>
        </w:rPr>
        <w:t>  </w:t>
      </w:r>
      <w:r>
        <w:rPr/>
        <w:t>during</w:t>
      </w:r>
      <w:r>
        <w:rPr>
          <w:spacing w:val="80"/>
        </w:rPr>
        <w:t> </w:t>
      </w:r>
      <w:r>
        <w:rPr/>
        <w:t>a</w:t>
      </w:r>
      <w:r>
        <w:rPr>
          <w:spacing w:val="80"/>
        </w:rPr>
        <w:t> </w:t>
      </w:r>
      <w:r>
        <w:rPr/>
        <w:t>single</w:t>
      </w:r>
      <w:r>
        <w:rPr>
          <w:spacing w:val="80"/>
        </w:rPr>
        <w:t> </w:t>
      </w:r>
      <w:r>
        <w:rPr/>
        <w:t>session</w:t>
      </w:r>
      <w:r>
        <w:rPr>
          <w:spacing w:val="80"/>
        </w:rPr>
        <w:t> </w:t>
      </w:r>
      <w:r>
        <w:rPr/>
        <w:t>from</w:t>
      </w:r>
      <w:r>
        <w:rPr>
          <w:spacing w:val="80"/>
        </w:rPr>
        <w:t> </w:t>
      </w:r>
      <w:r>
        <w:rPr/>
        <w:t>user-initiated</w:t>
      </w:r>
      <w:r>
        <w:rPr>
          <w:spacing w:val="80"/>
        </w:rPr>
        <w:t> </w:t>
      </w:r>
      <w:r>
        <w:rPr/>
        <w:t>decision-making</w:t>
      </w:r>
      <w:r>
        <w:rPr>
          <w:spacing w:val="80"/>
        </w:rPr>
        <w:t> </w:t>
      </w:r>
      <w:r>
        <w:rPr/>
        <w:t>to system-sustained</w:t>
      </w:r>
      <w:r>
        <w:rPr>
          <w:spacing w:val="80"/>
        </w:rPr>
        <w:t> </w:t>
      </w:r>
      <w:r>
        <w:rPr/>
        <w:t>continuation.</w:t>
      </w:r>
      <w:r>
        <w:rPr>
          <w:spacing w:val="80"/>
        </w:rPr>
        <w:t> </w:t>
      </w:r>
      <w:r>
        <w:rPr/>
        <w:t>This</w:t>
      </w:r>
      <w:r>
        <w:rPr>
          <w:spacing w:val="80"/>
        </w:rPr>
        <w:t>  </w:t>
      </w:r>
      <w:r>
        <w:rPr/>
        <w:t>study</w:t>
      </w:r>
      <w:r>
        <w:rPr>
          <w:spacing w:val="80"/>
        </w:rPr>
        <w:t> </w:t>
      </w:r>
      <w:r>
        <w:rPr/>
        <w:t>defines</w:t>
      </w:r>
      <w:r>
        <w:rPr>
          <w:spacing w:val="80"/>
        </w:rPr>
        <w:t> </w:t>
      </w:r>
      <w:r>
        <w:rPr/>
        <w:t>passive</w:t>
      </w:r>
      <w:r>
        <w:rPr>
          <w:spacing w:val="80"/>
        </w:rPr>
        <w:t> </w:t>
      </w:r>
      <w:r>
        <w:rPr/>
        <w:t>drift</w:t>
      </w:r>
      <w:r>
        <w:rPr>
          <w:spacing w:val="80"/>
        </w:rPr>
        <w:t> </w:t>
      </w:r>
      <w:r>
        <w:rPr/>
        <w:t>as</w:t>
      </w:r>
      <w:r>
        <w:rPr>
          <w:spacing w:val="80"/>
        </w:rPr>
        <w:t> </w:t>
      </w:r>
      <w:r>
        <w:rPr/>
        <w:t>this</w:t>
      </w:r>
      <w:r>
        <w:rPr>
          <w:spacing w:val="80"/>
        </w:rPr>
        <w:t> </w:t>
      </w:r>
      <w:r>
        <w:rPr/>
        <w:t>transition</w:t>
      </w:r>
      <w:r>
        <w:rPr>
          <w:spacing w:val="80"/>
        </w:rPr>
        <w:t> </w:t>
      </w:r>
      <w:r>
        <w:rPr/>
        <w:t>from user-initiated engagement to system-maintained</w:t>
      </w:r>
      <w:r>
        <w:rPr>
          <w:spacing w:val="40"/>
        </w:rPr>
        <w:t> </w:t>
      </w:r>
      <w:r>
        <w:rPr/>
        <w:t>engagement, characterized by</w:t>
      </w:r>
      <w:r>
        <w:rPr>
          <w:spacing w:val="-4"/>
        </w:rPr>
        <w:t> </w:t>
      </w:r>
      <w:r>
        <w:rPr/>
        <w:t>reduced</w:t>
      </w:r>
      <w:r>
        <w:rPr>
          <w:spacing w:val="-4"/>
        </w:rPr>
        <w:t> </w:t>
      </w:r>
      <w:r>
        <w:rPr/>
        <w:t>reflective control and increased reliance on algorithmic</w:t>
      </w:r>
      <w:r>
        <w:rPr>
          <w:spacing w:val="40"/>
        </w:rPr>
        <w:t> </w:t>
      </w:r>
      <w:r>
        <w:rPr/>
        <w:t>cues. The phenomenon challenges traditional interpretations of persistent platform use as</w:t>
      </w:r>
      <w:r>
        <w:rPr>
          <w:spacing w:val="40"/>
        </w:rPr>
        <w:t> </w:t>
      </w:r>
      <w:r>
        <w:rPr/>
        <w:t>preference reinforcement or habit formation.</w:t>
      </w:r>
    </w:p>
    <w:p>
      <w:pPr>
        <w:pStyle w:val="BodyText"/>
        <w:spacing w:line="230" w:lineRule="auto" w:before="165"/>
        <w:ind w:left="720" w:right="1381"/>
        <w:jc w:val="both"/>
      </w:pPr>
      <w:r>
        <w:rPr/>
        <w:t>Investigating this issue is theoretically and practically important. From a theoretical perspective, dominant Information Systems continuance and habit models assume that sustained </w:t>
      </w:r>
      <w:r>
        <w:rPr/>
        <w:t>engagement results from satisfaction, intention, or internal reinforcement mechanisms. However, algorithmic environments actively restructure users’ consideration sets and alter salience, suggesting that persistence may partially stem from a redistribution of behavioral control embedded in platform architecture. A refined conceptual framework is therefore needed to explain how engagement control dynamically shifts between users and systems in digitally mediated contexts. From a societal perspective, regulators and policymakers have increasingly scrutinized infinite</w:t>
      </w:r>
      <w:r>
        <w:rPr>
          <w:spacing w:val="-4"/>
        </w:rPr>
        <w:t> </w:t>
      </w:r>
      <w:r>
        <w:rPr/>
        <w:t>scrolling, autoplay, and highly personalized feeds due to</w:t>
      </w:r>
      <w:r>
        <w:rPr>
          <w:spacing w:val="-6"/>
        </w:rPr>
        <w:t> </w:t>
      </w:r>
      <w:r>
        <w:rPr/>
        <w:t>concerns</w:t>
      </w:r>
      <w:r>
        <w:rPr>
          <w:spacing w:val="-6"/>
        </w:rPr>
        <w:t> </w:t>
      </w:r>
      <w:r>
        <w:rPr/>
        <w:t>regarding</w:t>
      </w:r>
      <w:r>
        <w:rPr>
          <w:spacing w:val="-6"/>
        </w:rPr>
        <w:t> </w:t>
      </w:r>
      <w:r>
        <w:rPr/>
        <w:t>autonomy,</w:t>
      </w:r>
      <w:r>
        <w:rPr>
          <w:spacing w:val="-6"/>
        </w:rPr>
        <w:t> </w:t>
      </w:r>
      <w:r>
        <w:rPr/>
        <w:t>self-regulation,</w:t>
      </w:r>
      <w:r>
        <w:rPr>
          <w:spacing w:val="-6"/>
        </w:rPr>
        <w:t> </w:t>
      </w:r>
      <w:r>
        <w:rPr/>
        <w:t>and digital well-being. In the absence of systematic theoretical grounding, debates surrounding platform responsibility and algorithmic governance remain conceptually fragmented.</w:t>
      </w:r>
    </w:p>
    <w:p>
      <w:pPr>
        <w:pStyle w:val="BodyText"/>
        <w:spacing w:line="230" w:lineRule="auto" w:before="161"/>
        <w:ind w:left="720" w:right="1383" w:firstLine="15"/>
        <w:jc w:val="both"/>
      </w:pPr>
      <w:r>
        <w:rPr/>
        <w:t>To address this issue, this study employs a structured systematic literature review of </w:t>
      </w:r>
      <w:r>
        <w:rPr/>
        <w:t>research published between 2021 and 2026 in leading Information Systems and related journals. The review</w:t>
      </w:r>
      <w:r>
        <w:rPr>
          <w:spacing w:val="80"/>
        </w:rPr>
        <w:t> </w:t>
      </w:r>
      <w:r>
        <w:rPr/>
        <w:t>integrates research streams on recommender systems, digital choice architecture,</w:t>
      </w:r>
      <w:r>
        <w:rPr>
          <w:spacing w:val="40"/>
        </w:rPr>
        <w:t> </w:t>
      </w:r>
      <w:r>
        <w:rPr/>
        <w:t>interface</w:t>
      </w:r>
      <w:r>
        <w:rPr>
          <w:spacing w:val="40"/>
        </w:rPr>
        <w:t> </w:t>
      </w:r>
      <w:r>
        <w:rPr/>
        <w:t>affordances, cognitive constraints, technostress, and hedonic information system use.</w:t>
      </w:r>
      <w:r>
        <w:rPr>
          <w:spacing w:val="40"/>
        </w:rPr>
        <w:t> </w:t>
      </w:r>
      <w:r>
        <w:rPr/>
        <w:t>By</w:t>
      </w:r>
      <w:r>
        <w:rPr>
          <w:spacing w:val="40"/>
        </w:rPr>
        <w:t> </w:t>
      </w:r>
      <w:r>
        <w:rPr/>
        <w:t>extracting platform design variables, mediating cognitive mechanisms, and behavioral outcomes,</w:t>
      </w:r>
      <w:r>
        <w:rPr>
          <w:spacing w:val="40"/>
        </w:rPr>
        <w:t> </w:t>
      </w:r>
      <w:r>
        <w:rPr/>
        <w:t>and through cross-study comparison, the study develops a sociotechnical framework that explains</w:t>
      </w:r>
      <w:r>
        <w:rPr>
          <w:spacing w:val="40"/>
        </w:rPr>
        <w:t> </w:t>
      </w:r>
      <w:r>
        <w:rPr/>
        <w:t>how algorithmic objectives, friction-reducing interfaces, and limited cognitive resources jointly</w:t>
      </w:r>
      <w:r>
        <w:rPr>
          <w:spacing w:val="40"/>
        </w:rPr>
        <w:t> </w:t>
      </w:r>
      <w:r>
        <w:rPr/>
        <w:t>produce control redistribution within platform sessions.</w:t>
      </w:r>
    </w:p>
    <w:p>
      <w:pPr>
        <w:pStyle w:val="BodyText"/>
        <w:spacing w:line="230" w:lineRule="auto" w:before="160"/>
        <w:ind w:left="735" w:right="1380"/>
        <w:jc w:val="both"/>
      </w:pPr>
      <w:r>
        <w:rPr/>
        <w:t>The findings will</w:t>
      </w:r>
      <w:r>
        <w:rPr>
          <w:spacing w:val="-3"/>
        </w:rPr>
        <w:t> </w:t>
      </w:r>
      <w:r>
        <w:rPr/>
        <w:t>be</w:t>
      </w:r>
      <w:r>
        <w:rPr>
          <w:spacing w:val="-3"/>
        </w:rPr>
        <w:t> </w:t>
      </w:r>
      <w:r>
        <w:rPr/>
        <w:t>relevant</w:t>
      </w:r>
      <w:r>
        <w:rPr>
          <w:spacing w:val="-3"/>
        </w:rPr>
        <w:t> </w:t>
      </w:r>
      <w:r>
        <w:rPr/>
        <w:t>to</w:t>
      </w:r>
      <w:r>
        <w:rPr>
          <w:spacing w:val="-3"/>
        </w:rPr>
        <w:t> </w:t>
      </w:r>
      <w:r>
        <w:rPr/>
        <w:t>multiple</w:t>
      </w:r>
      <w:r>
        <w:rPr>
          <w:spacing w:val="-3"/>
        </w:rPr>
        <w:t> </w:t>
      </w:r>
      <w:r>
        <w:rPr/>
        <w:t>stakeholders.</w:t>
      </w:r>
      <w:r>
        <w:rPr>
          <w:spacing w:val="-3"/>
        </w:rPr>
        <w:t> </w:t>
      </w:r>
      <w:r>
        <w:rPr/>
        <w:t>Information</w:t>
      </w:r>
      <w:r>
        <w:rPr>
          <w:spacing w:val="-3"/>
        </w:rPr>
        <w:t> </w:t>
      </w:r>
      <w:r>
        <w:rPr/>
        <w:t>Systems</w:t>
      </w:r>
      <w:r>
        <w:rPr>
          <w:spacing w:val="-3"/>
        </w:rPr>
        <w:t> </w:t>
      </w:r>
      <w:r>
        <w:rPr/>
        <w:t>scholars</w:t>
      </w:r>
      <w:r>
        <w:rPr>
          <w:spacing w:val="-3"/>
        </w:rPr>
        <w:t> </w:t>
      </w:r>
      <w:r>
        <w:rPr/>
        <w:t>may</w:t>
      </w:r>
      <w:r>
        <w:rPr>
          <w:spacing w:val="-3"/>
        </w:rPr>
        <w:t> </w:t>
      </w:r>
      <w:r>
        <w:rPr/>
        <w:t>use</w:t>
      </w:r>
      <w:r>
        <w:rPr>
          <w:spacing w:val="-3"/>
        </w:rPr>
        <w:t> </w:t>
      </w:r>
      <w:r>
        <w:rPr/>
        <w:t>this framework to integrate fragmented research streams and advance theory development. Human–computer interaction researchers may gain deeper insights into the interaction between interface design and cognitive limitations. Platform designers and product managers may better evaluate the</w:t>
      </w:r>
      <w:r>
        <w:rPr>
          <w:spacing w:val="40"/>
        </w:rPr>
        <w:t> </w:t>
      </w:r>
      <w:r>
        <w:rPr/>
        <w:t>autonomy implications of engagement optimization strategies. Policymakers and regulators may</w:t>
      </w:r>
      <w:r>
        <w:rPr>
          <w:spacing w:val="40"/>
        </w:rPr>
        <w:t> </w:t>
      </w:r>
      <w:r>
        <w:rPr/>
        <w:t>draw on this framework to inform digital platform governance and responsible algorithm </w:t>
      </w:r>
      <w:r>
        <w:rPr>
          <w:spacing w:val="-2"/>
        </w:rPr>
        <w:t>design.</w:t>
      </w:r>
    </w:p>
    <w:p>
      <w:pPr>
        <w:pStyle w:val="BodyText"/>
        <w:spacing w:line="230" w:lineRule="auto" w:before="164"/>
        <w:ind w:left="735" w:right="1387" w:hanging="15"/>
        <w:jc w:val="both"/>
      </w:pPr>
      <w:r>
        <w:rPr/>
        <w:t>By</w:t>
      </w:r>
      <w:r>
        <w:rPr>
          <w:spacing w:val="-3"/>
        </w:rPr>
        <w:t> </w:t>
      </w:r>
      <w:r>
        <w:rPr/>
        <w:t>reconceptualizing</w:t>
      </w:r>
      <w:r>
        <w:rPr>
          <w:spacing w:val="-3"/>
        </w:rPr>
        <w:t> </w:t>
      </w:r>
      <w:r>
        <w:rPr/>
        <w:t>persistent</w:t>
      </w:r>
      <w:r>
        <w:rPr>
          <w:spacing w:val="-3"/>
        </w:rPr>
        <w:t> </w:t>
      </w:r>
      <w:r>
        <w:rPr/>
        <w:t>engagement</w:t>
      </w:r>
      <w:r>
        <w:rPr>
          <w:spacing w:val="-3"/>
        </w:rPr>
        <w:t> </w:t>
      </w:r>
      <w:r>
        <w:rPr/>
        <w:t>as</w:t>
      </w:r>
      <w:r>
        <w:rPr>
          <w:spacing w:val="-3"/>
        </w:rPr>
        <w:t> </w:t>
      </w:r>
      <w:r>
        <w:rPr/>
        <w:t>a</w:t>
      </w:r>
      <w:r>
        <w:rPr>
          <w:spacing w:val="-3"/>
        </w:rPr>
        <w:t> </w:t>
      </w:r>
      <w:r>
        <w:rPr/>
        <w:t>structural</w:t>
      </w:r>
      <w:r>
        <w:rPr>
          <w:spacing w:val="-3"/>
        </w:rPr>
        <w:t> </w:t>
      </w:r>
      <w:r>
        <w:rPr/>
        <w:t>control</w:t>
      </w:r>
      <w:r>
        <w:rPr>
          <w:spacing w:val="-3"/>
        </w:rPr>
        <w:t> </w:t>
      </w:r>
      <w:r>
        <w:rPr/>
        <w:t>phenomenon</w:t>
      </w:r>
      <w:r>
        <w:rPr>
          <w:spacing w:val="-3"/>
        </w:rPr>
        <w:t> </w:t>
      </w:r>
      <w:r>
        <w:rPr/>
        <w:t>rather</w:t>
      </w:r>
      <w:r>
        <w:rPr>
          <w:spacing w:val="-3"/>
        </w:rPr>
        <w:t> </w:t>
      </w:r>
      <w:r>
        <w:rPr/>
        <w:t>than</w:t>
      </w:r>
      <w:r>
        <w:rPr>
          <w:spacing w:val="-3"/>
        </w:rPr>
        <w:t> </w:t>
      </w:r>
      <w:r>
        <w:rPr/>
        <w:t>solely as preference expression, this study provides a theoretical foundation for future empirical</w:t>
      </w:r>
      <w:r>
        <w:rPr>
          <w:spacing w:val="40"/>
        </w:rPr>
        <w:t> </w:t>
      </w:r>
      <w:r>
        <w:rPr/>
        <w:t>research</w:t>
      </w:r>
      <w:r>
        <w:rPr>
          <w:spacing w:val="40"/>
        </w:rPr>
        <w:t> </w:t>
      </w:r>
      <w:r>
        <w:rPr/>
        <w:t>and contributes</w:t>
      </w:r>
      <w:r>
        <w:rPr>
          <w:spacing w:val="-3"/>
        </w:rPr>
        <w:t> </w:t>
      </w:r>
      <w:r>
        <w:rPr/>
        <w:t>to</w:t>
      </w:r>
      <w:r>
        <w:rPr>
          <w:spacing w:val="-3"/>
        </w:rPr>
        <w:t> </w:t>
      </w:r>
      <w:r>
        <w:rPr/>
        <w:t>ongoing</w:t>
      </w:r>
      <w:r>
        <w:rPr>
          <w:spacing w:val="-3"/>
        </w:rPr>
        <w:t> </w:t>
      </w:r>
      <w:r>
        <w:rPr/>
        <w:t>discussions</w:t>
      </w:r>
      <w:r>
        <w:rPr>
          <w:spacing w:val="-3"/>
        </w:rPr>
        <w:t> </w:t>
      </w:r>
      <w:r>
        <w:rPr/>
        <w:t>on</w:t>
      </w:r>
      <w:r>
        <w:rPr>
          <w:spacing w:val="-3"/>
        </w:rPr>
        <w:t> </w:t>
      </w:r>
      <w:r>
        <w:rPr/>
        <w:t>digital</w:t>
      </w:r>
      <w:r>
        <w:rPr>
          <w:spacing w:val="-3"/>
        </w:rPr>
        <w:t> </w:t>
      </w:r>
      <w:r>
        <w:rPr/>
        <w:t>governance</w:t>
      </w:r>
      <w:r>
        <w:rPr>
          <w:spacing w:val="-3"/>
        </w:rPr>
        <w:t> </w:t>
      </w:r>
      <w:r>
        <w:rPr/>
        <w:t>and</w:t>
      </w:r>
      <w:r>
        <w:rPr>
          <w:spacing w:val="-3"/>
        </w:rPr>
        <w:t> </w:t>
      </w:r>
      <w:r>
        <w:rPr/>
        <w:t>AI-mediated</w:t>
      </w:r>
      <w:r>
        <w:rPr>
          <w:spacing w:val="-3"/>
        </w:rPr>
        <w:t> </w:t>
      </w:r>
      <w:r>
        <w:rPr/>
        <w:t>platform </w:t>
      </w:r>
      <w:r>
        <w:rPr>
          <w:spacing w:val="-2"/>
        </w:rPr>
        <w:t>design.</w:t>
      </w:r>
    </w:p>
    <w:p>
      <w:pPr>
        <w:pStyle w:val="BodyText"/>
        <w:spacing w:after="0" w:line="230" w:lineRule="auto"/>
        <w:jc w:val="both"/>
        <w:sectPr>
          <w:pgSz w:w="12240" w:h="15840"/>
          <w:pgMar w:header="0" w:footer="714" w:top="620" w:bottom="960" w:left="720" w:right="0"/>
        </w:sectPr>
      </w:pPr>
    </w:p>
    <w:p>
      <w:pPr>
        <w:pStyle w:val="Heading3"/>
        <w:ind w:left="1174" w:right="1939"/>
      </w:pPr>
      <w:bookmarkStart w:name="The Influence of Experiential and Dispos" w:id="155"/>
      <w:bookmarkEnd w:id="155"/>
      <w:r>
        <w:rPr>
          <w:b w:val="0"/>
        </w:rPr>
      </w:r>
      <w:r>
        <w:rPr/>
        <w:t>The</w:t>
      </w:r>
      <w:r>
        <w:rPr>
          <w:spacing w:val="-5"/>
        </w:rPr>
        <w:t> </w:t>
      </w:r>
      <w:r>
        <w:rPr/>
        <w:t>Influence</w:t>
      </w:r>
      <w:r>
        <w:rPr>
          <w:spacing w:val="-5"/>
        </w:rPr>
        <w:t> </w:t>
      </w:r>
      <w:r>
        <w:rPr/>
        <w:t>of</w:t>
      </w:r>
      <w:r>
        <w:rPr>
          <w:spacing w:val="-5"/>
        </w:rPr>
        <w:t> </w:t>
      </w:r>
      <w:r>
        <w:rPr/>
        <w:t>Experiential</w:t>
      </w:r>
      <w:r>
        <w:rPr>
          <w:spacing w:val="-5"/>
        </w:rPr>
        <w:t> </w:t>
      </w:r>
      <w:r>
        <w:rPr/>
        <w:t>and</w:t>
      </w:r>
      <w:r>
        <w:rPr>
          <w:spacing w:val="-5"/>
        </w:rPr>
        <w:t> </w:t>
      </w:r>
      <w:r>
        <w:rPr/>
        <w:t>Dispositional</w:t>
      </w:r>
      <w:r>
        <w:rPr>
          <w:spacing w:val="-5"/>
        </w:rPr>
        <w:t> </w:t>
      </w:r>
      <w:r>
        <w:rPr/>
        <w:t>Factors</w:t>
      </w:r>
      <w:r>
        <w:rPr>
          <w:spacing w:val="-5"/>
        </w:rPr>
        <w:t> </w:t>
      </w:r>
      <w:r>
        <w:rPr/>
        <w:t>in</w:t>
      </w:r>
      <w:r>
        <w:rPr>
          <w:spacing w:val="-5"/>
        </w:rPr>
        <w:t> </w:t>
      </w:r>
      <w:r>
        <w:rPr/>
        <w:t>Phishing:</w:t>
      </w:r>
      <w:r>
        <w:rPr>
          <w:spacing w:val="-5"/>
        </w:rPr>
        <w:t> </w:t>
      </w:r>
      <w:r>
        <w:rPr/>
        <w:t>A </w:t>
      </w:r>
      <w:bookmarkStart w:name="h.3pojia4np0fi" w:id="156"/>
      <w:bookmarkEnd w:id="156"/>
      <w:r>
        <w:rPr/>
        <w:t>R</w:t>
      </w:r>
      <w:r>
        <w:rPr/>
        <w:t>eplication-Plus-Extension Study Fifteen Years Later</w:t>
      </w:r>
    </w:p>
    <w:p>
      <w:pPr>
        <w:pStyle w:val="BodyText"/>
        <w:spacing w:before="291"/>
        <w:ind w:right="698"/>
        <w:jc w:val="center"/>
      </w:pPr>
      <w:r>
        <w:rPr>
          <w:spacing w:val="-4"/>
        </w:rPr>
        <w:t>Wei</w:t>
      </w:r>
      <w:r>
        <w:rPr>
          <w:spacing w:val="-8"/>
        </w:rPr>
        <w:t> </w:t>
      </w:r>
      <w:r>
        <w:rPr>
          <w:spacing w:val="-5"/>
        </w:rPr>
        <w:t>Xie</w:t>
      </w:r>
    </w:p>
    <w:p>
      <w:pPr>
        <w:pStyle w:val="BodyText"/>
        <w:ind w:left="3982" w:right="3662" w:hanging="814"/>
      </w:pPr>
      <w:r>
        <w:rPr/>
        <w:t>Department</w:t>
      </w:r>
      <w:r>
        <w:rPr>
          <w:spacing w:val="-10"/>
        </w:rPr>
        <w:t> </w:t>
      </w:r>
      <w:r>
        <w:rPr/>
        <w:t>of</w:t>
      </w:r>
      <w:r>
        <w:rPr>
          <w:spacing w:val="-10"/>
        </w:rPr>
        <w:t> </w:t>
      </w:r>
      <w:r>
        <w:rPr/>
        <w:t>Computer</w:t>
      </w:r>
      <w:r>
        <w:rPr>
          <w:spacing w:val="-10"/>
        </w:rPr>
        <w:t> </w:t>
      </w:r>
      <w:r>
        <w:rPr/>
        <w:t>Information</w:t>
      </w:r>
      <w:r>
        <w:rPr>
          <w:spacing w:val="-10"/>
        </w:rPr>
        <w:t> </w:t>
      </w:r>
      <w:r>
        <w:rPr/>
        <w:t>Systems Walker College of Business Appalachian State University</w:t>
      </w:r>
    </w:p>
    <w:p>
      <w:pPr>
        <w:pStyle w:val="BodyText"/>
        <w:ind w:left="4500"/>
      </w:pPr>
      <w:r>
        <w:rPr/>
        <w:t>416 Howard </w:t>
      </w:r>
      <w:r>
        <w:rPr>
          <w:spacing w:val="-2"/>
        </w:rPr>
        <w:t>Street</w:t>
      </w:r>
    </w:p>
    <w:p>
      <w:pPr>
        <w:pStyle w:val="BodyText"/>
        <w:ind w:left="4379" w:right="4296" w:firstLine="148"/>
      </w:pPr>
      <w:r>
        <w:rPr/>
        <w:t>Boone, NC 28608 </w:t>
      </w:r>
      <w:hyperlink r:id="rId312">
        <w:r>
          <w:rPr>
            <w:spacing w:val="-2"/>
          </w:rPr>
          <w:t>Xiew1@appstate.edu</w:t>
        </w:r>
      </w:hyperlink>
    </w:p>
    <w:p>
      <w:pPr>
        <w:pStyle w:val="BodyText"/>
        <w:spacing w:before="273"/>
        <w:ind w:left="4923"/>
      </w:pPr>
      <w:r>
        <w:rPr/>
        <w:t>Jung </w:t>
      </w:r>
      <w:r>
        <w:rPr>
          <w:spacing w:val="-5"/>
        </w:rPr>
        <w:t>Kim</w:t>
      </w:r>
    </w:p>
    <w:p>
      <w:pPr>
        <w:pStyle w:val="BodyText"/>
        <w:ind w:left="3982" w:right="3662" w:hanging="829"/>
      </w:pPr>
      <w:r>
        <w:rPr/>
        <w:t>Department</w:t>
      </w:r>
      <w:r>
        <w:rPr>
          <w:spacing w:val="-10"/>
        </w:rPr>
        <w:t> </w:t>
      </w:r>
      <w:r>
        <w:rPr/>
        <w:t>of</w:t>
      </w:r>
      <w:r>
        <w:rPr>
          <w:spacing w:val="-10"/>
        </w:rPr>
        <w:t> </w:t>
      </w:r>
      <w:r>
        <w:rPr/>
        <w:t>Computer</w:t>
      </w:r>
      <w:r>
        <w:rPr>
          <w:spacing w:val="-10"/>
        </w:rPr>
        <w:t> </w:t>
      </w:r>
      <w:r>
        <w:rPr/>
        <w:t>Information</w:t>
      </w:r>
      <w:r>
        <w:rPr>
          <w:spacing w:val="-10"/>
        </w:rPr>
        <w:t> </w:t>
      </w:r>
      <w:r>
        <w:rPr/>
        <w:t>Systems Walker College of Business Appalachian State University</w:t>
      </w:r>
    </w:p>
    <w:p>
      <w:pPr>
        <w:pStyle w:val="BodyText"/>
        <w:spacing w:line="276" w:lineRule="exact"/>
        <w:ind w:left="4500"/>
      </w:pPr>
      <w:r>
        <w:rPr/>
        <w:t>416 Howard </w:t>
      </w:r>
      <w:r>
        <w:rPr>
          <w:spacing w:val="-2"/>
        </w:rPr>
        <w:t>Street</w:t>
      </w:r>
    </w:p>
    <w:p>
      <w:pPr>
        <w:pStyle w:val="BodyText"/>
        <w:ind w:left="4354" w:right="4296" w:firstLine="173"/>
      </w:pPr>
      <w:r>
        <w:rPr/>
        <w:t>Boone, NC 28608 </w:t>
      </w:r>
      <w:hyperlink r:id="rId313">
        <w:r>
          <w:rPr>
            <w:color w:val="0000FF"/>
            <w:spacing w:val="-2"/>
            <w:u w:val="thick" w:color="0000FF"/>
          </w:rPr>
          <w:t>kimjh1@appstate.edu</w:t>
        </w:r>
      </w:hyperlink>
    </w:p>
    <w:p>
      <w:pPr>
        <w:pStyle w:val="BodyText"/>
        <w:spacing w:line="276" w:lineRule="exact" w:before="273"/>
        <w:ind w:left="4866"/>
      </w:pPr>
      <w:r>
        <w:rPr/>
        <w:t>Lijun </w:t>
      </w:r>
      <w:r>
        <w:rPr>
          <w:spacing w:val="-4"/>
        </w:rPr>
        <w:t>Chen</w:t>
      </w:r>
    </w:p>
    <w:p>
      <w:pPr>
        <w:pStyle w:val="BodyText"/>
        <w:ind w:left="3982" w:right="3662" w:hanging="829"/>
      </w:pPr>
      <w:r>
        <w:rPr/>
        <w:t>Department</w:t>
      </w:r>
      <w:r>
        <w:rPr>
          <w:spacing w:val="-10"/>
        </w:rPr>
        <w:t> </w:t>
      </w:r>
      <w:r>
        <w:rPr/>
        <w:t>of</w:t>
      </w:r>
      <w:r>
        <w:rPr>
          <w:spacing w:val="-10"/>
        </w:rPr>
        <w:t> </w:t>
      </w:r>
      <w:r>
        <w:rPr/>
        <w:t>Computer</w:t>
      </w:r>
      <w:r>
        <w:rPr>
          <w:spacing w:val="-10"/>
        </w:rPr>
        <w:t> </w:t>
      </w:r>
      <w:r>
        <w:rPr/>
        <w:t>Information</w:t>
      </w:r>
      <w:r>
        <w:rPr>
          <w:spacing w:val="-10"/>
        </w:rPr>
        <w:t> </w:t>
      </w:r>
      <w:r>
        <w:rPr/>
        <w:t>Systems Walker College of Business Appalachian State University</w:t>
      </w:r>
    </w:p>
    <w:p>
      <w:pPr>
        <w:pStyle w:val="BodyText"/>
        <w:spacing w:line="276" w:lineRule="exact"/>
        <w:ind w:left="4500"/>
      </w:pPr>
      <w:r>
        <w:rPr/>
        <w:t>416 Howard </w:t>
      </w:r>
      <w:r>
        <w:rPr>
          <w:spacing w:val="-2"/>
        </w:rPr>
        <w:t>Street</w:t>
      </w:r>
    </w:p>
    <w:p>
      <w:pPr>
        <w:pStyle w:val="BodyText"/>
        <w:ind w:left="4379" w:right="4296" w:firstLine="148"/>
      </w:pPr>
      <w:r>
        <w:rPr/>
        <w:t>Boone, NC 28608 </w:t>
      </w:r>
      <w:hyperlink r:id="rId314">
        <w:r>
          <w:rPr>
            <w:color w:val="0000FF"/>
            <w:spacing w:val="-2"/>
            <w:u w:val="thick" w:color="0000FF"/>
          </w:rPr>
          <w:t>chenl5@appstate.edu</w:t>
        </w:r>
      </w:hyperlink>
    </w:p>
    <w:p>
      <w:pPr>
        <w:pStyle w:val="BodyText"/>
        <w:spacing w:line="230" w:lineRule="auto" w:before="264"/>
        <w:ind w:left="720" w:right="1191"/>
      </w:pPr>
      <w:r>
        <w:rPr/>
        <w:t>Keywords:</w:t>
      </w:r>
      <w:r>
        <w:rPr>
          <w:spacing w:val="-8"/>
        </w:rPr>
        <w:t> </w:t>
      </w:r>
      <w:r>
        <w:rPr/>
        <w:t>Phishing</w:t>
      </w:r>
      <w:r>
        <w:rPr>
          <w:spacing w:val="-8"/>
        </w:rPr>
        <w:t> </w:t>
      </w:r>
      <w:r>
        <w:rPr/>
        <w:t>susceptibility,</w:t>
      </w:r>
      <w:r>
        <w:rPr>
          <w:spacing w:val="-8"/>
        </w:rPr>
        <w:t> </w:t>
      </w:r>
      <w:r>
        <w:rPr/>
        <w:t>replication</w:t>
      </w:r>
      <w:r>
        <w:rPr>
          <w:spacing w:val="-8"/>
        </w:rPr>
        <w:t> </w:t>
      </w:r>
      <w:r>
        <w:rPr/>
        <w:t>and</w:t>
      </w:r>
      <w:r>
        <w:rPr>
          <w:spacing w:val="-8"/>
        </w:rPr>
        <w:t> </w:t>
      </w:r>
      <w:r>
        <w:rPr/>
        <w:t>extension,</w:t>
      </w:r>
      <w:r>
        <w:rPr>
          <w:spacing w:val="-8"/>
        </w:rPr>
        <w:t> </w:t>
      </w:r>
      <w:r>
        <w:rPr/>
        <w:t>authority</w:t>
      </w:r>
      <w:r>
        <w:rPr>
          <w:spacing w:val="-8"/>
        </w:rPr>
        <w:t> </w:t>
      </w:r>
      <w:r>
        <w:rPr/>
        <w:t>compliance</w:t>
      </w:r>
      <w:r>
        <w:rPr>
          <w:spacing w:val="-8"/>
        </w:rPr>
        <w:t> </w:t>
      </w:r>
      <w:r>
        <w:rPr/>
        <w:t>theory,</w:t>
      </w:r>
      <w:r>
        <w:rPr>
          <w:spacing w:val="-8"/>
        </w:rPr>
        <w:t> </w:t>
      </w:r>
      <w:r>
        <w:rPr/>
        <w:t>risk propensity, social influence theory</w:t>
      </w:r>
    </w:p>
    <w:p>
      <w:pPr>
        <w:pStyle w:val="Heading4"/>
        <w:spacing w:before="165"/>
        <w:ind w:left="720"/>
      </w:pPr>
      <w:r>
        <w:rPr>
          <w:spacing w:val="-2"/>
        </w:rPr>
        <w:t>Abstract</w:t>
      </w:r>
    </w:p>
    <w:p>
      <w:pPr>
        <w:pStyle w:val="BodyText"/>
        <w:spacing w:line="225" w:lineRule="auto" w:before="160"/>
        <w:ind w:left="720" w:right="1380"/>
        <w:jc w:val="both"/>
      </w:pPr>
      <w:r>
        <w:rPr/>
        <w:t>Phishing remains the most prevalent initial attack vector</w:t>
      </w:r>
      <w:r>
        <w:rPr>
          <w:spacing w:val="-3"/>
        </w:rPr>
        <w:t> </w:t>
      </w:r>
      <w:r>
        <w:rPr/>
        <w:t>in</w:t>
      </w:r>
      <w:r>
        <w:rPr>
          <w:spacing w:val="-3"/>
        </w:rPr>
        <w:t> </w:t>
      </w:r>
      <w:r>
        <w:rPr/>
        <w:t>contemporary</w:t>
      </w:r>
      <w:r>
        <w:rPr>
          <w:spacing w:val="-3"/>
        </w:rPr>
        <w:t> </w:t>
      </w:r>
      <w:r>
        <w:rPr/>
        <w:t>cybercrime,</w:t>
      </w:r>
      <w:r>
        <w:rPr>
          <w:spacing w:val="-3"/>
        </w:rPr>
        <w:t> </w:t>
      </w:r>
      <w:r>
        <w:rPr/>
        <w:t>yet</w:t>
      </w:r>
      <w:r>
        <w:rPr>
          <w:spacing w:val="-3"/>
        </w:rPr>
        <w:t> </w:t>
      </w:r>
      <w:r>
        <w:rPr/>
        <w:t>human susceptibility continues to challenge defensive efforts. This study replicates and extends</w:t>
      </w:r>
      <w:r>
        <w:rPr>
          <w:spacing w:val="-5"/>
        </w:rPr>
        <w:t> </w:t>
      </w:r>
      <w:r>
        <w:rPr/>
        <w:t>Ryan</w:t>
      </w:r>
      <w:r>
        <w:rPr>
          <w:spacing w:val="-5"/>
        </w:rPr>
        <w:t> </w:t>
      </w:r>
      <w:r>
        <w:rPr/>
        <w:t>T. Wright and Kent Marett’s (2010) seminal investigation into</w:t>
      </w:r>
      <w:r>
        <w:rPr>
          <w:spacing w:val="-4"/>
        </w:rPr>
        <w:t> </w:t>
      </w:r>
      <w:r>
        <w:rPr/>
        <w:t>experiential</w:t>
      </w:r>
      <w:r>
        <w:rPr>
          <w:spacing w:val="-4"/>
        </w:rPr>
        <w:t> </w:t>
      </w:r>
      <w:r>
        <w:rPr/>
        <w:t>and</w:t>
      </w:r>
      <w:r>
        <w:rPr>
          <w:spacing w:val="-4"/>
        </w:rPr>
        <w:t> </w:t>
      </w:r>
      <w:r>
        <w:rPr/>
        <w:t>dispositional</w:t>
      </w:r>
      <w:r>
        <w:rPr>
          <w:spacing w:val="-4"/>
        </w:rPr>
        <w:t> </w:t>
      </w:r>
      <w:r>
        <w:rPr/>
        <w:t>factors influencing phishing susceptibility, revisiting the topic 15 years later amid substantial socio</w:t>
      </w:r>
      <w:r>
        <w:rPr>
          <w:rFonts w:ascii="Segoe UI Symbol" w:hAnsi="Segoe UI Symbol"/>
        </w:rPr>
        <w:t>‑</w:t>
      </w:r>
      <w:r>
        <w:rPr/>
        <w:t>technical changes. Using a longitudinal field experiment involving a simulated phishing email, we</w:t>
      </w:r>
      <w:r>
        <w:rPr>
          <w:spacing w:val="-2"/>
        </w:rPr>
        <w:t> </w:t>
      </w:r>
      <w:r>
        <w:rPr/>
        <w:t>first</w:t>
      </w:r>
      <w:r>
        <w:rPr>
          <w:spacing w:val="-2"/>
        </w:rPr>
        <w:t> </w:t>
      </w:r>
      <w:r>
        <w:rPr/>
        <w:t>replicate</w:t>
      </w:r>
      <w:r>
        <w:rPr>
          <w:spacing w:val="-2"/>
        </w:rPr>
        <w:t> </w:t>
      </w:r>
      <w:r>
        <w:rPr/>
        <w:t>the</w:t>
      </w:r>
      <w:r>
        <w:rPr>
          <w:spacing w:val="-2"/>
        </w:rPr>
        <w:t> </w:t>
      </w:r>
      <w:r>
        <w:rPr/>
        <w:t>original</w:t>
      </w:r>
      <w:r>
        <w:rPr>
          <w:spacing w:val="-2"/>
        </w:rPr>
        <w:t> </w:t>
      </w:r>
      <w:r>
        <w:rPr/>
        <w:t>research</w:t>
      </w:r>
      <w:r>
        <w:rPr>
          <w:spacing w:val="-2"/>
        </w:rPr>
        <w:t> </w:t>
      </w:r>
      <w:r>
        <w:rPr/>
        <w:t>model</w:t>
      </w:r>
      <w:r>
        <w:rPr>
          <w:spacing w:val="-2"/>
        </w:rPr>
        <w:t> </w:t>
      </w:r>
      <w:r>
        <w:rPr/>
        <w:t>and</w:t>
      </w:r>
      <w:r>
        <w:rPr>
          <w:spacing w:val="-2"/>
        </w:rPr>
        <w:t> </w:t>
      </w:r>
      <w:r>
        <w:rPr/>
        <w:t>procedures</w:t>
      </w:r>
      <w:r>
        <w:rPr>
          <w:spacing w:val="-2"/>
        </w:rPr>
        <w:t> </w:t>
      </w:r>
      <w:r>
        <w:rPr/>
        <w:t>to</w:t>
      </w:r>
      <w:r>
        <w:rPr>
          <w:spacing w:val="-2"/>
        </w:rPr>
        <w:t> </w:t>
      </w:r>
      <w:r>
        <w:rPr/>
        <w:t>assess</w:t>
      </w:r>
      <w:r>
        <w:rPr>
          <w:spacing w:val="-2"/>
        </w:rPr>
        <w:t> </w:t>
      </w:r>
      <w:r>
        <w:rPr/>
        <w:t>whether</w:t>
      </w:r>
      <w:r>
        <w:rPr>
          <w:spacing w:val="-2"/>
        </w:rPr>
        <w:t> </w:t>
      </w:r>
      <w:r>
        <w:rPr/>
        <w:t>the</w:t>
      </w:r>
      <w:r>
        <w:rPr>
          <w:spacing w:val="-2"/>
        </w:rPr>
        <w:t> </w:t>
      </w:r>
      <w:r>
        <w:rPr/>
        <w:t>findings hold fifteen years later. We then extend the model by addressing key limitations</w:t>
      </w:r>
      <w:r>
        <w:rPr>
          <w:spacing w:val="-4"/>
        </w:rPr>
        <w:t> </w:t>
      </w:r>
      <w:r>
        <w:rPr/>
        <w:t>identified</w:t>
      </w:r>
      <w:r>
        <w:rPr>
          <w:spacing w:val="-4"/>
        </w:rPr>
        <w:t> </w:t>
      </w:r>
      <w:r>
        <w:rPr/>
        <w:t>in</w:t>
      </w:r>
      <w:r>
        <w:rPr>
          <w:spacing w:val="-4"/>
        </w:rPr>
        <w:t> </w:t>
      </w:r>
      <w:r>
        <w:rPr/>
        <w:t>the original</w:t>
      </w:r>
      <w:r>
        <w:rPr>
          <w:spacing w:val="75"/>
        </w:rPr>
        <w:t> </w:t>
      </w:r>
      <w:r>
        <w:rPr/>
        <w:t>study:</w:t>
      </w:r>
      <w:r>
        <w:rPr>
          <w:spacing w:val="75"/>
        </w:rPr>
        <w:t> </w:t>
      </w:r>
      <w:r>
        <w:rPr/>
        <w:t>conceptualizing</w:t>
      </w:r>
      <w:r>
        <w:rPr>
          <w:spacing w:val="60"/>
        </w:rPr>
        <w:t> </w:t>
      </w:r>
      <w:r>
        <w:rPr/>
        <w:t>risk</w:t>
      </w:r>
      <w:r>
        <w:rPr>
          <w:spacing w:val="60"/>
        </w:rPr>
        <w:t> </w:t>
      </w:r>
      <w:r>
        <w:rPr/>
        <w:t>as</w:t>
      </w:r>
      <w:r>
        <w:rPr>
          <w:spacing w:val="60"/>
        </w:rPr>
        <w:t> </w:t>
      </w:r>
      <w:r>
        <w:rPr/>
        <w:t>a</w:t>
      </w:r>
      <w:r>
        <w:rPr>
          <w:spacing w:val="60"/>
        </w:rPr>
        <w:t> </w:t>
      </w:r>
      <w:r>
        <w:rPr/>
        <w:t>dispositional</w:t>
      </w:r>
      <w:r>
        <w:rPr>
          <w:spacing w:val="60"/>
        </w:rPr>
        <w:t> </w:t>
      </w:r>
      <w:r>
        <w:rPr/>
        <w:t>trait</w:t>
      </w:r>
      <w:r>
        <w:rPr>
          <w:spacing w:val="60"/>
        </w:rPr>
        <w:t> </w:t>
      </w:r>
      <w:r>
        <w:rPr/>
        <w:t>rather</w:t>
      </w:r>
      <w:r>
        <w:rPr>
          <w:spacing w:val="60"/>
        </w:rPr>
        <w:t> </w:t>
      </w:r>
      <w:r>
        <w:rPr/>
        <w:t>than</w:t>
      </w:r>
      <w:r>
        <w:rPr>
          <w:spacing w:val="60"/>
        </w:rPr>
        <w:t> </w:t>
      </w:r>
      <w:r>
        <w:rPr/>
        <w:t>a</w:t>
      </w:r>
      <w:r>
        <w:rPr>
          <w:spacing w:val="60"/>
        </w:rPr>
        <w:t> </w:t>
      </w:r>
      <w:r>
        <w:rPr/>
        <w:t>belief,</w:t>
      </w:r>
      <w:r>
        <w:rPr>
          <w:spacing w:val="60"/>
        </w:rPr>
        <w:t> </w:t>
      </w:r>
      <w:r>
        <w:rPr/>
        <w:t>and</w:t>
      </w:r>
      <w:r>
        <w:rPr>
          <w:spacing w:val="60"/>
        </w:rPr>
        <w:t> </w:t>
      </w:r>
      <w:r>
        <w:rPr>
          <w:spacing w:val="-2"/>
        </w:rPr>
        <w:t>adding</w:t>
      </w:r>
    </w:p>
    <w:p>
      <w:pPr>
        <w:pStyle w:val="BodyText"/>
        <w:spacing w:line="230" w:lineRule="auto"/>
        <w:ind w:left="720" w:right="1390"/>
        <w:jc w:val="both"/>
      </w:pPr>
      <w:r>
        <w:rPr/>
        <w:t>authority-based compliance mechanisms in a high-trust environment. The findings </w:t>
      </w:r>
      <w:r>
        <w:rPr/>
        <w:t>provide updated theoretical insights into phishing susceptibility and inform the design of more effective security awareness and training interventions.</w:t>
      </w:r>
    </w:p>
    <w:p>
      <w:pPr>
        <w:pStyle w:val="Heading4"/>
        <w:spacing w:before="271"/>
        <w:ind w:left="720"/>
      </w:pPr>
      <w:r>
        <w:rPr>
          <w:spacing w:val="-2"/>
        </w:rPr>
        <w:t>References</w:t>
      </w:r>
    </w:p>
    <w:p>
      <w:pPr>
        <w:pStyle w:val="BodyText"/>
        <w:spacing w:line="230" w:lineRule="auto" w:before="155"/>
        <w:ind w:left="720" w:right="1402" w:firstLine="15"/>
        <w:jc w:val="both"/>
      </w:pPr>
      <w:r>
        <w:rPr/>
        <w:t>Glaser, L., Stam, W., and Takeuchi, R. 2016. “Managing the Risks of Proactivity: A Multilevel Study of Initiative and Performance in the Middle Management Context,” Academy </w:t>
      </w:r>
      <w:r>
        <w:rPr/>
        <w:t>of Management Journal (59:4), pp. 1339-1360.</w:t>
      </w:r>
    </w:p>
    <w:p>
      <w:pPr>
        <w:pStyle w:val="BodyText"/>
        <w:spacing w:line="230" w:lineRule="auto" w:before="165"/>
        <w:ind w:left="720" w:right="1385" w:firstLine="15"/>
        <w:jc w:val="both"/>
      </w:pPr>
      <w:r>
        <w:rPr/>
        <w:t>Schuetz, S. W., Bansal, G., Weng, Q., Lowry, P. B., &amp; Thatcher, J. B. (2025). Heeding the Messenger: The</w:t>
      </w:r>
      <w:r>
        <w:rPr>
          <w:spacing w:val="-4"/>
        </w:rPr>
        <w:t> </w:t>
      </w:r>
      <w:r>
        <w:rPr/>
        <w:t>Influence</w:t>
      </w:r>
      <w:r>
        <w:rPr>
          <w:spacing w:val="-4"/>
        </w:rPr>
        <w:t> </w:t>
      </w:r>
      <w:r>
        <w:rPr/>
        <w:t>of</w:t>
      </w:r>
      <w:r>
        <w:rPr>
          <w:spacing w:val="-4"/>
        </w:rPr>
        <w:t> </w:t>
      </w:r>
      <w:r>
        <w:rPr/>
        <w:t>Sender</w:t>
      </w:r>
      <w:r>
        <w:rPr>
          <w:spacing w:val="-4"/>
        </w:rPr>
        <w:t> </w:t>
      </w:r>
      <w:r>
        <w:rPr/>
        <w:t>Characteristics</w:t>
      </w:r>
      <w:r>
        <w:rPr>
          <w:spacing w:val="-4"/>
        </w:rPr>
        <w:t> </w:t>
      </w:r>
      <w:r>
        <w:rPr/>
        <w:t>on</w:t>
      </w:r>
      <w:r>
        <w:rPr>
          <w:spacing w:val="-4"/>
        </w:rPr>
        <w:t> </w:t>
      </w:r>
      <w:r>
        <w:rPr/>
        <w:t>Security</w:t>
      </w:r>
      <w:r>
        <w:rPr>
          <w:spacing w:val="-4"/>
        </w:rPr>
        <w:t> </w:t>
      </w:r>
      <w:r>
        <w:rPr/>
        <w:t>Message</w:t>
      </w:r>
      <w:r>
        <w:rPr>
          <w:spacing w:val="-4"/>
        </w:rPr>
        <w:t> </w:t>
      </w:r>
      <w:r>
        <w:rPr/>
        <w:t>Compliance</w:t>
      </w:r>
      <w:r>
        <w:rPr>
          <w:spacing w:val="40"/>
        </w:rPr>
        <w:t> </w:t>
      </w:r>
      <w:r>
        <w:rPr/>
        <w:t>Intentions. Information Systems Journal.</w:t>
      </w:r>
    </w:p>
    <w:p>
      <w:pPr>
        <w:pStyle w:val="BodyText"/>
        <w:spacing w:after="0" w:line="230" w:lineRule="auto"/>
        <w:jc w:val="both"/>
        <w:sectPr>
          <w:pgSz w:w="12240" w:h="15840"/>
          <w:pgMar w:header="0" w:footer="714" w:top="640" w:bottom="960" w:left="720" w:right="0"/>
        </w:sectPr>
      </w:pPr>
    </w:p>
    <w:p>
      <w:pPr>
        <w:pStyle w:val="BodyText"/>
        <w:spacing w:line="230" w:lineRule="auto" w:before="80"/>
        <w:ind w:left="735" w:right="1485"/>
        <w:jc w:val="both"/>
      </w:pPr>
      <w:r>
        <w:rPr/>
        <w:t>Trenz,</w:t>
      </w:r>
      <w:r>
        <w:rPr>
          <w:spacing w:val="-8"/>
        </w:rPr>
        <w:t> </w:t>
      </w:r>
      <w:r>
        <w:rPr/>
        <w:t>M.,</w:t>
      </w:r>
      <w:r>
        <w:rPr>
          <w:spacing w:val="-8"/>
        </w:rPr>
        <w:t> </w:t>
      </w:r>
      <w:r>
        <w:rPr/>
        <w:t>Veit,</w:t>
      </w:r>
      <w:r>
        <w:rPr>
          <w:spacing w:val="-8"/>
        </w:rPr>
        <w:t> </w:t>
      </w:r>
      <w:r>
        <w:rPr/>
        <w:t>D.</w:t>
      </w:r>
      <w:r>
        <w:rPr>
          <w:spacing w:val="-8"/>
        </w:rPr>
        <w:t> </w:t>
      </w:r>
      <w:r>
        <w:rPr/>
        <w:t>J.,</w:t>
      </w:r>
      <w:r>
        <w:rPr>
          <w:spacing w:val="-8"/>
        </w:rPr>
        <w:t> </w:t>
      </w:r>
      <w:r>
        <w:rPr/>
        <w:t>&amp;</w:t>
      </w:r>
      <w:r>
        <w:rPr>
          <w:spacing w:val="-8"/>
        </w:rPr>
        <w:t> </w:t>
      </w:r>
      <w:r>
        <w:rPr/>
        <w:t>Tan,</w:t>
      </w:r>
      <w:r>
        <w:rPr>
          <w:spacing w:val="-8"/>
        </w:rPr>
        <w:t> </w:t>
      </w:r>
      <w:r>
        <w:rPr/>
        <w:t>C.</w:t>
      </w:r>
      <w:r>
        <w:rPr>
          <w:spacing w:val="-8"/>
        </w:rPr>
        <w:t> </w:t>
      </w:r>
      <w:r>
        <w:rPr/>
        <w:t>W.</w:t>
      </w:r>
      <w:r>
        <w:rPr>
          <w:spacing w:val="-8"/>
        </w:rPr>
        <w:t> </w:t>
      </w:r>
      <w:r>
        <w:rPr/>
        <w:t>(2020).</w:t>
      </w:r>
      <w:r>
        <w:rPr>
          <w:spacing w:val="-8"/>
        </w:rPr>
        <w:t> </w:t>
      </w:r>
      <w:r>
        <w:rPr/>
        <w:t>Disentangling</w:t>
      </w:r>
      <w:r>
        <w:rPr>
          <w:spacing w:val="-8"/>
        </w:rPr>
        <w:t> </w:t>
      </w:r>
      <w:r>
        <w:rPr/>
        <w:t>the</w:t>
      </w:r>
      <w:r>
        <w:rPr>
          <w:spacing w:val="-8"/>
        </w:rPr>
        <w:t> </w:t>
      </w:r>
      <w:r>
        <w:rPr/>
        <w:t>impact</w:t>
      </w:r>
      <w:r>
        <w:rPr>
          <w:spacing w:val="-8"/>
        </w:rPr>
        <w:t> </w:t>
      </w:r>
      <w:r>
        <w:rPr/>
        <w:t>of</w:t>
      </w:r>
      <w:r>
        <w:rPr>
          <w:spacing w:val="-8"/>
        </w:rPr>
        <w:t> </w:t>
      </w:r>
      <w:r>
        <w:rPr/>
        <w:t>omnichannel</w:t>
      </w:r>
      <w:r>
        <w:rPr>
          <w:spacing w:val="-8"/>
        </w:rPr>
        <w:t> </w:t>
      </w:r>
      <w:r>
        <w:rPr/>
        <w:t>integration on consumer behavior in integrated sales channels. Mis Quarterly, 44(3), 1207-1258.</w:t>
      </w:r>
    </w:p>
    <w:p>
      <w:pPr>
        <w:pStyle w:val="BodyText"/>
        <w:spacing w:line="230" w:lineRule="auto" w:before="165"/>
        <w:ind w:left="720" w:right="1402"/>
        <w:jc w:val="both"/>
      </w:pPr>
      <w:r>
        <w:rPr/>
        <w:t>Wright, R. T., &amp; Marett, K. (2010). The influence of experiential and dispositional factors </w:t>
      </w:r>
      <w:r>
        <w:rPr/>
        <w:t>in phishing: An empirical investigation of the deceived. Journal of Management Information Systems, 27(1), 273-303.</w:t>
      </w:r>
    </w:p>
    <w:p>
      <w:pPr>
        <w:pStyle w:val="BodyText"/>
        <w:spacing w:line="230" w:lineRule="auto" w:before="164"/>
        <w:ind w:left="720" w:right="1619"/>
      </w:pPr>
      <w:r>
        <w:rPr/>
        <w:t>Zhang,</w:t>
      </w:r>
      <w:r>
        <w:rPr>
          <w:spacing w:val="-3"/>
        </w:rPr>
        <w:t> </w:t>
      </w:r>
      <w:r>
        <w:rPr/>
        <w:t>D.</w:t>
      </w:r>
      <w:r>
        <w:rPr>
          <w:spacing w:val="-3"/>
        </w:rPr>
        <w:t> </w:t>
      </w:r>
      <w:r>
        <w:rPr/>
        <w:t>C.,</w:t>
      </w:r>
      <w:r>
        <w:rPr>
          <w:spacing w:val="-3"/>
        </w:rPr>
        <w:t> </w:t>
      </w:r>
      <w:r>
        <w:rPr/>
        <w:t>Highhouse,</w:t>
      </w:r>
      <w:r>
        <w:rPr>
          <w:spacing w:val="-3"/>
        </w:rPr>
        <w:t> </w:t>
      </w:r>
      <w:r>
        <w:rPr/>
        <w:t>S.,</w:t>
      </w:r>
      <w:r>
        <w:rPr>
          <w:spacing w:val="-3"/>
        </w:rPr>
        <w:t> </w:t>
      </w:r>
      <w:r>
        <w:rPr/>
        <w:t>&amp;</w:t>
      </w:r>
      <w:r>
        <w:rPr>
          <w:spacing w:val="-3"/>
        </w:rPr>
        <w:t> </w:t>
      </w:r>
      <w:r>
        <w:rPr/>
        <w:t>Nye,</w:t>
      </w:r>
      <w:r>
        <w:rPr>
          <w:spacing w:val="-3"/>
        </w:rPr>
        <w:t> </w:t>
      </w:r>
      <w:r>
        <w:rPr/>
        <w:t>C.</w:t>
      </w:r>
      <w:r>
        <w:rPr>
          <w:spacing w:val="-3"/>
        </w:rPr>
        <w:t> </w:t>
      </w:r>
      <w:r>
        <w:rPr/>
        <w:t>D.</w:t>
      </w:r>
      <w:r>
        <w:rPr>
          <w:spacing w:val="-3"/>
        </w:rPr>
        <w:t> </w:t>
      </w:r>
      <w:r>
        <w:rPr/>
        <w:t>(2019).</w:t>
      </w:r>
      <w:r>
        <w:rPr>
          <w:spacing w:val="-3"/>
        </w:rPr>
        <w:t> </w:t>
      </w:r>
      <w:r>
        <w:rPr/>
        <w:t>Development</w:t>
      </w:r>
      <w:r>
        <w:rPr>
          <w:spacing w:val="-3"/>
        </w:rPr>
        <w:t> </w:t>
      </w:r>
      <w:r>
        <w:rPr/>
        <w:t>and</w:t>
      </w:r>
      <w:r>
        <w:rPr>
          <w:spacing w:val="-3"/>
        </w:rPr>
        <w:t> </w:t>
      </w:r>
      <w:r>
        <w:rPr/>
        <w:t>validation</w:t>
      </w:r>
      <w:r>
        <w:rPr>
          <w:spacing w:val="-3"/>
        </w:rPr>
        <w:t> </w:t>
      </w:r>
      <w:r>
        <w:rPr/>
        <w:t>of</w:t>
      </w:r>
      <w:r>
        <w:rPr>
          <w:spacing w:val="-3"/>
        </w:rPr>
        <w:t> </w:t>
      </w:r>
      <w:r>
        <w:rPr/>
        <w:t>the</w:t>
      </w:r>
      <w:r>
        <w:rPr>
          <w:spacing w:val="-3"/>
        </w:rPr>
        <w:t> </w:t>
      </w:r>
      <w:r>
        <w:rPr/>
        <w:t>general risk</w:t>
      </w:r>
      <w:r>
        <w:rPr>
          <w:spacing w:val="40"/>
        </w:rPr>
        <w:t> </w:t>
      </w:r>
      <w:r>
        <w:rPr/>
        <w:t>propensity scale (GRiPS). Journal of Behavioral Decision Making, 32(2), 152- 167. </w:t>
      </w:r>
      <w:hyperlink r:id="rId315">
        <w:r>
          <w:rPr>
            <w:spacing w:val="-2"/>
          </w:rPr>
          <w:t>https://doi.org/10.1002/bdm.2102</w:t>
        </w:r>
      </w:hyperlink>
    </w:p>
    <w:p>
      <w:pPr>
        <w:pStyle w:val="BodyText"/>
        <w:spacing w:line="230" w:lineRule="auto" w:before="165"/>
        <w:ind w:left="720" w:right="1381"/>
      </w:pPr>
      <w:r>
        <w:rPr/>
        <w:t>Zhao, H., Seibert, S. E., and Hills, G. E. 2005. “The Mediating Role of Self-Efficacy in the Development</w:t>
      </w:r>
      <w:r>
        <w:rPr>
          <w:spacing w:val="-4"/>
        </w:rPr>
        <w:t> </w:t>
      </w:r>
      <w:r>
        <w:rPr/>
        <w:t>of</w:t>
      </w:r>
      <w:r>
        <w:rPr>
          <w:spacing w:val="-4"/>
        </w:rPr>
        <w:t> </w:t>
      </w:r>
      <w:r>
        <w:rPr/>
        <w:t>Entrepreneurial</w:t>
      </w:r>
      <w:r>
        <w:rPr>
          <w:spacing w:val="-4"/>
        </w:rPr>
        <w:t> </w:t>
      </w:r>
      <w:r>
        <w:rPr/>
        <w:t>Intentions,”</w:t>
      </w:r>
      <w:r>
        <w:rPr>
          <w:spacing w:val="-4"/>
        </w:rPr>
        <w:t> </w:t>
      </w:r>
      <w:r>
        <w:rPr/>
        <w:t>Journal</w:t>
      </w:r>
      <w:r>
        <w:rPr>
          <w:spacing w:val="-4"/>
        </w:rPr>
        <w:t> </w:t>
      </w:r>
      <w:r>
        <w:rPr/>
        <w:t>of</w:t>
      </w:r>
      <w:r>
        <w:rPr>
          <w:spacing w:val="-4"/>
        </w:rPr>
        <w:t> </w:t>
      </w:r>
      <w:r>
        <w:rPr/>
        <w:t>Applied</w:t>
      </w:r>
      <w:r>
        <w:rPr>
          <w:spacing w:val="-4"/>
        </w:rPr>
        <w:t> </w:t>
      </w:r>
      <w:r>
        <w:rPr/>
        <w:t>Psychology</w:t>
      </w:r>
      <w:r>
        <w:rPr>
          <w:spacing w:val="-4"/>
        </w:rPr>
        <w:t> </w:t>
      </w:r>
      <w:r>
        <w:rPr/>
        <w:t>(90:6),</w:t>
      </w:r>
      <w:r>
        <w:rPr>
          <w:spacing w:val="-4"/>
        </w:rPr>
        <w:t> </w:t>
      </w:r>
      <w:r>
        <w:rPr/>
        <w:t>pp.</w:t>
      </w:r>
      <w:r>
        <w:rPr>
          <w:spacing w:val="-4"/>
        </w:rPr>
        <w:t> </w:t>
      </w:r>
      <w:r>
        <w:rPr/>
        <w:t>1265-</w:t>
      </w:r>
      <w:r>
        <w:rPr>
          <w:spacing w:val="-2"/>
        </w:rPr>
        <w:t>1272.</w:t>
      </w:r>
    </w:p>
    <w:p>
      <w:pPr>
        <w:pStyle w:val="BodyText"/>
        <w:spacing w:after="0" w:line="230" w:lineRule="auto"/>
        <w:sectPr>
          <w:pgSz w:w="12240" w:h="15840"/>
          <w:pgMar w:header="0" w:footer="714" w:top="620" w:bottom="960" w:left="720" w:right="0"/>
        </w:sectPr>
      </w:pPr>
    </w:p>
    <w:p>
      <w:pPr>
        <w:pStyle w:val="Heading4"/>
        <w:spacing w:line="230" w:lineRule="auto" w:before="81"/>
        <w:ind w:left="3063" w:right="2135" w:hanging="2116"/>
      </w:pPr>
      <w:bookmarkStart w:name="Designing the Next Generation of Graduat" w:id="157"/>
      <w:bookmarkEnd w:id="157"/>
      <w:r>
        <w:rPr>
          <w:b w:val="0"/>
        </w:rPr>
      </w:r>
      <w:bookmarkStart w:name="h.li5r1jvlrfwl" w:id="158"/>
      <w:bookmarkEnd w:id="158"/>
      <w:r>
        <w:rPr>
          <w:b w:val="0"/>
        </w:rPr>
      </w:r>
      <w:r>
        <w:rPr/>
        <w:t>Designing</w:t>
      </w:r>
      <w:r>
        <w:rPr>
          <w:spacing w:val="-5"/>
        </w:rPr>
        <w:t> </w:t>
      </w:r>
      <w:r>
        <w:rPr/>
        <w:t>the</w:t>
      </w:r>
      <w:r>
        <w:rPr>
          <w:spacing w:val="-5"/>
        </w:rPr>
        <w:t> </w:t>
      </w:r>
      <w:r>
        <w:rPr/>
        <w:t>Next</w:t>
      </w:r>
      <w:r>
        <w:rPr>
          <w:spacing w:val="-5"/>
        </w:rPr>
        <w:t> </w:t>
      </w:r>
      <w:r>
        <w:rPr/>
        <w:t>Generation</w:t>
      </w:r>
      <w:r>
        <w:rPr>
          <w:spacing w:val="-5"/>
        </w:rPr>
        <w:t> </w:t>
      </w:r>
      <w:r>
        <w:rPr/>
        <w:t>of</w:t>
      </w:r>
      <w:r>
        <w:rPr>
          <w:spacing w:val="-5"/>
        </w:rPr>
        <w:t> </w:t>
      </w:r>
      <w:r>
        <w:rPr/>
        <w:t>Graduate</w:t>
      </w:r>
      <w:r>
        <w:rPr>
          <w:spacing w:val="-5"/>
        </w:rPr>
        <w:t> </w:t>
      </w:r>
      <w:r>
        <w:rPr/>
        <w:t>Business</w:t>
      </w:r>
      <w:r>
        <w:rPr>
          <w:spacing w:val="-5"/>
        </w:rPr>
        <w:t> </w:t>
      </w:r>
      <w:r>
        <w:rPr/>
        <w:t>Education:</w:t>
      </w:r>
      <w:r>
        <w:rPr>
          <w:spacing w:val="-5"/>
        </w:rPr>
        <w:t> </w:t>
      </w:r>
      <w:r>
        <w:rPr/>
        <w:t>AI,</w:t>
      </w:r>
      <w:r>
        <w:rPr>
          <w:spacing w:val="-5"/>
        </w:rPr>
        <w:t> </w:t>
      </w:r>
      <w:r>
        <w:rPr/>
        <w:t>Applied Research, and Industry Integration</w:t>
      </w:r>
    </w:p>
    <w:p>
      <w:pPr>
        <w:pStyle w:val="BodyText"/>
        <w:spacing w:before="193"/>
        <w:ind w:right="719"/>
        <w:jc w:val="center"/>
      </w:pPr>
      <w:r>
        <w:rPr/>
        <w:t>Jason </w:t>
      </w:r>
      <w:r>
        <w:rPr>
          <w:spacing w:val="-2"/>
        </w:rPr>
        <w:t>Xiong</w:t>
      </w:r>
    </w:p>
    <w:p>
      <w:pPr>
        <w:pStyle w:val="BodyText"/>
        <w:spacing w:before="221"/>
        <w:ind w:left="720" w:right="1191"/>
      </w:pPr>
      <w:r>
        <w:rPr/>
        <w:t>Key</w:t>
      </w:r>
      <w:r>
        <w:rPr>
          <w:spacing w:val="-5"/>
        </w:rPr>
        <w:t> </w:t>
      </w:r>
      <w:r>
        <w:rPr/>
        <w:t>words</w:t>
      </w:r>
      <w:r>
        <w:rPr>
          <w:spacing w:val="-5"/>
        </w:rPr>
        <w:t> </w:t>
      </w:r>
      <w:r>
        <w:rPr/>
        <w:t>(3-5):</w:t>
      </w:r>
      <w:r>
        <w:rPr>
          <w:spacing w:val="-5"/>
        </w:rPr>
        <w:t> </w:t>
      </w:r>
      <w:r>
        <w:rPr/>
        <w:t>Graduate</w:t>
      </w:r>
      <w:r>
        <w:rPr>
          <w:spacing w:val="-5"/>
        </w:rPr>
        <w:t> </w:t>
      </w:r>
      <w:r>
        <w:rPr/>
        <w:t>Business</w:t>
      </w:r>
      <w:r>
        <w:rPr>
          <w:spacing w:val="-5"/>
        </w:rPr>
        <w:t> </w:t>
      </w:r>
      <w:r>
        <w:rPr/>
        <w:t>Education,</w:t>
      </w:r>
      <w:r>
        <w:rPr>
          <w:spacing w:val="-5"/>
        </w:rPr>
        <w:t> </w:t>
      </w:r>
      <w:r>
        <w:rPr/>
        <w:t>Artificial</w:t>
      </w:r>
      <w:r>
        <w:rPr>
          <w:spacing w:val="-5"/>
        </w:rPr>
        <w:t> </w:t>
      </w:r>
      <w:r>
        <w:rPr/>
        <w:t>Intelligence</w:t>
      </w:r>
      <w:r>
        <w:rPr>
          <w:spacing w:val="-5"/>
        </w:rPr>
        <w:t> </w:t>
      </w:r>
      <w:r>
        <w:rPr/>
        <w:t>Integration,</w:t>
      </w:r>
      <w:r>
        <w:rPr>
          <w:spacing w:val="-5"/>
        </w:rPr>
        <w:t> </w:t>
      </w:r>
      <w:r>
        <w:rPr/>
        <w:t>Curriculum </w:t>
      </w:r>
      <w:r>
        <w:rPr>
          <w:spacing w:val="-2"/>
        </w:rPr>
        <w:t>Innovation</w:t>
      </w:r>
    </w:p>
    <w:p>
      <w:pPr>
        <w:pStyle w:val="BodyText"/>
        <w:spacing w:before="91"/>
      </w:pPr>
    </w:p>
    <w:p>
      <w:pPr>
        <w:pStyle w:val="BodyText"/>
        <w:ind w:left="720" w:right="1382"/>
        <w:jc w:val="both"/>
      </w:pPr>
      <w:r>
        <w:rPr/>
        <w:t>Artificial intelligence (AI) is fundamentally reshaping organizational decision-making, competitive strategy, and workforce skill requirements. However, graduate business </w:t>
      </w:r>
      <w:r>
        <w:rPr/>
        <w:t>education</w:t>
      </w:r>
      <w:r>
        <w:rPr>
          <w:spacing w:val="40"/>
        </w:rPr>
        <w:t> </w:t>
      </w:r>
      <w:r>
        <w:rPr/>
        <w:t>has</w:t>
      </w:r>
      <w:r>
        <w:rPr>
          <w:spacing w:val="80"/>
        </w:rPr>
        <w:t> </w:t>
      </w:r>
      <w:r>
        <w:rPr/>
        <w:t>been slow to structurally integrate AI beyond elective coursework or isolated analytics tracks. This</w:t>
      </w:r>
      <w:r>
        <w:rPr>
          <w:spacing w:val="40"/>
        </w:rPr>
        <w:t> </w:t>
      </w:r>
      <w:r>
        <w:rPr/>
        <w:t>paper develops a conceptual framework</w:t>
      </w:r>
      <w:r>
        <w:rPr>
          <w:spacing w:val="-3"/>
        </w:rPr>
        <w:t> </w:t>
      </w:r>
      <w:r>
        <w:rPr/>
        <w:t>for</w:t>
      </w:r>
      <w:r>
        <w:rPr>
          <w:spacing w:val="-3"/>
        </w:rPr>
        <w:t> </w:t>
      </w:r>
      <w:r>
        <w:rPr/>
        <w:t>redesigning</w:t>
      </w:r>
      <w:r>
        <w:rPr>
          <w:spacing w:val="-3"/>
        </w:rPr>
        <w:t> </w:t>
      </w:r>
      <w:r>
        <w:rPr/>
        <w:t>graduate</w:t>
      </w:r>
      <w:r>
        <w:rPr>
          <w:spacing w:val="-3"/>
        </w:rPr>
        <w:t> </w:t>
      </w:r>
      <w:r>
        <w:rPr/>
        <w:t>business</w:t>
      </w:r>
      <w:r>
        <w:rPr>
          <w:spacing w:val="-3"/>
        </w:rPr>
        <w:t> </w:t>
      </w:r>
      <w:r>
        <w:rPr/>
        <w:t>programs to align with</w:t>
      </w:r>
      <w:r>
        <w:rPr>
          <w:spacing w:val="40"/>
        </w:rPr>
        <w:t> </w:t>
      </w:r>
      <w:r>
        <w:rPr/>
        <w:t>emerging AI-driven organizational environments. Drawing on literature in competency-based</w:t>
      </w:r>
      <w:r>
        <w:rPr>
          <w:spacing w:val="80"/>
        </w:rPr>
        <w:t> </w:t>
      </w:r>
      <w:r>
        <w:rPr/>
        <w:t>education, dynamic capabilities theory, digital transformation, and</w:t>
      </w:r>
      <w:r>
        <w:rPr>
          <w:spacing w:val="40"/>
        </w:rPr>
        <w:t> </w:t>
      </w:r>
      <w:r>
        <w:rPr/>
        <w:t>responsible innovation, we</w:t>
      </w:r>
      <w:r>
        <w:rPr>
          <w:spacing w:val="40"/>
        </w:rPr>
        <w:t> </w:t>
      </w:r>
      <w:r>
        <w:rPr/>
        <w:t>argue</w:t>
      </w:r>
      <w:r>
        <w:rPr>
          <w:spacing w:val="-3"/>
        </w:rPr>
        <w:t> </w:t>
      </w:r>
      <w:r>
        <w:rPr/>
        <w:t>that</w:t>
      </w:r>
      <w:r>
        <w:rPr>
          <w:spacing w:val="-3"/>
        </w:rPr>
        <w:t> </w:t>
      </w:r>
      <w:r>
        <w:rPr/>
        <w:t>AI</w:t>
      </w:r>
      <w:r>
        <w:rPr>
          <w:spacing w:val="-3"/>
        </w:rPr>
        <w:t> </w:t>
      </w:r>
      <w:r>
        <w:rPr/>
        <w:t>integration</w:t>
      </w:r>
      <w:r>
        <w:rPr>
          <w:spacing w:val="-3"/>
        </w:rPr>
        <w:t> </w:t>
      </w:r>
      <w:r>
        <w:rPr/>
        <w:t>must</w:t>
      </w:r>
      <w:r>
        <w:rPr>
          <w:spacing w:val="-3"/>
        </w:rPr>
        <w:t> </w:t>
      </w:r>
      <w:r>
        <w:rPr/>
        <w:t>move</w:t>
      </w:r>
      <w:r>
        <w:rPr>
          <w:spacing w:val="-3"/>
        </w:rPr>
        <w:t> </w:t>
      </w:r>
      <w:r>
        <w:rPr/>
        <w:t>from</w:t>
      </w:r>
      <w:r>
        <w:rPr>
          <w:spacing w:val="-3"/>
        </w:rPr>
        <w:t> </w:t>
      </w:r>
      <w:r>
        <w:rPr/>
        <w:t>peripheral</w:t>
      </w:r>
      <w:r>
        <w:rPr>
          <w:spacing w:val="-3"/>
        </w:rPr>
        <w:t> </w:t>
      </w:r>
      <w:r>
        <w:rPr/>
        <w:t>specialization</w:t>
      </w:r>
      <w:r>
        <w:rPr>
          <w:spacing w:val="-3"/>
        </w:rPr>
        <w:t> </w:t>
      </w:r>
      <w:r>
        <w:rPr/>
        <w:t>to foundational program</w:t>
      </w:r>
      <w:r>
        <w:rPr>
          <w:spacing w:val="40"/>
        </w:rPr>
        <w:t> </w:t>
      </w:r>
      <w:r>
        <w:rPr/>
        <w:t>architecture.</w:t>
      </w:r>
    </w:p>
    <w:p>
      <w:pPr>
        <w:pStyle w:val="BodyText"/>
        <w:spacing w:before="167"/>
        <w:ind w:left="720" w:right="1380"/>
        <w:jc w:val="both"/>
      </w:pPr>
      <w:r>
        <w:rPr/>
        <w:t>We propose a three-layer model for next-generation graduate business education. The first</w:t>
      </w:r>
      <w:r>
        <w:rPr>
          <w:spacing w:val="-5"/>
        </w:rPr>
        <w:t> </w:t>
      </w:r>
      <w:r>
        <w:rPr/>
        <w:t>layer, Foundational AI Literacy, establishes baseline competencies in data fluency, algorithmic reasoning, automation awareness, and responsible</w:t>
      </w:r>
      <w:r>
        <w:rPr>
          <w:spacing w:val="-3"/>
        </w:rPr>
        <w:t> </w:t>
      </w:r>
      <w:r>
        <w:rPr/>
        <w:t>AI</w:t>
      </w:r>
      <w:r>
        <w:rPr>
          <w:spacing w:val="-3"/>
        </w:rPr>
        <w:t> </w:t>
      </w:r>
      <w:r>
        <w:rPr/>
        <w:t>use</w:t>
      </w:r>
      <w:r>
        <w:rPr>
          <w:spacing w:val="-3"/>
        </w:rPr>
        <w:t> </w:t>
      </w:r>
      <w:r>
        <w:rPr/>
        <w:t>across</w:t>
      </w:r>
      <w:r>
        <w:rPr>
          <w:spacing w:val="-3"/>
        </w:rPr>
        <w:t> </w:t>
      </w:r>
      <w:r>
        <w:rPr/>
        <w:t>all</w:t>
      </w:r>
      <w:r>
        <w:rPr>
          <w:spacing w:val="-3"/>
        </w:rPr>
        <w:t> </w:t>
      </w:r>
      <w:r>
        <w:rPr/>
        <w:t>disciplines.</w:t>
      </w:r>
      <w:r>
        <w:rPr>
          <w:spacing w:val="-3"/>
        </w:rPr>
        <w:t> </w:t>
      </w:r>
      <w:r>
        <w:rPr/>
        <w:t>The</w:t>
      </w:r>
      <w:r>
        <w:rPr>
          <w:spacing w:val="-3"/>
        </w:rPr>
        <w:t> </w:t>
      </w:r>
      <w:r>
        <w:rPr/>
        <w:t>second</w:t>
      </w:r>
      <w:r>
        <w:rPr>
          <w:spacing w:val="-3"/>
        </w:rPr>
        <w:t> </w:t>
      </w:r>
      <w:r>
        <w:rPr/>
        <w:t>layer, Applied Analytics and Decision Systems, embeds AI-enabled decision-making within</w:t>
      </w:r>
      <w:r>
        <w:rPr>
          <w:spacing w:val="-3"/>
        </w:rPr>
        <w:t> </w:t>
      </w:r>
      <w:r>
        <w:rPr/>
        <w:t>functional domains through experiential learning, industry partnerships, and problem-based capstone projects. The third layer, Strategic AI Leadership and Governance, develops higher-order capabilities in AI strategy formulation, ethical risk assessment, regulatory awareness, and organizational transformation.</w:t>
      </w:r>
    </w:p>
    <w:p>
      <w:pPr>
        <w:pStyle w:val="BodyText"/>
        <w:spacing w:before="164"/>
        <w:ind w:left="720" w:right="1389"/>
        <w:jc w:val="both"/>
      </w:pPr>
      <w:r>
        <w:rPr/>
        <w:t>Unlike traditional curricular models that isolate ethics in standalone courses, this </w:t>
      </w:r>
      <w:r>
        <w:rPr/>
        <w:t>framework integrates ethical reasoning and governance considerations throughout all layers, consistent with emerging scholarship on embedded responsibility in technological systems. Hybrid and modular delivery formats further support access for working professionals while enabling scalable institutional innovation.</w:t>
      </w:r>
    </w:p>
    <w:p>
      <w:pPr>
        <w:pStyle w:val="BodyText"/>
        <w:spacing w:before="167"/>
        <w:ind w:left="720" w:right="1385" w:firstLine="15"/>
        <w:jc w:val="both"/>
      </w:pPr>
      <w:r>
        <w:rPr/>
        <w:t>This study contributes to the literature on business education transformation by articulating </w:t>
      </w:r>
      <w:r>
        <w:rPr/>
        <w:t>a systems-level</w:t>
      </w:r>
      <w:r>
        <w:rPr>
          <w:spacing w:val="-5"/>
        </w:rPr>
        <w:t> </w:t>
      </w:r>
      <w:r>
        <w:rPr/>
        <w:t>design</w:t>
      </w:r>
      <w:r>
        <w:rPr>
          <w:spacing w:val="-5"/>
        </w:rPr>
        <w:t> </w:t>
      </w:r>
      <w:r>
        <w:rPr/>
        <w:t>model</w:t>
      </w:r>
      <w:r>
        <w:rPr>
          <w:spacing w:val="-5"/>
        </w:rPr>
        <w:t> </w:t>
      </w:r>
      <w:r>
        <w:rPr/>
        <w:t>that</w:t>
      </w:r>
      <w:r>
        <w:rPr>
          <w:spacing w:val="-5"/>
        </w:rPr>
        <w:t> </w:t>
      </w:r>
      <w:r>
        <w:rPr/>
        <w:t>integrates</w:t>
      </w:r>
      <w:r>
        <w:rPr>
          <w:spacing w:val="-5"/>
        </w:rPr>
        <w:t> </w:t>
      </w:r>
      <w:r>
        <w:rPr/>
        <w:t>technological</w:t>
      </w:r>
      <w:r>
        <w:rPr>
          <w:spacing w:val="-5"/>
        </w:rPr>
        <w:t> </w:t>
      </w:r>
      <w:r>
        <w:rPr/>
        <w:t>capability,</w:t>
      </w:r>
      <w:r>
        <w:rPr>
          <w:spacing w:val="-5"/>
        </w:rPr>
        <w:t> </w:t>
      </w:r>
      <w:r>
        <w:rPr/>
        <w:t>applied</w:t>
      </w:r>
      <w:r>
        <w:rPr>
          <w:spacing w:val="-5"/>
        </w:rPr>
        <w:t> </w:t>
      </w:r>
      <w:r>
        <w:rPr/>
        <w:t>research,</w:t>
      </w:r>
      <w:r>
        <w:rPr>
          <w:spacing w:val="-5"/>
        </w:rPr>
        <w:t> </w:t>
      </w:r>
      <w:r>
        <w:rPr/>
        <w:t>and</w:t>
      </w:r>
      <w:r>
        <w:rPr>
          <w:spacing w:val="-5"/>
        </w:rPr>
        <w:t> </w:t>
      </w:r>
      <w:r>
        <w:rPr/>
        <w:t>industry alignment. The framework provides actionable guidance for business</w:t>
      </w:r>
      <w:r>
        <w:rPr>
          <w:spacing w:val="-3"/>
        </w:rPr>
        <w:t> </w:t>
      </w:r>
      <w:r>
        <w:rPr/>
        <w:t>schools</w:t>
      </w:r>
      <w:r>
        <w:rPr>
          <w:spacing w:val="-3"/>
        </w:rPr>
        <w:t> </w:t>
      </w:r>
      <w:r>
        <w:rPr/>
        <w:t>seeking</w:t>
      </w:r>
      <w:r>
        <w:rPr>
          <w:spacing w:val="-3"/>
        </w:rPr>
        <w:t> </w:t>
      </w:r>
      <w:r>
        <w:rPr/>
        <w:t>to</w:t>
      </w:r>
      <w:r>
        <w:rPr>
          <w:spacing w:val="-3"/>
        </w:rPr>
        <w:t> </w:t>
      </w:r>
      <w:r>
        <w:rPr/>
        <w:t>enhance relevance, enrollment competitiveness, and long-term sustainability in the AI era.</w:t>
      </w:r>
    </w:p>
    <w:p>
      <w:pPr>
        <w:pStyle w:val="BodyText"/>
        <w:spacing w:after="0"/>
        <w:jc w:val="both"/>
        <w:sectPr>
          <w:pgSz w:w="12240" w:h="15840"/>
          <w:pgMar w:header="0" w:footer="714" w:top="620" w:bottom="960" w:left="720" w:right="0"/>
        </w:sectPr>
      </w:pPr>
    </w:p>
    <w:p>
      <w:pPr>
        <w:pStyle w:val="Heading3"/>
        <w:spacing w:line="220" w:lineRule="auto" w:before="81"/>
        <w:ind w:left="2016" w:right="2706"/>
      </w:pPr>
      <w:bookmarkStart w:name="Specialization or Diversification? Creat" w:id="159"/>
      <w:bookmarkEnd w:id="159"/>
      <w:r>
        <w:rPr>
          <w:b w:val="0"/>
        </w:rPr>
      </w:r>
      <w:r>
        <w:rPr/>
        <w:t>Specialization</w:t>
      </w:r>
      <w:r>
        <w:rPr>
          <w:spacing w:val="-10"/>
        </w:rPr>
        <w:t> </w:t>
      </w:r>
      <w:r>
        <w:rPr/>
        <w:t>or</w:t>
      </w:r>
      <w:r>
        <w:rPr>
          <w:spacing w:val="-10"/>
        </w:rPr>
        <w:t> </w:t>
      </w:r>
      <w:r>
        <w:rPr/>
        <w:t>Diversification?</w:t>
      </w:r>
      <w:r>
        <w:rPr>
          <w:spacing w:val="-10"/>
        </w:rPr>
        <w:t> </w:t>
      </w:r>
      <w:r>
        <w:rPr/>
        <w:t>Creators’</w:t>
      </w:r>
      <w:r>
        <w:rPr>
          <w:spacing w:val="-10"/>
        </w:rPr>
        <w:t> </w:t>
      </w:r>
      <w:r>
        <w:rPr/>
        <w:t>Strategies</w:t>
      </w:r>
      <w:r>
        <w:rPr>
          <w:spacing w:val="-10"/>
        </w:rPr>
        <w:t> </w:t>
      </w:r>
      <w:r>
        <w:rPr/>
        <w:t>on </w:t>
      </w:r>
      <w:bookmarkStart w:name="h.oovdayongrv1" w:id="160"/>
      <w:bookmarkEnd w:id="160"/>
      <w:r>
        <w:rPr/>
        <w:t>U</w:t>
      </w:r>
      <w:r>
        <w:rPr/>
        <w:t>ser</w:t>
      </w:r>
      <w:r>
        <w:rPr>
          <w:rFonts w:ascii="Segoe UI Symbol" w:hAnsi="Segoe UI Symbol"/>
          <w:b w:val="0"/>
        </w:rPr>
        <w:t>‑</w:t>
      </w:r>
      <w:r>
        <w:rPr/>
        <w:t>Generated Content Platforms</w:t>
      </w:r>
    </w:p>
    <w:p>
      <w:pPr>
        <w:pStyle w:val="BodyText"/>
        <w:spacing w:before="298"/>
        <w:ind w:left="4972"/>
      </w:pPr>
      <w:r>
        <w:rPr/>
        <w:t>Ziwei </w:t>
      </w:r>
      <w:r>
        <w:rPr>
          <w:spacing w:val="-5"/>
        </w:rPr>
        <w:t>Ye</w:t>
      </w:r>
    </w:p>
    <w:p>
      <w:pPr>
        <w:pStyle w:val="BodyText"/>
        <w:ind w:left="3982" w:right="3662" w:hanging="769"/>
      </w:pPr>
      <w:r>
        <w:rPr/>
        <w:t>Department</w:t>
      </w:r>
      <w:r>
        <w:rPr>
          <w:spacing w:val="-10"/>
        </w:rPr>
        <w:t> </w:t>
      </w:r>
      <w:r>
        <w:rPr/>
        <w:t>of</w:t>
      </w:r>
      <w:r>
        <w:rPr>
          <w:spacing w:val="-10"/>
        </w:rPr>
        <w:t> </w:t>
      </w:r>
      <w:r>
        <w:rPr/>
        <w:t>Computer</w:t>
      </w:r>
      <w:r>
        <w:rPr>
          <w:spacing w:val="-10"/>
        </w:rPr>
        <w:t> </w:t>
      </w:r>
      <w:r>
        <w:rPr/>
        <w:t>Information</w:t>
      </w:r>
      <w:r>
        <w:rPr>
          <w:spacing w:val="-10"/>
        </w:rPr>
        <w:t> </w:t>
      </w:r>
      <w:r>
        <w:rPr/>
        <w:t>Systems Walker College of Business Appalachian State University</w:t>
      </w:r>
    </w:p>
    <w:p>
      <w:pPr>
        <w:pStyle w:val="BodyText"/>
        <w:ind w:right="725"/>
        <w:jc w:val="center"/>
      </w:pPr>
      <w:r>
        <w:rPr/>
        <w:t>Peacock</w:t>
      </w:r>
      <w:r>
        <w:rPr>
          <w:spacing w:val="-2"/>
        </w:rPr>
        <w:t> </w:t>
      </w:r>
      <w:r>
        <w:rPr/>
        <w:t>Hall </w:t>
      </w:r>
      <w:r>
        <w:rPr>
          <w:spacing w:val="-4"/>
        </w:rPr>
        <w:t>2110</w:t>
      </w:r>
    </w:p>
    <w:p>
      <w:pPr>
        <w:pStyle w:val="BodyText"/>
        <w:ind w:left="3916" w:right="4574" w:hanging="64"/>
        <w:jc w:val="center"/>
      </w:pPr>
      <w:r>
        <w:rPr/>
        <w:t>Boone, NC 28607 </w:t>
      </w:r>
      <w:hyperlink r:id="rId316">
        <w:r>
          <w:rPr>
            <w:color w:val="0000FF"/>
            <w:spacing w:val="-2"/>
            <w:u w:val="thick" w:color="0000FF"/>
          </w:rPr>
          <w:t>yez1@appstate.edu</w:t>
        </w:r>
      </w:hyperlink>
      <w:r>
        <w:rPr>
          <w:color w:val="0000FF"/>
          <w:spacing w:val="-2"/>
          <w:u w:val="none"/>
        </w:rPr>
        <w:t> </w:t>
      </w:r>
      <w:r>
        <w:rPr>
          <w:u w:val="none"/>
        </w:rPr>
        <w:t>757.975.4565</w:t>
      </w:r>
      <w:r>
        <w:rPr>
          <w:spacing w:val="-15"/>
          <w:u w:val="none"/>
        </w:rPr>
        <w:t> </w:t>
      </w:r>
      <w:r>
        <w:rPr>
          <w:u w:val="none"/>
        </w:rPr>
        <w:t>(Contact</w:t>
      </w:r>
      <w:r>
        <w:rPr>
          <w:spacing w:val="-15"/>
          <w:u w:val="none"/>
        </w:rPr>
        <w:t> </w:t>
      </w:r>
      <w:r>
        <w:rPr>
          <w:u w:val="none"/>
        </w:rPr>
        <w:t>Author)</w:t>
      </w:r>
    </w:p>
    <w:p>
      <w:pPr>
        <w:pStyle w:val="BodyText"/>
        <w:spacing w:before="271"/>
        <w:ind w:right="728"/>
        <w:jc w:val="center"/>
      </w:pPr>
      <w:r>
        <w:rPr/>
        <w:t>Kedong </w:t>
      </w:r>
      <w:r>
        <w:rPr>
          <w:spacing w:val="-4"/>
        </w:rPr>
        <w:t>Chen</w:t>
      </w:r>
    </w:p>
    <w:p>
      <w:pPr>
        <w:pStyle w:val="BodyText"/>
        <w:ind w:left="3555" w:right="4289" w:hanging="4"/>
        <w:jc w:val="center"/>
      </w:pPr>
      <w:r>
        <w:rPr/>
        <w:t>Lally School of Management Rensselaer</w:t>
      </w:r>
      <w:r>
        <w:rPr>
          <w:spacing w:val="-13"/>
        </w:rPr>
        <w:t> </w:t>
      </w:r>
      <w:r>
        <w:rPr/>
        <w:t>Polytechnic</w:t>
      </w:r>
      <w:r>
        <w:rPr>
          <w:spacing w:val="-13"/>
        </w:rPr>
        <w:t> </w:t>
      </w:r>
      <w:r>
        <w:rPr/>
        <w:t>Institute</w:t>
      </w:r>
      <w:r>
        <w:rPr>
          <w:spacing w:val="-13"/>
        </w:rPr>
        <w:t> </w:t>
      </w:r>
      <w:r>
        <w:rPr/>
        <w:t>(RPI) 1222 Pittsburgh Bldg, 110 8th St, Troy, New York 12180 </w:t>
      </w:r>
      <w:hyperlink r:id="rId317">
        <w:r>
          <w:rPr>
            <w:color w:val="0000FF"/>
            <w:spacing w:val="-2"/>
            <w:u w:val="thick" w:color="0000FF"/>
          </w:rPr>
          <w:t>chenk16@rpi.edu</w:t>
        </w:r>
      </w:hyperlink>
    </w:p>
    <w:p>
      <w:pPr>
        <w:pStyle w:val="BodyText"/>
        <w:spacing w:line="276" w:lineRule="exact" w:before="275"/>
        <w:ind w:left="4983"/>
      </w:pPr>
      <w:r>
        <w:rPr/>
        <w:t>Lan </w:t>
      </w:r>
      <w:r>
        <w:rPr>
          <w:spacing w:val="-5"/>
        </w:rPr>
        <w:t>Cao</w:t>
      </w:r>
    </w:p>
    <w:p>
      <w:pPr>
        <w:pStyle w:val="BodyText"/>
        <w:ind w:left="2149" w:right="2878"/>
        <w:jc w:val="center"/>
      </w:pPr>
      <w:r>
        <w:rPr/>
        <w:t>Department</w:t>
      </w:r>
      <w:r>
        <w:rPr>
          <w:spacing w:val="-9"/>
        </w:rPr>
        <w:t> </w:t>
      </w:r>
      <w:r>
        <w:rPr/>
        <w:t>of</w:t>
      </w:r>
      <w:r>
        <w:rPr>
          <w:spacing w:val="-9"/>
        </w:rPr>
        <w:t> </w:t>
      </w:r>
      <w:r>
        <w:rPr/>
        <w:t>Information</w:t>
      </w:r>
      <w:r>
        <w:rPr>
          <w:spacing w:val="-9"/>
        </w:rPr>
        <w:t> </w:t>
      </w:r>
      <w:r>
        <w:rPr/>
        <w:t>Technology</w:t>
      </w:r>
      <w:r>
        <w:rPr>
          <w:spacing w:val="-9"/>
        </w:rPr>
        <w:t> </w:t>
      </w:r>
      <w:r>
        <w:rPr/>
        <w:t>and</w:t>
      </w:r>
      <w:r>
        <w:rPr>
          <w:spacing w:val="-9"/>
        </w:rPr>
        <w:t> </w:t>
      </w:r>
      <w:r>
        <w:rPr/>
        <w:t>Decision</w:t>
      </w:r>
      <w:r>
        <w:rPr>
          <w:spacing w:val="-9"/>
        </w:rPr>
        <w:t> </w:t>
      </w:r>
      <w:r>
        <w:rPr/>
        <w:t>Sciences Strome College of Business</w:t>
      </w:r>
    </w:p>
    <w:p>
      <w:pPr>
        <w:pStyle w:val="BodyText"/>
        <w:ind w:left="4161" w:right="4889"/>
        <w:jc w:val="center"/>
      </w:pPr>
      <w:r>
        <w:rPr/>
        <w:t>Old</w:t>
      </w:r>
      <w:r>
        <w:rPr>
          <w:spacing w:val="-15"/>
        </w:rPr>
        <w:t> </w:t>
      </w:r>
      <w:r>
        <w:rPr/>
        <w:t>Dominion</w:t>
      </w:r>
      <w:r>
        <w:rPr>
          <w:spacing w:val="-15"/>
        </w:rPr>
        <w:t> </w:t>
      </w:r>
      <w:r>
        <w:rPr/>
        <w:t>University 2121 Constant Hall</w:t>
      </w:r>
    </w:p>
    <w:p>
      <w:pPr>
        <w:pStyle w:val="BodyText"/>
        <w:ind w:left="4487" w:right="5174"/>
        <w:jc w:val="center"/>
      </w:pPr>
      <w:r>
        <w:rPr>
          <w:spacing w:val="-2"/>
        </w:rPr>
        <w:t>Norfolk,</w:t>
      </w:r>
      <w:r>
        <w:rPr>
          <w:spacing w:val="-13"/>
        </w:rPr>
        <w:t> </w:t>
      </w:r>
      <w:r>
        <w:rPr>
          <w:spacing w:val="-2"/>
        </w:rPr>
        <w:t>VA</w:t>
      </w:r>
      <w:r>
        <w:rPr>
          <w:spacing w:val="-13"/>
        </w:rPr>
        <w:t> </w:t>
      </w:r>
      <w:r>
        <w:rPr>
          <w:spacing w:val="-2"/>
        </w:rPr>
        <w:t>23508 </w:t>
      </w:r>
      <w:hyperlink r:id="rId318">
        <w:r>
          <w:rPr>
            <w:color w:val="0000FF"/>
            <w:spacing w:val="-2"/>
            <w:u w:val="thick" w:color="0000FF"/>
          </w:rPr>
          <w:t>LCao@odu.edu</w:t>
        </w:r>
      </w:hyperlink>
    </w:p>
    <w:p>
      <w:pPr>
        <w:pStyle w:val="BodyText"/>
      </w:pPr>
    </w:p>
    <w:p>
      <w:pPr>
        <w:pStyle w:val="BodyText"/>
        <w:ind w:left="720"/>
        <w:jc w:val="both"/>
      </w:pPr>
      <w:r>
        <w:rPr/>
        <w:t>Key</w:t>
      </w:r>
      <w:r>
        <w:rPr>
          <w:spacing w:val="-3"/>
        </w:rPr>
        <w:t> </w:t>
      </w:r>
      <w:r>
        <w:rPr/>
        <w:t>words:</w:t>
      </w:r>
      <w:r>
        <w:rPr>
          <w:spacing w:val="-2"/>
        </w:rPr>
        <w:t> </w:t>
      </w:r>
      <w:r>
        <w:rPr/>
        <w:t>UGC</w:t>
      </w:r>
      <w:r>
        <w:rPr>
          <w:spacing w:val="-2"/>
        </w:rPr>
        <w:t> </w:t>
      </w:r>
      <w:r>
        <w:rPr/>
        <w:t>platforms,</w:t>
      </w:r>
      <w:r>
        <w:rPr>
          <w:spacing w:val="-3"/>
        </w:rPr>
        <w:t> </w:t>
      </w:r>
      <w:r>
        <w:rPr/>
        <w:t>creator</w:t>
      </w:r>
      <w:r>
        <w:rPr>
          <w:spacing w:val="-2"/>
        </w:rPr>
        <w:t> </w:t>
      </w:r>
      <w:r>
        <w:rPr/>
        <w:t>strategy,</w:t>
      </w:r>
      <w:r>
        <w:rPr>
          <w:spacing w:val="-2"/>
        </w:rPr>
        <w:t> </w:t>
      </w:r>
      <w:r>
        <w:rPr/>
        <w:t>consumer</w:t>
      </w:r>
      <w:r>
        <w:rPr>
          <w:spacing w:val="-2"/>
        </w:rPr>
        <w:t> attention</w:t>
      </w:r>
    </w:p>
    <w:p>
      <w:pPr>
        <w:pStyle w:val="BodyText"/>
        <w:spacing w:line="230" w:lineRule="auto" w:before="175"/>
        <w:ind w:left="720" w:right="1386"/>
        <w:jc w:val="both"/>
      </w:pPr>
      <w:r>
        <w:rPr/>
        <w:t>Recent advancements in social media have revolutionized content</w:t>
      </w:r>
      <w:r>
        <w:rPr>
          <w:spacing w:val="-3"/>
        </w:rPr>
        <w:t> </w:t>
      </w:r>
      <w:r>
        <w:rPr/>
        <w:t>creation</w:t>
      </w:r>
      <w:r>
        <w:rPr>
          <w:spacing w:val="-3"/>
        </w:rPr>
        <w:t> </w:t>
      </w:r>
      <w:r>
        <w:rPr/>
        <w:t>and</w:t>
      </w:r>
      <w:r>
        <w:rPr>
          <w:spacing w:val="-3"/>
        </w:rPr>
        <w:t> </w:t>
      </w:r>
      <w:r>
        <w:rPr/>
        <w:t>distribution.</w:t>
      </w:r>
      <w:r>
        <w:rPr>
          <w:spacing w:val="-3"/>
        </w:rPr>
        <w:t> </w:t>
      </w:r>
      <w:r>
        <w:rPr/>
        <w:t>User generated content (UGC), consisting of original content created and shared by internet users, is reshaping entertainment, communication, and information consumption. The rise of UGC has given birth to the "creator economy"—an ecosystem comprising content creators, users, and advertisers facilitated by platforms like YouTube and TikTok—transforming how content is produced, consumed, and monetized. Central to this ecosystem is consumer attention, a scarce and</w:t>
      </w:r>
      <w:r>
        <w:rPr>
          <w:spacing w:val="40"/>
        </w:rPr>
        <w:t> </w:t>
      </w:r>
      <w:r>
        <w:rPr/>
        <w:t>valuable resource that creators compete for and platforms seek to optimize. Understanding how</w:t>
      </w:r>
      <w:r>
        <w:rPr>
          <w:spacing w:val="40"/>
        </w:rPr>
        <w:t> </w:t>
      </w:r>
      <w:r>
        <w:rPr/>
        <w:t>creators can effectively capture and retain consumer attention is therefore of paramount importance for both academic research and industry practice.</w:t>
      </w:r>
    </w:p>
    <w:p>
      <w:pPr>
        <w:pStyle w:val="BodyText"/>
        <w:spacing w:line="230" w:lineRule="auto" w:before="162"/>
        <w:ind w:left="720" w:right="1380" w:firstLine="15"/>
        <w:jc w:val="both"/>
      </w:pPr>
      <w:r>
        <w:rPr/>
        <w:t>This study investigates how creators' content specialization strategies affect consumer </w:t>
      </w:r>
      <w:r>
        <w:rPr/>
        <w:t>attention allocation and examines the moderating role of platform algorithmic interventions. While prior research has primarily focused on how platforms incentivize content production quantity and quality, the interplay between platform mechanisms and creators' strategic choices remains underexplored. Drawing on attention economy</w:t>
      </w:r>
      <w:r>
        <w:rPr>
          <w:spacing w:val="-4"/>
        </w:rPr>
        <w:t> </w:t>
      </w:r>
      <w:r>
        <w:rPr/>
        <w:t>theory,</w:t>
      </w:r>
      <w:r>
        <w:rPr>
          <w:spacing w:val="-4"/>
        </w:rPr>
        <w:t> </w:t>
      </w:r>
      <w:r>
        <w:rPr/>
        <w:t>we</w:t>
      </w:r>
      <w:r>
        <w:rPr>
          <w:spacing w:val="-4"/>
        </w:rPr>
        <w:t> </w:t>
      </w:r>
      <w:r>
        <w:rPr/>
        <w:t>distinguish</w:t>
      </w:r>
      <w:r>
        <w:rPr>
          <w:spacing w:val="-4"/>
        </w:rPr>
        <w:t> </w:t>
      </w:r>
      <w:r>
        <w:rPr/>
        <w:t>between</w:t>
      </w:r>
      <w:r>
        <w:rPr>
          <w:spacing w:val="-4"/>
        </w:rPr>
        <w:t> </w:t>
      </w:r>
      <w:r>
        <w:rPr/>
        <w:t>two</w:t>
      </w:r>
      <w:r>
        <w:rPr>
          <w:spacing w:val="-4"/>
        </w:rPr>
        <w:t> </w:t>
      </w:r>
      <w:r>
        <w:rPr/>
        <w:t>dimensions</w:t>
      </w:r>
      <w:r>
        <w:rPr>
          <w:spacing w:val="-4"/>
        </w:rPr>
        <w:t> </w:t>
      </w:r>
      <w:r>
        <w:rPr/>
        <w:t>of consumer attention: attention acquisition, measured by click-through rates, and attention absorption, measured by average view duration. We theorize that creator specialization differentially influences these two attention dimensions.</w:t>
      </w:r>
    </w:p>
    <w:p>
      <w:pPr>
        <w:pStyle w:val="BodyText"/>
        <w:spacing w:line="230" w:lineRule="auto" w:before="164"/>
        <w:ind w:left="720" w:right="1380"/>
        <w:jc w:val="both"/>
      </w:pPr>
      <w:r>
        <w:rPr/>
        <w:t>Leveraging a large panel dataset from a leading short-video platform in China, we empirically examine how creator specialization affects both the acquisition and absorption of </w:t>
      </w:r>
      <w:r>
        <w:rPr/>
        <w:t>consumer attention, and how algorithmic ranking moderates these relationships. Employing instrumental variable</w:t>
      </w:r>
      <w:r>
        <w:rPr>
          <w:spacing w:val="60"/>
        </w:rPr>
        <w:t> </w:t>
      </w:r>
      <w:r>
        <w:rPr/>
        <w:t>econometric</w:t>
      </w:r>
      <w:r>
        <w:rPr>
          <w:spacing w:val="60"/>
        </w:rPr>
        <w:t> </w:t>
      </w:r>
      <w:r>
        <w:rPr/>
        <w:t>models</w:t>
      </w:r>
      <w:r>
        <w:rPr>
          <w:spacing w:val="60"/>
        </w:rPr>
        <w:t> </w:t>
      </w:r>
      <w:r>
        <w:rPr/>
        <w:t>to</w:t>
      </w:r>
      <w:r>
        <w:rPr>
          <w:spacing w:val="60"/>
        </w:rPr>
        <w:t> </w:t>
      </w:r>
      <w:r>
        <w:rPr/>
        <w:t>address</w:t>
      </w:r>
      <w:r>
        <w:rPr>
          <w:spacing w:val="60"/>
        </w:rPr>
        <w:t> </w:t>
      </w:r>
      <w:r>
        <w:rPr/>
        <w:t>potential</w:t>
      </w:r>
      <w:r>
        <w:rPr>
          <w:spacing w:val="45"/>
        </w:rPr>
        <w:t> </w:t>
      </w:r>
      <w:r>
        <w:rPr/>
        <w:t>endogeneity</w:t>
      </w:r>
      <w:r>
        <w:rPr>
          <w:spacing w:val="45"/>
        </w:rPr>
        <w:t> </w:t>
      </w:r>
      <w:r>
        <w:rPr/>
        <w:t>concerns,</w:t>
      </w:r>
      <w:r>
        <w:rPr>
          <w:spacing w:val="45"/>
        </w:rPr>
        <w:t> </w:t>
      </w:r>
      <w:r>
        <w:rPr/>
        <w:t>we</w:t>
      </w:r>
      <w:r>
        <w:rPr>
          <w:spacing w:val="45"/>
        </w:rPr>
        <w:t> </w:t>
      </w:r>
      <w:r>
        <w:rPr/>
        <w:t>find</w:t>
      </w:r>
      <w:r>
        <w:rPr>
          <w:spacing w:val="45"/>
        </w:rPr>
        <w:t> </w:t>
      </w:r>
      <w:r>
        <w:rPr/>
        <w:t>that</w:t>
      </w:r>
      <w:r>
        <w:rPr>
          <w:spacing w:val="45"/>
        </w:rPr>
        <w:t> </w:t>
      </w:r>
      <w:r>
        <w:rPr>
          <w:spacing w:val="-2"/>
        </w:rPr>
        <w:t>creator</w:t>
      </w:r>
    </w:p>
    <w:p>
      <w:pPr>
        <w:pStyle w:val="BodyText"/>
        <w:spacing w:after="0" w:line="230" w:lineRule="auto"/>
        <w:jc w:val="both"/>
        <w:sectPr>
          <w:pgSz w:w="12240" w:h="15840"/>
          <w:pgMar w:header="0" w:footer="714" w:top="640" w:bottom="960" w:left="720" w:right="0"/>
        </w:sectPr>
      </w:pPr>
    </w:p>
    <w:p>
      <w:pPr>
        <w:pStyle w:val="BodyText"/>
        <w:spacing w:line="230" w:lineRule="auto" w:before="80"/>
        <w:ind w:left="720" w:right="1386"/>
        <w:jc w:val="both"/>
      </w:pPr>
      <w:r>
        <w:rPr/>
        <w:t>specialization increases click-through rates but reduces average view duration. Moreover, </w:t>
      </w:r>
      <w:r>
        <w:rPr/>
        <w:t>the positive effect on click-through rates strengthens as specialization increases, while the negative effect on view duration weakens at higher levels of specialization. This pattern</w:t>
      </w:r>
      <w:r>
        <w:rPr>
          <w:spacing w:val="-3"/>
        </w:rPr>
        <w:t> </w:t>
      </w:r>
      <w:r>
        <w:rPr/>
        <w:t>indicates</w:t>
      </w:r>
      <w:r>
        <w:rPr>
          <w:spacing w:val="-3"/>
        </w:rPr>
        <w:t> </w:t>
      </w:r>
      <w:r>
        <w:rPr/>
        <w:t>that</w:t>
      </w:r>
      <w:r>
        <w:rPr>
          <w:spacing w:val="-3"/>
        </w:rPr>
        <w:t> </w:t>
      </w:r>
      <w:r>
        <w:rPr/>
        <w:t>the benefits of specialization</w:t>
      </w:r>
      <w:r>
        <w:rPr>
          <w:spacing w:val="-3"/>
        </w:rPr>
        <w:t> </w:t>
      </w:r>
      <w:r>
        <w:rPr/>
        <w:t>for</w:t>
      </w:r>
      <w:r>
        <w:rPr>
          <w:spacing w:val="-3"/>
        </w:rPr>
        <w:t> </w:t>
      </w:r>
      <w:r>
        <w:rPr/>
        <w:t>attention</w:t>
      </w:r>
      <w:r>
        <w:rPr>
          <w:spacing w:val="-3"/>
        </w:rPr>
        <w:t> </w:t>
      </w:r>
      <w:r>
        <w:rPr/>
        <w:t>acquisition</w:t>
      </w:r>
      <w:r>
        <w:rPr>
          <w:spacing w:val="-3"/>
        </w:rPr>
        <w:t> </w:t>
      </w:r>
      <w:r>
        <w:rPr/>
        <w:t>become</w:t>
      </w:r>
      <w:r>
        <w:rPr>
          <w:spacing w:val="-3"/>
        </w:rPr>
        <w:t> </w:t>
      </w:r>
      <w:r>
        <w:rPr/>
        <w:t>more</w:t>
      </w:r>
      <w:r>
        <w:rPr>
          <w:spacing w:val="-3"/>
        </w:rPr>
        <w:t> </w:t>
      </w:r>
      <w:r>
        <w:rPr/>
        <w:t>pronounced,</w:t>
      </w:r>
      <w:r>
        <w:rPr>
          <w:spacing w:val="-3"/>
        </w:rPr>
        <w:t> </w:t>
      </w:r>
      <w:r>
        <w:rPr/>
        <w:t>whereas</w:t>
      </w:r>
      <w:r>
        <w:rPr>
          <w:spacing w:val="-3"/>
        </w:rPr>
        <w:t> </w:t>
      </w:r>
      <w:r>
        <w:rPr/>
        <w:t>its</w:t>
      </w:r>
      <w:r>
        <w:rPr>
          <w:spacing w:val="-3"/>
        </w:rPr>
        <w:t> </w:t>
      </w:r>
      <w:r>
        <w:rPr/>
        <w:t>costs</w:t>
      </w:r>
      <w:r>
        <w:rPr>
          <w:spacing w:val="-3"/>
        </w:rPr>
        <w:t> </w:t>
      </w:r>
      <w:r>
        <w:rPr/>
        <w:t>for attention absorption become less</w:t>
      </w:r>
      <w:r>
        <w:rPr>
          <w:spacing w:val="-3"/>
        </w:rPr>
        <w:t> </w:t>
      </w:r>
      <w:r>
        <w:rPr/>
        <w:t>severe</w:t>
      </w:r>
      <w:r>
        <w:rPr>
          <w:spacing w:val="-3"/>
        </w:rPr>
        <w:t> </w:t>
      </w:r>
      <w:r>
        <w:rPr/>
        <w:t>as</w:t>
      </w:r>
      <w:r>
        <w:rPr>
          <w:spacing w:val="-3"/>
        </w:rPr>
        <w:t> </w:t>
      </w:r>
      <w:r>
        <w:rPr/>
        <w:t>creators</w:t>
      </w:r>
      <w:r>
        <w:rPr>
          <w:spacing w:val="-3"/>
        </w:rPr>
        <w:t> </w:t>
      </w:r>
      <w:r>
        <w:rPr/>
        <w:t>become</w:t>
      </w:r>
      <w:r>
        <w:rPr>
          <w:spacing w:val="-3"/>
        </w:rPr>
        <w:t> </w:t>
      </w:r>
      <w:r>
        <w:rPr/>
        <w:t>highly</w:t>
      </w:r>
      <w:r>
        <w:rPr>
          <w:spacing w:val="-3"/>
        </w:rPr>
        <w:t> </w:t>
      </w:r>
      <w:r>
        <w:rPr/>
        <w:t>specialized.</w:t>
      </w:r>
      <w:r>
        <w:rPr>
          <w:spacing w:val="-3"/>
        </w:rPr>
        <w:t> </w:t>
      </w:r>
      <w:r>
        <w:rPr/>
        <w:t>Furthermore,</w:t>
      </w:r>
      <w:r>
        <w:rPr>
          <w:spacing w:val="-3"/>
        </w:rPr>
        <w:t> </w:t>
      </w:r>
      <w:r>
        <w:rPr/>
        <w:t>high algorithmic ranking amplifies the positive effect of specialization on click-through rates and attenuates its negative effect on view duration, highlighting the platform's</w:t>
      </w:r>
      <w:r>
        <w:rPr>
          <w:spacing w:val="-3"/>
        </w:rPr>
        <w:t> </w:t>
      </w:r>
      <w:r>
        <w:rPr/>
        <w:t>crucial</w:t>
      </w:r>
      <w:r>
        <w:rPr>
          <w:spacing w:val="-3"/>
        </w:rPr>
        <w:t> </w:t>
      </w:r>
      <w:r>
        <w:rPr/>
        <w:t>role</w:t>
      </w:r>
      <w:r>
        <w:rPr>
          <w:spacing w:val="-3"/>
        </w:rPr>
        <w:t> </w:t>
      </w:r>
      <w:r>
        <w:rPr/>
        <w:t>in</w:t>
      </w:r>
      <w:r>
        <w:rPr>
          <w:spacing w:val="-3"/>
        </w:rPr>
        <w:t> </w:t>
      </w:r>
      <w:r>
        <w:rPr/>
        <w:t>shaping the effectiveness of creator strategies.</w:t>
      </w:r>
    </w:p>
    <w:p>
      <w:pPr>
        <w:pStyle w:val="BodyText"/>
        <w:spacing w:line="230" w:lineRule="auto" w:before="160"/>
        <w:ind w:left="720" w:right="1380" w:firstLine="15"/>
        <w:jc w:val="both"/>
      </w:pPr>
      <w:r>
        <w:rPr/>
        <w:t>These findings reveal the nuanced dynamics of content specialization strategies in shaping consumer attention and highlight the critical role of platform algorithms in moderating </w:t>
      </w:r>
      <w:r>
        <w:rPr/>
        <w:t>creator strategy effectiveness. Our study contributes to the literature on creator economy and platform design by providing empirical evidence on how content strategies interact with platform mechanisms to influence consumer behavior. For practitioners, our insights offer actionable guidance for platform design and creator strategy optimization in the attention economy.</w:t>
      </w:r>
    </w:p>
    <w:p>
      <w:pPr>
        <w:pStyle w:val="BodyText"/>
        <w:spacing w:after="0" w:line="230" w:lineRule="auto"/>
        <w:jc w:val="both"/>
        <w:sectPr>
          <w:pgSz w:w="12240" w:h="15840"/>
          <w:pgMar w:header="0" w:footer="714" w:top="620" w:bottom="960" w:left="720" w:right="0"/>
        </w:sectPr>
      </w:pPr>
    </w:p>
    <w:p>
      <w:pPr>
        <w:pStyle w:val="Heading3"/>
        <w:spacing w:line="230" w:lineRule="auto" w:before="80"/>
        <w:ind w:left="2019" w:hanging="1144"/>
        <w:jc w:val="left"/>
      </w:pPr>
      <w:bookmarkStart w:name="The Art of Gratitude: How Card Size, Mes" w:id="161"/>
      <w:bookmarkEnd w:id="161"/>
      <w:r>
        <w:rPr>
          <w:b w:val="0"/>
        </w:rPr>
      </w:r>
      <w:bookmarkStart w:name="h.bvzo4empc0y3" w:id="162"/>
      <w:bookmarkEnd w:id="162"/>
      <w:r>
        <w:rPr>
          <w:b w:val="0"/>
        </w:rPr>
      </w:r>
      <w:r>
        <w:rPr/>
        <w:t>The</w:t>
      </w:r>
      <w:r>
        <w:rPr>
          <w:spacing w:val="-4"/>
        </w:rPr>
        <w:t> </w:t>
      </w:r>
      <w:r>
        <w:rPr/>
        <w:t>Art</w:t>
      </w:r>
      <w:r>
        <w:rPr>
          <w:spacing w:val="-4"/>
        </w:rPr>
        <w:t> </w:t>
      </w:r>
      <w:r>
        <w:rPr/>
        <w:t>of</w:t>
      </w:r>
      <w:r>
        <w:rPr>
          <w:spacing w:val="-4"/>
        </w:rPr>
        <w:t> </w:t>
      </w:r>
      <w:r>
        <w:rPr/>
        <w:t>Gratitude:</w:t>
      </w:r>
      <w:r>
        <w:rPr>
          <w:spacing w:val="-4"/>
        </w:rPr>
        <w:t> </w:t>
      </w:r>
      <w:r>
        <w:rPr/>
        <w:t>How</w:t>
      </w:r>
      <w:r>
        <w:rPr>
          <w:spacing w:val="-4"/>
        </w:rPr>
        <w:t> </w:t>
      </w:r>
      <w:r>
        <w:rPr/>
        <w:t>Card</w:t>
      </w:r>
      <w:r>
        <w:rPr>
          <w:spacing w:val="-4"/>
        </w:rPr>
        <w:t> </w:t>
      </w:r>
      <w:r>
        <w:rPr/>
        <w:t>Size,</w:t>
      </w:r>
      <w:r>
        <w:rPr>
          <w:spacing w:val="-4"/>
        </w:rPr>
        <w:t> </w:t>
      </w:r>
      <w:r>
        <w:rPr/>
        <w:t>Message</w:t>
      </w:r>
      <w:r>
        <w:rPr>
          <w:spacing w:val="-4"/>
        </w:rPr>
        <w:t> </w:t>
      </w:r>
      <w:r>
        <w:rPr/>
        <w:t>Length,</w:t>
      </w:r>
      <w:r>
        <w:rPr>
          <w:spacing w:val="-4"/>
        </w:rPr>
        <w:t> </w:t>
      </w:r>
      <w:r>
        <w:rPr/>
        <w:t>and</w:t>
      </w:r>
      <w:r>
        <w:rPr>
          <w:spacing w:val="-4"/>
        </w:rPr>
        <w:t> </w:t>
      </w:r>
      <w:r>
        <w:rPr/>
        <w:t>Writer</w:t>
      </w:r>
      <w:r>
        <w:rPr>
          <w:spacing w:val="40"/>
        </w:rPr>
        <w:t> </w:t>
      </w:r>
      <w:r>
        <w:rPr/>
        <w:t>Identity Shape the Fundraising Effectiveness of Thank You Cards</w:t>
      </w:r>
    </w:p>
    <w:p>
      <w:pPr>
        <w:pStyle w:val="BodyText"/>
        <w:spacing w:before="290"/>
        <w:ind w:left="4235" w:right="4601" w:firstLine="617"/>
      </w:pPr>
      <w:r>
        <w:rPr/>
        <w:t>Alexis Yim Department</w:t>
      </w:r>
      <w:r>
        <w:rPr>
          <w:spacing w:val="-15"/>
        </w:rPr>
        <w:t> </w:t>
      </w:r>
      <w:r>
        <w:rPr/>
        <w:t>of</w:t>
      </w:r>
      <w:r>
        <w:rPr>
          <w:spacing w:val="-15"/>
        </w:rPr>
        <w:t> </w:t>
      </w:r>
      <w:r>
        <w:rPr/>
        <w:t>Marketing</w:t>
      </w:r>
    </w:p>
    <w:p>
      <w:pPr>
        <w:pStyle w:val="BodyText"/>
        <w:ind w:left="4468" w:right="3662" w:hanging="1104"/>
      </w:pPr>
      <w:r>
        <w:rPr/>
        <w:t>Davis</w:t>
      </w:r>
      <w:r>
        <w:rPr>
          <w:spacing w:val="-8"/>
        </w:rPr>
        <w:t> </w:t>
      </w:r>
      <w:r>
        <w:rPr/>
        <w:t>College</w:t>
      </w:r>
      <w:r>
        <w:rPr>
          <w:spacing w:val="-8"/>
        </w:rPr>
        <w:t> </w:t>
      </w:r>
      <w:r>
        <w:rPr/>
        <w:t>of</w:t>
      </w:r>
      <w:r>
        <w:rPr>
          <w:spacing w:val="-8"/>
        </w:rPr>
        <w:t> </w:t>
      </w:r>
      <w:r>
        <w:rPr/>
        <w:t>Business</w:t>
      </w:r>
      <w:r>
        <w:rPr>
          <w:spacing w:val="-8"/>
        </w:rPr>
        <w:t> </w:t>
      </w:r>
      <w:r>
        <w:rPr/>
        <w:t>and</w:t>
      </w:r>
      <w:r>
        <w:rPr>
          <w:spacing w:val="-8"/>
        </w:rPr>
        <w:t> </w:t>
      </w:r>
      <w:r>
        <w:rPr/>
        <w:t>Economics Radford University</w:t>
      </w:r>
    </w:p>
    <w:p>
      <w:pPr>
        <w:pStyle w:val="BodyText"/>
        <w:ind w:left="4484" w:right="4296" w:firstLine="51"/>
      </w:pPr>
      <w:r>
        <w:rPr>
          <w:spacing w:val="-2"/>
        </w:rPr>
        <w:t>Radford,</w:t>
      </w:r>
      <w:r>
        <w:rPr>
          <w:spacing w:val="-13"/>
        </w:rPr>
        <w:t> </w:t>
      </w:r>
      <w:r>
        <w:rPr>
          <w:spacing w:val="-2"/>
        </w:rPr>
        <w:t>VA</w:t>
      </w:r>
      <w:r>
        <w:rPr>
          <w:spacing w:val="-13"/>
        </w:rPr>
        <w:t> </w:t>
      </w:r>
      <w:r>
        <w:rPr>
          <w:spacing w:val="-2"/>
        </w:rPr>
        <w:t>24142 </w:t>
      </w:r>
      <w:hyperlink r:id="rId319">
        <w:r>
          <w:rPr>
            <w:spacing w:val="-2"/>
          </w:rPr>
          <w:t>ayim@radford.edu</w:t>
        </w:r>
      </w:hyperlink>
    </w:p>
    <w:p>
      <w:pPr>
        <w:pStyle w:val="BodyText"/>
        <w:spacing w:before="1"/>
        <w:ind w:left="3886"/>
      </w:pPr>
      <w:r>
        <w:rPr/>
        <w:t>540 831 5301 (Contact </w:t>
      </w:r>
      <w:r>
        <w:rPr>
          <w:spacing w:val="-2"/>
        </w:rPr>
        <w:t>Author)</w:t>
      </w:r>
    </w:p>
    <w:p>
      <w:pPr>
        <w:pStyle w:val="BodyText"/>
        <w:spacing w:before="272"/>
        <w:ind w:left="4235" w:right="4601" w:firstLine="616"/>
      </w:pPr>
      <w:r>
        <w:rPr/>
        <w:t>Luke Liska Department</w:t>
      </w:r>
      <w:r>
        <w:rPr>
          <w:spacing w:val="-15"/>
        </w:rPr>
        <w:t> </w:t>
      </w:r>
      <w:r>
        <w:rPr/>
        <w:t>of</w:t>
      </w:r>
      <w:r>
        <w:rPr>
          <w:spacing w:val="-15"/>
        </w:rPr>
        <w:t> </w:t>
      </w:r>
      <w:r>
        <w:rPr/>
        <w:t>Marketing</w:t>
      </w:r>
    </w:p>
    <w:p>
      <w:pPr>
        <w:pStyle w:val="BodyText"/>
        <w:ind w:left="4468" w:right="3662" w:hanging="1104"/>
      </w:pPr>
      <w:r>
        <w:rPr/>
        <w:t>Davis</w:t>
      </w:r>
      <w:r>
        <w:rPr>
          <w:spacing w:val="-8"/>
        </w:rPr>
        <w:t> </w:t>
      </w:r>
      <w:r>
        <w:rPr/>
        <w:t>College</w:t>
      </w:r>
      <w:r>
        <w:rPr>
          <w:spacing w:val="-8"/>
        </w:rPr>
        <w:t> </w:t>
      </w:r>
      <w:r>
        <w:rPr/>
        <w:t>of</w:t>
      </w:r>
      <w:r>
        <w:rPr>
          <w:spacing w:val="-8"/>
        </w:rPr>
        <w:t> </w:t>
      </w:r>
      <w:r>
        <w:rPr/>
        <w:t>Business</w:t>
      </w:r>
      <w:r>
        <w:rPr>
          <w:spacing w:val="-8"/>
        </w:rPr>
        <w:t> </w:t>
      </w:r>
      <w:r>
        <w:rPr/>
        <w:t>and</w:t>
      </w:r>
      <w:r>
        <w:rPr>
          <w:spacing w:val="-8"/>
        </w:rPr>
        <w:t> </w:t>
      </w:r>
      <w:r>
        <w:rPr/>
        <w:t>Economics Radford University</w:t>
      </w:r>
    </w:p>
    <w:p>
      <w:pPr>
        <w:pStyle w:val="BodyText"/>
        <w:ind w:left="4474" w:right="4296" w:firstLine="61"/>
      </w:pPr>
      <w:r>
        <w:rPr>
          <w:spacing w:val="-2"/>
        </w:rPr>
        <w:t>Radford,</w:t>
      </w:r>
      <w:r>
        <w:rPr>
          <w:spacing w:val="-13"/>
        </w:rPr>
        <w:t> </w:t>
      </w:r>
      <w:r>
        <w:rPr>
          <w:spacing w:val="-2"/>
        </w:rPr>
        <w:t>VA</w:t>
      </w:r>
      <w:r>
        <w:rPr>
          <w:spacing w:val="-13"/>
        </w:rPr>
        <w:t> </w:t>
      </w:r>
      <w:r>
        <w:rPr>
          <w:spacing w:val="-2"/>
        </w:rPr>
        <w:t>24142 </w:t>
      </w:r>
      <w:hyperlink r:id="rId320">
        <w:r>
          <w:rPr>
            <w:spacing w:val="-2"/>
          </w:rPr>
          <w:t>lliska@radford.edu</w:t>
        </w:r>
      </w:hyperlink>
    </w:p>
    <w:p>
      <w:pPr>
        <w:pStyle w:val="BodyText"/>
        <w:spacing w:line="276" w:lineRule="exact"/>
        <w:ind w:left="4713"/>
      </w:pPr>
      <w:r>
        <w:rPr/>
        <w:t>931-319-</w:t>
      </w:r>
      <w:r>
        <w:rPr>
          <w:spacing w:val="-4"/>
        </w:rPr>
        <w:t>6379</w:t>
      </w:r>
    </w:p>
    <w:p>
      <w:pPr>
        <w:pStyle w:val="BodyText"/>
        <w:spacing w:before="272"/>
        <w:ind w:left="4235" w:right="4296" w:firstLine="306"/>
      </w:pPr>
      <w:r>
        <w:rPr/>
        <w:t>Maneesh Thakkar Department</w:t>
      </w:r>
      <w:r>
        <w:rPr>
          <w:spacing w:val="-15"/>
        </w:rPr>
        <w:t> </w:t>
      </w:r>
      <w:r>
        <w:rPr/>
        <w:t>of</w:t>
      </w:r>
      <w:r>
        <w:rPr>
          <w:spacing w:val="-15"/>
        </w:rPr>
        <w:t> </w:t>
      </w:r>
      <w:r>
        <w:rPr/>
        <w:t>Marketing</w:t>
      </w:r>
    </w:p>
    <w:p>
      <w:pPr>
        <w:pStyle w:val="BodyText"/>
        <w:ind w:left="4468" w:right="3662" w:hanging="1104"/>
      </w:pPr>
      <w:r>
        <w:rPr/>
        <w:t>Davis</w:t>
      </w:r>
      <w:r>
        <w:rPr>
          <w:spacing w:val="-8"/>
        </w:rPr>
        <w:t> </w:t>
      </w:r>
      <w:r>
        <w:rPr/>
        <w:t>College</w:t>
      </w:r>
      <w:r>
        <w:rPr>
          <w:spacing w:val="-8"/>
        </w:rPr>
        <w:t> </w:t>
      </w:r>
      <w:r>
        <w:rPr/>
        <w:t>of</w:t>
      </w:r>
      <w:r>
        <w:rPr>
          <w:spacing w:val="-8"/>
        </w:rPr>
        <w:t> </w:t>
      </w:r>
      <w:r>
        <w:rPr/>
        <w:t>Business</w:t>
      </w:r>
      <w:r>
        <w:rPr>
          <w:spacing w:val="-8"/>
        </w:rPr>
        <w:t> </w:t>
      </w:r>
      <w:r>
        <w:rPr/>
        <w:t>and</w:t>
      </w:r>
      <w:r>
        <w:rPr>
          <w:spacing w:val="-8"/>
        </w:rPr>
        <w:t> </w:t>
      </w:r>
      <w:r>
        <w:rPr/>
        <w:t>Economics Radford University</w:t>
      </w:r>
    </w:p>
    <w:p>
      <w:pPr>
        <w:pStyle w:val="BodyText"/>
        <w:ind w:left="4282" w:right="4296" w:firstLine="253"/>
      </w:pPr>
      <w:r>
        <w:rPr/>
        <w:t>Radford, VA 24142 </w:t>
      </w:r>
      <w:hyperlink r:id="rId321">
        <w:r>
          <w:rPr>
            <w:spacing w:val="-2"/>
          </w:rPr>
          <w:t>mthakkar@radford.edu</w:t>
        </w:r>
      </w:hyperlink>
    </w:p>
    <w:p>
      <w:pPr>
        <w:pStyle w:val="BodyText"/>
        <w:ind w:left="4798"/>
      </w:pPr>
      <w:r>
        <w:rPr/>
        <w:t>540 831 </w:t>
      </w:r>
      <w:r>
        <w:rPr>
          <w:spacing w:val="-4"/>
        </w:rPr>
        <w:t>6294</w:t>
      </w:r>
    </w:p>
    <w:p>
      <w:pPr>
        <w:pStyle w:val="BodyText"/>
        <w:spacing w:before="272"/>
        <w:ind w:left="4235" w:right="4601" w:firstLine="667"/>
      </w:pPr>
      <w:r>
        <w:rPr/>
        <w:t>Yumei Mu Department</w:t>
      </w:r>
      <w:r>
        <w:rPr>
          <w:spacing w:val="-15"/>
        </w:rPr>
        <w:t> </w:t>
      </w:r>
      <w:r>
        <w:rPr/>
        <w:t>of</w:t>
      </w:r>
      <w:r>
        <w:rPr>
          <w:spacing w:val="-15"/>
        </w:rPr>
        <w:t> </w:t>
      </w:r>
      <w:r>
        <w:rPr/>
        <w:t>Marketing</w:t>
      </w:r>
    </w:p>
    <w:p>
      <w:pPr>
        <w:pStyle w:val="BodyText"/>
        <w:ind w:left="4468" w:right="3662" w:hanging="1104"/>
      </w:pPr>
      <w:r>
        <w:rPr/>
        <w:t>Davis</w:t>
      </w:r>
      <w:r>
        <w:rPr>
          <w:spacing w:val="-8"/>
        </w:rPr>
        <w:t> </w:t>
      </w:r>
      <w:r>
        <w:rPr/>
        <w:t>College</w:t>
      </w:r>
      <w:r>
        <w:rPr>
          <w:spacing w:val="-8"/>
        </w:rPr>
        <w:t> </w:t>
      </w:r>
      <w:r>
        <w:rPr/>
        <w:t>of</w:t>
      </w:r>
      <w:r>
        <w:rPr>
          <w:spacing w:val="-8"/>
        </w:rPr>
        <w:t> </w:t>
      </w:r>
      <w:r>
        <w:rPr/>
        <w:t>Business</w:t>
      </w:r>
      <w:r>
        <w:rPr>
          <w:spacing w:val="-8"/>
        </w:rPr>
        <w:t> </w:t>
      </w:r>
      <w:r>
        <w:rPr/>
        <w:t>and</w:t>
      </w:r>
      <w:r>
        <w:rPr>
          <w:spacing w:val="-8"/>
        </w:rPr>
        <w:t> </w:t>
      </w:r>
      <w:r>
        <w:rPr/>
        <w:t>Economics Radford University</w:t>
      </w:r>
    </w:p>
    <w:p>
      <w:pPr>
        <w:pStyle w:val="BodyText"/>
        <w:ind w:left="4462" w:right="4296" w:firstLine="73"/>
      </w:pPr>
      <w:r>
        <w:rPr>
          <w:spacing w:val="-2"/>
        </w:rPr>
        <w:t>Radford,</w:t>
      </w:r>
      <w:r>
        <w:rPr>
          <w:spacing w:val="-13"/>
        </w:rPr>
        <w:t> </w:t>
      </w:r>
      <w:r>
        <w:rPr>
          <w:spacing w:val="-2"/>
        </w:rPr>
        <w:t>VA</w:t>
      </w:r>
      <w:r>
        <w:rPr>
          <w:spacing w:val="-13"/>
        </w:rPr>
        <w:t> </w:t>
      </w:r>
      <w:r>
        <w:rPr>
          <w:spacing w:val="-2"/>
        </w:rPr>
        <w:t>24142 </w:t>
      </w:r>
      <w:hyperlink r:id="rId322">
        <w:r>
          <w:rPr>
            <w:spacing w:val="-2"/>
          </w:rPr>
          <w:t>ymu1@radford.edu</w:t>
        </w:r>
      </w:hyperlink>
    </w:p>
    <w:p>
      <w:pPr>
        <w:pStyle w:val="BodyText"/>
        <w:ind w:left="4738"/>
      </w:pPr>
      <w:r>
        <w:rPr/>
        <w:t>540 831 </w:t>
      </w:r>
      <w:r>
        <w:rPr>
          <w:spacing w:val="-4"/>
        </w:rPr>
        <w:t>6402</w:t>
      </w:r>
    </w:p>
    <w:p>
      <w:pPr>
        <w:pStyle w:val="BodyText"/>
      </w:pPr>
    </w:p>
    <w:p>
      <w:pPr>
        <w:pStyle w:val="BodyText"/>
        <w:ind w:left="720"/>
      </w:pPr>
      <w:r>
        <w:rPr/>
        <w:t>Key words: Artificial intelligence, card, donation, </w:t>
      </w:r>
      <w:r>
        <w:rPr>
          <w:spacing w:val="-2"/>
        </w:rPr>
        <w:t>fundraising</w:t>
      </w:r>
    </w:p>
    <w:p>
      <w:pPr>
        <w:pStyle w:val="BodyText"/>
        <w:spacing w:before="173"/>
      </w:pPr>
    </w:p>
    <w:p>
      <w:pPr>
        <w:pStyle w:val="BodyText"/>
        <w:spacing w:before="1"/>
        <w:ind w:left="720" w:right="1500" w:firstLine="15"/>
      </w:pPr>
      <w:r>
        <w:rPr/>
        <w:t>This research investigates how thank-you card size affects donation behavior, addressing a significant gap in marketing research. While charitable organizations commonly send thank-you acknowledgments</w:t>
      </w:r>
      <w:r>
        <w:rPr>
          <w:spacing w:val="-4"/>
        </w:rPr>
        <w:t> </w:t>
      </w:r>
      <w:r>
        <w:rPr/>
        <w:t>after</w:t>
      </w:r>
      <w:r>
        <w:rPr>
          <w:spacing w:val="-4"/>
        </w:rPr>
        <w:t> </w:t>
      </w:r>
      <w:r>
        <w:rPr/>
        <w:t>donations,</w:t>
      </w:r>
      <w:r>
        <w:rPr>
          <w:spacing w:val="-4"/>
        </w:rPr>
        <w:t> </w:t>
      </w:r>
      <w:r>
        <w:rPr/>
        <w:t>the</w:t>
      </w:r>
      <w:r>
        <w:rPr>
          <w:spacing w:val="-4"/>
        </w:rPr>
        <w:t> </w:t>
      </w:r>
      <w:r>
        <w:rPr/>
        <w:t>relationship</w:t>
      </w:r>
      <w:r>
        <w:rPr>
          <w:spacing w:val="-4"/>
        </w:rPr>
        <w:t> </w:t>
      </w:r>
      <w:r>
        <w:rPr/>
        <w:t>between</w:t>
      </w:r>
      <w:r>
        <w:rPr>
          <w:spacing w:val="-4"/>
        </w:rPr>
        <w:t> </w:t>
      </w:r>
      <w:r>
        <w:rPr/>
        <w:t>these</w:t>
      </w:r>
      <w:r>
        <w:rPr>
          <w:spacing w:val="-4"/>
        </w:rPr>
        <w:t> </w:t>
      </w:r>
      <w:r>
        <w:rPr/>
        <w:t>gestures</w:t>
      </w:r>
      <w:r>
        <w:rPr>
          <w:spacing w:val="-4"/>
        </w:rPr>
        <w:t> </w:t>
      </w:r>
      <w:r>
        <w:rPr/>
        <w:t>and</w:t>
      </w:r>
      <w:r>
        <w:rPr>
          <w:spacing w:val="-4"/>
        </w:rPr>
        <w:t> </w:t>
      </w:r>
      <w:r>
        <w:rPr/>
        <w:t>subsequent</w:t>
      </w:r>
      <w:r>
        <w:rPr>
          <w:spacing w:val="-4"/>
        </w:rPr>
        <w:t> </w:t>
      </w:r>
      <w:r>
        <w:rPr/>
        <w:t>giving hasn't been thoroughly explored. Previous research from Yale University revealed a paradox: thank-you gifts following donations actually reduced future donation amounts. This raises questions about the effects of non-monetary acknowledgments like thank-you notes. Our study examines thank-you cards specifically and investigates what characteristics make them most effective in encouraging donations.</w:t>
      </w:r>
    </w:p>
    <w:p>
      <w:pPr>
        <w:pStyle w:val="BodyText"/>
        <w:spacing w:before="104"/>
      </w:pPr>
    </w:p>
    <w:p>
      <w:pPr>
        <w:pStyle w:val="BodyText"/>
        <w:ind w:left="720" w:right="1619"/>
      </w:pPr>
      <w:r>
        <w:rPr/>
        <w:t>This</w:t>
      </w:r>
      <w:r>
        <w:rPr>
          <w:spacing w:val="-3"/>
        </w:rPr>
        <w:t> </w:t>
      </w:r>
      <w:r>
        <w:rPr/>
        <w:t>research</w:t>
      </w:r>
      <w:r>
        <w:rPr>
          <w:spacing w:val="-3"/>
        </w:rPr>
        <w:t> </w:t>
      </w:r>
      <w:r>
        <w:rPr/>
        <w:t>makes</w:t>
      </w:r>
      <w:r>
        <w:rPr>
          <w:spacing w:val="-3"/>
        </w:rPr>
        <w:t> </w:t>
      </w:r>
      <w:r>
        <w:rPr/>
        <w:t>several</w:t>
      </w:r>
      <w:r>
        <w:rPr>
          <w:spacing w:val="-3"/>
        </w:rPr>
        <w:t> </w:t>
      </w:r>
      <w:r>
        <w:rPr/>
        <w:t>important</w:t>
      </w:r>
      <w:r>
        <w:rPr>
          <w:spacing w:val="-3"/>
        </w:rPr>
        <w:t> </w:t>
      </w:r>
      <w:r>
        <w:rPr/>
        <w:t>contributions.</w:t>
      </w:r>
      <w:r>
        <w:rPr>
          <w:spacing w:val="-3"/>
        </w:rPr>
        <w:t> </w:t>
      </w:r>
      <w:r>
        <w:rPr/>
        <w:t>First,</w:t>
      </w:r>
      <w:r>
        <w:rPr>
          <w:spacing w:val="-3"/>
        </w:rPr>
        <w:t> </w:t>
      </w:r>
      <w:r>
        <w:rPr/>
        <w:t>it</w:t>
      </w:r>
      <w:r>
        <w:rPr>
          <w:spacing w:val="-3"/>
        </w:rPr>
        <w:t> </w:t>
      </w:r>
      <w:r>
        <w:rPr/>
        <w:t>adds</w:t>
      </w:r>
      <w:r>
        <w:rPr>
          <w:spacing w:val="-3"/>
        </w:rPr>
        <w:t> </w:t>
      </w:r>
      <w:r>
        <w:rPr/>
        <w:t>to</w:t>
      </w:r>
      <w:r>
        <w:rPr>
          <w:spacing w:val="-3"/>
        </w:rPr>
        <w:t> </w:t>
      </w:r>
      <w:r>
        <w:rPr/>
        <w:t>the</w:t>
      </w:r>
      <w:r>
        <w:rPr>
          <w:spacing w:val="-3"/>
        </w:rPr>
        <w:t> </w:t>
      </w:r>
      <w:r>
        <w:rPr/>
        <w:t>limited</w:t>
      </w:r>
      <w:r>
        <w:rPr>
          <w:spacing w:val="-3"/>
        </w:rPr>
        <w:t> </w:t>
      </w:r>
      <w:r>
        <w:rPr/>
        <w:t>literature</w:t>
      </w:r>
      <w:r>
        <w:rPr>
          <w:spacing w:val="40"/>
        </w:rPr>
        <w:t> </w:t>
      </w:r>
      <w:r>
        <w:rPr/>
        <w:t>on donation behavior. Americans contributed $557.16 billion to charitable causes in 2023 alone (National Philanthropic Trust), highlighting donations' social significance. Despite this substantial role in consumer behavior, marketing research on donation remains surprisingly</w:t>
      </w:r>
    </w:p>
    <w:p>
      <w:pPr>
        <w:pStyle w:val="BodyText"/>
        <w:spacing w:after="0"/>
        <w:sectPr>
          <w:pgSz w:w="12240" w:h="15840"/>
          <w:pgMar w:header="0" w:footer="714" w:top="620" w:bottom="900" w:left="720" w:right="0"/>
        </w:sectPr>
      </w:pPr>
    </w:p>
    <w:p>
      <w:pPr>
        <w:pStyle w:val="BodyText"/>
        <w:spacing w:before="60"/>
        <w:ind w:left="720" w:right="1619"/>
      </w:pPr>
      <w:r>
        <w:rPr/>
        <w:t>scarce.</w:t>
      </w:r>
      <w:r>
        <w:rPr>
          <w:spacing w:val="-4"/>
        </w:rPr>
        <w:t> </w:t>
      </w:r>
      <w:r>
        <w:rPr/>
        <w:t>This</w:t>
      </w:r>
      <w:r>
        <w:rPr>
          <w:spacing w:val="-4"/>
        </w:rPr>
        <w:t> </w:t>
      </w:r>
      <w:r>
        <w:rPr/>
        <w:t>study</w:t>
      </w:r>
      <w:r>
        <w:rPr>
          <w:spacing w:val="-4"/>
        </w:rPr>
        <w:t> </w:t>
      </w:r>
      <w:r>
        <w:rPr/>
        <w:t>addresses</w:t>
      </w:r>
      <w:r>
        <w:rPr>
          <w:spacing w:val="-4"/>
        </w:rPr>
        <w:t> </w:t>
      </w:r>
      <w:r>
        <w:rPr/>
        <w:t>the</w:t>
      </w:r>
      <w:r>
        <w:rPr>
          <w:spacing w:val="-4"/>
        </w:rPr>
        <w:t> </w:t>
      </w:r>
      <w:r>
        <w:rPr/>
        <w:t>specific</w:t>
      </w:r>
      <w:r>
        <w:rPr>
          <w:spacing w:val="-4"/>
        </w:rPr>
        <w:t> </w:t>
      </w:r>
      <w:r>
        <w:rPr/>
        <w:t>gap</w:t>
      </w:r>
      <w:r>
        <w:rPr>
          <w:spacing w:val="-4"/>
        </w:rPr>
        <w:t> </w:t>
      </w:r>
      <w:r>
        <w:rPr/>
        <w:t>in</w:t>
      </w:r>
      <w:r>
        <w:rPr>
          <w:spacing w:val="-4"/>
        </w:rPr>
        <w:t> </w:t>
      </w:r>
      <w:r>
        <w:rPr/>
        <w:t>understanding</w:t>
      </w:r>
      <w:r>
        <w:rPr>
          <w:spacing w:val="-4"/>
        </w:rPr>
        <w:t> </w:t>
      </w:r>
      <w:r>
        <w:rPr/>
        <w:t>thank-you</w:t>
      </w:r>
      <w:r>
        <w:rPr>
          <w:spacing w:val="-4"/>
        </w:rPr>
        <w:t> </w:t>
      </w:r>
      <w:r>
        <w:rPr/>
        <w:t>card</w:t>
      </w:r>
      <w:r>
        <w:rPr>
          <w:spacing w:val="-4"/>
        </w:rPr>
        <w:t> </w:t>
      </w:r>
      <w:r>
        <w:rPr/>
        <w:t>effectiveness</w:t>
      </w:r>
      <w:r>
        <w:rPr>
          <w:spacing w:val="-4"/>
        </w:rPr>
        <w:t> </w:t>
      </w:r>
      <w:r>
        <w:rPr/>
        <w:t>and the importance of business gratitude expressions.</w:t>
      </w:r>
    </w:p>
    <w:p>
      <w:pPr>
        <w:pStyle w:val="BodyText"/>
        <w:spacing w:before="105"/>
      </w:pPr>
    </w:p>
    <w:p>
      <w:pPr>
        <w:pStyle w:val="BodyText"/>
        <w:ind w:left="720" w:right="1381"/>
      </w:pPr>
      <w:r>
        <w:rPr/>
        <w:t>Second, this study introduces artificial intelligence (AI) as a novel moderator. Consumers</w:t>
      </w:r>
      <w:r>
        <w:rPr>
          <w:spacing w:val="40"/>
        </w:rPr>
        <w:t> </w:t>
      </w:r>
      <w:r>
        <w:rPr/>
        <w:t>might perceive</w:t>
      </w:r>
      <w:r>
        <w:rPr>
          <w:spacing w:val="-3"/>
        </w:rPr>
        <w:t> </w:t>
      </w:r>
      <w:r>
        <w:rPr/>
        <w:t>disclosure</w:t>
      </w:r>
      <w:r>
        <w:rPr>
          <w:spacing w:val="-3"/>
        </w:rPr>
        <w:t> </w:t>
      </w:r>
      <w:r>
        <w:rPr/>
        <w:t>on</w:t>
      </w:r>
      <w:r>
        <w:rPr>
          <w:spacing w:val="-3"/>
        </w:rPr>
        <w:t> </w:t>
      </w:r>
      <w:r>
        <w:rPr/>
        <w:t>a</w:t>
      </w:r>
      <w:r>
        <w:rPr>
          <w:spacing w:val="-3"/>
        </w:rPr>
        <w:t> </w:t>
      </w:r>
      <w:r>
        <w:rPr/>
        <w:t>thank-you</w:t>
      </w:r>
      <w:r>
        <w:rPr>
          <w:spacing w:val="-3"/>
        </w:rPr>
        <w:t> </w:t>
      </w:r>
      <w:r>
        <w:rPr/>
        <w:t>card</w:t>
      </w:r>
      <w:r>
        <w:rPr>
          <w:spacing w:val="-3"/>
        </w:rPr>
        <w:t> </w:t>
      </w:r>
      <w:r>
        <w:rPr/>
        <w:t>assisted</w:t>
      </w:r>
      <w:r>
        <w:rPr>
          <w:spacing w:val="-3"/>
        </w:rPr>
        <w:t> </w:t>
      </w:r>
      <w:r>
        <w:rPr/>
        <w:t>by</w:t>
      </w:r>
      <w:r>
        <w:rPr>
          <w:spacing w:val="-3"/>
        </w:rPr>
        <w:t> </w:t>
      </w:r>
      <w:r>
        <w:rPr/>
        <w:t>AI</w:t>
      </w:r>
      <w:r>
        <w:rPr>
          <w:spacing w:val="-3"/>
        </w:rPr>
        <w:t> </w:t>
      </w:r>
      <w:r>
        <w:rPr/>
        <w:t>as</w:t>
      </w:r>
      <w:r>
        <w:rPr>
          <w:spacing w:val="-3"/>
        </w:rPr>
        <w:t> </w:t>
      </w:r>
      <w:r>
        <w:rPr/>
        <w:t>not</w:t>
      </w:r>
      <w:r>
        <w:rPr>
          <w:spacing w:val="-3"/>
        </w:rPr>
        <w:t> </w:t>
      </w:r>
      <w:r>
        <w:rPr/>
        <w:t>authentic</w:t>
      </w:r>
      <w:r>
        <w:rPr>
          <w:spacing w:val="-3"/>
        </w:rPr>
        <w:t> </w:t>
      </w:r>
      <w:r>
        <w:rPr/>
        <w:t>or</w:t>
      </w:r>
      <w:r>
        <w:rPr>
          <w:spacing w:val="-3"/>
        </w:rPr>
        <w:t> </w:t>
      </w:r>
      <w:r>
        <w:rPr/>
        <w:t>more</w:t>
      </w:r>
      <w:r>
        <w:rPr>
          <w:spacing w:val="40"/>
        </w:rPr>
        <w:t> </w:t>
      </w:r>
      <w:r>
        <w:rPr/>
        <w:t>transparent.</w:t>
      </w:r>
      <w:r>
        <w:rPr>
          <w:spacing w:val="-3"/>
        </w:rPr>
        <w:t> </w:t>
      </w:r>
      <w:r>
        <w:rPr/>
        <w:t>This contribution expands the growing literature on AI's role in marketing</w:t>
      </w:r>
      <w:r>
        <w:rPr>
          <w:spacing w:val="40"/>
        </w:rPr>
        <w:t> </w:t>
      </w:r>
      <w:r>
        <w:rPr/>
        <w:t>communications, particularly in donation contexts. The findings will benefit both psychological</w:t>
      </w:r>
      <w:r>
        <w:rPr>
          <w:spacing w:val="40"/>
        </w:rPr>
        <w:t> </w:t>
      </w:r>
      <w:r>
        <w:rPr/>
        <w:t>and marketing literature while offering nonprofit organizations practical, cost-effective strategies</w:t>
      </w:r>
      <w:r>
        <w:rPr>
          <w:spacing w:val="40"/>
        </w:rPr>
        <w:t> </w:t>
      </w:r>
      <w:r>
        <w:rPr/>
        <w:t>to improve their fundraising efforts.</w:t>
      </w:r>
    </w:p>
    <w:sectPr>
      <w:pgSz w:w="12240" w:h="15840"/>
      <w:pgMar w:header="0" w:footer="714" w:top="640" w:bottom="960" w:left="72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MS PGothic">
    <w:altName w:val="MS PGothic"/>
    <w:charset w:val="0"/>
    <w:family w:val="swiss"/>
    <w:pitch w:val="variable"/>
  </w:font>
  <w:font w:name="Segoe UI Symbol">
    <w:altName w:val="Segoe UI Symbo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7"/>
      </w:rPr>
    </w:pPr>
    <w:r>
      <w:rPr>
        <w:sz w:val="17"/>
      </w:rPr>
      <mc:AlternateContent>
        <mc:Choice Requires="wps">
          <w:drawing>
            <wp:anchor distT="0" distB="0" distL="0" distR="0" allowOverlap="1" layoutInCell="1" locked="0" behindDoc="1" simplePos="0" relativeHeight="483863552">
              <wp:simplePos x="0" y="0"/>
              <wp:positionH relativeFrom="page">
                <wp:posOffset>7025435</wp:posOffset>
              </wp:positionH>
              <wp:positionV relativeFrom="page">
                <wp:posOffset>9425951</wp:posOffset>
              </wp:positionV>
              <wp:extent cx="190500" cy="16637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90500" cy="166370"/>
                      </a:xfrm>
                      <a:prstGeom prst="rect">
                        <a:avLst/>
                      </a:prstGeom>
                    </wps:spPr>
                    <wps:txbx>
                      <w:txbxContent>
                        <w:p>
                          <w:pPr>
                            <w:spacing w:before="11"/>
                            <w:ind w:left="2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53.183899pt;margin-top:742.200928pt;width:15pt;height:13.1pt;mso-position-horizontal-relative:page;mso-position-vertical-relative:page;z-index:-19452928" type="#_x0000_t202" id="docshape1" filled="false" stroked="false">
              <v:textbox inset="0,0,0,0">
                <w:txbxContent>
                  <w:p>
                    <w:pPr>
                      <w:spacing w:before="11"/>
                      <w:ind w:left="2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w:t>
                    </w:r>
                    <w:r>
                      <w:rPr>
                        <w:spacing w:val="-5"/>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64064">
              <wp:simplePos x="0" y="0"/>
              <wp:positionH relativeFrom="page">
                <wp:posOffset>6718349</wp:posOffset>
              </wp:positionH>
              <wp:positionV relativeFrom="page">
                <wp:posOffset>9425954</wp:posOffset>
              </wp:positionV>
              <wp:extent cx="152400" cy="16637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52400" cy="166370"/>
                      </a:xfrm>
                      <a:prstGeom prst="rect">
                        <a:avLst/>
                      </a:prstGeom>
                    </wps:spPr>
                    <wps:txbx>
                      <w:txbxContent>
                        <w:p>
                          <w:pPr>
                            <w:spacing w:before="11"/>
                            <w:ind w:left="20" w:right="0" w:firstLine="0"/>
                            <w:jc w:val="left"/>
                            <w:rPr>
                              <w:sz w:val="20"/>
                            </w:rPr>
                          </w:pPr>
                          <w:r>
                            <w:rPr>
                              <w:spacing w:val="-5"/>
                              <w:sz w:val="20"/>
                            </w:rPr>
                            <w:t>12</w:t>
                          </w:r>
                        </w:p>
                      </w:txbxContent>
                    </wps:txbx>
                    <wps:bodyPr wrap="square" lIns="0" tIns="0" rIns="0" bIns="0" rtlCol="0">
                      <a:noAutofit/>
                    </wps:bodyPr>
                  </wps:wsp>
                </a:graphicData>
              </a:graphic>
            </wp:anchor>
          </w:drawing>
        </mc:Choice>
        <mc:Fallback>
          <w:pict>
            <v:shape style="position:absolute;margin-left:529.003906pt;margin-top:742.201172pt;width:12pt;height:13.1pt;mso-position-horizontal-relative:page;mso-position-vertical-relative:page;z-index:-19452416" type="#_x0000_t202" id="docshape2" filled="false" stroked="false">
              <v:textbox inset="0,0,0,0">
                <w:txbxContent>
                  <w:p>
                    <w:pPr>
                      <w:spacing w:before="11"/>
                      <w:ind w:left="20" w:right="0" w:firstLine="0"/>
                      <w:jc w:val="left"/>
                      <w:rPr>
                        <w:sz w:val="20"/>
                      </w:rPr>
                    </w:pPr>
                    <w:r>
                      <w:rPr>
                        <w:spacing w:val="-5"/>
                        <w:sz w:val="20"/>
                      </w:rPr>
                      <w:t>12</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9"/>
      </w:rPr>
    </w:pPr>
    <w:r>
      <w:rPr>
        <w:sz w:val="19"/>
      </w:rPr>
      <mc:AlternateContent>
        <mc:Choice Requires="wps">
          <w:drawing>
            <wp:anchor distT="0" distB="0" distL="0" distR="0" allowOverlap="1" layoutInCell="1" locked="0" behindDoc="1" simplePos="0" relativeHeight="483864576">
              <wp:simplePos x="0" y="0"/>
              <wp:positionH relativeFrom="page">
                <wp:posOffset>7000035</wp:posOffset>
              </wp:positionH>
              <wp:positionV relativeFrom="page">
                <wp:posOffset>9425942</wp:posOffset>
              </wp:positionV>
              <wp:extent cx="215900" cy="16637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215900" cy="166370"/>
                      </a:xfrm>
                      <a:prstGeom prst="rect">
                        <a:avLst/>
                      </a:prstGeom>
                    </wps:spPr>
                    <wps:txbx>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19</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51.183899pt;margin-top:742.200195pt;width:17pt;height:13.1pt;mso-position-horizontal-relative:page;mso-position-vertical-relative:page;z-index:-19451904" type="#_x0000_t202" id="docshape3" filled="false" stroked="false">
              <v:textbox inset="0,0,0,0">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19</w:t>
                    </w:r>
                    <w:r>
                      <w:rPr>
                        <w:spacing w:val="-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65088">
              <wp:simplePos x="0" y="0"/>
              <wp:positionH relativeFrom="page">
                <wp:posOffset>6718349</wp:posOffset>
              </wp:positionH>
              <wp:positionV relativeFrom="page">
                <wp:posOffset>9425942</wp:posOffset>
              </wp:positionV>
              <wp:extent cx="152400" cy="16637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52400" cy="166370"/>
                      </a:xfrm>
                      <a:prstGeom prst="rect">
                        <a:avLst/>
                      </a:prstGeom>
                    </wps:spPr>
                    <wps:txbx>
                      <w:txbxContent>
                        <w:p>
                          <w:pPr>
                            <w:spacing w:before="11"/>
                            <w:ind w:left="20" w:right="0" w:firstLine="0"/>
                            <w:jc w:val="left"/>
                            <w:rPr>
                              <w:sz w:val="20"/>
                            </w:rPr>
                          </w:pPr>
                          <w:r>
                            <w:rPr>
                              <w:spacing w:val="-5"/>
                              <w:sz w:val="20"/>
                            </w:rPr>
                            <w:t>23</w:t>
                          </w:r>
                        </w:p>
                      </w:txbxContent>
                    </wps:txbx>
                    <wps:bodyPr wrap="square" lIns="0" tIns="0" rIns="0" bIns="0" rtlCol="0">
                      <a:noAutofit/>
                    </wps:bodyPr>
                  </wps:wsp>
                </a:graphicData>
              </a:graphic>
            </wp:anchor>
          </w:drawing>
        </mc:Choice>
        <mc:Fallback>
          <w:pict>
            <v:shape style="position:absolute;margin-left:529.003906pt;margin-top:742.200195pt;width:12pt;height:13.1pt;mso-position-horizontal-relative:page;mso-position-vertical-relative:page;z-index:-19451392" type="#_x0000_t202" id="docshape5" filled="false" stroked="false">
              <v:textbox inset="0,0,0,0">
                <w:txbxContent>
                  <w:p>
                    <w:pPr>
                      <w:spacing w:before="11"/>
                      <w:ind w:left="20" w:right="0" w:firstLine="0"/>
                      <w:jc w:val="left"/>
                      <w:rPr>
                        <w:sz w:val="20"/>
                      </w:rPr>
                    </w:pPr>
                    <w:r>
                      <w:rPr>
                        <w:spacing w:val="-5"/>
                        <w:sz w:val="20"/>
                      </w:rPr>
                      <w:t>23</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7"/>
      </w:rPr>
    </w:pPr>
    <w:r>
      <w:rPr>
        <w:sz w:val="17"/>
      </w:rPr>
      <mc:AlternateContent>
        <mc:Choice Requires="wps">
          <w:drawing>
            <wp:anchor distT="0" distB="0" distL="0" distR="0" allowOverlap="1" layoutInCell="1" locked="0" behindDoc="1" simplePos="0" relativeHeight="483865600">
              <wp:simplePos x="0" y="0"/>
              <wp:positionH relativeFrom="page">
                <wp:posOffset>7000035</wp:posOffset>
              </wp:positionH>
              <wp:positionV relativeFrom="page">
                <wp:posOffset>9425942</wp:posOffset>
              </wp:positionV>
              <wp:extent cx="215900" cy="16637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15900" cy="166370"/>
                      </a:xfrm>
                      <a:prstGeom prst="rect">
                        <a:avLst/>
                      </a:prstGeom>
                    </wps:spPr>
                    <wps:txbx>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29</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51.183899pt;margin-top:742.200195pt;width:17pt;height:13.1pt;mso-position-horizontal-relative:page;mso-position-vertical-relative:page;z-index:-19450880" type="#_x0000_t202" id="docshape6" filled="false" stroked="false">
              <v:textbox inset="0,0,0,0">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29</w:t>
                    </w:r>
                    <w:r>
                      <w:rPr>
                        <w:spacing w:val="-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66112">
              <wp:simplePos x="0" y="0"/>
              <wp:positionH relativeFrom="page">
                <wp:posOffset>6718349</wp:posOffset>
              </wp:positionH>
              <wp:positionV relativeFrom="page">
                <wp:posOffset>9425942</wp:posOffset>
              </wp:positionV>
              <wp:extent cx="152400" cy="16637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152400" cy="166370"/>
                      </a:xfrm>
                      <a:prstGeom prst="rect">
                        <a:avLst/>
                      </a:prstGeom>
                    </wps:spPr>
                    <wps:txbx>
                      <w:txbxContent>
                        <w:p>
                          <w:pPr>
                            <w:spacing w:before="11"/>
                            <w:ind w:left="20" w:right="0" w:firstLine="0"/>
                            <w:jc w:val="left"/>
                            <w:rPr>
                              <w:sz w:val="20"/>
                            </w:rPr>
                          </w:pPr>
                          <w:r>
                            <w:rPr>
                              <w:spacing w:val="-5"/>
                              <w:sz w:val="20"/>
                            </w:rPr>
                            <w:t>32</w:t>
                          </w:r>
                        </w:p>
                      </w:txbxContent>
                    </wps:txbx>
                    <wps:bodyPr wrap="square" lIns="0" tIns="0" rIns="0" bIns="0" rtlCol="0">
                      <a:noAutofit/>
                    </wps:bodyPr>
                  </wps:wsp>
                </a:graphicData>
              </a:graphic>
            </wp:anchor>
          </w:drawing>
        </mc:Choice>
        <mc:Fallback>
          <w:pict>
            <v:shape style="position:absolute;margin-left:529.003906pt;margin-top:742.200195pt;width:12pt;height:13.1pt;mso-position-horizontal-relative:page;mso-position-vertical-relative:page;z-index:-19450368" type="#_x0000_t202" id="docshape7" filled="false" stroked="false">
              <v:textbox inset="0,0,0,0">
                <w:txbxContent>
                  <w:p>
                    <w:pPr>
                      <w:spacing w:before="11"/>
                      <w:ind w:left="20" w:right="0" w:firstLine="0"/>
                      <w:jc w:val="left"/>
                      <w:rPr>
                        <w:sz w:val="20"/>
                      </w:rPr>
                    </w:pPr>
                    <w:r>
                      <w:rPr>
                        <w:spacing w:val="-5"/>
                        <w:sz w:val="20"/>
                      </w:rPr>
                      <w:t>32</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5"/>
      </w:rPr>
    </w:pPr>
    <w:r>
      <w:rPr>
        <w:sz w:val="15"/>
      </w:rPr>
      <mc:AlternateContent>
        <mc:Choice Requires="wps">
          <w:drawing>
            <wp:anchor distT="0" distB="0" distL="0" distR="0" allowOverlap="1" layoutInCell="1" locked="0" behindDoc="1" simplePos="0" relativeHeight="483866624">
              <wp:simplePos x="0" y="0"/>
              <wp:positionH relativeFrom="page">
                <wp:posOffset>7000035</wp:posOffset>
              </wp:positionH>
              <wp:positionV relativeFrom="page">
                <wp:posOffset>9425942</wp:posOffset>
              </wp:positionV>
              <wp:extent cx="215900" cy="16637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215900" cy="166370"/>
                      </a:xfrm>
                      <a:prstGeom prst="rect">
                        <a:avLst/>
                      </a:prstGeom>
                    </wps:spPr>
                    <wps:txbx>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36</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51.183899pt;margin-top:742.200195pt;width:17pt;height:13.1pt;mso-position-horizontal-relative:page;mso-position-vertical-relative:page;z-index:-19449856" type="#_x0000_t202" id="docshape8" filled="false" stroked="false">
              <v:textbox inset="0,0,0,0">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36</w:t>
                    </w:r>
                    <w:r>
                      <w:rPr>
                        <w:spacing w:val="-5"/>
                        <w:sz w:val="20"/>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67136">
              <wp:simplePos x="0" y="0"/>
              <wp:positionH relativeFrom="page">
                <wp:posOffset>6718349</wp:posOffset>
              </wp:positionH>
              <wp:positionV relativeFrom="page">
                <wp:posOffset>9425917</wp:posOffset>
              </wp:positionV>
              <wp:extent cx="152400" cy="16637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152400" cy="166370"/>
                      </a:xfrm>
                      <a:prstGeom prst="rect">
                        <a:avLst/>
                      </a:prstGeom>
                    </wps:spPr>
                    <wps:txbx>
                      <w:txbxContent>
                        <w:p>
                          <w:pPr>
                            <w:spacing w:before="11"/>
                            <w:ind w:left="20" w:right="0" w:firstLine="0"/>
                            <w:jc w:val="left"/>
                            <w:rPr>
                              <w:sz w:val="20"/>
                            </w:rPr>
                          </w:pPr>
                          <w:r>
                            <w:rPr>
                              <w:spacing w:val="-5"/>
                              <w:sz w:val="20"/>
                            </w:rPr>
                            <w:t>44</w:t>
                          </w:r>
                        </w:p>
                      </w:txbxContent>
                    </wps:txbx>
                    <wps:bodyPr wrap="square" lIns="0" tIns="0" rIns="0" bIns="0" rtlCol="0">
                      <a:noAutofit/>
                    </wps:bodyPr>
                  </wps:wsp>
                </a:graphicData>
              </a:graphic>
            </wp:anchor>
          </w:drawing>
        </mc:Choice>
        <mc:Fallback>
          <w:pict>
            <v:shape style="position:absolute;margin-left:529.003906pt;margin-top:742.198242pt;width:12pt;height:13.1pt;mso-position-horizontal-relative:page;mso-position-vertical-relative:page;z-index:-19449344" type="#_x0000_t202" id="docshape9" filled="false" stroked="false">
              <v:textbox inset="0,0,0,0">
                <w:txbxContent>
                  <w:p>
                    <w:pPr>
                      <w:spacing w:before="11"/>
                      <w:ind w:left="20" w:right="0" w:firstLine="0"/>
                      <w:jc w:val="left"/>
                      <w:rPr>
                        <w:sz w:val="20"/>
                      </w:rPr>
                    </w:pPr>
                    <w:r>
                      <w:rPr>
                        <w:spacing w:val="-5"/>
                        <w:sz w:val="20"/>
                      </w:rPr>
                      <w:t>44</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5"/>
      </w:rPr>
    </w:pPr>
    <w:r>
      <w:rPr>
        <w:sz w:val="15"/>
      </w:rPr>
      <mc:AlternateContent>
        <mc:Choice Requires="wps">
          <w:drawing>
            <wp:anchor distT="0" distB="0" distL="0" distR="0" allowOverlap="1" layoutInCell="1" locked="0" behindDoc="1" simplePos="0" relativeHeight="483867648">
              <wp:simplePos x="0" y="0"/>
              <wp:positionH relativeFrom="page">
                <wp:posOffset>7000035</wp:posOffset>
              </wp:positionH>
              <wp:positionV relativeFrom="page">
                <wp:posOffset>9425917</wp:posOffset>
              </wp:positionV>
              <wp:extent cx="215900" cy="16637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15900" cy="166370"/>
                      </a:xfrm>
                      <a:prstGeom prst="rect">
                        <a:avLst/>
                      </a:prstGeom>
                    </wps:spPr>
                    <wps:txbx>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50</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51.183899pt;margin-top:742.198242pt;width:17pt;height:13.1pt;mso-position-horizontal-relative:page;mso-position-vertical-relative:page;z-index:-19448832" type="#_x0000_t202" id="docshape10" filled="false" stroked="false">
              <v:textbox inset="0,0,0,0">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50</w:t>
                    </w:r>
                    <w:r>
                      <w:rPr>
                        <w:spacing w:val="-5"/>
                        <w:sz w:val="20"/>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68160">
              <wp:simplePos x="0" y="0"/>
              <wp:positionH relativeFrom="page">
                <wp:posOffset>6718349</wp:posOffset>
              </wp:positionH>
              <wp:positionV relativeFrom="page">
                <wp:posOffset>9425917</wp:posOffset>
              </wp:positionV>
              <wp:extent cx="152400" cy="16637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152400" cy="166370"/>
                      </a:xfrm>
                      <a:prstGeom prst="rect">
                        <a:avLst/>
                      </a:prstGeom>
                    </wps:spPr>
                    <wps:txbx>
                      <w:txbxContent>
                        <w:p>
                          <w:pPr>
                            <w:spacing w:before="11"/>
                            <w:ind w:left="20" w:right="0" w:firstLine="0"/>
                            <w:jc w:val="left"/>
                            <w:rPr>
                              <w:sz w:val="20"/>
                            </w:rPr>
                          </w:pPr>
                          <w:r>
                            <w:rPr>
                              <w:spacing w:val="-5"/>
                              <w:sz w:val="20"/>
                            </w:rPr>
                            <w:t>78</w:t>
                          </w:r>
                        </w:p>
                      </w:txbxContent>
                    </wps:txbx>
                    <wps:bodyPr wrap="square" lIns="0" tIns="0" rIns="0" bIns="0" rtlCol="0">
                      <a:noAutofit/>
                    </wps:bodyPr>
                  </wps:wsp>
                </a:graphicData>
              </a:graphic>
            </wp:anchor>
          </w:drawing>
        </mc:Choice>
        <mc:Fallback>
          <w:pict>
            <v:shape style="position:absolute;margin-left:529.003906pt;margin-top:742.198242pt;width:12pt;height:13.1pt;mso-position-horizontal-relative:page;mso-position-vertical-relative:page;z-index:-19448320" type="#_x0000_t202" id="docshape11" filled="false" stroked="false">
              <v:textbox inset="0,0,0,0">
                <w:txbxContent>
                  <w:p>
                    <w:pPr>
                      <w:spacing w:before="11"/>
                      <w:ind w:left="20" w:right="0" w:firstLine="0"/>
                      <w:jc w:val="left"/>
                      <w:rPr>
                        <w:sz w:val="20"/>
                      </w:rPr>
                    </w:pPr>
                    <w:r>
                      <w:rPr>
                        <w:spacing w:val="-5"/>
                        <w:sz w:val="20"/>
                      </w:rPr>
                      <w:t>78</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5"/>
      </w:rPr>
    </w:pPr>
    <w:r>
      <w:rPr>
        <w:sz w:val="15"/>
      </w:rPr>
      <mc:AlternateContent>
        <mc:Choice Requires="wps">
          <w:drawing>
            <wp:anchor distT="0" distB="0" distL="0" distR="0" allowOverlap="1" layoutInCell="1" locked="0" behindDoc="1" simplePos="0" relativeHeight="483868672">
              <wp:simplePos x="0" y="0"/>
              <wp:positionH relativeFrom="page">
                <wp:posOffset>6911652</wp:posOffset>
              </wp:positionH>
              <wp:positionV relativeFrom="page">
                <wp:posOffset>9425917</wp:posOffset>
              </wp:positionV>
              <wp:extent cx="254000" cy="16637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254000" cy="166370"/>
                      </a:xfrm>
                      <a:prstGeom prst="rect">
                        <a:avLst/>
                      </a:prstGeom>
                    </wps:spPr>
                    <wps:txbx>
                      <w:txbxContent>
                        <w:p>
                          <w:pPr>
                            <w:spacing w:before="11"/>
                            <w:ind w:left="2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100</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44.224609pt;margin-top:742.198242pt;width:20pt;height:13.1pt;mso-position-horizontal-relative:page;mso-position-vertical-relative:page;z-index:-19447808" type="#_x0000_t202" id="docshape12" filled="false" stroked="false">
              <v:textbox inset="0,0,0,0">
                <w:txbxContent>
                  <w:p>
                    <w:pPr>
                      <w:spacing w:before="11"/>
                      <w:ind w:left="2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100</w:t>
                    </w:r>
                    <w:r>
                      <w:rPr>
                        <w:spacing w:val="-5"/>
                        <w:sz w:val="20"/>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69184">
              <wp:simplePos x="0" y="0"/>
              <wp:positionH relativeFrom="page">
                <wp:posOffset>6654874</wp:posOffset>
              </wp:positionH>
              <wp:positionV relativeFrom="page">
                <wp:posOffset>9425917</wp:posOffset>
              </wp:positionV>
              <wp:extent cx="215900" cy="16637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215900" cy="166370"/>
                      </a:xfrm>
                      <a:prstGeom prst="rect">
                        <a:avLst/>
                      </a:prstGeom>
                    </wps:spPr>
                    <wps:txbx>
                      <w:txbxContent>
                        <w:p>
                          <w:pPr>
                            <w:spacing w:before="11"/>
                            <w:ind w:left="20" w:right="0" w:firstLine="0"/>
                            <w:jc w:val="left"/>
                            <w:rPr>
                              <w:sz w:val="20"/>
                            </w:rPr>
                          </w:pPr>
                          <w:r>
                            <w:rPr>
                              <w:spacing w:val="-5"/>
                              <w:sz w:val="20"/>
                            </w:rPr>
                            <w:t>105</w:t>
                          </w:r>
                        </w:p>
                      </w:txbxContent>
                    </wps:txbx>
                    <wps:bodyPr wrap="square" lIns="0" tIns="0" rIns="0" bIns="0" rtlCol="0">
                      <a:noAutofit/>
                    </wps:bodyPr>
                  </wps:wsp>
                </a:graphicData>
              </a:graphic>
            </wp:anchor>
          </w:drawing>
        </mc:Choice>
        <mc:Fallback>
          <w:pict>
            <v:shape style="position:absolute;margin-left:524.005859pt;margin-top:742.198242pt;width:17pt;height:13.1pt;mso-position-horizontal-relative:page;mso-position-vertical-relative:page;z-index:-19447296" type="#_x0000_t202" id="docshape16" filled="false" stroked="false">
              <v:textbox inset="0,0,0,0">
                <w:txbxContent>
                  <w:p>
                    <w:pPr>
                      <w:spacing w:before="11"/>
                      <w:ind w:left="20" w:right="0" w:firstLine="0"/>
                      <w:jc w:val="left"/>
                      <w:rPr>
                        <w:sz w:val="20"/>
                      </w:rPr>
                    </w:pPr>
                    <w:r>
                      <w:rPr>
                        <w:spacing w:val="-5"/>
                        <w:sz w:val="20"/>
                      </w:rPr>
                      <w:t>105</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69696">
              <wp:simplePos x="0" y="0"/>
              <wp:positionH relativeFrom="page">
                <wp:posOffset>6886252</wp:posOffset>
              </wp:positionH>
              <wp:positionV relativeFrom="page">
                <wp:posOffset>9425917</wp:posOffset>
              </wp:positionV>
              <wp:extent cx="279400" cy="16637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279400" cy="166370"/>
                      </a:xfrm>
                      <a:prstGeom prst="rect">
                        <a:avLst/>
                      </a:prstGeom>
                    </wps:spPr>
                    <wps:txbx>
                      <w:txbxContent>
                        <w:p>
                          <w:pPr>
                            <w:spacing w:before="11"/>
                            <w:ind w:left="67"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115</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42.224609pt;margin-top:742.198242pt;width:22pt;height:13.1pt;mso-position-horizontal-relative:page;mso-position-vertical-relative:page;z-index:-19446784" type="#_x0000_t202" id="docshape17" filled="false" stroked="false">
              <v:textbox inset="0,0,0,0">
                <w:txbxContent>
                  <w:p>
                    <w:pPr>
                      <w:spacing w:before="11"/>
                      <w:ind w:left="67"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115</w:t>
                    </w:r>
                    <w:r>
                      <w:rPr>
                        <w:spacing w:val="-5"/>
                        <w:sz w:val="20"/>
                      </w:rPr>
                      <w:fldChar w:fldCharType="end"/>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70208">
              <wp:simplePos x="0" y="0"/>
              <wp:positionH relativeFrom="page">
                <wp:posOffset>6659587</wp:posOffset>
              </wp:positionH>
              <wp:positionV relativeFrom="page">
                <wp:posOffset>9425917</wp:posOffset>
              </wp:positionV>
              <wp:extent cx="211454" cy="16637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211454" cy="166370"/>
                      </a:xfrm>
                      <a:prstGeom prst="rect">
                        <a:avLst/>
                      </a:prstGeom>
                    </wps:spPr>
                    <wps:txbx>
                      <w:txbxContent>
                        <w:p>
                          <w:pPr>
                            <w:spacing w:before="11"/>
                            <w:ind w:left="20" w:right="0" w:firstLine="0"/>
                            <w:jc w:val="left"/>
                            <w:rPr>
                              <w:sz w:val="20"/>
                            </w:rPr>
                          </w:pPr>
                          <w:r>
                            <w:rPr>
                              <w:spacing w:val="-5"/>
                              <w:sz w:val="20"/>
                            </w:rPr>
                            <w:t>117</w:t>
                          </w:r>
                        </w:p>
                      </w:txbxContent>
                    </wps:txbx>
                    <wps:bodyPr wrap="square" lIns="0" tIns="0" rIns="0" bIns="0" rtlCol="0">
                      <a:noAutofit/>
                    </wps:bodyPr>
                  </wps:wsp>
                </a:graphicData>
              </a:graphic>
            </wp:anchor>
          </w:drawing>
        </mc:Choice>
        <mc:Fallback>
          <w:pict>
            <v:shape style="position:absolute;margin-left:524.376953pt;margin-top:742.198242pt;width:16.650pt;height:13.1pt;mso-position-horizontal-relative:page;mso-position-vertical-relative:page;z-index:-19446272" type="#_x0000_t202" id="docshape18" filled="false" stroked="false">
              <v:textbox inset="0,0,0,0">
                <w:txbxContent>
                  <w:p>
                    <w:pPr>
                      <w:spacing w:before="11"/>
                      <w:ind w:left="20" w:right="0" w:firstLine="0"/>
                      <w:jc w:val="left"/>
                      <w:rPr>
                        <w:sz w:val="20"/>
                      </w:rPr>
                    </w:pPr>
                    <w:r>
                      <w:rPr>
                        <w:spacing w:val="-5"/>
                        <w:sz w:val="20"/>
                      </w:rPr>
                      <w:t>117</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70720">
              <wp:simplePos x="0" y="0"/>
              <wp:positionH relativeFrom="page">
                <wp:posOffset>6890965</wp:posOffset>
              </wp:positionH>
              <wp:positionV relativeFrom="page">
                <wp:posOffset>9425917</wp:posOffset>
              </wp:positionV>
              <wp:extent cx="274955" cy="166370"/>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274955" cy="166370"/>
                      </a:xfrm>
                      <a:prstGeom prst="rect">
                        <a:avLst/>
                      </a:prstGeom>
                    </wps:spPr>
                    <wps:txbx>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118</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42.595703pt;margin-top:742.198242pt;width:21.65pt;height:13.1pt;mso-position-horizontal-relative:page;mso-position-vertical-relative:page;z-index:-19445760" type="#_x0000_t202" id="docshape19" filled="false" stroked="false">
              <v:textbox inset="0,0,0,0">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118</w:t>
                    </w:r>
                    <w:r>
                      <w:rPr>
                        <w:spacing w:val="-5"/>
                        <w:sz w:val="20"/>
                      </w:rPr>
                      <w:fldChar w:fldCharType="end"/>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71232">
              <wp:simplePos x="0" y="0"/>
              <wp:positionH relativeFrom="page">
                <wp:posOffset>7143827</wp:posOffset>
              </wp:positionH>
              <wp:positionV relativeFrom="page">
                <wp:posOffset>9426016</wp:posOffset>
              </wp:positionV>
              <wp:extent cx="279400" cy="16637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279400" cy="166370"/>
                      </a:xfrm>
                      <a:prstGeom prst="rect">
                        <a:avLst/>
                      </a:prstGeom>
                    </wps:spPr>
                    <wps:txbx>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126</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62.506104pt;margin-top:742.206055pt;width:22pt;height:13.1pt;mso-position-horizontal-relative:page;mso-position-vertical-relative:page;z-index:-19445248" type="#_x0000_t202" id="docshape20" filled="false" stroked="false">
              <v:textbox inset="0,0,0,0">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126</w:t>
                    </w:r>
                    <w:r>
                      <w:rPr>
                        <w:spacing w:val="-5"/>
                        <w:sz w:val="20"/>
                      </w:rPr>
                      <w:fldChar w:fldCharType="end"/>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71744">
              <wp:simplePos x="0" y="0"/>
              <wp:positionH relativeFrom="page">
                <wp:posOffset>6654874</wp:posOffset>
              </wp:positionH>
              <wp:positionV relativeFrom="page">
                <wp:posOffset>9426016</wp:posOffset>
              </wp:positionV>
              <wp:extent cx="215900" cy="16637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215900" cy="166370"/>
                      </a:xfrm>
                      <a:prstGeom prst="rect">
                        <a:avLst/>
                      </a:prstGeom>
                    </wps:spPr>
                    <wps:txbx>
                      <w:txbxContent>
                        <w:p>
                          <w:pPr>
                            <w:spacing w:before="11"/>
                            <w:ind w:left="20" w:right="0" w:firstLine="0"/>
                            <w:jc w:val="left"/>
                            <w:rPr>
                              <w:sz w:val="20"/>
                            </w:rPr>
                          </w:pPr>
                          <w:r>
                            <w:rPr>
                              <w:spacing w:val="-5"/>
                              <w:sz w:val="20"/>
                            </w:rPr>
                            <w:t>129</w:t>
                          </w:r>
                        </w:p>
                      </w:txbxContent>
                    </wps:txbx>
                    <wps:bodyPr wrap="square" lIns="0" tIns="0" rIns="0" bIns="0" rtlCol="0">
                      <a:noAutofit/>
                    </wps:bodyPr>
                  </wps:wsp>
                </a:graphicData>
              </a:graphic>
            </wp:anchor>
          </w:drawing>
        </mc:Choice>
        <mc:Fallback>
          <w:pict>
            <v:shape style="position:absolute;margin-left:524.005859pt;margin-top:742.206055pt;width:17pt;height:13.1pt;mso-position-horizontal-relative:page;mso-position-vertical-relative:page;z-index:-19444736" type="#_x0000_t202" id="docshape21" filled="false" stroked="false">
              <v:textbox inset="0,0,0,0">
                <w:txbxContent>
                  <w:p>
                    <w:pPr>
                      <w:spacing w:before="11"/>
                      <w:ind w:left="20" w:right="0" w:firstLine="0"/>
                      <w:jc w:val="left"/>
                      <w:rPr>
                        <w:sz w:val="20"/>
                      </w:rPr>
                    </w:pPr>
                    <w:r>
                      <w:rPr>
                        <w:spacing w:val="-5"/>
                        <w:sz w:val="20"/>
                      </w:rPr>
                      <w:t>129</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9"/>
      </w:rPr>
    </w:pPr>
    <w:r>
      <w:rPr>
        <w:sz w:val="19"/>
      </w:rPr>
      <mc:AlternateContent>
        <mc:Choice Requires="wps">
          <w:drawing>
            <wp:anchor distT="0" distB="0" distL="0" distR="0" allowOverlap="1" layoutInCell="1" locked="0" behindDoc="1" simplePos="0" relativeHeight="483872256">
              <wp:simplePos x="0" y="0"/>
              <wp:positionH relativeFrom="page">
                <wp:posOffset>7143827</wp:posOffset>
              </wp:positionH>
              <wp:positionV relativeFrom="page">
                <wp:posOffset>9426016</wp:posOffset>
              </wp:positionV>
              <wp:extent cx="279400" cy="166370"/>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279400" cy="166370"/>
                      </a:xfrm>
                      <a:prstGeom prst="rect">
                        <a:avLst/>
                      </a:prstGeom>
                    </wps:spPr>
                    <wps:txbx>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132</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62.506104pt;margin-top:742.206055pt;width:22pt;height:13.1pt;mso-position-horizontal-relative:page;mso-position-vertical-relative:page;z-index:-19444224" type="#_x0000_t202" id="docshape22" filled="false" stroked="false">
              <v:textbox inset="0,0,0,0">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132</w:t>
                    </w:r>
                    <w:r>
                      <w:rPr>
                        <w:spacing w:val="-5"/>
                        <w:sz w:val="20"/>
                      </w:rPr>
                      <w:fldChar w:fldCharType="end"/>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72768">
              <wp:simplePos x="0" y="0"/>
              <wp:positionH relativeFrom="page">
                <wp:posOffset>6629474</wp:posOffset>
              </wp:positionH>
              <wp:positionV relativeFrom="page">
                <wp:posOffset>9426016</wp:posOffset>
              </wp:positionV>
              <wp:extent cx="279400" cy="16637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279400" cy="166370"/>
                      </a:xfrm>
                      <a:prstGeom prst="rect">
                        <a:avLst/>
                      </a:prstGeom>
                    </wps:spPr>
                    <wps:txbx>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177</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22.005859pt;margin-top:742.206055pt;width:22pt;height:13.1pt;mso-position-horizontal-relative:page;mso-position-vertical-relative:page;z-index:-19443712" type="#_x0000_t202" id="docshape23" filled="false" stroked="false">
              <v:textbox inset="0,0,0,0">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177</w:t>
                    </w:r>
                    <w:r>
                      <w:rPr>
                        <w:spacing w:val="-5"/>
                        <w:sz w:val="20"/>
                      </w:rPr>
                      <w:fldChar w:fldCharType="end"/>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73280">
              <wp:simplePos x="0" y="0"/>
              <wp:positionH relativeFrom="page">
                <wp:posOffset>7391624</wp:posOffset>
              </wp:positionH>
              <wp:positionV relativeFrom="page">
                <wp:posOffset>9426016</wp:posOffset>
              </wp:positionV>
              <wp:extent cx="279400" cy="16637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279400" cy="166370"/>
                      </a:xfrm>
                      <a:prstGeom prst="rect">
                        <a:avLst/>
                      </a:prstGeom>
                    </wps:spPr>
                    <wps:txbx>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178</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82.0177pt;margin-top:742.206055pt;width:22pt;height:13.1pt;mso-position-horizontal-relative:page;mso-position-vertical-relative:page;z-index:-19443200" type="#_x0000_t202" id="docshape25" filled="false" stroked="false">
              <v:textbox inset="0,0,0,0">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178</w:t>
                    </w:r>
                    <w:r>
                      <w:rPr>
                        <w:spacing w:val="-5"/>
                        <w:sz w:val="20"/>
                      </w:rPr>
                      <w:fldChar w:fldCharType="end"/>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73792">
              <wp:simplePos x="0" y="0"/>
              <wp:positionH relativeFrom="page">
                <wp:posOffset>6654874</wp:posOffset>
              </wp:positionH>
              <wp:positionV relativeFrom="page">
                <wp:posOffset>9426016</wp:posOffset>
              </wp:positionV>
              <wp:extent cx="215900" cy="16637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215900" cy="166370"/>
                      </a:xfrm>
                      <a:prstGeom prst="rect">
                        <a:avLst/>
                      </a:prstGeom>
                    </wps:spPr>
                    <wps:txbx>
                      <w:txbxContent>
                        <w:p>
                          <w:pPr>
                            <w:spacing w:before="11"/>
                            <w:ind w:left="20" w:right="0" w:firstLine="0"/>
                            <w:jc w:val="left"/>
                            <w:rPr>
                              <w:sz w:val="20"/>
                            </w:rPr>
                          </w:pPr>
                          <w:r>
                            <w:rPr>
                              <w:spacing w:val="-5"/>
                              <w:sz w:val="20"/>
                            </w:rPr>
                            <w:t>187</w:t>
                          </w:r>
                        </w:p>
                      </w:txbxContent>
                    </wps:txbx>
                    <wps:bodyPr wrap="square" lIns="0" tIns="0" rIns="0" bIns="0" rtlCol="0">
                      <a:noAutofit/>
                    </wps:bodyPr>
                  </wps:wsp>
                </a:graphicData>
              </a:graphic>
            </wp:anchor>
          </w:drawing>
        </mc:Choice>
        <mc:Fallback>
          <w:pict>
            <v:shape style="position:absolute;margin-left:524.005859pt;margin-top:742.206055pt;width:17pt;height:13.1pt;mso-position-horizontal-relative:page;mso-position-vertical-relative:page;z-index:-19442688" type="#_x0000_t202" id="docshape26" filled="false" stroked="false">
              <v:textbox inset="0,0,0,0">
                <w:txbxContent>
                  <w:p>
                    <w:pPr>
                      <w:spacing w:before="11"/>
                      <w:ind w:left="20" w:right="0" w:firstLine="0"/>
                      <w:jc w:val="left"/>
                      <w:rPr>
                        <w:sz w:val="20"/>
                      </w:rPr>
                    </w:pPr>
                    <w:r>
                      <w:rPr>
                        <w:spacing w:val="-5"/>
                        <w:sz w:val="20"/>
                      </w:rPr>
                      <w:t>187</w:t>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5"/>
      </w:rPr>
    </w:pPr>
    <w:r>
      <w:rPr>
        <w:sz w:val="15"/>
      </w:rPr>
      <mc:AlternateContent>
        <mc:Choice Requires="wps">
          <w:drawing>
            <wp:anchor distT="0" distB="0" distL="0" distR="0" allowOverlap="1" layoutInCell="1" locked="0" behindDoc="1" simplePos="0" relativeHeight="483874304">
              <wp:simplePos x="0" y="0"/>
              <wp:positionH relativeFrom="page">
                <wp:posOffset>7391624</wp:posOffset>
              </wp:positionH>
              <wp:positionV relativeFrom="page">
                <wp:posOffset>9426016</wp:posOffset>
              </wp:positionV>
              <wp:extent cx="279400" cy="16637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279400" cy="166370"/>
                      </a:xfrm>
                      <a:prstGeom prst="rect">
                        <a:avLst/>
                      </a:prstGeom>
                    </wps:spPr>
                    <wps:txbx>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214</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82.0177pt;margin-top:742.206055pt;width:22pt;height:13.1pt;mso-position-horizontal-relative:page;mso-position-vertical-relative:page;z-index:-19442176" type="#_x0000_t202" id="docshape27" filled="false" stroked="false">
              <v:textbox inset="0,0,0,0">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214</w:t>
                    </w:r>
                    <w:r>
                      <w:rPr>
                        <w:spacing w:val="-5"/>
                        <w:sz w:val="20"/>
                      </w:rPr>
                      <w:fldChar w:fldCharType="end"/>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3874816">
              <wp:simplePos x="0" y="0"/>
              <wp:positionH relativeFrom="page">
                <wp:posOffset>6654874</wp:posOffset>
              </wp:positionH>
              <wp:positionV relativeFrom="page">
                <wp:posOffset>9426016</wp:posOffset>
              </wp:positionV>
              <wp:extent cx="215900" cy="166370"/>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215900" cy="166370"/>
                      </a:xfrm>
                      <a:prstGeom prst="rect">
                        <a:avLst/>
                      </a:prstGeom>
                    </wps:spPr>
                    <wps:txbx>
                      <w:txbxContent>
                        <w:p>
                          <w:pPr>
                            <w:spacing w:before="11"/>
                            <w:ind w:left="20" w:right="0" w:firstLine="0"/>
                            <w:jc w:val="left"/>
                            <w:rPr>
                              <w:sz w:val="20"/>
                            </w:rPr>
                          </w:pPr>
                          <w:r>
                            <w:rPr>
                              <w:spacing w:val="-5"/>
                              <w:sz w:val="20"/>
                            </w:rPr>
                            <w:t>225</w:t>
                          </w:r>
                        </w:p>
                      </w:txbxContent>
                    </wps:txbx>
                    <wps:bodyPr wrap="square" lIns="0" tIns="0" rIns="0" bIns="0" rtlCol="0">
                      <a:noAutofit/>
                    </wps:bodyPr>
                  </wps:wsp>
                </a:graphicData>
              </a:graphic>
            </wp:anchor>
          </w:drawing>
        </mc:Choice>
        <mc:Fallback>
          <w:pict>
            <v:shape style="position:absolute;margin-left:524.005859pt;margin-top:742.206055pt;width:17pt;height:13.1pt;mso-position-horizontal-relative:page;mso-position-vertical-relative:page;z-index:-19441664" type="#_x0000_t202" id="docshape30" filled="false" stroked="false">
              <v:textbox inset="0,0,0,0">
                <w:txbxContent>
                  <w:p>
                    <w:pPr>
                      <w:spacing w:before="11"/>
                      <w:ind w:left="20" w:right="0" w:firstLine="0"/>
                      <w:jc w:val="left"/>
                      <w:rPr>
                        <w:sz w:val="20"/>
                      </w:rPr>
                    </w:pPr>
                    <w:r>
                      <w:rPr>
                        <w:spacing w:val="-5"/>
                        <w:sz w:val="20"/>
                      </w:rPr>
                      <w:t>225</w:t>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8"/>
      </w:rPr>
    </w:pPr>
    <w:r>
      <w:rPr>
        <w:sz w:val="18"/>
      </w:rPr>
      <mc:AlternateContent>
        <mc:Choice Requires="wps">
          <w:drawing>
            <wp:anchor distT="0" distB="0" distL="0" distR="0" allowOverlap="1" layoutInCell="1" locked="0" behindDoc="1" simplePos="0" relativeHeight="483875328">
              <wp:simplePos x="0" y="0"/>
              <wp:positionH relativeFrom="page">
                <wp:posOffset>7391624</wp:posOffset>
              </wp:positionH>
              <wp:positionV relativeFrom="page">
                <wp:posOffset>9426016</wp:posOffset>
              </wp:positionV>
              <wp:extent cx="279400" cy="166370"/>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279400" cy="166370"/>
                      </a:xfrm>
                      <a:prstGeom prst="rect">
                        <a:avLst/>
                      </a:prstGeom>
                    </wps:spPr>
                    <wps:txbx>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229</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82.0177pt;margin-top:742.206055pt;width:22pt;height:13.1pt;mso-position-horizontal-relative:page;mso-position-vertical-relative:page;z-index:-19441152" type="#_x0000_t202" id="docshape31" filled="false" stroked="false">
              <v:textbox inset="0,0,0,0">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229</w:t>
                    </w:r>
                    <w:r>
                      <w:rPr>
                        <w:spacing w:val="-5"/>
                        <w:sz w:val="20"/>
                      </w:rPr>
                      <w:fldChar w:fldCharType="end"/>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6"/>
      </w:rPr>
    </w:pPr>
    <w:r>
      <w:rPr>
        <w:sz w:val="16"/>
      </w:rPr>
      <mc:AlternateContent>
        <mc:Choice Requires="wps">
          <w:drawing>
            <wp:anchor distT="0" distB="0" distL="0" distR="0" allowOverlap="1" layoutInCell="1" locked="0" behindDoc="1" simplePos="0" relativeHeight="483875840">
              <wp:simplePos x="0" y="0"/>
              <wp:positionH relativeFrom="page">
                <wp:posOffset>6629474</wp:posOffset>
              </wp:positionH>
              <wp:positionV relativeFrom="page">
                <wp:posOffset>9426016</wp:posOffset>
              </wp:positionV>
              <wp:extent cx="316230" cy="166370"/>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316230" cy="166370"/>
                      </a:xfrm>
                      <a:prstGeom prst="rect">
                        <a:avLst/>
                      </a:prstGeom>
                    </wps:spPr>
                    <wps:txbx>
                      <w:txbxContent>
                        <w:p>
                          <w:pPr>
                            <w:spacing w:before="11"/>
                            <w:ind w:left="178"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252</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522.005859pt;margin-top:742.206055pt;width:24.9pt;height:13.1pt;mso-position-horizontal-relative:page;mso-position-vertical-relative:page;z-index:-19440640" type="#_x0000_t202" id="docshape32" filled="false" stroked="false">
              <v:textbox inset="0,0,0,0">
                <w:txbxContent>
                  <w:p>
                    <w:pPr>
                      <w:spacing w:before="11"/>
                      <w:ind w:left="178"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252</w:t>
                    </w:r>
                    <w:r>
                      <w:rPr>
                        <w:spacing w:val="-5"/>
                        <w:sz w:val="2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
    <w:multiLevelType w:val="hybridMultilevel"/>
    <w:lvl w:ilvl="0">
      <w:start w:val="2"/>
      <w:numFmt w:val="decimal"/>
      <w:lvlText w:val="%1"/>
      <w:lvlJc w:val="left"/>
      <w:pPr>
        <w:ind w:left="532" w:hanging="18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1.%2"/>
      <w:lvlJc w:val="left"/>
      <w:pPr>
        <w:ind w:left="71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1920" w:hanging="360"/>
      </w:pPr>
      <w:rPr>
        <w:rFonts w:hint="default"/>
        <w:lang w:val="en-US" w:eastAsia="en-US" w:bidi="ar-SA"/>
      </w:rPr>
    </w:lvl>
    <w:lvl w:ilvl="3">
      <w:start w:val="0"/>
      <w:numFmt w:val="bullet"/>
      <w:lvlText w:val="•"/>
      <w:lvlJc w:val="left"/>
      <w:pPr>
        <w:ind w:left="3120" w:hanging="360"/>
      </w:pPr>
      <w:rPr>
        <w:rFonts w:hint="default"/>
        <w:lang w:val="en-US" w:eastAsia="en-US" w:bidi="ar-SA"/>
      </w:rPr>
    </w:lvl>
    <w:lvl w:ilvl="4">
      <w:start w:val="0"/>
      <w:numFmt w:val="bullet"/>
      <w:lvlText w:val="•"/>
      <w:lvlJc w:val="left"/>
      <w:pPr>
        <w:ind w:left="4320" w:hanging="360"/>
      </w:pPr>
      <w:rPr>
        <w:rFonts w:hint="default"/>
        <w:lang w:val="en-US" w:eastAsia="en-US" w:bidi="ar-SA"/>
      </w:rPr>
    </w:lvl>
    <w:lvl w:ilvl="5">
      <w:start w:val="0"/>
      <w:numFmt w:val="bullet"/>
      <w:lvlText w:val="•"/>
      <w:lvlJc w:val="left"/>
      <w:pPr>
        <w:ind w:left="5520" w:hanging="360"/>
      </w:pPr>
      <w:rPr>
        <w:rFonts w:hint="default"/>
        <w:lang w:val="en-US" w:eastAsia="en-US" w:bidi="ar-SA"/>
      </w:rPr>
    </w:lvl>
    <w:lvl w:ilvl="6">
      <w:start w:val="0"/>
      <w:numFmt w:val="bullet"/>
      <w:lvlText w:val="•"/>
      <w:lvlJc w:val="left"/>
      <w:pPr>
        <w:ind w:left="6720" w:hanging="360"/>
      </w:pPr>
      <w:rPr>
        <w:rFonts w:hint="default"/>
        <w:lang w:val="en-US" w:eastAsia="en-US" w:bidi="ar-SA"/>
      </w:rPr>
    </w:lvl>
    <w:lvl w:ilvl="7">
      <w:start w:val="0"/>
      <w:numFmt w:val="bullet"/>
      <w:lvlText w:val="•"/>
      <w:lvlJc w:val="left"/>
      <w:pPr>
        <w:ind w:left="7920" w:hanging="360"/>
      </w:pPr>
      <w:rPr>
        <w:rFonts w:hint="default"/>
        <w:lang w:val="en-US" w:eastAsia="en-US" w:bidi="ar-SA"/>
      </w:rPr>
    </w:lvl>
    <w:lvl w:ilvl="8">
      <w:start w:val="0"/>
      <w:numFmt w:val="bullet"/>
      <w:lvlText w:val="•"/>
      <w:lvlJc w:val="left"/>
      <w:pPr>
        <w:ind w:left="9120" w:hanging="360"/>
      </w:pPr>
      <w:rPr>
        <w:rFonts w:hint="default"/>
        <w:lang w:val="en-US" w:eastAsia="en-US" w:bidi="ar-SA"/>
      </w:rPr>
    </w:lvl>
  </w:abstractNum>
  <w:abstractNum w:abstractNumId="32">
    <w:multiLevelType w:val="hybridMultilevel"/>
    <w:lvl w:ilvl="0">
      <w:start w:val="0"/>
      <w:numFmt w:val="bullet"/>
      <w:lvlText w:val="●"/>
      <w:lvlJc w:val="left"/>
      <w:pPr>
        <w:ind w:left="1447" w:hanging="205"/>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448" w:hanging="205"/>
      </w:pPr>
      <w:rPr>
        <w:rFonts w:hint="default"/>
        <w:lang w:val="en-US" w:eastAsia="en-US" w:bidi="ar-SA"/>
      </w:rPr>
    </w:lvl>
    <w:lvl w:ilvl="2">
      <w:start w:val="0"/>
      <w:numFmt w:val="bullet"/>
      <w:lvlText w:val="•"/>
      <w:lvlJc w:val="left"/>
      <w:pPr>
        <w:ind w:left="3456" w:hanging="205"/>
      </w:pPr>
      <w:rPr>
        <w:rFonts w:hint="default"/>
        <w:lang w:val="en-US" w:eastAsia="en-US" w:bidi="ar-SA"/>
      </w:rPr>
    </w:lvl>
    <w:lvl w:ilvl="3">
      <w:start w:val="0"/>
      <w:numFmt w:val="bullet"/>
      <w:lvlText w:val="•"/>
      <w:lvlJc w:val="left"/>
      <w:pPr>
        <w:ind w:left="4464" w:hanging="205"/>
      </w:pPr>
      <w:rPr>
        <w:rFonts w:hint="default"/>
        <w:lang w:val="en-US" w:eastAsia="en-US" w:bidi="ar-SA"/>
      </w:rPr>
    </w:lvl>
    <w:lvl w:ilvl="4">
      <w:start w:val="0"/>
      <w:numFmt w:val="bullet"/>
      <w:lvlText w:val="•"/>
      <w:lvlJc w:val="left"/>
      <w:pPr>
        <w:ind w:left="5472" w:hanging="205"/>
      </w:pPr>
      <w:rPr>
        <w:rFonts w:hint="default"/>
        <w:lang w:val="en-US" w:eastAsia="en-US" w:bidi="ar-SA"/>
      </w:rPr>
    </w:lvl>
    <w:lvl w:ilvl="5">
      <w:start w:val="0"/>
      <w:numFmt w:val="bullet"/>
      <w:lvlText w:val="•"/>
      <w:lvlJc w:val="left"/>
      <w:pPr>
        <w:ind w:left="6480" w:hanging="205"/>
      </w:pPr>
      <w:rPr>
        <w:rFonts w:hint="default"/>
        <w:lang w:val="en-US" w:eastAsia="en-US" w:bidi="ar-SA"/>
      </w:rPr>
    </w:lvl>
    <w:lvl w:ilvl="6">
      <w:start w:val="0"/>
      <w:numFmt w:val="bullet"/>
      <w:lvlText w:val="•"/>
      <w:lvlJc w:val="left"/>
      <w:pPr>
        <w:ind w:left="7488" w:hanging="205"/>
      </w:pPr>
      <w:rPr>
        <w:rFonts w:hint="default"/>
        <w:lang w:val="en-US" w:eastAsia="en-US" w:bidi="ar-SA"/>
      </w:rPr>
    </w:lvl>
    <w:lvl w:ilvl="7">
      <w:start w:val="0"/>
      <w:numFmt w:val="bullet"/>
      <w:lvlText w:val="•"/>
      <w:lvlJc w:val="left"/>
      <w:pPr>
        <w:ind w:left="8496" w:hanging="205"/>
      </w:pPr>
      <w:rPr>
        <w:rFonts w:hint="default"/>
        <w:lang w:val="en-US" w:eastAsia="en-US" w:bidi="ar-SA"/>
      </w:rPr>
    </w:lvl>
    <w:lvl w:ilvl="8">
      <w:start w:val="0"/>
      <w:numFmt w:val="bullet"/>
      <w:lvlText w:val="•"/>
      <w:lvlJc w:val="left"/>
      <w:pPr>
        <w:ind w:left="9504" w:hanging="205"/>
      </w:pPr>
      <w:rPr>
        <w:rFonts w:hint="default"/>
        <w:lang w:val="en-US" w:eastAsia="en-US" w:bidi="ar-SA"/>
      </w:rPr>
    </w:lvl>
  </w:abstractNum>
  <w:abstractNum w:abstractNumId="31">
    <w:multiLevelType w:val="hybridMultilevel"/>
    <w:lvl w:ilvl="0">
      <w:start w:val="1"/>
      <w:numFmt w:val="decimal"/>
      <w:lvlText w:val="%1."/>
      <w:lvlJc w:val="left"/>
      <w:pPr>
        <w:ind w:left="727" w:hanging="30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800" w:hanging="300"/>
      </w:pPr>
      <w:rPr>
        <w:rFonts w:hint="default"/>
        <w:lang w:val="en-US" w:eastAsia="en-US" w:bidi="ar-SA"/>
      </w:rPr>
    </w:lvl>
    <w:lvl w:ilvl="2">
      <w:start w:val="0"/>
      <w:numFmt w:val="bullet"/>
      <w:lvlText w:val="•"/>
      <w:lvlJc w:val="left"/>
      <w:pPr>
        <w:ind w:left="2880" w:hanging="300"/>
      </w:pPr>
      <w:rPr>
        <w:rFonts w:hint="default"/>
        <w:lang w:val="en-US" w:eastAsia="en-US" w:bidi="ar-SA"/>
      </w:rPr>
    </w:lvl>
    <w:lvl w:ilvl="3">
      <w:start w:val="0"/>
      <w:numFmt w:val="bullet"/>
      <w:lvlText w:val="•"/>
      <w:lvlJc w:val="left"/>
      <w:pPr>
        <w:ind w:left="3960" w:hanging="300"/>
      </w:pPr>
      <w:rPr>
        <w:rFonts w:hint="default"/>
        <w:lang w:val="en-US" w:eastAsia="en-US" w:bidi="ar-SA"/>
      </w:rPr>
    </w:lvl>
    <w:lvl w:ilvl="4">
      <w:start w:val="0"/>
      <w:numFmt w:val="bullet"/>
      <w:lvlText w:val="•"/>
      <w:lvlJc w:val="left"/>
      <w:pPr>
        <w:ind w:left="5040" w:hanging="300"/>
      </w:pPr>
      <w:rPr>
        <w:rFonts w:hint="default"/>
        <w:lang w:val="en-US" w:eastAsia="en-US" w:bidi="ar-SA"/>
      </w:rPr>
    </w:lvl>
    <w:lvl w:ilvl="5">
      <w:start w:val="0"/>
      <w:numFmt w:val="bullet"/>
      <w:lvlText w:val="•"/>
      <w:lvlJc w:val="left"/>
      <w:pPr>
        <w:ind w:left="6120" w:hanging="300"/>
      </w:pPr>
      <w:rPr>
        <w:rFonts w:hint="default"/>
        <w:lang w:val="en-US" w:eastAsia="en-US" w:bidi="ar-SA"/>
      </w:rPr>
    </w:lvl>
    <w:lvl w:ilvl="6">
      <w:start w:val="0"/>
      <w:numFmt w:val="bullet"/>
      <w:lvlText w:val="•"/>
      <w:lvlJc w:val="left"/>
      <w:pPr>
        <w:ind w:left="7200" w:hanging="300"/>
      </w:pPr>
      <w:rPr>
        <w:rFonts w:hint="default"/>
        <w:lang w:val="en-US" w:eastAsia="en-US" w:bidi="ar-SA"/>
      </w:rPr>
    </w:lvl>
    <w:lvl w:ilvl="7">
      <w:start w:val="0"/>
      <w:numFmt w:val="bullet"/>
      <w:lvlText w:val="•"/>
      <w:lvlJc w:val="left"/>
      <w:pPr>
        <w:ind w:left="8280" w:hanging="300"/>
      </w:pPr>
      <w:rPr>
        <w:rFonts w:hint="default"/>
        <w:lang w:val="en-US" w:eastAsia="en-US" w:bidi="ar-SA"/>
      </w:rPr>
    </w:lvl>
    <w:lvl w:ilvl="8">
      <w:start w:val="0"/>
      <w:numFmt w:val="bullet"/>
      <w:lvlText w:val="•"/>
      <w:lvlJc w:val="left"/>
      <w:pPr>
        <w:ind w:left="9360" w:hanging="300"/>
      </w:pPr>
      <w:rPr>
        <w:rFonts w:hint="default"/>
        <w:lang w:val="en-US" w:eastAsia="en-US" w:bidi="ar-SA"/>
      </w:rPr>
    </w:lvl>
  </w:abstractNum>
  <w:abstractNum w:abstractNumId="30">
    <w:multiLevelType w:val="hybridMultilevel"/>
    <w:lvl w:ilvl="0">
      <w:start w:val="1"/>
      <w:numFmt w:val="decimal"/>
      <w:lvlText w:val="%1."/>
      <w:lvlJc w:val="left"/>
      <w:pPr>
        <w:ind w:left="960"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720" w:hanging="300"/>
      </w:pPr>
      <w:rPr>
        <w:rFonts w:hint="default" w:ascii="MS PGothic" w:hAnsi="MS PGothic" w:eastAsia="MS PGothic" w:cs="MS PGothic"/>
        <w:b w:val="0"/>
        <w:bCs w:val="0"/>
        <w:i w:val="0"/>
        <w:iCs w:val="0"/>
        <w:spacing w:val="0"/>
        <w:w w:val="100"/>
        <w:sz w:val="24"/>
        <w:szCs w:val="24"/>
        <w:lang w:val="en-US" w:eastAsia="en-US" w:bidi="ar-SA"/>
      </w:rPr>
    </w:lvl>
    <w:lvl w:ilvl="2">
      <w:start w:val="0"/>
      <w:numFmt w:val="bullet"/>
      <w:lvlText w:val="•"/>
      <w:lvlJc w:val="left"/>
      <w:pPr>
        <w:ind w:left="1020" w:hanging="300"/>
      </w:pPr>
      <w:rPr>
        <w:rFonts w:hint="default"/>
        <w:lang w:val="en-US" w:eastAsia="en-US" w:bidi="ar-SA"/>
      </w:rPr>
    </w:lvl>
    <w:lvl w:ilvl="3">
      <w:start w:val="0"/>
      <w:numFmt w:val="bullet"/>
      <w:lvlText w:val="•"/>
      <w:lvlJc w:val="left"/>
      <w:pPr>
        <w:ind w:left="2332" w:hanging="300"/>
      </w:pPr>
      <w:rPr>
        <w:rFonts w:hint="default"/>
        <w:lang w:val="en-US" w:eastAsia="en-US" w:bidi="ar-SA"/>
      </w:rPr>
    </w:lvl>
    <w:lvl w:ilvl="4">
      <w:start w:val="0"/>
      <w:numFmt w:val="bullet"/>
      <w:lvlText w:val="•"/>
      <w:lvlJc w:val="left"/>
      <w:pPr>
        <w:ind w:left="3645" w:hanging="300"/>
      </w:pPr>
      <w:rPr>
        <w:rFonts w:hint="default"/>
        <w:lang w:val="en-US" w:eastAsia="en-US" w:bidi="ar-SA"/>
      </w:rPr>
    </w:lvl>
    <w:lvl w:ilvl="5">
      <w:start w:val="0"/>
      <w:numFmt w:val="bullet"/>
      <w:lvlText w:val="•"/>
      <w:lvlJc w:val="left"/>
      <w:pPr>
        <w:ind w:left="4957" w:hanging="300"/>
      </w:pPr>
      <w:rPr>
        <w:rFonts w:hint="default"/>
        <w:lang w:val="en-US" w:eastAsia="en-US" w:bidi="ar-SA"/>
      </w:rPr>
    </w:lvl>
    <w:lvl w:ilvl="6">
      <w:start w:val="0"/>
      <w:numFmt w:val="bullet"/>
      <w:lvlText w:val="•"/>
      <w:lvlJc w:val="left"/>
      <w:pPr>
        <w:ind w:left="6270" w:hanging="300"/>
      </w:pPr>
      <w:rPr>
        <w:rFonts w:hint="default"/>
        <w:lang w:val="en-US" w:eastAsia="en-US" w:bidi="ar-SA"/>
      </w:rPr>
    </w:lvl>
    <w:lvl w:ilvl="7">
      <w:start w:val="0"/>
      <w:numFmt w:val="bullet"/>
      <w:lvlText w:val="•"/>
      <w:lvlJc w:val="left"/>
      <w:pPr>
        <w:ind w:left="7582" w:hanging="300"/>
      </w:pPr>
      <w:rPr>
        <w:rFonts w:hint="default"/>
        <w:lang w:val="en-US" w:eastAsia="en-US" w:bidi="ar-SA"/>
      </w:rPr>
    </w:lvl>
    <w:lvl w:ilvl="8">
      <w:start w:val="0"/>
      <w:numFmt w:val="bullet"/>
      <w:lvlText w:val="•"/>
      <w:lvlJc w:val="left"/>
      <w:pPr>
        <w:ind w:left="8895" w:hanging="300"/>
      </w:pPr>
      <w:rPr>
        <w:rFonts w:hint="default"/>
        <w:lang w:val="en-US" w:eastAsia="en-US" w:bidi="ar-SA"/>
      </w:rPr>
    </w:lvl>
  </w:abstractNum>
  <w:abstractNum w:abstractNumId="29">
    <w:multiLevelType w:val="hybridMultilevel"/>
    <w:lvl w:ilvl="0">
      <w:start w:val="0"/>
      <w:numFmt w:val="bullet"/>
      <w:lvlText w:val="❖"/>
      <w:lvlJc w:val="left"/>
      <w:pPr>
        <w:ind w:left="1100" w:hanging="271"/>
      </w:pPr>
      <w:rPr>
        <w:rFonts w:hint="default" w:ascii="Segoe UI Symbol" w:hAnsi="Segoe UI Symbol" w:eastAsia="Segoe UI Symbol" w:cs="Segoe UI Symbol"/>
        <w:b w:val="0"/>
        <w:bCs w:val="0"/>
        <w:i w:val="0"/>
        <w:iCs w:val="0"/>
        <w:spacing w:val="0"/>
        <w:w w:val="97"/>
        <w:sz w:val="24"/>
        <w:szCs w:val="24"/>
        <w:lang w:val="en-US" w:eastAsia="en-US" w:bidi="ar-SA"/>
      </w:rPr>
    </w:lvl>
    <w:lvl w:ilvl="1">
      <w:start w:val="0"/>
      <w:numFmt w:val="bullet"/>
      <w:lvlText w:val="•"/>
      <w:lvlJc w:val="left"/>
      <w:pPr>
        <w:ind w:left="2142" w:hanging="271"/>
      </w:pPr>
      <w:rPr>
        <w:rFonts w:hint="default"/>
        <w:lang w:val="en-US" w:eastAsia="en-US" w:bidi="ar-SA"/>
      </w:rPr>
    </w:lvl>
    <w:lvl w:ilvl="2">
      <w:start w:val="0"/>
      <w:numFmt w:val="bullet"/>
      <w:lvlText w:val="•"/>
      <w:lvlJc w:val="left"/>
      <w:pPr>
        <w:ind w:left="3184" w:hanging="271"/>
      </w:pPr>
      <w:rPr>
        <w:rFonts w:hint="default"/>
        <w:lang w:val="en-US" w:eastAsia="en-US" w:bidi="ar-SA"/>
      </w:rPr>
    </w:lvl>
    <w:lvl w:ilvl="3">
      <w:start w:val="0"/>
      <w:numFmt w:val="bullet"/>
      <w:lvlText w:val="•"/>
      <w:lvlJc w:val="left"/>
      <w:pPr>
        <w:ind w:left="4226" w:hanging="271"/>
      </w:pPr>
      <w:rPr>
        <w:rFonts w:hint="default"/>
        <w:lang w:val="en-US" w:eastAsia="en-US" w:bidi="ar-SA"/>
      </w:rPr>
    </w:lvl>
    <w:lvl w:ilvl="4">
      <w:start w:val="0"/>
      <w:numFmt w:val="bullet"/>
      <w:lvlText w:val="•"/>
      <w:lvlJc w:val="left"/>
      <w:pPr>
        <w:ind w:left="5268" w:hanging="271"/>
      </w:pPr>
      <w:rPr>
        <w:rFonts w:hint="default"/>
        <w:lang w:val="en-US" w:eastAsia="en-US" w:bidi="ar-SA"/>
      </w:rPr>
    </w:lvl>
    <w:lvl w:ilvl="5">
      <w:start w:val="0"/>
      <w:numFmt w:val="bullet"/>
      <w:lvlText w:val="•"/>
      <w:lvlJc w:val="left"/>
      <w:pPr>
        <w:ind w:left="6310" w:hanging="271"/>
      </w:pPr>
      <w:rPr>
        <w:rFonts w:hint="default"/>
        <w:lang w:val="en-US" w:eastAsia="en-US" w:bidi="ar-SA"/>
      </w:rPr>
    </w:lvl>
    <w:lvl w:ilvl="6">
      <w:start w:val="0"/>
      <w:numFmt w:val="bullet"/>
      <w:lvlText w:val="•"/>
      <w:lvlJc w:val="left"/>
      <w:pPr>
        <w:ind w:left="7352" w:hanging="271"/>
      </w:pPr>
      <w:rPr>
        <w:rFonts w:hint="default"/>
        <w:lang w:val="en-US" w:eastAsia="en-US" w:bidi="ar-SA"/>
      </w:rPr>
    </w:lvl>
    <w:lvl w:ilvl="7">
      <w:start w:val="0"/>
      <w:numFmt w:val="bullet"/>
      <w:lvlText w:val="•"/>
      <w:lvlJc w:val="left"/>
      <w:pPr>
        <w:ind w:left="8394" w:hanging="271"/>
      </w:pPr>
      <w:rPr>
        <w:rFonts w:hint="default"/>
        <w:lang w:val="en-US" w:eastAsia="en-US" w:bidi="ar-SA"/>
      </w:rPr>
    </w:lvl>
    <w:lvl w:ilvl="8">
      <w:start w:val="0"/>
      <w:numFmt w:val="bullet"/>
      <w:lvlText w:val="•"/>
      <w:lvlJc w:val="left"/>
      <w:pPr>
        <w:ind w:left="9436" w:hanging="271"/>
      </w:pPr>
      <w:rPr>
        <w:rFonts w:hint="default"/>
        <w:lang w:val="en-US" w:eastAsia="en-US" w:bidi="ar-SA"/>
      </w:rPr>
    </w:lvl>
  </w:abstractNum>
  <w:abstractNum w:abstractNumId="28">
    <w:multiLevelType w:val="hybridMultilevel"/>
    <w:lvl w:ilvl="0">
      <w:start w:val="1"/>
      <w:numFmt w:val="decimal"/>
      <w:lvlText w:val="%1)"/>
      <w:lvlJc w:val="left"/>
      <w:pPr>
        <w:ind w:left="723" w:hanging="2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1085"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2240" w:hanging="240"/>
      </w:pPr>
      <w:rPr>
        <w:rFonts w:hint="default"/>
        <w:lang w:val="en-US" w:eastAsia="en-US" w:bidi="ar-SA"/>
      </w:rPr>
    </w:lvl>
    <w:lvl w:ilvl="3">
      <w:start w:val="0"/>
      <w:numFmt w:val="bullet"/>
      <w:lvlText w:val="•"/>
      <w:lvlJc w:val="left"/>
      <w:pPr>
        <w:ind w:left="3400" w:hanging="240"/>
      </w:pPr>
      <w:rPr>
        <w:rFonts w:hint="default"/>
        <w:lang w:val="en-US" w:eastAsia="en-US" w:bidi="ar-SA"/>
      </w:rPr>
    </w:lvl>
    <w:lvl w:ilvl="4">
      <w:start w:val="0"/>
      <w:numFmt w:val="bullet"/>
      <w:lvlText w:val="•"/>
      <w:lvlJc w:val="left"/>
      <w:pPr>
        <w:ind w:left="4560" w:hanging="240"/>
      </w:pPr>
      <w:rPr>
        <w:rFonts w:hint="default"/>
        <w:lang w:val="en-US" w:eastAsia="en-US" w:bidi="ar-SA"/>
      </w:rPr>
    </w:lvl>
    <w:lvl w:ilvl="5">
      <w:start w:val="0"/>
      <w:numFmt w:val="bullet"/>
      <w:lvlText w:val="•"/>
      <w:lvlJc w:val="left"/>
      <w:pPr>
        <w:ind w:left="5720" w:hanging="240"/>
      </w:pPr>
      <w:rPr>
        <w:rFonts w:hint="default"/>
        <w:lang w:val="en-US" w:eastAsia="en-US" w:bidi="ar-SA"/>
      </w:rPr>
    </w:lvl>
    <w:lvl w:ilvl="6">
      <w:start w:val="0"/>
      <w:numFmt w:val="bullet"/>
      <w:lvlText w:val="•"/>
      <w:lvlJc w:val="left"/>
      <w:pPr>
        <w:ind w:left="6880" w:hanging="240"/>
      </w:pPr>
      <w:rPr>
        <w:rFonts w:hint="default"/>
        <w:lang w:val="en-US" w:eastAsia="en-US" w:bidi="ar-SA"/>
      </w:rPr>
    </w:lvl>
    <w:lvl w:ilvl="7">
      <w:start w:val="0"/>
      <w:numFmt w:val="bullet"/>
      <w:lvlText w:val="•"/>
      <w:lvlJc w:val="left"/>
      <w:pPr>
        <w:ind w:left="8040" w:hanging="240"/>
      </w:pPr>
      <w:rPr>
        <w:rFonts w:hint="default"/>
        <w:lang w:val="en-US" w:eastAsia="en-US" w:bidi="ar-SA"/>
      </w:rPr>
    </w:lvl>
    <w:lvl w:ilvl="8">
      <w:start w:val="0"/>
      <w:numFmt w:val="bullet"/>
      <w:lvlText w:val="•"/>
      <w:lvlJc w:val="left"/>
      <w:pPr>
        <w:ind w:left="9200" w:hanging="240"/>
      </w:pPr>
      <w:rPr>
        <w:rFonts w:hint="default"/>
        <w:lang w:val="en-US" w:eastAsia="en-US" w:bidi="ar-SA"/>
      </w:rPr>
    </w:lvl>
  </w:abstractNum>
  <w:abstractNum w:abstractNumId="27">
    <w:multiLevelType w:val="hybridMultilevel"/>
    <w:lvl w:ilvl="0">
      <w:start w:val="0"/>
      <w:numFmt w:val="bullet"/>
      <w:lvlText w:val="•"/>
      <w:lvlJc w:val="left"/>
      <w:pPr>
        <w:ind w:left="1245" w:hanging="147"/>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2268" w:hanging="147"/>
      </w:pPr>
      <w:rPr>
        <w:rFonts w:hint="default"/>
        <w:lang w:val="en-US" w:eastAsia="en-US" w:bidi="ar-SA"/>
      </w:rPr>
    </w:lvl>
    <w:lvl w:ilvl="2">
      <w:start w:val="0"/>
      <w:numFmt w:val="bullet"/>
      <w:lvlText w:val="•"/>
      <w:lvlJc w:val="left"/>
      <w:pPr>
        <w:ind w:left="3296" w:hanging="147"/>
      </w:pPr>
      <w:rPr>
        <w:rFonts w:hint="default"/>
        <w:lang w:val="en-US" w:eastAsia="en-US" w:bidi="ar-SA"/>
      </w:rPr>
    </w:lvl>
    <w:lvl w:ilvl="3">
      <w:start w:val="0"/>
      <w:numFmt w:val="bullet"/>
      <w:lvlText w:val="•"/>
      <w:lvlJc w:val="left"/>
      <w:pPr>
        <w:ind w:left="4324" w:hanging="147"/>
      </w:pPr>
      <w:rPr>
        <w:rFonts w:hint="default"/>
        <w:lang w:val="en-US" w:eastAsia="en-US" w:bidi="ar-SA"/>
      </w:rPr>
    </w:lvl>
    <w:lvl w:ilvl="4">
      <w:start w:val="0"/>
      <w:numFmt w:val="bullet"/>
      <w:lvlText w:val="•"/>
      <w:lvlJc w:val="left"/>
      <w:pPr>
        <w:ind w:left="5352" w:hanging="147"/>
      </w:pPr>
      <w:rPr>
        <w:rFonts w:hint="default"/>
        <w:lang w:val="en-US" w:eastAsia="en-US" w:bidi="ar-SA"/>
      </w:rPr>
    </w:lvl>
    <w:lvl w:ilvl="5">
      <w:start w:val="0"/>
      <w:numFmt w:val="bullet"/>
      <w:lvlText w:val="•"/>
      <w:lvlJc w:val="left"/>
      <w:pPr>
        <w:ind w:left="6380" w:hanging="147"/>
      </w:pPr>
      <w:rPr>
        <w:rFonts w:hint="default"/>
        <w:lang w:val="en-US" w:eastAsia="en-US" w:bidi="ar-SA"/>
      </w:rPr>
    </w:lvl>
    <w:lvl w:ilvl="6">
      <w:start w:val="0"/>
      <w:numFmt w:val="bullet"/>
      <w:lvlText w:val="•"/>
      <w:lvlJc w:val="left"/>
      <w:pPr>
        <w:ind w:left="7408" w:hanging="147"/>
      </w:pPr>
      <w:rPr>
        <w:rFonts w:hint="default"/>
        <w:lang w:val="en-US" w:eastAsia="en-US" w:bidi="ar-SA"/>
      </w:rPr>
    </w:lvl>
    <w:lvl w:ilvl="7">
      <w:start w:val="0"/>
      <w:numFmt w:val="bullet"/>
      <w:lvlText w:val="•"/>
      <w:lvlJc w:val="left"/>
      <w:pPr>
        <w:ind w:left="8436" w:hanging="147"/>
      </w:pPr>
      <w:rPr>
        <w:rFonts w:hint="default"/>
        <w:lang w:val="en-US" w:eastAsia="en-US" w:bidi="ar-SA"/>
      </w:rPr>
    </w:lvl>
    <w:lvl w:ilvl="8">
      <w:start w:val="0"/>
      <w:numFmt w:val="bullet"/>
      <w:lvlText w:val="•"/>
      <w:lvlJc w:val="left"/>
      <w:pPr>
        <w:ind w:left="9464" w:hanging="147"/>
      </w:pPr>
      <w:rPr>
        <w:rFonts w:hint="default"/>
        <w:lang w:val="en-US" w:eastAsia="en-US" w:bidi="ar-SA"/>
      </w:rPr>
    </w:lvl>
  </w:abstractNum>
  <w:abstractNum w:abstractNumId="26">
    <w:multiLevelType w:val="hybridMultilevel"/>
    <w:lvl w:ilvl="0">
      <w:start w:val="1"/>
      <w:numFmt w:val="decimal"/>
      <w:lvlText w:val="%1."/>
      <w:lvlJc w:val="left"/>
      <w:pPr>
        <w:ind w:left="1323"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340" w:hanging="240"/>
      </w:pPr>
      <w:rPr>
        <w:rFonts w:hint="default"/>
        <w:lang w:val="en-US" w:eastAsia="en-US" w:bidi="ar-SA"/>
      </w:rPr>
    </w:lvl>
    <w:lvl w:ilvl="2">
      <w:start w:val="0"/>
      <w:numFmt w:val="bullet"/>
      <w:lvlText w:val="•"/>
      <w:lvlJc w:val="left"/>
      <w:pPr>
        <w:ind w:left="3360" w:hanging="240"/>
      </w:pPr>
      <w:rPr>
        <w:rFonts w:hint="default"/>
        <w:lang w:val="en-US" w:eastAsia="en-US" w:bidi="ar-SA"/>
      </w:rPr>
    </w:lvl>
    <w:lvl w:ilvl="3">
      <w:start w:val="0"/>
      <w:numFmt w:val="bullet"/>
      <w:lvlText w:val="•"/>
      <w:lvlJc w:val="left"/>
      <w:pPr>
        <w:ind w:left="4380" w:hanging="240"/>
      </w:pPr>
      <w:rPr>
        <w:rFonts w:hint="default"/>
        <w:lang w:val="en-US" w:eastAsia="en-US" w:bidi="ar-SA"/>
      </w:rPr>
    </w:lvl>
    <w:lvl w:ilvl="4">
      <w:start w:val="0"/>
      <w:numFmt w:val="bullet"/>
      <w:lvlText w:val="•"/>
      <w:lvlJc w:val="left"/>
      <w:pPr>
        <w:ind w:left="5400" w:hanging="240"/>
      </w:pPr>
      <w:rPr>
        <w:rFonts w:hint="default"/>
        <w:lang w:val="en-US" w:eastAsia="en-US" w:bidi="ar-SA"/>
      </w:rPr>
    </w:lvl>
    <w:lvl w:ilvl="5">
      <w:start w:val="0"/>
      <w:numFmt w:val="bullet"/>
      <w:lvlText w:val="•"/>
      <w:lvlJc w:val="left"/>
      <w:pPr>
        <w:ind w:left="6420" w:hanging="240"/>
      </w:pPr>
      <w:rPr>
        <w:rFonts w:hint="default"/>
        <w:lang w:val="en-US" w:eastAsia="en-US" w:bidi="ar-SA"/>
      </w:rPr>
    </w:lvl>
    <w:lvl w:ilvl="6">
      <w:start w:val="0"/>
      <w:numFmt w:val="bullet"/>
      <w:lvlText w:val="•"/>
      <w:lvlJc w:val="left"/>
      <w:pPr>
        <w:ind w:left="7440" w:hanging="240"/>
      </w:pPr>
      <w:rPr>
        <w:rFonts w:hint="default"/>
        <w:lang w:val="en-US" w:eastAsia="en-US" w:bidi="ar-SA"/>
      </w:rPr>
    </w:lvl>
    <w:lvl w:ilvl="7">
      <w:start w:val="0"/>
      <w:numFmt w:val="bullet"/>
      <w:lvlText w:val="•"/>
      <w:lvlJc w:val="left"/>
      <w:pPr>
        <w:ind w:left="8460" w:hanging="240"/>
      </w:pPr>
      <w:rPr>
        <w:rFonts w:hint="default"/>
        <w:lang w:val="en-US" w:eastAsia="en-US" w:bidi="ar-SA"/>
      </w:rPr>
    </w:lvl>
    <w:lvl w:ilvl="8">
      <w:start w:val="0"/>
      <w:numFmt w:val="bullet"/>
      <w:lvlText w:val="•"/>
      <w:lvlJc w:val="left"/>
      <w:pPr>
        <w:ind w:left="9480" w:hanging="240"/>
      </w:pPr>
      <w:rPr>
        <w:rFonts w:hint="default"/>
        <w:lang w:val="en-US" w:eastAsia="en-US" w:bidi="ar-SA"/>
      </w:rPr>
    </w:lvl>
  </w:abstractNum>
  <w:abstractNum w:abstractNumId="25">
    <w:multiLevelType w:val="hybridMultilevel"/>
    <w:lvl w:ilvl="0">
      <w:start w:val="0"/>
      <w:numFmt w:val="bullet"/>
      <w:lvlText w:val="•"/>
      <w:lvlJc w:val="left"/>
      <w:pPr>
        <w:ind w:left="368" w:hanging="147"/>
      </w:pPr>
      <w:rPr>
        <w:rFonts w:hint="default" w:ascii="Arial" w:hAnsi="Arial" w:eastAsia="Arial" w:cs="Arial"/>
        <w:b w:val="0"/>
        <w:bCs w:val="0"/>
        <w:i w:val="0"/>
        <w:iCs w:val="0"/>
        <w:color w:val="242424"/>
        <w:spacing w:val="0"/>
        <w:w w:val="100"/>
        <w:sz w:val="24"/>
        <w:szCs w:val="24"/>
        <w:lang w:val="en-US" w:eastAsia="en-US" w:bidi="ar-SA"/>
      </w:rPr>
    </w:lvl>
    <w:lvl w:ilvl="1">
      <w:start w:val="0"/>
      <w:numFmt w:val="bullet"/>
      <w:lvlText w:val="•"/>
      <w:lvlJc w:val="left"/>
      <w:pPr>
        <w:ind w:left="704" w:hanging="147"/>
      </w:pPr>
      <w:rPr>
        <w:rFonts w:hint="default"/>
        <w:lang w:val="en-US" w:eastAsia="en-US" w:bidi="ar-SA"/>
      </w:rPr>
    </w:lvl>
    <w:lvl w:ilvl="2">
      <w:start w:val="0"/>
      <w:numFmt w:val="bullet"/>
      <w:lvlText w:val="•"/>
      <w:lvlJc w:val="left"/>
      <w:pPr>
        <w:ind w:left="1048" w:hanging="147"/>
      </w:pPr>
      <w:rPr>
        <w:rFonts w:hint="default"/>
        <w:lang w:val="en-US" w:eastAsia="en-US" w:bidi="ar-SA"/>
      </w:rPr>
    </w:lvl>
    <w:lvl w:ilvl="3">
      <w:start w:val="0"/>
      <w:numFmt w:val="bullet"/>
      <w:lvlText w:val="•"/>
      <w:lvlJc w:val="left"/>
      <w:pPr>
        <w:ind w:left="1392" w:hanging="147"/>
      </w:pPr>
      <w:rPr>
        <w:rFonts w:hint="default"/>
        <w:lang w:val="en-US" w:eastAsia="en-US" w:bidi="ar-SA"/>
      </w:rPr>
    </w:lvl>
    <w:lvl w:ilvl="4">
      <w:start w:val="0"/>
      <w:numFmt w:val="bullet"/>
      <w:lvlText w:val="•"/>
      <w:lvlJc w:val="left"/>
      <w:pPr>
        <w:ind w:left="1736" w:hanging="147"/>
      </w:pPr>
      <w:rPr>
        <w:rFonts w:hint="default"/>
        <w:lang w:val="en-US" w:eastAsia="en-US" w:bidi="ar-SA"/>
      </w:rPr>
    </w:lvl>
    <w:lvl w:ilvl="5">
      <w:start w:val="0"/>
      <w:numFmt w:val="bullet"/>
      <w:lvlText w:val="•"/>
      <w:lvlJc w:val="left"/>
      <w:pPr>
        <w:ind w:left="2080" w:hanging="147"/>
      </w:pPr>
      <w:rPr>
        <w:rFonts w:hint="default"/>
        <w:lang w:val="en-US" w:eastAsia="en-US" w:bidi="ar-SA"/>
      </w:rPr>
    </w:lvl>
    <w:lvl w:ilvl="6">
      <w:start w:val="0"/>
      <w:numFmt w:val="bullet"/>
      <w:lvlText w:val="•"/>
      <w:lvlJc w:val="left"/>
      <w:pPr>
        <w:ind w:left="2424" w:hanging="147"/>
      </w:pPr>
      <w:rPr>
        <w:rFonts w:hint="default"/>
        <w:lang w:val="en-US" w:eastAsia="en-US" w:bidi="ar-SA"/>
      </w:rPr>
    </w:lvl>
    <w:lvl w:ilvl="7">
      <w:start w:val="0"/>
      <w:numFmt w:val="bullet"/>
      <w:lvlText w:val="•"/>
      <w:lvlJc w:val="left"/>
      <w:pPr>
        <w:ind w:left="2768" w:hanging="147"/>
      </w:pPr>
      <w:rPr>
        <w:rFonts w:hint="default"/>
        <w:lang w:val="en-US" w:eastAsia="en-US" w:bidi="ar-SA"/>
      </w:rPr>
    </w:lvl>
    <w:lvl w:ilvl="8">
      <w:start w:val="0"/>
      <w:numFmt w:val="bullet"/>
      <w:lvlText w:val="•"/>
      <w:lvlJc w:val="left"/>
      <w:pPr>
        <w:ind w:left="3112" w:hanging="147"/>
      </w:pPr>
      <w:rPr>
        <w:rFonts w:hint="default"/>
        <w:lang w:val="en-US" w:eastAsia="en-US" w:bidi="ar-SA"/>
      </w:rPr>
    </w:lvl>
  </w:abstractNum>
  <w:abstractNum w:abstractNumId="24">
    <w:multiLevelType w:val="hybridMultilevel"/>
    <w:lvl w:ilvl="0">
      <w:start w:val="0"/>
      <w:numFmt w:val="bullet"/>
      <w:lvlText w:val="•"/>
      <w:lvlJc w:val="left"/>
      <w:pPr>
        <w:ind w:left="368" w:hanging="147"/>
      </w:pPr>
      <w:rPr>
        <w:rFonts w:hint="default" w:ascii="Arial" w:hAnsi="Arial" w:eastAsia="Arial" w:cs="Arial"/>
        <w:b w:val="0"/>
        <w:bCs w:val="0"/>
        <w:i w:val="0"/>
        <w:iCs w:val="0"/>
        <w:color w:val="242424"/>
        <w:spacing w:val="0"/>
        <w:w w:val="100"/>
        <w:sz w:val="24"/>
        <w:szCs w:val="24"/>
        <w:lang w:val="en-US" w:eastAsia="en-US" w:bidi="ar-SA"/>
      </w:rPr>
    </w:lvl>
    <w:lvl w:ilvl="1">
      <w:start w:val="0"/>
      <w:numFmt w:val="bullet"/>
      <w:lvlText w:val="•"/>
      <w:lvlJc w:val="left"/>
      <w:pPr>
        <w:ind w:left="704" w:hanging="147"/>
      </w:pPr>
      <w:rPr>
        <w:rFonts w:hint="default"/>
        <w:lang w:val="en-US" w:eastAsia="en-US" w:bidi="ar-SA"/>
      </w:rPr>
    </w:lvl>
    <w:lvl w:ilvl="2">
      <w:start w:val="0"/>
      <w:numFmt w:val="bullet"/>
      <w:lvlText w:val="•"/>
      <w:lvlJc w:val="left"/>
      <w:pPr>
        <w:ind w:left="1048" w:hanging="147"/>
      </w:pPr>
      <w:rPr>
        <w:rFonts w:hint="default"/>
        <w:lang w:val="en-US" w:eastAsia="en-US" w:bidi="ar-SA"/>
      </w:rPr>
    </w:lvl>
    <w:lvl w:ilvl="3">
      <w:start w:val="0"/>
      <w:numFmt w:val="bullet"/>
      <w:lvlText w:val="•"/>
      <w:lvlJc w:val="left"/>
      <w:pPr>
        <w:ind w:left="1392" w:hanging="147"/>
      </w:pPr>
      <w:rPr>
        <w:rFonts w:hint="default"/>
        <w:lang w:val="en-US" w:eastAsia="en-US" w:bidi="ar-SA"/>
      </w:rPr>
    </w:lvl>
    <w:lvl w:ilvl="4">
      <w:start w:val="0"/>
      <w:numFmt w:val="bullet"/>
      <w:lvlText w:val="•"/>
      <w:lvlJc w:val="left"/>
      <w:pPr>
        <w:ind w:left="1736" w:hanging="147"/>
      </w:pPr>
      <w:rPr>
        <w:rFonts w:hint="default"/>
        <w:lang w:val="en-US" w:eastAsia="en-US" w:bidi="ar-SA"/>
      </w:rPr>
    </w:lvl>
    <w:lvl w:ilvl="5">
      <w:start w:val="0"/>
      <w:numFmt w:val="bullet"/>
      <w:lvlText w:val="•"/>
      <w:lvlJc w:val="left"/>
      <w:pPr>
        <w:ind w:left="2080" w:hanging="147"/>
      </w:pPr>
      <w:rPr>
        <w:rFonts w:hint="default"/>
        <w:lang w:val="en-US" w:eastAsia="en-US" w:bidi="ar-SA"/>
      </w:rPr>
    </w:lvl>
    <w:lvl w:ilvl="6">
      <w:start w:val="0"/>
      <w:numFmt w:val="bullet"/>
      <w:lvlText w:val="•"/>
      <w:lvlJc w:val="left"/>
      <w:pPr>
        <w:ind w:left="2424" w:hanging="147"/>
      </w:pPr>
      <w:rPr>
        <w:rFonts w:hint="default"/>
        <w:lang w:val="en-US" w:eastAsia="en-US" w:bidi="ar-SA"/>
      </w:rPr>
    </w:lvl>
    <w:lvl w:ilvl="7">
      <w:start w:val="0"/>
      <w:numFmt w:val="bullet"/>
      <w:lvlText w:val="•"/>
      <w:lvlJc w:val="left"/>
      <w:pPr>
        <w:ind w:left="2768" w:hanging="147"/>
      </w:pPr>
      <w:rPr>
        <w:rFonts w:hint="default"/>
        <w:lang w:val="en-US" w:eastAsia="en-US" w:bidi="ar-SA"/>
      </w:rPr>
    </w:lvl>
    <w:lvl w:ilvl="8">
      <w:start w:val="0"/>
      <w:numFmt w:val="bullet"/>
      <w:lvlText w:val="•"/>
      <w:lvlJc w:val="left"/>
      <w:pPr>
        <w:ind w:left="3112" w:hanging="147"/>
      </w:pPr>
      <w:rPr>
        <w:rFonts w:hint="default"/>
        <w:lang w:val="en-US" w:eastAsia="en-US" w:bidi="ar-SA"/>
      </w:rPr>
    </w:lvl>
  </w:abstractNum>
  <w:abstractNum w:abstractNumId="23">
    <w:multiLevelType w:val="hybridMultilevel"/>
    <w:lvl w:ilvl="0">
      <w:start w:val="0"/>
      <w:numFmt w:val="bullet"/>
      <w:lvlText w:val="•"/>
      <w:lvlJc w:val="left"/>
      <w:pPr>
        <w:ind w:left="368" w:hanging="147"/>
      </w:pPr>
      <w:rPr>
        <w:rFonts w:hint="default" w:ascii="Arial" w:hAnsi="Arial" w:eastAsia="Arial" w:cs="Arial"/>
        <w:b w:val="0"/>
        <w:bCs w:val="0"/>
        <w:i w:val="0"/>
        <w:iCs w:val="0"/>
        <w:color w:val="242424"/>
        <w:spacing w:val="0"/>
        <w:w w:val="100"/>
        <w:sz w:val="24"/>
        <w:szCs w:val="24"/>
        <w:lang w:val="en-US" w:eastAsia="en-US" w:bidi="ar-SA"/>
      </w:rPr>
    </w:lvl>
    <w:lvl w:ilvl="1">
      <w:start w:val="0"/>
      <w:numFmt w:val="bullet"/>
      <w:lvlText w:val="•"/>
      <w:lvlJc w:val="left"/>
      <w:pPr>
        <w:ind w:left="704" w:hanging="147"/>
      </w:pPr>
      <w:rPr>
        <w:rFonts w:hint="default"/>
        <w:lang w:val="en-US" w:eastAsia="en-US" w:bidi="ar-SA"/>
      </w:rPr>
    </w:lvl>
    <w:lvl w:ilvl="2">
      <w:start w:val="0"/>
      <w:numFmt w:val="bullet"/>
      <w:lvlText w:val="•"/>
      <w:lvlJc w:val="left"/>
      <w:pPr>
        <w:ind w:left="1048" w:hanging="147"/>
      </w:pPr>
      <w:rPr>
        <w:rFonts w:hint="default"/>
        <w:lang w:val="en-US" w:eastAsia="en-US" w:bidi="ar-SA"/>
      </w:rPr>
    </w:lvl>
    <w:lvl w:ilvl="3">
      <w:start w:val="0"/>
      <w:numFmt w:val="bullet"/>
      <w:lvlText w:val="•"/>
      <w:lvlJc w:val="left"/>
      <w:pPr>
        <w:ind w:left="1392" w:hanging="147"/>
      </w:pPr>
      <w:rPr>
        <w:rFonts w:hint="default"/>
        <w:lang w:val="en-US" w:eastAsia="en-US" w:bidi="ar-SA"/>
      </w:rPr>
    </w:lvl>
    <w:lvl w:ilvl="4">
      <w:start w:val="0"/>
      <w:numFmt w:val="bullet"/>
      <w:lvlText w:val="•"/>
      <w:lvlJc w:val="left"/>
      <w:pPr>
        <w:ind w:left="1736" w:hanging="147"/>
      </w:pPr>
      <w:rPr>
        <w:rFonts w:hint="default"/>
        <w:lang w:val="en-US" w:eastAsia="en-US" w:bidi="ar-SA"/>
      </w:rPr>
    </w:lvl>
    <w:lvl w:ilvl="5">
      <w:start w:val="0"/>
      <w:numFmt w:val="bullet"/>
      <w:lvlText w:val="•"/>
      <w:lvlJc w:val="left"/>
      <w:pPr>
        <w:ind w:left="2080" w:hanging="147"/>
      </w:pPr>
      <w:rPr>
        <w:rFonts w:hint="default"/>
        <w:lang w:val="en-US" w:eastAsia="en-US" w:bidi="ar-SA"/>
      </w:rPr>
    </w:lvl>
    <w:lvl w:ilvl="6">
      <w:start w:val="0"/>
      <w:numFmt w:val="bullet"/>
      <w:lvlText w:val="•"/>
      <w:lvlJc w:val="left"/>
      <w:pPr>
        <w:ind w:left="2424" w:hanging="147"/>
      </w:pPr>
      <w:rPr>
        <w:rFonts w:hint="default"/>
        <w:lang w:val="en-US" w:eastAsia="en-US" w:bidi="ar-SA"/>
      </w:rPr>
    </w:lvl>
    <w:lvl w:ilvl="7">
      <w:start w:val="0"/>
      <w:numFmt w:val="bullet"/>
      <w:lvlText w:val="•"/>
      <w:lvlJc w:val="left"/>
      <w:pPr>
        <w:ind w:left="2768" w:hanging="147"/>
      </w:pPr>
      <w:rPr>
        <w:rFonts w:hint="default"/>
        <w:lang w:val="en-US" w:eastAsia="en-US" w:bidi="ar-SA"/>
      </w:rPr>
    </w:lvl>
    <w:lvl w:ilvl="8">
      <w:start w:val="0"/>
      <w:numFmt w:val="bullet"/>
      <w:lvlText w:val="•"/>
      <w:lvlJc w:val="left"/>
      <w:pPr>
        <w:ind w:left="3112" w:hanging="147"/>
      </w:pPr>
      <w:rPr>
        <w:rFonts w:hint="default"/>
        <w:lang w:val="en-US" w:eastAsia="en-US" w:bidi="ar-SA"/>
      </w:rPr>
    </w:lvl>
  </w:abstractNum>
  <w:abstractNum w:abstractNumId="22">
    <w:multiLevelType w:val="hybridMultilevel"/>
    <w:lvl w:ilvl="0">
      <w:start w:val="0"/>
      <w:numFmt w:val="bullet"/>
      <w:lvlText w:val="•"/>
      <w:lvlJc w:val="left"/>
      <w:pPr>
        <w:ind w:left="368" w:hanging="147"/>
      </w:pPr>
      <w:rPr>
        <w:rFonts w:hint="default" w:ascii="Arial" w:hAnsi="Arial" w:eastAsia="Arial" w:cs="Arial"/>
        <w:b w:val="0"/>
        <w:bCs w:val="0"/>
        <w:i w:val="0"/>
        <w:iCs w:val="0"/>
        <w:color w:val="242424"/>
        <w:spacing w:val="0"/>
        <w:w w:val="100"/>
        <w:sz w:val="24"/>
        <w:szCs w:val="24"/>
        <w:lang w:val="en-US" w:eastAsia="en-US" w:bidi="ar-SA"/>
      </w:rPr>
    </w:lvl>
    <w:lvl w:ilvl="1">
      <w:start w:val="0"/>
      <w:numFmt w:val="bullet"/>
      <w:lvlText w:val="•"/>
      <w:lvlJc w:val="left"/>
      <w:pPr>
        <w:ind w:left="704" w:hanging="147"/>
      </w:pPr>
      <w:rPr>
        <w:rFonts w:hint="default"/>
        <w:lang w:val="en-US" w:eastAsia="en-US" w:bidi="ar-SA"/>
      </w:rPr>
    </w:lvl>
    <w:lvl w:ilvl="2">
      <w:start w:val="0"/>
      <w:numFmt w:val="bullet"/>
      <w:lvlText w:val="•"/>
      <w:lvlJc w:val="left"/>
      <w:pPr>
        <w:ind w:left="1048" w:hanging="147"/>
      </w:pPr>
      <w:rPr>
        <w:rFonts w:hint="default"/>
        <w:lang w:val="en-US" w:eastAsia="en-US" w:bidi="ar-SA"/>
      </w:rPr>
    </w:lvl>
    <w:lvl w:ilvl="3">
      <w:start w:val="0"/>
      <w:numFmt w:val="bullet"/>
      <w:lvlText w:val="•"/>
      <w:lvlJc w:val="left"/>
      <w:pPr>
        <w:ind w:left="1392" w:hanging="147"/>
      </w:pPr>
      <w:rPr>
        <w:rFonts w:hint="default"/>
        <w:lang w:val="en-US" w:eastAsia="en-US" w:bidi="ar-SA"/>
      </w:rPr>
    </w:lvl>
    <w:lvl w:ilvl="4">
      <w:start w:val="0"/>
      <w:numFmt w:val="bullet"/>
      <w:lvlText w:val="•"/>
      <w:lvlJc w:val="left"/>
      <w:pPr>
        <w:ind w:left="1736" w:hanging="147"/>
      </w:pPr>
      <w:rPr>
        <w:rFonts w:hint="default"/>
        <w:lang w:val="en-US" w:eastAsia="en-US" w:bidi="ar-SA"/>
      </w:rPr>
    </w:lvl>
    <w:lvl w:ilvl="5">
      <w:start w:val="0"/>
      <w:numFmt w:val="bullet"/>
      <w:lvlText w:val="•"/>
      <w:lvlJc w:val="left"/>
      <w:pPr>
        <w:ind w:left="2080" w:hanging="147"/>
      </w:pPr>
      <w:rPr>
        <w:rFonts w:hint="default"/>
        <w:lang w:val="en-US" w:eastAsia="en-US" w:bidi="ar-SA"/>
      </w:rPr>
    </w:lvl>
    <w:lvl w:ilvl="6">
      <w:start w:val="0"/>
      <w:numFmt w:val="bullet"/>
      <w:lvlText w:val="•"/>
      <w:lvlJc w:val="left"/>
      <w:pPr>
        <w:ind w:left="2424" w:hanging="147"/>
      </w:pPr>
      <w:rPr>
        <w:rFonts w:hint="default"/>
        <w:lang w:val="en-US" w:eastAsia="en-US" w:bidi="ar-SA"/>
      </w:rPr>
    </w:lvl>
    <w:lvl w:ilvl="7">
      <w:start w:val="0"/>
      <w:numFmt w:val="bullet"/>
      <w:lvlText w:val="•"/>
      <w:lvlJc w:val="left"/>
      <w:pPr>
        <w:ind w:left="2768" w:hanging="147"/>
      </w:pPr>
      <w:rPr>
        <w:rFonts w:hint="default"/>
        <w:lang w:val="en-US" w:eastAsia="en-US" w:bidi="ar-SA"/>
      </w:rPr>
    </w:lvl>
    <w:lvl w:ilvl="8">
      <w:start w:val="0"/>
      <w:numFmt w:val="bullet"/>
      <w:lvlText w:val="•"/>
      <w:lvlJc w:val="left"/>
      <w:pPr>
        <w:ind w:left="3112" w:hanging="147"/>
      </w:pPr>
      <w:rPr>
        <w:rFonts w:hint="default"/>
        <w:lang w:val="en-US" w:eastAsia="en-US" w:bidi="ar-SA"/>
      </w:rPr>
    </w:lvl>
  </w:abstractNum>
  <w:abstractNum w:abstractNumId="21">
    <w:multiLevelType w:val="hybridMultilevel"/>
    <w:lvl w:ilvl="0">
      <w:start w:val="0"/>
      <w:numFmt w:val="bullet"/>
      <w:lvlText w:val="•"/>
      <w:lvlJc w:val="left"/>
      <w:pPr>
        <w:ind w:left="1436" w:hanging="123"/>
      </w:pPr>
      <w:rPr>
        <w:rFonts w:hint="default" w:ascii="Arial" w:hAnsi="Arial" w:eastAsia="Arial" w:cs="Arial"/>
        <w:b w:val="0"/>
        <w:bCs w:val="0"/>
        <w:i w:val="0"/>
        <w:iCs w:val="0"/>
        <w:spacing w:val="0"/>
        <w:w w:val="100"/>
        <w:sz w:val="20"/>
        <w:szCs w:val="20"/>
        <w:lang w:val="en-US" w:eastAsia="en-US" w:bidi="ar-SA"/>
      </w:rPr>
    </w:lvl>
    <w:lvl w:ilvl="1">
      <w:start w:val="0"/>
      <w:numFmt w:val="bullet"/>
      <w:lvlText w:val="•"/>
      <w:lvlJc w:val="left"/>
      <w:pPr>
        <w:ind w:left="2448" w:hanging="123"/>
      </w:pPr>
      <w:rPr>
        <w:rFonts w:hint="default"/>
        <w:lang w:val="en-US" w:eastAsia="en-US" w:bidi="ar-SA"/>
      </w:rPr>
    </w:lvl>
    <w:lvl w:ilvl="2">
      <w:start w:val="0"/>
      <w:numFmt w:val="bullet"/>
      <w:lvlText w:val="•"/>
      <w:lvlJc w:val="left"/>
      <w:pPr>
        <w:ind w:left="3456" w:hanging="123"/>
      </w:pPr>
      <w:rPr>
        <w:rFonts w:hint="default"/>
        <w:lang w:val="en-US" w:eastAsia="en-US" w:bidi="ar-SA"/>
      </w:rPr>
    </w:lvl>
    <w:lvl w:ilvl="3">
      <w:start w:val="0"/>
      <w:numFmt w:val="bullet"/>
      <w:lvlText w:val="•"/>
      <w:lvlJc w:val="left"/>
      <w:pPr>
        <w:ind w:left="4464" w:hanging="123"/>
      </w:pPr>
      <w:rPr>
        <w:rFonts w:hint="default"/>
        <w:lang w:val="en-US" w:eastAsia="en-US" w:bidi="ar-SA"/>
      </w:rPr>
    </w:lvl>
    <w:lvl w:ilvl="4">
      <w:start w:val="0"/>
      <w:numFmt w:val="bullet"/>
      <w:lvlText w:val="•"/>
      <w:lvlJc w:val="left"/>
      <w:pPr>
        <w:ind w:left="5472" w:hanging="123"/>
      </w:pPr>
      <w:rPr>
        <w:rFonts w:hint="default"/>
        <w:lang w:val="en-US" w:eastAsia="en-US" w:bidi="ar-SA"/>
      </w:rPr>
    </w:lvl>
    <w:lvl w:ilvl="5">
      <w:start w:val="0"/>
      <w:numFmt w:val="bullet"/>
      <w:lvlText w:val="•"/>
      <w:lvlJc w:val="left"/>
      <w:pPr>
        <w:ind w:left="6480" w:hanging="123"/>
      </w:pPr>
      <w:rPr>
        <w:rFonts w:hint="default"/>
        <w:lang w:val="en-US" w:eastAsia="en-US" w:bidi="ar-SA"/>
      </w:rPr>
    </w:lvl>
    <w:lvl w:ilvl="6">
      <w:start w:val="0"/>
      <w:numFmt w:val="bullet"/>
      <w:lvlText w:val="•"/>
      <w:lvlJc w:val="left"/>
      <w:pPr>
        <w:ind w:left="7488" w:hanging="123"/>
      </w:pPr>
      <w:rPr>
        <w:rFonts w:hint="default"/>
        <w:lang w:val="en-US" w:eastAsia="en-US" w:bidi="ar-SA"/>
      </w:rPr>
    </w:lvl>
    <w:lvl w:ilvl="7">
      <w:start w:val="0"/>
      <w:numFmt w:val="bullet"/>
      <w:lvlText w:val="•"/>
      <w:lvlJc w:val="left"/>
      <w:pPr>
        <w:ind w:left="8496" w:hanging="123"/>
      </w:pPr>
      <w:rPr>
        <w:rFonts w:hint="default"/>
        <w:lang w:val="en-US" w:eastAsia="en-US" w:bidi="ar-SA"/>
      </w:rPr>
    </w:lvl>
    <w:lvl w:ilvl="8">
      <w:start w:val="0"/>
      <w:numFmt w:val="bullet"/>
      <w:lvlText w:val="•"/>
      <w:lvlJc w:val="left"/>
      <w:pPr>
        <w:ind w:left="9504" w:hanging="123"/>
      </w:pPr>
      <w:rPr>
        <w:rFonts w:hint="default"/>
        <w:lang w:val="en-US" w:eastAsia="en-US" w:bidi="ar-SA"/>
      </w:rPr>
    </w:lvl>
  </w:abstractNum>
  <w:abstractNum w:abstractNumId="20">
    <w:multiLevelType w:val="hybridMultilevel"/>
    <w:lvl w:ilvl="0">
      <w:start w:val="0"/>
      <w:numFmt w:val="bullet"/>
      <w:lvlText w:val="•"/>
      <w:lvlJc w:val="left"/>
      <w:pPr>
        <w:ind w:left="1530" w:hanging="123"/>
      </w:pPr>
      <w:rPr>
        <w:rFonts w:hint="default" w:ascii="Arial" w:hAnsi="Arial" w:eastAsia="Arial" w:cs="Arial"/>
        <w:b w:val="0"/>
        <w:bCs w:val="0"/>
        <w:i w:val="0"/>
        <w:iCs w:val="0"/>
        <w:spacing w:val="0"/>
        <w:w w:val="100"/>
        <w:sz w:val="20"/>
        <w:szCs w:val="20"/>
        <w:lang w:val="en-US" w:eastAsia="en-US" w:bidi="ar-SA"/>
      </w:rPr>
    </w:lvl>
    <w:lvl w:ilvl="1">
      <w:start w:val="0"/>
      <w:numFmt w:val="bullet"/>
      <w:lvlText w:val="•"/>
      <w:lvlJc w:val="left"/>
      <w:pPr>
        <w:ind w:left="2538" w:hanging="123"/>
      </w:pPr>
      <w:rPr>
        <w:rFonts w:hint="default"/>
        <w:lang w:val="en-US" w:eastAsia="en-US" w:bidi="ar-SA"/>
      </w:rPr>
    </w:lvl>
    <w:lvl w:ilvl="2">
      <w:start w:val="0"/>
      <w:numFmt w:val="bullet"/>
      <w:lvlText w:val="•"/>
      <w:lvlJc w:val="left"/>
      <w:pPr>
        <w:ind w:left="3536" w:hanging="123"/>
      </w:pPr>
      <w:rPr>
        <w:rFonts w:hint="default"/>
        <w:lang w:val="en-US" w:eastAsia="en-US" w:bidi="ar-SA"/>
      </w:rPr>
    </w:lvl>
    <w:lvl w:ilvl="3">
      <w:start w:val="0"/>
      <w:numFmt w:val="bullet"/>
      <w:lvlText w:val="•"/>
      <w:lvlJc w:val="left"/>
      <w:pPr>
        <w:ind w:left="4534" w:hanging="123"/>
      </w:pPr>
      <w:rPr>
        <w:rFonts w:hint="default"/>
        <w:lang w:val="en-US" w:eastAsia="en-US" w:bidi="ar-SA"/>
      </w:rPr>
    </w:lvl>
    <w:lvl w:ilvl="4">
      <w:start w:val="0"/>
      <w:numFmt w:val="bullet"/>
      <w:lvlText w:val="•"/>
      <w:lvlJc w:val="left"/>
      <w:pPr>
        <w:ind w:left="5532" w:hanging="123"/>
      </w:pPr>
      <w:rPr>
        <w:rFonts w:hint="default"/>
        <w:lang w:val="en-US" w:eastAsia="en-US" w:bidi="ar-SA"/>
      </w:rPr>
    </w:lvl>
    <w:lvl w:ilvl="5">
      <w:start w:val="0"/>
      <w:numFmt w:val="bullet"/>
      <w:lvlText w:val="•"/>
      <w:lvlJc w:val="left"/>
      <w:pPr>
        <w:ind w:left="6530" w:hanging="123"/>
      </w:pPr>
      <w:rPr>
        <w:rFonts w:hint="default"/>
        <w:lang w:val="en-US" w:eastAsia="en-US" w:bidi="ar-SA"/>
      </w:rPr>
    </w:lvl>
    <w:lvl w:ilvl="6">
      <w:start w:val="0"/>
      <w:numFmt w:val="bullet"/>
      <w:lvlText w:val="•"/>
      <w:lvlJc w:val="left"/>
      <w:pPr>
        <w:ind w:left="7528" w:hanging="123"/>
      </w:pPr>
      <w:rPr>
        <w:rFonts w:hint="default"/>
        <w:lang w:val="en-US" w:eastAsia="en-US" w:bidi="ar-SA"/>
      </w:rPr>
    </w:lvl>
    <w:lvl w:ilvl="7">
      <w:start w:val="0"/>
      <w:numFmt w:val="bullet"/>
      <w:lvlText w:val="•"/>
      <w:lvlJc w:val="left"/>
      <w:pPr>
        <w:ind w:left="8526" w:hanging="123"/>
      </w:pPr>
      <w:rPr>
        <w:rFonts w:hint="default"/>
        <w:lang w:val="en-US" w:eastAsia="en-US" w:bidi="ar-SA"/>
      </w:rPr>
    </w:lvl>
    <w:lvl w:ilvl="8">
      <w:start w:val="0"/>
      <w:numFmt w:val="bullet"/>
      <w:lvlText w:val="•"/>
      <w:lvlJc w:val="left"/>
      <w:pPr>
        <w:ind w:left="9524" w:hanging="123"/>
      </w:pPr>
      <w:rPr>
        <w:rFonts w:hint="default"/>
        <w:lang w:val="en-US" w:eastAsia="en-US" w:bidi="ar-SA"/>
      </w:rPr>
    </w:lvl>
  </w:abstractNum>
  <w:abstractNum w:abstractNumId="19">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18">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17">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16">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15">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14">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13">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12">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11">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10">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9">
    <w:multiLevelType w:val="hybridMultilevel"/>
    <w:lvl w:ilvl="0">
      <w:start w:val="1"/>
      <w:numFmt w:val="decimal"/>
      <w:lvlText w:val="%1."/>
      <w:lvlJc w:val="left"/>
      <w:pPr>
        <w:ind w:left="440"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586" w:hanging="199"/>
      </w:pPr>
      <w:rPr>
        <w:rFonts w:hint="default"/>
        <w:lang w:val="en-US" w:eastAsia="en-US" w:bidi="ar-SA"/>
      </w:rPr>
    </w:lvl>
    <w:lvl w:ilvl="2">
      <w:start w:val="0"/>
      <w:numFmt w:val="bullet"/>
      <w:lvlText w:val="•"/>
      <w:lvlJc w:val="left"/>
      <w:pPr>
        <w:ind w:left="732" w:hanging="199"/>
      </w:pPr>
      <w:rPr>
        <w:rFonts w:hint="default"/>
        <w:lang w:val="en-US" w:eastAsia="en-US" w:bidi="ar-SA"/>
      </w:rPr>
    </w:lvl>
    <w:lvl w:ilvl="3">
      <w:start w:val="0"/>
      <w:numFmt w:val="bullet"/>
      <w:lvlText w:val="•"/>
      <w:lvlJc w:val="left"/>
      <w:pPr>
        <w:ind w:left="878" w:hanging="199"/>
      </w:pPr>
      <w:rPr>
        <w:rFonts w:hint="default"/>
        <w:lang w:val="en-US" w:eastAsia="en-US" w:bidi="ar-SA"/>
      </w:rPr>
    </w:lvl>
    <w:lvl w:ilvl="4">
      <w:start w:val="0"/>
      <w:numFmt w:val="bullet"/>
      <w:lvlText w:val="•"/>
      <w:lvlJc w:val="left"/>
      <w:pPr>
        <w:ind w:left="1024" w:hanging="199"/>
      </w:pPr>
      <w:rPr>
        <w:rFonts w:hint="default"/>
        <w:lang w:val="en-US" w:eastAsia="en-US" w:bidi="ar-SA"/>
      </w:rPr>
    </w:lvl>
    <w:lvl w:ilvl="5">
      <w:start w:val="0"/>
      <w:numFmt w:val="bullet"/>
      <w:lvlText w:val="•"/>
      <w:lvlJc w:val="left"/>
      <w:pPr>
        <w:ind w:left="1170" w:hanging="199"/>
      </w:pPr>
      <w:rPr>
        <w:rFonts w:hint="default"/>
        <w:lang w:val="en-US" w:eastAsia="en-US" w:bidi="ar-SA"/>
      </w:rPr>
    </w:lvl>
    <w:lvl w:ilvl="6">
      <w:start w:val="0"/>
      <w:numFmt w:val="bullet"/>
      <w:lvlText w:val="•"/>
      <w:lvlJc w:val="left"/>
      <w:pPr>
        <w:ind w:left="1316" w:hanging="199"/>
      </w:pPr>
      <w:rPr>
        <w:rFonts w:hint="default"/>
        <w:lang w:val="en-US" w:eastAsia="en-US" w:bidi="ar-SA"/>
      </w:rPr>
    </w:lvl>
    <w:lvl w:ilvl="7">
      <w:start w:val="0"/>
      <w:numFmt w:val="bullet"/>
      <w:lvlText w:val="•"/>
      <w:lvlJc w:val="left"/>
      <w:pPr>
        <w:ind w:left="1462" w:hanging="199"/>
      </w:pPr>
      <w:rPr>
        <w:rFonts w:hint="default"/>
        <w:lang w:val="en-US" w:eastAsia="en-US" w:bidi="ar-SA"/>
      </w:rPr>
    </w:lvl>
    <w:lvl w:ilvl="8">
      <w:start w:val="0"/>
      <w:numFmt w:val="bullet"/>
      <w:lvlText w:val="•"/>
      <w:lvlJc w:val="left"/>
      <w:pPr>
        <w:ind w:left="1608" w:hanging="199"/>
      </w:pPr>
      <w:rPr>
        <w:rFonts w:hint="default"/>
        <w:lang w:val="en-US" w:eastAsia="en-US" w:bidi="ar-SA"/>
      </w:rPr>
    </w:lvl>
  </w:abstractNum>
  <w:abstractNum w:abstractNumId="8">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7">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6">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5">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4">
    <w:multiLevelType w:val="hybridMultilevel"/>
    <w:lvl w:ilvl="0">
      <w:start w:val="1"/>
      <w:numFmt w:val="decimal"/>
      <w:lvlText w:val="%1."/>
      <w:lvlJc w:val="left"/>
      <w:pPr>
        <w:ind w:left="226" w:hanging="199"/>
        <w:jc w:val="left"/>
      </w:pPr>
      <w:rPr>
        <w:rFonts w:hint="default" w:ascii="Times New Roman" w:hAnsi="Times New Roman" w:eastAsia="Times New Roman" w:cs="Times New Roman"/>
        <w:b w:val="0"/>
        <w:bCs w:val="0"/>
        <w:i w:val="0"/>
        <w:iCs w:val="0"/>
        <w:spacing w:val="-1"/>
        <w:w w:val="99"/>
        <w:sz w:val="20"/>
        <w:szCs w:val="20"/>
        <w:lang w:val="en-US" w:eastAsia="en-US" w:bidi="ar-SA"/>
      </w:rPr>
    </w:lvl>
    <w:lvl w:ilvl="1">
      <w:start w:val="0"/>
      <w:numFmt w:val="bullet"/>
      <w:lvlText w:val="•"/>
      <w:lvlJc w:val="left"/>
      <w:pPr>
        <w:ind w:left="388" w:hanging="199"/>
      </w:pPr>
      <w:rPr>
        <w:rFonts w:hint="default"/>
        <w:lang w:val="en-US" w:eastAsia="en-US" w:bidi="ar-SA"/>
      </w:rPr>
    </w:lvl>
    <w:lvl w:ilvl="2">
      <w:start w:val="0"/>
      <w:numFmt w:val="bullet"/>
      <w:lvlText w:val="•"/>
      <w:lvlJc w:val="left"/>
      <w:pPr>
        <w:ind w:left="556" w:hanging="199"/>
      </w:pPr>
      <w:rPr>
        <w:rFonts w:hint="default"/>
        <w:lang w:val="en-US" w:eastAsia="en-US" w:bidi="ar-SA"/>
      </w:rPr>
    </w:lvl>
    <w:lvl w:ilvl="3">
      <w:start w:val="0"/>
      <w:numFmt w:val="bullet"/>
      <w:lvlText w:val="•"/>
      <w:lvlJc w:val="left"/>
      <w:pPr>
        <w:ind w:left="724" w:hanging="199"/>
      </w:pPr>
      <w:rPr>
        <w:rFonts w:hint="default"/>
        <w:lang w:val="en-US" w:eastAsia="en-US" w:bidi="ar-SA"/>
      </w:rPr>
    </w:lvl>
    <w:lvl w:ilvl="4">
      <w:start w:val="0"/>
      <w:numFmt w:val="bullet"/>
      <w:lvlText w:val="•"/>
      <w:lvlJc w:val="left"/>
      <w:pPr>
        <w:ind w:left="892" w:hanging="199"/>
      </w:pPr>
      <w:rPr>
        <w:rFonts w:hint="default"/>
        <w:lang w:val="en-US" w:eastAsia="en-US" w:bidi="ar-SA"/>
      </w:rPr>
    </w:lvl>
    <w:lvl w:ilvl="5">
      <w:start w:val="0"/>
      <w:numFmt w:val="bullet"/>
      <w:lvlText w:val="•"/>
      <w:lvlJc w:val="left"/>
      <w:pPr>
        <w:ind w:left="1060" w:hanging="199"/>
      </w:pPr>
      <w:rPr>
        <w:rFonts w:hint="default"/>
        <w:lang w:val="en-US" w:eastAsia="en-US" w:bidi="ar-SA"/>
      </w:rPr>
    </w:lvl>
    <w:lvl w:ilvl="6">
      <w:start w:val="0"/>
      <w:numFmt w:val="bullet"/>
      <w:lvlText w:val="•"/>
      <w:lvlJc w:val="left"/>
      <w:pPr>
        <w:ind w:left="1228" w:hanging="199"/>
      </w:pPr>
      <w:rPr>
        <w:rFonts w:hint="default"/>
        <w:lang w:val="en-US" w:eastAsia="en-US" w:bidi="ar-SA"/>
      </w:rPr>
    </w:lvl>
    <w:lvl w:ilvl="7">
      <w:start w:val="0"/>
      <w:numFmt w:val="bullet"/>
      <w:lvlText w:val="•"/>
      <w:lvlJc w:val="left"/>
      <w:pPr>
        <w:ind w:left="1396" w:hanging="199"/>
      </w:pPr>
      <w:rPr>
        <w:rFonts w:hint="default"/>
        <w:lang w:val="en-US" w:eastAsia="en-US" w:bidi="ar-SA"/>
      </w:rPr>
    </w:lvl>
    <w:lvl w:ilvl="8">
      <w:start w:val="0"/>
      <w:numFmt w:val="bullet"/>
      <w:lvlText w:val="•"/>
      <w:lvlJc w:val="left"/>
      <w:pPr>
        <w:ind w:left="1564" w:hanging="199"/>
      </w:pPr>
      <w:rPr>
        <w:rFonts w:hint="default"/>
        <w:lang w:val="en-US" w:eastAsia="en-US" w:bidi="ar-SA"/>
      </w:rPr>
    </w:lvl>
  </w:abstractNum>
  <w:abstractNum w:abstractNumId="3">
    <w:multiLevelType w:val="hybridMultilevel"/>
    <w:lvl w:ilvl="0">
      <w:start w:val="1"/>
      <w:numFmt w:val="decimal"/>
      <w:lvlText w:val="%1."/>
      <w:lvlJc w:val="left"/>
      <w:pPr>
        <w:ind w:left="1436" w:hanging="285"/>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448" w:hanging="285"/>
      </w:pPr>
      <w:rPr>
        <w:rFonts w:hint="default"/>
        <w:lang w:val="en-US" w:eastAsia="en-US" w:bidi="ar-SA"/>
      </w:rPr>
    </w:lvl>
    <w:lvl w:ilvl="2">
      <w:start w:val="0"/>
      <w:numFmt w:val="bullet"/>
      <w:lvlText w:val="•"/>
      <w:lvlJc w:val="left"/>
      <w:pPr>
        <w:ind w:left="3456" w:hanging="285"/>
      </w:pPr>
      <w:rPr>
        <w:rFonts w:hint="default"/>
        <w:lang w:val="en-US" w:eastAsia="en-US" w:bidi="ar-SA"/>
      </w:rPr>
    </w:lvl>
    <w:lvl w:ilvl="3">
      <w:start w:val="0"/>
      <w:numFmt w:val="bullet"/>
      <w:lvlText w:val="•"/>
      <w:lvlJc w:val="left"/>
      <w:pPr>
        <w:ind w:left="4464" w:hanging="285"/>
      </w:pPr>
      <w:rPr>
        <w:rFonts w:hint="default"/>
        <w:lang w:val="en-US" w:eastAsia="en-US" w:bidi="ar-SA"/>
      </w:rPr>
    </w:lvl>
    <w:lvl w:ilvl="4">
      <w:start w:val="0"/>
      <w:numFmt w:val="bullet"/>
      <w:lvlText w:val="•"/>
      <w:lvlJc w:val="left"/>
      <w:pPr>
        <w:ind w:left="5472" w:hanging="285"/>
      </w:pPr>
      <w:rPr>
        <w:rFonts w:hint="default"/>
        <w:lang w:val="en-US" w:eastAsia="en-US" w:bidi="ar-SA"/>
      </w:rPr>
    </w:lvl>
    <w:lvl w:ilvl="5">
      <w:start w:val="0"/>
      <w:numFmt w:val="bullet"/>
      <w:lvlText w:val="•"/>
      <w:lvlJc w:val="left"/>
      <w:pPr>
        <w:ind w:left="6480" w:hanging="285"/>
      </w:pPr>
      <w:rPr>
        <w:rFonts w:hint="default"/>
        <w:lang w:val="en-US" w:eastAsia="en-US" w:bidi="ar-SA"/>
      </w:rPr>
    </w:lvl>
    <w:lvl w:ilvl="6">
      <w:start w:val="0"/>
      <w:numFmt w:val="bullet"/>
      <w:lvlText w:val="•"/>
      <w:lvlJc w:val="left"/>
      <w:pPr>
        <w:ind w:left="7488" w:hanging="285"/>
      </w:pPr>
      <w:rPr>
        <w:rFonts w:hint="default"/>
        <w:lang w:val="en-US" w:eastAsia="en-US" w:bidi="ar-SA"/>
      </w:rPr>
    </w:lvl>
    <w:lvl w:ilvl="7">
      <w:start w:val="0"/>
      <w:numFmt w:val="bullet"/>
      <w:lvlText w:val="•"/>
      <w:lvlJc w:val="left"/>
      <w:pPr>
        <w:ind w:left="8496" w:hanging="285"/>
      </w:pPr>
      <w:rPr>
        <w:rFonts w:hint="default"/>
        <w:lang w:val="en-US" w:eastAsia="en-US" w:bidi="ar-SA"/>
      </w:rPr>
    </w:lvl>
    <w:lvl w:ilvl="8">
      <w:start w:val="0"/>
      <w:numFmt w:val="bullet"/>
      <w:lvlText w:val="•"/>
      <w:lvlJc w:val="left"/>
      <w:pPr>
        <w:ind w:left="9504" w:hanging="285"/>
      </w:pPr>
      <w:rPr>
        <w:rFonts w:hint="default"/>
        <w:lang w:val="en-US" w:eastAsia="en-US" w:bidi="ar-SA"/>
      </w:rPr>
    </w:lvl>
  </w:abstractNum>
  <w:abstractNum w:abstractNumId="2">
    <w:multiLevelType w:val="hybridMultilevel"/>
    <w:lvl w:ilvl="0">
      <w:start w:val="0"/>
      <w:numFmt w:val="bullet"/>
      <w:lvlText w:val="•"/>
      <w:lvlJc w:val="left"/>
      <w:pPr>
        <w:ind w:left="986" w:hanging="122"/>
      </w:pPr>
      <w:rPr>
        <w:rFonts w:hint="default" w:ascii="Arial" w:hAnsi="Arial" w:eastAsia="Arial" w:cs="Arial"/>
        <w:b w:val="0"/>
        <w:bCs w:val="0"/>
        <w:i w:val="0"/>
        <w:iCs w:val="0"/>
        <w:spacing w:val="0"/>
        <w:w w:val="99"/>
        <w:sz w:val="20"/>
        <w:szCs w:val="20"/>
        <w:lang w:val="en-US" w:eastAsia="en-US" w:bidi="ar-SA"/>
      </w:rPr>
    </w:lvl>
    <w:lvl w:ilvl="1">
      <w:start w:val="0"/>
      <w:numFmt w:val="bullet"/>
      <w:lvlText w:val="•"/>
      <w:lvlJc w:val="left"/>
      <w:pPr>
        <w:ind w:left="1235" w:hanging="145"/>
      </w:pPr>
      <w:rPr>
        <w:rFonts w:hint="default" w:ascii="Times New Roman" w:hAnsi="Times New Roman" w:eastAsia="Times New Roman" w:cs="Times New Roman"/>
        <w:b w:val="0"/>
        <w:bCs w:val="0"/>
        <w:i w:val="0"/>
        <w:iCs w:val="0"/>
        <w:spacing w:val="0"/>
        <w:w w:val="100"/>
        <w:sz w:val="24"/>
        <w:szCs w:val="24"/>
        <w:lang w:val="en-US" w:eastAsia="en-US" w:bidi="ar-SA"/>
      </w:rPr>
    </w:lvl>
    <w:lvl w:ilvl="2">
      <w:start w:val="0"/>
      <w:numFmt w:val="bullet"/>
      <w:lvlText w:val="•"/>
      <w:lvlJc w:val="left"/>
      <w:pPr>
        <w:ind w:left="2382" w:hanging="145"/>
      </w:pPr>
      <w:rPr>
        <w:rFonts w:hint="default"/>
        <w:lang w:val="en-US" w:eastAsia="en-US" w:bidi="ar-SA"/>
      </w:rPr>
    </w:lvl>
    <w:lvl w:ilvl="3">
      <w:start w:val="0"/>
      <w:numFmt w:val="bullet"/>
      <w:lvlText w:val="•"/>
      <w:lvlJc w:val="left"/>
      <w:pPr>
        <w:ind w:left="3524" w:hanging="145"/>
      </w:pPr>
      <w:rPr>
        <w:rFonts w:hint="default"/>
        <w:lang w:val="en-US" w:eastAsia="en-US" w:bidi="ar-SA"/>
      </w:rPr>
    </w:lvl>
    <w:lvl w:ilvl="4">
      <w:start w:val="0"/>
      <w:numFmt w:val="bullet"/>
      <w:lvlText w:val="•"/>
      <w:lvlJc w:val="left"/>
      <w:pPr>
        <w:ind w:left="4666" w:hanging="145"/>
      </w:pPr>
      <w:rPr>
        <w:rFonts w:hint="default"/>
        <w:lang w:val="en-US" w:eastAsia="en-US" w:bidi="ar-SA"/>
      </w:rPr>
    </w:lvl>
    <w:lvl w:ilvl="5">
      <w:start w:val="0"/>
      <w:numFmt w:val="bullet"/>
      <w:lvlText w:val="•"/>
      <w:lvlJc w:val="left"/>
      <w:pPr>
        <w:ind w:left="5808" w:hanging="145"/>
      </w:pPr>
      <w:rPr>
        <w:rFonts w:hint="default"/>
        <w:lang w:val="en-US" w:eastAsia="en-US" w:bidi="ar-SA"/>
      </w:rPr>
    </w:lvl>
    <w:lvl w:ilvl="6">
      <w:start w:val="0"/>
      <w:numFmt w:val="bullet"/>
      <w:lvlText w:val="•"/>
      <w:lvlJc w:val="left"/>
      <w:pPr>
        <w:ind w:left="6951" w:hanging="145"/>
      </w:pPr>
      <w:rPr>
        <w:rFonts w:hint="default"/>
        <w:lang w:val="en-US" w:eastAsia="en-US" w:bidi="ar-SA"/>
      </w:rPr>
    </w:lvl>
    <w:lvl w:ilvl="7">
      <w:start w:val="0"/>
      <w:numFmt w:val="bullet"/>
      <w:lvlText w:val="•"/>
      <w:lvlJc w:val="left"/>
      <w:pPr>
        <w:ind w:left="8093" w:hanging="145"/>
      </w:pPr>
      <w:rPr>
        <w:rFonts w:hint="default"/>
        <w:lang w:val="en-US" w:eastAsia="en-US" w:bidi="ar-SA"/>
      </w:rPr>
    </w:lvl>
    <w:lvl w:ilvl="8">
      <w:start w:val="0"/>
      <w:numFmt w:val="bullet"/>
      <w:lvlText w:val="•"/>
      <w:lvlJc w:val="left"/>
      <w:pPr>
        <w:ind w:left="9235" w:hanging="145"/>
      </w:pPr>
      <w:rPr>
        <w:rFonts w:hint="default"/>
        <w:lang w:val="en-US" w:eastAsia="en-US" w:bidi="ar-SA"/>
      </w:rPr>
    </w:lvl>
  </w:abstractNum>
  <w:abstractNum w:abstractNumId="1">
    <w:multiLevelType w:val="hybridMultilevel"/>
    <w:lvl w:ilvl="0">
      <w:start w:val="0"/>
      <w:numFmt w:val="bullet"/>
      <w:lvlText w:val="•"/>
      <w:lvlJc w:val="left"/>
      <w:pPr>
        <w:ind w:left="1451" w:hanging="152"/>
      </w:pPr>
      <w:rPr>
        <w:rFonts w:hint="default" w:ascii="Arial" w:hAnsi="Arial" w:eastAsia="Arial" w:cs="Arial"/>
        <w:b w:val="0"/>
        <w:bCs w:val="0"/>
        <w:i w:val="0"/>
        <w:iCs w:val="0"/>
        <w:spacing w:val="0"/>
        <w:w w:val="99"/>
        <w:sz w:val="20"/>
        <w:szCs w:val="20"/>
        <w:lang w:val="en-US" w:eastAsia="en-US" w:bidi="ar-SA"/>
      </w:rPr>
    </w:lvl>
    <w:lvl w:ilvl="1">
      <w:start w:val="0"/>
      <w:numFmt w:val="bullet"/>
      <w:lvlText w:val="•"/>
      <w:lvlJc w:val="left"/>
      <w:pPr>
        <w:ind w:left="2466" w:hanging="152"/>
      </w:pPr>
      <w:rPr>
        <w:rFonts w:hint="default"/>
        <w:lang w:val="en-US" w:eastAsia="en-US" w:bidi="ar-SA"/>
      </w:rPr>
    </w:lvl>
    <w:lvl w:ilvl="2">
      <w:start w:val="0"/>
      <w:numFmt w:val="bullet"/>
      <w:lvlText w:val="•"/>
      <w:lvlJc w:val="left"/>
      <w:pPr>
        <w:ind w:left="3472" w:hanging="152"/>
      </w:pPr>
      <w:rPr>
        <w:rFonts w:hint="default"/>
        <w:lang w:val="en-US" w:eastAsia="en-US" w:bidi="ar-SA"/>
      </w:rPr>
    </w:lvl>
    <w:lvl w:ilvl="3">
      <w:start w:val="0"/>
      <w:numFmt w:val="bullet"/>
      <w:lvlText w:val="•"/>
      <w:lvlJc w:val="left"/>
      <w:pPr>
        <w:ind w:left="4478" w:hanging="152"/>
      </w:pPr>
      <w:rPr>
        <w:rFonts w:hint="default"/>
        <w:lang w:val="en-US" w:eastAsia="en-US" w:bidi="ar-SA"/>
      </w:rPr>
    </w:lvl>
    <w:lvl w:ilvl="4">
      <w:start w:val="0"/>
      <w:numFmt w:val="bullet"/>
      <w:lvlText w:val="•"/>
      <w:lvlJc w:val="left"/>
      <w:pPr>
        <w:ind w:left="5484" w:hanging="152"/>
      </w:pPr>
      <w:rPr>
        <w:rFonts w:hint="default"/>
        <w:lang w:val="en-US" w:eastAsia="en-US" w:bidi="ar-SA"/>
      </w:rPr>
    </w:lvl>
    <w:lvl w:ilvl="5">
      <w:start w:val="0"/>
      <w:numFmt w:val="bullet"/>
      <w:lvlText w:val="•"/>
      <w:lvlJc w:val="left"/>
      <w:pPr>
        <w:ind w:left="6490" w:hanging="152"/>
      </w:pPr>
      <w:rPr>
        <w:rFonts w:hint="default"/>
        <w:lang w:val="en-US" w:eastAsia="en-US" w:bidi="ar-SA"/>
      </w:rPr>
    </w:lvl>
    <w:lvl w:ilvl="6">
      <w:start w:val="0"/>
      <w:numFmt w:val="bullet"/>
      <w:lvlText w:val="•"/>
      <w:lvlJc w:val="left"/>
      <w:pPr>
        <w:ind w:left="7496" w:hanging="152"/>
      </w:pPr>
      <w:rPr>
        <w:rFonts w:hint="default"/>
        <w:lang w:val="en-US" w:eastAsia="en-US" w:bidi="ar-SA"/>
      </w:rPr>
    </w:lvl>
    <w:lvl w:ilvl="7">
      <w:start w:val="0"/>
      <w:numFmt w:val="bullet"/>
      <w:lvlText w:val="•"/>
      <w:lvlJc w:val="left"/>
      <w:pPr>
        <w:ind w:left="8502" w:hanging="152"/>
      </w:pPr>
      <w:rPr>
        <w:rFonts w:hint="default"/>
        <w:lang w:val="en-US" w:eastAsia="en-US" w:bidi="ar-SA"/>
      </w:rPr>
    </w:lvl>
    <w:lvl w:ilvl="8">
      <w:start w:val="0"/>
      <w:numFmt w:val="bullet"/>
      <w:lvlText w:val="•"/>
      <w:lvlJc w:val="left"/>
      <w:pPr>
        <w:ind w:left="9508" w:hanging="152"/>
      </w:pPr>
      <w:rPr>
        <w:rFonts w:hint="default"/>
        <w:lang w:val="en-US" w:eastAsia="en-US" w:bidi="ar-SA"/>
      </w:rPr>
    </w:lvl>
  </w:abstractNum>
  <w:abstractNum w:abstractNumId="0">
    <w:multiLevelType w:val="hybridMultilevel"/>
    <w:lvl w:ilvl="0">
      <w:start w:val="0"/>
      <w:numFmt w:val="bullet"/>
      <w:lvlText w:val="•"/>
      <w:lvlJc w:val="left"/>
      <w:pPr>
        <w:ind w:left="1213" w:hanging="122"/>
      </w:pPr>
      <w:rPr>
        <w:rFonts w:hint="default" w:ascii="Arial" w:hAnsi="Arial" w:eastAsia="Arial" w:cs="Arial"/>
        <w:b w:val="0"/>
        <w:bCs w:val="0"/>
        <w:i w:val="0"/>
        <w:iCs w:val="0"/>
        <w:spacing w:val="0"/>
        <w:w w:val="99"/>
        <w:sz w:val="20"/>
        <w:szCs w:val="20"/>
        <w:lang w:val="en-US" w:eastAsia="en-US" w:bidi="ar-SA"/>
      </w:rPr>
    </w:lvl>
    <w:lvl w:ilvl="1">
      <w:start w:val="0"/>
      <w:numFmt w:val="bullet"/>
      <w:lvlText w:val="•"/>
      <w:lvlJc w:val="left"/>
      <w:pPr>
        <w:ind w:left="2250" w:hanging="122"/>
      </w:pPr>
      <w:rPr>
        <w:rFonts w:hint="default"/>
        <w:lang w:val="en-US" w:eastAsia="en-US" w:bidi="ar-SA"/>
      </w:rPr>
    </w:lvl>
    <w:lvl w:ilvl="2">
      <w:start w:val="0"/>
      <w:numFmt w:val="bullet"/>
      <w:lvlText w:val="•"/>
      <w:lvlJc w:val="left"/>
      <w:pPr>
        <w:ind w:left="3280" w:hanging="122"/>
      </w:pPr>
      <w:rPr>
        <w:rFonts w:hint="default"/>
        <w:lang w:val="en-US" w:eastAsia="en-US" w:bidi="ar-SA"/>
      </w:rPr>
    </w:lvl>
    <w:lvl w:ilvl="3">
      <w:start w:val="0"/>
      <w:numFmt w:val="bullet"/>
      <w:lvlText w:val="•"/>
      <w:lvlJc w:val="left"/>
      <w:pPr>
        <w:ind w:left="4310" w:hanging="122"/>
      </w:pPr>
      <w:rPr>
        <w:rFonts w:hint="default"/>
        <w:lang w:val="en-US" w:eastAsia="en-US" w:bidi="ar-SA"/>
      </w:rPr>
    </w:lvl>
    <w:lvl w:ilvl="4">
      <w:start w:val="0"/>
      <w:numFmt w:val="bullet"/>
      <w:lvlText w:val="•"/>
      <w:lvlJc w:val="left"/>
      <w:pPr>
        <w:ind w:left="5340" w:hanging="122"/>
      </w:pPr>
      <w:rPr>
        <w:rFonts w:hint="default"/>
        <w:lang w:val="en-US" w:eastAsia="en-US" w:bidi="ar-SA"/>
      </w:rPr>
    </w:lvl>
    <w:lvl w:ilvl="5">
      <w:start w:val="0"/>
      <w:numFmt w:val="bullet"/>
      <w:lvlText w:val="•"/>
      <w:lvlJc w:val="left"/>
      <w:pPr>
        <w:ind w:left="6370" w:hanging="122"/>
      </w:pPr>
      <w:rPr>
        <w:rFonts w:hint="default"/>
        <w:lang w:val="en-US" w:eastAsia="en-US" w:bidi="ar-SA"/>
      </w:rPr>
    </w:lvl>
    <w:lvl w:ilvl="6">
      <w:start w:val="0"/>
      <w:numFmt w:val="bullet"/>
      <w:lvlText w:val="•"/>
      <w:lvlJc w:val="left"/>
      <w:pPr>
        <w:ind w:left="7400" w:hanging="122"/>
      </w:pPr>
      <w:rPr>
        <w:rFonts w:hint="default"/>
        <w:lang w:val="en-US" w:eastAsia="en-US" w:bidi="ar-SA"/>
      </w:rPr>
    </w:lvl>
    <w:lvl w:ilvl="7">
      <w:start w:val="0"/>
      <w:numFmt w:val="bullet"/>
      <w:lvlText w:val="•"/>
      <w:lvlJc w:val="left"/>
      <w:pPr>
        <w:ind w:left="8430" w:hanging="122"/>
      </w:pPr>
      <w:rPr>
        <w:rFonts w:hint="default"/>
        <w:lang w:val="en-US" w:eastAsia="en-US" w:bidi="ar-SA"/>
      </w:rPr>
    </w:lvl>
    <w:lvl w:ilvl="8">
      <w:start w:val="0"/>
      <w:numFmt w:val="bullet"/>
      <w:lvlText w:val="•"/>
      <w:lvlJc w:val="left"/>
      <w:pPr>
        <w:ind w:left="9460" w:hanging="122"/>
      </w:pPr>
      <w:rPr>
        <w:rFonts w:hint="default"/>
        <w:lang w:val="en-US" w:eastAsia="en-US" w:bidi="ar-SA"/>
      </w:rPr>
    </w:lvl>
  </w:abstract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60"/>
      <w:ind w:left="701"/>
    </w:pPr>
    <w:rPr>
      <w:rFonts w:ascii="Times New Roman" w:hAnsi="Times New Roman" w:eastAsia="Times New Roman" w:cs="Times New Roman"/>
      <w:sz w:val="20"/>
      <w:szCs w:val="20"/>
      <w:lang w:val="en-US" w:eastAsia="en-US" w:bidi="ar-SA"/>
    </w:rPr>
  </w:style>
  <w:style w:styleId="TOC2" w:type="paragraph">
    <w:name w:val="TOC 2"/>
    <w:basedOn w:val="Normal"/>
    <w:uiPriority w:val="1"/>
    <w:qFormat/>
    <w:pPr>
      <w:ind w:left="1151"/>
    </w:pPr>
    <w:rPr>
      <w:rFonts w:ascii="Times New Roman" w:hAnsi="Times New Roman" w:eastAsia="Times New Roman" w:cs="Times New Roman"/>
      <w:i/>
      <w:iCs/>
      <w:sz w:val="20"/>
      <w:szCs w:val="20"/>
      <w:lang w:val="en-US" w:eastAsia="en-US" w:bidi="ar-SA"/>
    </w:rPr>
  </w:style>
  <w:style w:styleId="TOC3" w:type="paragraph">
    <w:name w:val="TOC 3"/>
    <w:basedOn w:val="Normal"/>
    <w:uiPriority w:val="1"/>
    <w:qFormat/>
    <w:pPr>
      <w:ind w:left="1201"/>
    </w:pPr>
    <w:rPr>
      <w:rFonts w:ascii="Times New Roman" w:hAnsi="Times New Roman" w:eastAsia="Times New Roman" w:cs="Times New Roman"/>
      <w:i/>
      <w:iCs/>
      <w:sz w:val="20"/>
      <w:szCs w:val="20"/>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61"/>
      <w:ind w:left="1301"/>
      <w:outlineLvl w:val="1"/>
    </w:pPr>
    <w:rPr>
      <w:rFonts w:ascii="Times New Roman" w:hAnsi="Times New Roman" w:eastAsia="Times New Roman" w:cs="Times New Roman"/>
      <w:b/>
      <w:bCs/>
      <w:sz w:val="32"/>
      <w:szCs w:val="32"/>
      <w:lang w:val="en-US" w:eastAsia="en-US" w:bidi="ar-SA"/>
    </w:rPr>
  </w:style>
  <w:style w:styleId="Heading2" w:type="paragraph">
    <w:name w:val="Heading 2"/>
    <w:basedOn w:val="Normal"/>
    <w:uiPriority w:val="1"/>
    <w:qFormat/>
    <w:pPr>
      <w:spacing w:before="60"/>
      <w:ind w:left="779" w:right="1381"/>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spacing w:before="60"/>
      <w:ind w:right="1191"/>
      <w:jc w:val="center"/>
      <w:outlineLvl w:val="3"/>
    </w:pPr>
    <w:rPr>
      <w:rFonts w:ascii="Times New Roman" w:hAnsi="Times New Roman" w:eastAsia="Times New Roman" w:cs="Times New Roman"/>
      <w:b/>
      <w:bCs/>
      <w:sz w:val="28"/>
      <w:szCs w:val="28"/>
      <w:lang w:val="en-US" w:eastAsia="en-US" w:bidi="ar-SA"/>
    </w:rPr>
  </w:style>
  <w:style w:styleId="Heading4" w:type="paragraph">
    <w:name w:val="Heading 4"/>
    <w:basedOn w:val="Normal"/>
    <w:uiPriority w:val="1"/>
    <w:qFormat/>
    <w:pPr>
      <w:ind w:left="723"/>
      <w:outlineLvl w:val="4"/>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1212" w:hanging="121"/>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oter" Target="footer1.xml"/><Relationship Id="rId8" Type="http://schemas.openxmlformats.org/officeDocument/2006/relationships/hyperlink" Target="mailto:albinssonpa@appstate.edu" TargetMode="External"/><Relationship Id="rId9" Type="http://schemas.openxmlformats.org/officeDocument/2006/relationships/hyperlink" Target="mailto:Lucie.ozanne@canterbury.ac.nz" TargetMode="External"/><Relationship Id="rId10" Type="http://schemas.openxmlformats.org/officeDocument/2006/relationships/hyperlink" Target="mailto:mohan.menon@ung.edu" TargetMode="External"/><Relationship Id="rId11" Type="http://schemas.openxmlformats.org/officeDocument/2006/relationships/hyperlink" Target="https://wjla.com/news/local/open-container-bill-is-being-introduced-in-virginia" TargetMode="External"/><Relationship Id="rId12" Type="http://schemas.openxmlformats.org/officeDocument/2006/relationships/hyperlink" Target="https://doi.org/10.1177/00332941231164348" TargetMode="External"/><Relationship Id="rId13" Type="http://schemas.openxmlformats.org/officeDocument/2006/relationships/hyperlink" Target="https://www.newyorkfed.org/microeconomics/hhdc" TargetMode="External"/><Relationship Id="rId14" Type="http://schemas.openxmlformats.org/officeDocument/2006/relationships/hyperlink" Target="https://www.finder.com/credit-cards/drunk-shopping" TargetMode="External"/><Relationship Id="rId15" Type="http://schemas.openxmlformats.org/officeDocument/2006/relationships/hyperlink" Target="http://www.redditinc.com/policies/privacy" TargetMode="External"/><Relationship Id="rId16" Type="http://schemas.openxmlformats.org/officeDocument/2006/relationships/hyperlink" Target="https://www.healthyplace.com/addictions/shopping" TargetMode="External"/><Relationship Id="rId17" Type="http://schemas.openxmlformats.org/officeDocument/2006/relationships/footer" Target="footer2.xml"/><Relationship Id="rId18" Type="http://schemas.openxmlformats.org/officeDocument/2006/relationships/hyperlink" Target="mailto:iha@wcu.edu" TargetMode="External"/><Relationship Id="rId19" Type="http://schemas.openxmlformats.org/officeDocument/2006/relationships/footer" Target="footer3.xml"/><Relationship Id="rId20" Type="http://schemas.openxmlformats.org/officeDocument/2006/relationships/image" Target="media/image3.jpeg"/><Relationship Id="rId21" Type="http://schemas.openxmlformats.org/officeDocument/2006/relationships/image" Target="media/image4.jpeg"/><Relationship Id="rId22" Type="http://schemas.openxmlformats.org/officeDocument/2006/relationships/image" Target="media/image5.jpeg"/><Relationship Id="rId23" Type="http://schemas.openxmlformats.org/officeDocument/2006/relationships/image" Target="media/image6.jpeg"/><Relationship Id="rId24" Type="http://schemas.openxmlformats.org/officeDocument/2006/relationships/hyperlink" Target="https://www.cdc.gov/places" TargetMode="External"/><Relationship Id="rId25" Type="http://schemas.openxmlformats.org/officeDocument/2006/relationships/hyperlink" Target="https://www.cdc.gov/chronicdisease" TargetMode="External"/><Relationship Id="rId26" Type="http://schemas.openxmlformats.org/officeDocument/2006/relationships/hyperlink" Target="https://datacommons.org/" TargetMode="External"/><Relationship Id="rId27" Type="http://schemas.openxmlformats.org/officeDocument/2006/relationships/hyperlink" Target="https://data.hrsa.gov/" TargetMode="External"/><Relationship Id="rId28" Type="http://schemas.openxmlformats.org/officeDocument/2006/relationships/hyperlink" Target="https://www.tn.gov/health" TargetMode="External"/><Relationship Id="rId29" Type="http://schemas.openxmlformats.org/officeDocument/2006/relationships/hyperlink" Target="https://www.tn.gov/tema" TargetMode="External"/><Relationship Id="rId30" Type="http://schemas.openxmlformats.org/officeDocument/2006/relationships/hyperlink" Target="https://www.census.gov/" TargetMode="External"/><Relationship Id="rId31" Type="http://schemas.openxmlformats.org/officeDocument/2006/relationships/hyperlink" Target="https://www.who.int/news-room/fact-sheets/detail/noncommunicable-diseases" TargetMode="External"/><Relationship Id="rId32" Type="http://schemas.openxmlformats.org/officeDocument/2006/relationships/hyperlink" Target="https://learn.microsoft.com/power-bi" TargetMode="External"/><Relationship Id="rId33" Type="http://schemas.openxmlformats.org/officeDocument/2006/relationships/footer" Target="footer4.xml"/><Relationship Id="rId34" Type="http://schemas.openxmlformats.org/officeDocument/2006/relationships/hyperlink" Target="mailto:benoitid@appstate.edu" TargetMode="External"/><Relationship Id="rId35" Type="http://schemas.openxmlformats.org/officeDocument/2006/relationships/hyperlink" Target="mailto:kordrostami@rowan.edu" TargetMode="External"/><Relationship Id="rId36" Type="http://schemas.openxmlformats.org/officeDocument/2006/relationships/hyperlink" Target="mailto:cturedi@pnw.edu" TargetMode="External"/><Relationship Id="rId37" Type="http://schemas.openxmlformats.org/officeDocument/2006/relationships/footer" Target="footer5.xml"/><Relationship Id="rId38" Type="http://schemas.openxmlformats.org/officeDocument/2006/relationships/hyperlink" Target="mailto:dbradbury@wcu.edu" TargetMode="External"/><Relationship Id="rId39" Type="http://schemas.openxmlformats.org/officeDocument/2006/relationships/hyperlink" Target="mailto:whiteb@wcu.edu" TargetMode="External"/><Relationship Id="rId40" Type="http://schemas.openxmlformats.org/officeDocument/2006/relationships/hyperlink" Target="mailto:agrube@wcu.edu" TargetMode="External"/><Relationship Id="rId41" Type="http://schemas.openxmlformats.org/officeDocument/2006/relationships/hyperlink" Target="https://www.psu.edu/news/lehigh-valley/story/campus-experts" TargetMode="External"/><Relationship Id="rId42" Type="http://schemas.openxmlformats.org/officeDocument/2006/relationships/hyperlink" Target="https://www.insidehighered.com/news/faculty-issues/teaching/2026/01/21/survey" TargetMode="External"/><Relationship Id="rId43" Type="http://schemas.openxmlformats.org/officeDocument/2006/relationships/hyperlink" Target="https://www.nbcnews.com/politics/politics" TargetMode="External"/><Relationship Id="rId44" Type="http://schemas.openxmlformats.org/officeDocument/2006/relationships/hyperlink" Target="https://www.cbsnews.com/news/linked-in-ai-and-jobs/" TargetMode="External"/><Relationship Id="rId45" Type="http://schemas.openxmlformats.org/officeDocument/2006/relationships/hyperlink" Target="mailto:Faye_briggs@mymail.eku.edu" TargetMode="External"/><Relationship Id="rId46" Type="http://schemas.openxmlformats.org/officeDocument/2006/relationships/hyperlink" Target="mailto:Stephen.Shackelford@eku.edu" TargetMode="External"/><Relationship Id="rId47" Type="http://schemas.openxmlformats.org/officeDocument/2006/relationships/footer" Target="footer6.xml"/><Relationship Id="rId48" Type="http://schemas.openxmlformats.org/officeDocument/2006/relationships/hyperlink" Target="mailto:ray441189514@gmail.com" TargetMode="External"/><Relationship Id="rId49" Type="http://schemas.openxmlformats.org/officeDocument/2006/relationships/hyperlink" Target="mailto:nkuo@mail.nkuht.edu.tw" TargetMode="External"/><Relationship Id="rId50" Type="http://schemas.openxmlformats.org/officeDocument/2006/relationships/hyperlink" Target="mailto:ycheng@wcu.edu" TargetMode="External"/><Relationship Id="rId51" Type="http://schemas.openxmlformats.org/officeDocument/2006/relationships/hyperlink" Target="mailto:llv8n@umsystem.edu" TargetMode="External"/><Relationship Id="rId52" Type="http://schemas.openxmlformats.org/officeDocument/2006/relationships/footer" Target="footer7.xml"/><Relationship Id="rId53" Type="http://schemas.openxmlformats.org/officeDocument/2006/relationships/hyperlink" Target="mailto:zcollier@radford.edu" TargetMode="External"/><Relationship Id="rId54" Type="http://schemas.openxmlformats.org/officeDocument/2006/relationships/hyperlink" Target="mailto:dahender@radford.edu" TargetMode="External"/><Relationship Id="rId55" Type="http://schemas.openxmlformats.org/officeDocument/2006/relationships/image" Target="media/image7.png"/><Relationship Id="rId56" Type="http://schemas.openxmlformats.org/officeDocument/2006/relationships/hyperlink" Target="https://www.ey.com/en_ro/insights/assurance/why-ai-is-both-a-risk-and-a-way-to-manage-risk" TargetMode="External"/><Relationship Id="rId57" Type="http://schemas.openxmlformats.org/officeDocument/2006/relationships/hyperlink" Target="https://www.coso.org/artificial-intelligence" TargetMode="External"/><Relationship Id="rId58" Type="http://schemas.openxmlformats.org/officeDocument/2006/relationships/hyperlink" Target="https://www.coso.org/guidance-erm" TargetMode="External"/><Relationship Id="rId59" Type="http://schemas.openxmlformats.org/officeDocument/2006/relationships/hyperlink" Target="https://hbr.org/2025/09/ai-generated-workslop-is-destroying-productivity" TargetMode="External"/><Relationship Id="rId60" Type="http://schemas.openxmlformats.org/officeDocument/2006/relationships/hyperlink" Target="https://www.obsidiansecurity.com/blog/ai-security-risks" TargetMode="External"/><Relationship Id="rId61" Type="http://schemas.openxmlformats.org/officeDocument/2006/relationships/hyperlink" Target="https://www.gartner.com/en/articles/4-key-steps-to-build-a-strong-business-case-to" TargetMode="External"/><Relationship Id="rId62" Type="http://schemas.openxmlformats.org/officeDocument/2006/relationships/hyperlink" Target="https://www.mckinsey.com/capabilities/quantumblack/our-insights/the-state-of-ai" TargetMode="External"/><Relationship Id="rId63" Type="http://schemas.openxmlformats.org/officeDocument/2006/relationships/hyperlink" Target="https://blog.workday.com/en-us/ai-enterprise-risk-management-what-know-2025.html" TargetMode="External"/><Relationship Id="rId64" Type="http://schemas.openxmlformats.org/officeDocument/2006/relationships/footer" Target="footer8.xml"/><Relationship Id="rId65" Type="http://schemas.openxmlformats.org/officeDocument/2006/relationships/hyperlink" Target="mailto:guignetdb@appstate.edu" TargetMode="External"/><Relationship Id="rId66" Type="http://schemas.openxmlformats.org/officeDocument/2006/relationships/hyperlink" Target="mailto:cookkl4@appstate.edu" TargetMode="External"/><Relationship Id="rId67" Type="http://schemas.openxmlformats.org/officeDocument/2006/relationships/footer" Target="footer9.xml"/><Relationship Id="rId68" Type="http://schemas.openxmlformats.org/officeDocument/2006/relationships/image" Target="media/image8.jpeg"/><Relationship Id="rId69" Type="http://schemas.openxmlformats.org/officeDocument/2006/relationships/hyperlink" Target="mailto:custerbm@appstate.edu" TargetMode="External"/><Relationship Id="rId70" Type="http://schemas.openxmlformats.org/officeDocument/2006/relationships/hyperlink" Target="mailto:garnerbr@appstate.edu" TargetMode="External"/><Relationship Id="rId71" Type="http://schemas.openxmlformats.org/officeDocument/2006/relationships/hyperlink" Target="mailto:nandis1@appstate.edu" TargetMode="External"/><Relationship Id="rId72" Type="http://schemas.openxmlformats.org/officeDocument/2006/relationships/hyperlink" Target="mailto:James.Kirby.Easterling@eku.edu" TargetMode="External"/><Relationship Id="rId73" Type="http://schemas.openxmlformats.org/officeDocument/2006/relationships/hyperlink" Target="mailto:jacob_haas11@mymail.eku.edu" TargetMode="External"/><Relationship Id="rId74" Type="http://schemas.openxmlformats.org/officeDocument/2006/relationships/image" Target="media/image9.jpeg"/><Relationship Id="rId75" Type="http://schemas.openxmlformats.org/officeDocument/2006/relationships/image" Target="media/image10.jpeg"/><Relationship Id="rId76" Type="http://schemas.openxmlformats.org/officeDocument/2006/relationships/image" Target="media/image11.jpeg"/><Relationship Id="rId77" Type="http://schemas.openxmlformats.org/officeDocument/2006/relationships/image" Target="media/image12.jpeg"/><Relationship Id="rId78" Type="http://schemas.openxmlformats.org/officeDocument/2006/relationships/image" Target="media/image13.jpeg"/><Relationship Id="rId79" Type="http://schemas.openxmlformats.org/officeDocument/2006/relationships/hyperlink" Target="https://doi-org.libproxy.eku.edu/10.1111/ecin.13043" TargetMode="External"/><Relationship Id="rId80" Type="http://schemas.openxmlformats.org/officeDocument/2006/relationships/hyperlink" Target="https://doi-org.libproxy.eku.edu/10.3390/info15100601" TargetMode="External"/><Relationship Id="rId81" Type="http://schemas.openxmlformats.org/officeDocument/2006/relationships/hyperlink" Target="https://doi/" TargetMode="External"/><Relationship Id="rId82" Type="http://schemas.openxmlformats.org/officeDocument/2006/relationships/hyperlink" Target="https://doi-org.libproxy.eku.edu/10.1371/journal.pone.0313204" TargetMode="External"/><Relationship Id="rId83" Type="http://schemas.openxmlformats.org/officeDocument/2006/relationships/hyperlink" Target="mailto:pruitter@appstate.edu" TargetMode="External"/><Relationship Id="rId84" Type="http://schemas.openxmlformats.org/officeDocument/2006/relationships/hyperlink" Target="mailto:brewerll@appstate.edu" TargetMode="External"/><Relationship Id="rId85" Type="http://schemas.openxmlformats.org/officeDocument/2006/relationships/image" Target="media/image14.jpeg"/><Relationship Id="rId86" Type="http://schemas.openxmlformats.org/officeDocument/2006/relationships/hyperlink" Target="mailto:hfulk@wcu.edu" TargetMode="External"/><Relationship Id="rId87" Type="http://schemas.openxmlformats.org/officeDocument/2006/relationships/hyperlink" Target="mailto:akdills@wcu.edu" TargetMode="External"/><Relationship Id="rId88" Type="http://schemas.openxmlformats.org/officeDocument/2006/relationships/hyperlink" Target="mailto:ckirkland@wcu.edu" TargetMode="External"/><Relationship Id="rId89" Type="http://schemas.openxmlformats.org/officeDocument/2006/relationships/hyperlink" Target="mailto:mglopez@wcu.edu" TargetMode="External"/><Relationship Id="rId90" Type="http://schemas.openxmlformats.org/officeDocument/2006/relationships/hyperlink" Target="mailto:jgiordano@wcu.edu" TargetMode="External"/><Relationship Id="rId91" Type="http://schemas.openxmlformats.org/officeDocument/2006/relationships/hyperlink" Target="mailto:malimohammadirokni@wcu.ed" TargetMode="External"/><Relationship Id="rId92" Type="http://schemas.openxmlformats.org/officeDocument/2006/relationships/hyperlink" Target="mailto:ycai@wcu.edu" TargetMode="External"/><Relationship Id="rId93" Type="http://schemas.openxmlformats.org/officeDocument/2006/relationships/hyperlink" Target="mailto:ethompson@wcu.edu" TargetMode="External"/><Relationship Id="rId94" Type="http://schemas.openxmlformats.org/officeDocument/2006/relationships/hyperlink" Target="mailto:larger@wcu.edu" TargetMode="External"/><Relationship Id="rId95" Type="http://schemas.openxmlformats.org/officeDocument/2006/relationships/hyperlink" Target="https://doi.org/10.1145/3313831.3376457" TargetMode="External"/><Relationship Id="rId96" Type="http://schemas.openxmlformats.org/officeDocument/2006/relationships/hyperlink" Target="https://doi.org/10.54615/2231-7805.47252" TargetMode="External"/><Relationship Id="rId97" Type="http://schemas.openxmlformats.org/officeDocument/2006/relationships/hyperlink" Target="https://doi.org/10.1145/3173574.3174030" TargetMode="External"/><Relationship Id="rId98" Type="http://schemas.openxmlformats.org/officeDocument/2006/relationships/hyperlink" Target="https://doi.org/10.1007/978-3-662-64331-0_21" TargetMode="External"/><Relationship Id="rId99" Type="http://schemas.openxmlformats.org/officeDocument/2006/relationships/hyperlink" Target="https://doi.org/10.1109/CIC48465.2019.00043" TargetMode="External"/><Relationship Id="rId100" Type="http://schemas.openxmlformats.org/officeDocument/2006/relationships/hyperlink" Target="https://doi.org/10.1109/EUROSPW.2019.00020" TargetMode="External"/><Relationship Id="rId101" Type="http://schemas.openxmlformats.org/officeDocument/2006/relationships/hyperlink" Target="https://doi.org/10.2139/ssrn.4669442" TargetMode="External"/><Relationship Id="rId102" Type="http://schemas.openxmlformats.org/officeDocument/2006/relationships/hyperlink" Target="https://doi.org/10.48550/arxiv.2308.08096" TargetMode="External"/><Relationship Id="rId103" Type="http://schemas.openxmlformats.org/officeDocument/2006/relationships/hyperlink" Target="https://doi.org/10.1145/3134600.3134629" TargetMode="External"/><Relationship Id="rId104" Type="http://schemas.openxmlformats.org/officeDocument/2006/relationships/hyperlink" Target="mailto:graysb@appstate.edu" TargetMode="External"/><Relationship Id="rId105" Type="http://schemas.openxmlformats.org/officeDocument/2006/relationships/hyperlink" Target="https://doi.org/10.1177/014920639101700108" TargetMode="External"/><Relationship Id="rId106" Type="http://schemas.openxmlformats.org/officeDocument/2006/relationships/hyperlink" Target="https://doi.org/10.2307/259327" TargetMode="External"/><Relationship Id="rId107" Type="http://schemas.openxmlformats.org/officeDocument/2006/relationships/hyperlink" Target="https://doi.org/10.1177/0149206310388419" TargetMode="External"/><Relationship Id="rId108" Type="http://schemas.openxmlformats.org/officeDocument/2006/relationships/hyperlink" Target="https://doi.org/10.1007/978-3-540-70818-6_14" TargetMode="External"/><Relationship Id="rId109" Type="http://schemas.openxmlformats.org/officeDocument/2006/relationships/hyperlink" Target="https://doi.org/10.2307/3069334" TargetMode="External"/><Relationship Id="rId110" Type="http://schemas.openxmlformats.org/officeDocument/2006/relationships/hyperlink" Target="https://doi.org/10.1111/j.1745-6622.2001.tb00434.x" TargetMode="External"/><Relationship Id="rId111" Type="http://schemas.openxmlformats.org/officeDocument/2006/relationships/hyperlink" Target="https://doi.org/10.1007/s10551-011-0886-x" TargetMode="External"/><Relationship Id="rId112" Type="http://schemas.openxmlformats.org/officeDocument/2006/relationships/hyperlink" Target="https://doi.org/10.1016/j.jacceco.2008.02.003" TargetMode="External"/><Relationship Id="rId113" Type="http://schemas.openxmlformats.org/officeDocument/2006/relationships/hyperlink" Target="https://doi.org/10.5465/amj.2014.0847" TargetMode="External"/><Relationship Id="rId114" Type="http://schemas.openxmlformats.org/officeDocument/2006/relationships/hyperlink" Target="https://doi.org/10.1037/a0030723" TargetMode="External"/><Relationship Id="rId115" Type="http://schemas.openxmlformats.org/officeDocument/2006/relationships/hyperlink" Target="https://doi.org/10.1002/smj.4250140303" TargetMode="External"/><Relationship Id="rId116" Type="http://schemas.openxmlformats.org/officeDocument/2006/relationships/hyperlink" Target="https://doi.org/10.1002/smj.2025" TargetMode="External"/><Relationship Id="rId117" Type="http://schemas.openxmlformats.org/officeDocument/2006/relationships/hyperlink" Target="https://doi.org/10.2307/1882010" TargetMode="External"/><Relationship Id="rId118" Type="http://schemas.openxmlformats.org/officeDocument/2006/relationships/hyperlink" Target="https://doi.org/10.1002/smj.820" TargetMode="External"/><Relationship Id="rId119" Type="http://schemas.openxmlformats.org/officeDocument/2006/relationships/hyperlink" Target="https://doi.org/10.5465/amj.2016.5001" TargetMode="External"/><Relationship Id="rId120" Type="http://schemas.openxmlformats.org/officeDocument/2006/relationships/hyperlink" Target="https://doi.org/10.1177/014920630102700607" TargetMode="External"/><Relationship Id="rId121" Type="http://schemas.openxmlformats.org/officeDocument/2006/relationships/footer" Target="footer10.xml"/><Relationship Id="rId122" Type="http://schemas.openxmlformats.org/officeDocument/2006/relationships/hyperlink" Target="mailto:lhartman@wcu.edu" TargetMode="External"/><Relationship Id="rId123" Type="http://schemas.openxmlformats.org/officeDocument/2006/relationships/hyperlink" Target="mailto:jshaw5@ju.edu" TargetMode="External"/><Relationship Id="rId124" Type="http://schemas.openxmlformats.org/officeDocument/2006/relationships/hyperlink" Target="mailto:gordonj@wcu.edu" TargetMode="External"/><Relationship Id="rId125" Type="http://schemas.openxmlformats.org/officeDocument/2006/relationships/footer" Target="footer11.xml"/><Relationship Id="rId126" Type="http://schemas.openxmlformats.org/officeDocument/2006/relationships/hyperlink" Target="https://doi.org/10.1177/0894439319893305" TargetMode="External"/><Relationship Id="rId127" Type="http://schemas.openxmlformats.org/officeDocument/2006/relationships/hyperlink" Target="https://doi.org/10.3390/info15060365" TargetMode="External"/><Relationship Id="rId128" Type="http://schemas.openxmlformats.org/officeDocument/2006/relationships/hyperlink" Target="https://doi.org/10.1145/3613904" TargetMode="External"/><Relationship Id="rId129" Type="http://schemas.openxmlformats.org/officeDocument/2006/relationships/hyperlink" Target="https://doi.org/10.3389/fpsyg.2017.00097" TargetMode="External"/><Relationship Id="rId130" Type="http://schemas.openxmlformats.org/officeDocument/2006/relationships/hyperlink" Target="https://doi.org/10.1111/isj.12133" TargetMode="External"/><Relationship Id="rId131" Type="http://schemas.openxmlformats.org/officeDocument/2006/relationships/hyperlink" Target="https://doi.org/10.1609/icwsm.v8i1.14550" TargetMode="External"/><Relationship Id="rId132" Type="http://schemas.openxmlformats.org/officeDocument/2006/relationships/hyperlink" Target="https://doi.org/10.3390/app13042250" TargetMode="External"/><Relationship Id="rId133" Type="http://schemas.openxmlformats.org/officeDocument/2006/relationships/hyperlink" Target="https://doi.org/10.1080/19416520.2014.873177" TargetMode="External"/><Relationship Id="rId134" Type="http://schemas.openxmlformats.org/officeDocument/2006/relationships/hyperlink" Target="https://doi.org/10.1007/s12528-022-09317-2" TargetMode="External"/><Relationship Id="rId135" Type="http://schemas.openxmlformats.org/officeDocument/2006/relationships/hyperlink" Target="https://doi.org/10.1177/1609406919899220" TargetMode="External"/><Relationship Id="rId136" Type="http://schemas.openxmlformats.org/officeDocument/2006/relationships/hyperlink" Target="https://doi.org/10.1016/0007-6813(95)90054-3" TargetMode="External"/><Relationship Id="rId137" Type="http://schemas.openxmlformats.org/officeDocument/2006/relationships/hyperlink" Target="https://doi.org/10.1177/14614448211067259" TargetMode="External"/><Relationship Id="rId138" Type="http://schemas.openxmlformats.org/officeDocument/2006/relationships/hyperlink" Target="https://doi.org/10.1111/j.1468-2370.2010.00290.x" TargetMode="External"/><Relationship Id="rId139" Type="http://schemas.openxmlformats.org/officeDocument/2006/relationships/hyperlink" Target="https://doi.org/10.1371/journal.pone.0262529" TargetMode="External"/><Relationship Id="rId140" Type="http://schemas.openxmlformats.org/officeDocument/2006/relationships/hyperlink" Target="mailto:johnsontp2@appstate.edu" TargetMode="External"/><Relationship Id="rId141" Type="http://schemas.openxmlformats.org/officeDocument/2006/relationships/hyperlink" Target="mailto:lopez2jp@ucmail.uc.edu" TargetMode="External"/><Relationship Id="rId142" Type="http://schemas.openxmlformats.org/officeDocument/2006/relationships/image" Target="media/image15.jpeg"/><Relationship Id="rId143" Type="http://schemas.openxmlformats.org/officeDocument/2006/relationships/image" Target="media/image16.jpeg"/><Relationship Id="rId144" Type="http://schemas.openxmlformats.org/officeDocument/2006/relationships/image" Target="media/image17.jpeg"/><Relationship Id="rId145" Type="http://schemas.openxmlformats.org/officeDocument/2006/relationships/image" Target="media/image18.jpeg"/><Relationship Id="rId146" Type="http://schemas.openxmlformats.org/officeDocument/2006/relationships/image" Target="media/image19.jpeg"/><Relationship Id="rId147" Type="http://schemas.openxmlformats.org/officeDocument/2006/relationships/hyperlink" Target="mailto:jonesce18@appstate.edu" TargetMode="External"/><Relationship Id="rId148" Type="http://schemas.openxmlformats.org/officeDocument/2006/relationships/hyperlink" Target="mailto:stephen.jurich@eku.edu" TargetMode="External"/><Relationship Id="rId149" Type="http://schemas.openxmlformats.org/officeDocument/2006/relationships/image" Target="media/image20.jpeg"/><Relationship Id="rId150" Type="http://schemas.openxmlformats.org/officeDocument/2006/relationships/image" Target="media/image21.jpeg"/><Relationship Id="rId151" Type="http://schemas.openxmlformats.org/officeDocument/2006/relationships/image" Target="media/image22.png"/><Relationship Id="rId152" Type="http://schemas.openxmlformats.org/officeDocument/2006/relationships/image" Target="media/image23.png"/><Relationship Id="rId153" Type="http://schemas.openxmlformats.org/officeDocument/2006/relationships/image" Target="media/image24.png"/><Relationship Id="rId154" Type="http://schemas.openxmlformats.org/officeDocument/2006/relationships/image" Target="media/image25.png"/><Relationship Id="rId155" Type="http://schemas.openxmlformats.org/officeDocument/2006/relationships/footer" Target="footer12.xml"/><Relationship Id="rId156" Type="http://schemas.openxmlformats.org/officeDocument/2006/relationships/hyperlink" Target="mailto:kilgorekr@etsu.edu" TargetMode="External"/><Relationship Id="rId157" Type="http://schemas.openxmlformats.org/officeDocument/2006/relationships/hyperlink" Target="mailto:trainor@etsu.edu" TargetMode="External"/><Relationship Id="rId158" Type="http://schemas.openxmlformats.org/officeDocument/2006/relationships/footer" Target="footer13.xml"/><Relationship Id="rId159" Type="http://schemas.openxmlformats.org/officeDocument/2006/relationships/hyperlink" Target="mailto:mholmes@fsu.edu" TargetMode="External"/><Relationship Id="rId160" Type="http://schemas.openxmlformats.org/officeDocument/2006/relationships/hyperlink" Target="mailto:hrousseau@fsu.edu" TargetMode="External"/><Relationship Id="rId161" Type="http://schemas.openxmlformats.org/officeDocument/2006/relationships/hyperlink" Target="mailto:laneperry@wcu.edu" TargetMode="External"/><Relationship Id="rId162" Type="http://schemas.openxmlformats.org/officeDocument/2006/relationships/hyperlink" Target="mailto:rjlahm@wcu.edu" TargetMode="External"/><Relationship Id="rId163" Type="http://schemas.openxmlformats.org/officeDocument/2006/relationships/hyperlink" Target="mailto:bdarden@wcu.edu" TargetMode="External"/><Relationship Id="rId164" Type="http://schemas.openxmlformats.org/officeDocument/2006/relationships/hyperlink" Target="https://401kspecialistmag.com/401k-balances-up-in-2023-but-so-are-hardship" TargetMode="External"/><Relationship Id="rId165" Type="http://schemas.openxmlformats.org/officeDocument/2006/relationships/hyperlink" Target="https://doi.org/10.1016/j.jbvi.2023.e00394" TargetMode="External"/><Relationship Id="rId166" Type="http://schemas.openxmlformats.org/officeDocument/2006/relationships/hyperlink" Target="https://doi.org/10.5465/AMP.2006.19873412" TargetMode="External"/><Relationship Id="rId167" Type="http://schemas.openxmlformats.org/officeDocument/2006/relationships/hyperlink" Target="https://www.challengergray.com/wp" TargetMode="External"/><Relationship Id="rId168" Type="http://schemas.openxmlformats.org/officeDocument/2006/relationships/hyperlink" Target="https://www.bls.gov/opub/ted/2022/consumer" TargetMode="External"/><Relationship Id="rId169" Type="http://schemas.openxmlformats.org/officeDocument/2006/relationships/hyperlink" Target="https://www.reuters.com/markets/us/ai-boom-fed-rate-cuts-lift-us-stocks-new-highs" TargetMode="External"/><Relationship Id="rId170" Type="http://schemas.openxmlformats.org/officeDocument/2006/relationships/hyperlink" Target="https://doi.org/10.1016/j.jbusvent.2015.01.002" TargetMode="External"/><Relationship Id="rId171" Type="http://schemas.openxmlformats.org/officeDocument/2006/relationships/hyperlink" Target="https://news.harvard.edu/gazette/story/2025/02/is-ai-already-shaking-up-labor-market-a" TargetMode="External"/><Relationship Id="rId172" Type="http://schemas.openxmlformats.org/officeDocument/2006/relationships/hyperlink" Target="https://www.mckinsey.com/mgi/our-research/generative-ai-and-the-future-of-work-in" TargetMode="External"/><Relationship Id="rId173" Type="http://schemas.openxmlformats.org/officeDocument/2006/relationships/hyperlink" Target="https://docs.iza.org/dp17055.pdf" TargetMode="External"/><Relationship Id="rId174" Type="http://schemas.openxmlformats.org/officeDocument/2006/relationships/hyperlink" Target="https://www.newyorkfed.org/medialibrary/interactives/householdcredit/data/pdf/HHDC_" TargetMode="External"/><Relationship Id="rId175" Type="http://schemas.openxmlformats.org/officeDocument/2006/relationships/hyperlink" Target="https://www.iedconline.org/clientuploads/EDRP%20Logos/AI_Impact_on_Labor_Marke" TargetMode="External"/><Relationship Id="rId176" Type="http://schemas.openxmlformats.org/officeDocument/2006/relationships/hyperlink" Target="https://www.aabri.com/manuscripts/243814.pdf" TargetMode="External"/><Relationship Id="rId177" Type="http://schemas.openxmlformats.org/officeDocument/2006/relationships/hyperlink" Target="https://bipartisanpolicy.org/explainer/what-does-the-one-big-beautiful-bill-cost/" TargetMode="External"/><Relationship Id="rId178" Type="http://schemas.openxmlformats.org/officeDocument/2006/relationships/hyperlink" Target="https://doi.org/10.1108/JSBED-10-2022-0439" TargetMode="External"/><Relationship Id="rId179" Type="http://schemas.openxmlformats.org/officeDocument/2006/relationships/hyperlink" Target="https://doi.org/10.1016/j.jbvi.2025.e00553" TargetMode="External"/><Relationship Id="rId180" Type="http://schemas.openxmlformats.org/officeDocument/2006/relationships/hyperlink" Target="https://doi.org/10.1111/j.0000-0000.2011.01026.x" TargetMode="External"/><Relationship Id="rId181" Type="http://schemas.openxmlformats.org/officeDocument/2006/relationships/hyperlink" Target="https://doi.org/10.4337/9781848440197" TargetMode="External"/><Relationship Id="rId182" Type="http://schemas.openxmlformats.org/officeDocument/2006/relationships/hyperlink" Target="https://www.jpmorgan.com/insights/current-events/supply-chain/supply" TargetMode="External"/><Relationship Id="rId183" Type="http://schemas.openxmlformats.org/officeDocument/2006/relationships/hyperlink" Target="https://www.uschamber.com/economy/small" TargetMode="External"/><Relationship Id="rId184" Type="http://schemas.openxmlformats.org/officeDocument/2006/relationships/hyperlink" Target="https://www.bea.gov/news/2025/us-international-investment" TargetMode="External"/><Relationship Id="rId185" Type="http://schemas.openxmlformats.org/officeDocument/2006/relationships/hyperlink" Target="https://www.deloitte.com/us/en/insights/topics/economy/us-economic" TargetMode="External"/><Relationship Id="rId186" Type="http://schemas.openxmlformats.org/officeDocument/2006/relationships/footer" Target="footer14.xml"/><Relationship Id="rId187" Type="http://schemas.openxmlformats.org/officeDocument/2006/relationships/hyperlink" Target="mailto:lawsonsj1@appstate.edu" TargetMode="External"/><Relationship Id="rId188" Type="http://schemas.openxmlformats.org/officeDocument/2006/relationships/hyperlink" Target="mailto:magriff3@uncg.edu" TargetMode="External"/><Relationship Id="rId189" Type="http://schemas.openxmlformats.org/officeDocument/2006/relationships/hyperlink" Target="mailto:bperera@brocku.ca" TargetMode="External"/><Relationship Id="rId190" Type="http://schemas.openxmlformats.org/officeDocument/2006/relationships/footer" Target="footer15.xml"/><Relationship Id="rId191" Type="http://schemas.openxmlformats.org/officeDocument/2006/relationships/hyperlink" Target="https://www.selfgrowth.com/articles/The_Body_Double.html" TargetMode="External"/><Relationship Id="rId192" Type="http://schemas.openxmlformats.org/officeDocument/2006/relationships/hyperlink" Target="https://www.forbes.com/sites/williamarruda/2025/04/28/body-doublingthe-productivity-hack" TargetMode="External"/><Relationship Id="rId193" Type="http://schemas.openxmlformats.org/officeDocument/2006/relationships/hyperlink" Target="https://www.healthline.com/health/adhd/body-double-adhd" TargetMode="External"/><Relationship Id="rId194" Type="http://schemas.openxmlformats.org/officeDocument/2006/relationships/hyperlink" Target="mailto:Verdun@etsu.edu" TargetMode="External"/><Relationship Id="rId195" Type="http://schemas.openxmlformats.org/officeDocument/2006/relationships/hyperlink" Target="mailto:lehrfeld@etsu.edu" TargetMode="External"/><Relationship Id="rId196" Type="http://schemas.openxmlformats.org/officeDocument/2006/relationships/image" Target="media/image26.jpeg"/><Relationship Id="rId197" Type="http://schemas.openxmlformats.org/officeDocument/2006/relationships/image" Target="media/image27.jpeg"/><Relationship Id="rId198" Type="http://schemas.openxmlformats.org/officeDocument/2006/relationships/image" Target="media/image28.jpeg"/><Relationship Id="rId199" Type="http://schemas.openxmlformats.org/officeDocument/2006/relationships/footer" Target="footer16.xml"/><Relationship Id="rId200" Type="http://schemas.openxmlformats.org/officeDocument/2006/relationships/image" Target="media/image29.jpeg"/><Relationship Id="rId201" Type="http://schemas.openxmlformats.org/officeDocument/2006/relationships/image" Target="media/image30.jpeg"/><Relationship Id="rId202" Type="http://schemas.openxmlformats.org/officeDocument/2006/relationships/image" Target="media/image31.jpeg"/><Relationship Id="rId203" Type="http://schemas.openxmlformats.org/officeDocument/2006/relationships/hyperlink" Target="https://apps.dtic.mil/sti/trecms/pdf/AD1102884.pdf" TargetMode="External"/><Relationship Id="rId204" Type="http://schemas.openxmlformats.org/officeDocument/2006/relationships/hyperlink" Target="https://www.cisa.gov/sites/default/files/recommended_practices/NCCIC_ICS" TargetMode="External"/><Relationship Id="rId205" Type="http://schemas.openxmlformats.org/officeDocument/2006/relationships/hyperlink" Target="https://www.theregister.com/2022/10/12/drone-roof-attack/" TargetMode="External"/><Relationship Id="rId206" Type="http://schemas.openxmlformats.org/officeDocument/2006/relationships/hyperlink" Target="https://www.dji.com/mini-4-pro/specs" TargetMode="External"/><Relationship Id="rId207" Type="http://schemas.openxmlformats.org/officeDocument/2006/relationships/hyperlink" Target="https://doi.org/10.1061/(asce)is.1943-555x.0000464" TargetMode="External"/><Relationship Id="rId208" Type="http://schemas.openxmlformats.org/officeDocument/2006/relationships/hyperlink" Target="https://doi.org/10.1145/3177230" TargetMode="External"/><Relationship Id="rId209" Type="http://schemas.openxmlformats.org/officeDocument/2006/relationships/hyperlink" Target="https://nva.sikt.no/registration/0198eca3a823-8eaa3bfb-61dc-49ef-8356-e16ed470761d" TargetMode="External"/><Relationship Id="rId210" Type="http://schemas.openxmlformats.org/officeDocument/2006/relationships/hyperlink" Target="https://www.bloomberg.com/news/features/2023-06-15/how-huawei-got" TargetMode="External"/><Relationship Id="rId211" Type="http://schemas.openxmlformats.org/officeDocument/2006/relationships/hyperlink" Target="https://attack.mitre.org/techniques/T1040/" TargetMode="External"/><Relationship Id="rId212" Type="http://schemas.openxmlformats.org/officeDocument/2006/relationships/hyperlink" Target="https://www.sphericalinsights.com/blogs/top-50-companies-in" TargetMode="External"/><Relationship Id="rId213" Type="http://schemas.openxmlformats.org/officeDocument/2006/relationships/hyperlink" Target="https://doi.org/10.1016/j.adhoc.2022.102894" TargetMode="External"/><Relationship Id="rId214" Type="http://schemas.openxmlformats.org/officeDocument/2006/relationships/hyperlink" Target="https://doi.org/10.1007/978-94-6265-132-6_2" TargetMode="External"/><Relationship Id="rId215" Type="http://schemas.openxmlformats.org/officeDocument/2006/relationships/footer" Target="footer17.xml"/><Relationship Id="rId216" Type="http://schemas.openxmlformats.org/officeDocument/2006/relationships/image" Target="media/image32.jpeg"/><Relationship Id="rId217" Type="http://schemas.openxmlformats.org/officeDocument/2006/relationships/hyperlink" Target="mailto:darkosa@etsu.edu" TargetMode="External"/><Relationship Id="rId218" Type="http://schemas.openxmlformats.org/officeDocument/2006/relationships/hyperlink" Target="mailto:ogundipeb@etsu.edu" TargetMode="External"/><Relationship Id="rId219" Type="http://schemas.openxmlformats.org/officeDocument/2006/relationships/footer" Target="footer18.xml"/><Relationship Id="rId220" Type="http://schemas.openxmlformats.org/officeDocument/2006/relationships/image" Target="media/image33.jpeg"/><Relationship Id="rId221" Type="http://schemas.openxmlformats.org/officeDocument/2006/relationships/image" Target="media/image34.jpeg"/><Relationship Id="rId222" Type="http://schemas.openxmlformats.org/officeDocument/2006/relationships/image" Target="media/image35.jpeg"/><Relationship Id="rId223" Type="http://schemas.openxmlformats.org/officeDocument/2006/relationships/image" Target="media/image36.jpeg"/><Relationship Id="rId224" Type="http://schemas.openxmlformats.org/officeDocument/2006/relationships/image" Target="media/image37.jpeg"/><Relationship Id="rId225" Type="http://schemas.openxmlformats.org/officeDocument/2006/relationships/footer" Target="footer19.xml"/><Relationship Id="rId226" Type="http://schemas.openxmlformats.org/officeDocument/2006/relationships/hyperlink" Target="https://cde.ucr.cjis.gov/" TargetMode="External"/><Relationship Id="rId227" Type="http://schemas.openxmlformats.org/officeDocument/2006/relationships/hyperlink" Target="mailto:Libutti@etsu.edu" TargetMode="External"/><Relationship Id="rId228" Type="http://schemas.openxmlformats.org/officeDocument/2006/relationships/hyperlink" Target="mailto:Hallkr3@etsu.edu" TargetMode="External"/><Relationship Id="rId229" Type="http://schemas.openxmlformats.org/officeDocument/2006/relationships/hyperlink" Target="mailto:Jenkinsmt@etsu.edu" TargetMode="External"/><Relationship Id="rId230" Type="http://schemas.openxmlformats.org/officeDocument/2006/relationships/hyperlink" Target="https://static1.squarespace.com/static/6197797102be715f55c0e0a1/t/65d7705653660e65" TargetMode="External"/><Relationship Id="rId231" Type="http://schemas.openxmlformats.org/officeDocument/2006/relationships/hyperlink" Target="https://doi.org/10.48550/arXiv.2508.09349" TargetMode="External"/><Relationship Id="rId232" Type="http://schemas.openxmlformats.org/officeDocument/2006/relationships/hyperlink" Target="mailto:mendezsalinask@appstate.edu" TargetMode="External"/><Relationship Id="rId233" Type="http://schemas.openxmlformats.org/officeDocument/2006/relationships/hyperlink" Target="mailto:hassonbk@appstate.edu" TargetMode="External"/><Relationship Id="rId234" Type="http://schemas.openxmlformats.org/officeDocument/2006/relationships/hyperlink" Target="mailto:paulktj@etsu.edu" TargetMode="External"/><Relationship Id="rId235" Type="http://schemas.openxmlformats.org/officeDocument/2006/relationships/footer" Target="footer20.xml"/><Relationship Id="rId236" Type="http://schemas.openxmlformats.org/officeDocument/2006/relationships/image" Target="media/image38.jpeg"/><Relationship Id="rId237" Type="http://schemas.openxmlformats.org/officeDocument/2006/relationships/image" Target="media/image39.jpeg"/><Relationship Id="rId238" Type="http://schemas.openxmlformats.org/officeDocument/2006/relationships/hyperlink" Target="https://doi.org/10.1111/isj.12120" TargetMode="External"/><Relationship Id="rId239" Type="http://schemas.openxmlformats.org/officeDocument/2006/relationships/hyperlink" Target="https://dredf.org/wp-content/uploads/2021/08/EVV-Report210722.pdf" TargetMode="External"/><Relationship Id="rId240" Type="http://schemas.openxmlformats.org/officeDocument/2006/relationships/hyperlink" Target="mailto:rpolanahkehlenbe@radford.edu" TargetMode="External"/><Relationship Id="rId241" Type="http://schemas.openxmlformats.org/officeDocument/2006/relationships/footer" Target="footer21.xml"/><Relationship Id="rId242" Type="http://schemas.openxmlformats.org/officeDocument/2006/relationships/hyperlink" Target="mailto:srader@wcu.edu" TargetMode="External"/><Relationship Id="rId243" Type="http://schemas.openxmlformats.org/officeDocument/2006/relationships/hyperlink" Target="mailto:lani1820@stthomas.edu" TargetMode="External"/><Relationship Id="rId244" Type="http://schemas.openxmlformats.org/officeDocument/2006/relationships/footer" Target="footer22.xml"/><Relationship Id="rId245" Type="http://schemas.openxmlformats.org/officeDocument/2006/relationships/hyperlink" Target="https://eric.ed.gov/?id=ED308201" TargetMode="External"/><Relationship Id="rId246" Type="http://schemas.openxmlformats.org/officeDocument/2006/relationships/hyperlink" Target="https://doi.org/10.1016/j.ijinfomgt.2023.102642" TargetMode="External"/><Relationship Id="rId247" Type="http://schemas.openxmlformats.org/officeDocument/2006/relationships/hyperlink" Target="https://doi.org/10.1177/1094670517752459" TargetMode="External"/><Relationship Id="rId248" Type="http://schemas.openxmlformats.org/officeDocument/2006/relationships/hyperlink" Target="https://doi.org/10.1016/j.lindif.2023.102274" TargetMode="External"/><Relationship Id="rId249" Type="http://schemas.openxmlformats.org/officeDocument/2006/relationships/image" Target="media/image40.jpeg"/><Relationship Id="rId250" Type="http://schemas.openxmlformats.org/officeDocument/2006/relationships/image" Target="media/image41.jpeg"/><Relationship Id="rId251" Type="http://schemas.openxmlformats.org/officeDocument/2006/relationships/image" Target="media/image42.jpeg"/><Relationship Id="rId252" Type="http://schemas.openxmlformats.org/officeDocument/2006/relationships/image" Target="media/image43.jpeg"/><Relationship Id="rId253" Type="http://schemas.openxmlformats.org/officeDocument/2006/relationships/image" Target="media/image44.jpeg"/><Relationship Id="rId254" Type="http://schemas.openxmlformats.org/officeDocument/2006/relationships/image" Target="media/image45.jpeg"/><Relationship Id="rId255" Type="http://schemas.openxmlformats.org/officeDocument/2006/relationships/image" Target="media/image46.jpeg"/><Relationship Id="rId256" Type="http://schemas.openxmlformats.org/officeDocument/2006/relationships/image" Target="media/image47.jpeg"/><Relationship Id="rId257" Type="http://schemas.openxmlformats.org/officeDocument/2006/relationships/hyperlink" Target="https://hbr.org/2013/01/management-is-still-not-leadership?autocomplete=true" TargetMode="External"/><Relationship Id="rId258" Type="http://schemas.openxmlformats.org/officeDocument/2006/relationships/image" Target="media/image48.jpeg"/><Relationship Id="rId259" Type="http://schemas.openxmlformats.org/officeDocument/2006/relationships/image" Target="media/image49.jpeg"/><Relationship Id="rId260" Type="http://schemas.openxmlformats.org/officeDocument/2006/relationships/image" Target="media/image50.jpeg"/><Relationship Id="rId261" Type="http://schemas.openxmlformats.org/officeDocument/2006/relationships/image" Target="media/image51.jpeg"/><Relationship Id="rId262" Type="http://schemas.openxmlformats.org/officeDocument/2006/relationships/image" Target="media/image52.jpeg"/><Relationship Id="rId263" Type="http://schemas.openxmlformats.org/officeDocument/2006/relationships/image" Target="media/image53.jpeg"/><Relationship Id="rId264" Type="http://schemas.openxmlformats.org/officeDocument/2006/relationships/image" Target="media/image54.jpeg"/><Relationship Id="rId265" Type="http://schemas.openxmlformats.org/officeDocument/2006/relationships/image" Target="media/image55.jpeg"/><Relationship Id="rId266" Type="http://schemas.openxmlformats.org/officeDocument/2006/relationships/image" Target="media/image56.jpeg"/><Relationship Id="rId267" Type="http://schemas.openxmlformats.org/officeDocument/2006/relationships/image" Target="media/image57.jpeg"/><Relationship Id="rId268" Type="http://schemas.openxmlformats.org/officeDocument/2006/relationships/image" Target="media/image58.jpeg"/><Relationship Id="rId269" Type="http://schemas.openxmlformats.org/officeDocument/2006/relationships/image" Target="media/image59.jpeg"/><Relationship Id="rId270" Type="http://schemas.openxmlformats.org/officeDocument/2006/relationships/hyperlink" Target="https://cemhs.asu.edu/sheldus" TargetMode="External"/><Relationship Id="rId271" Type="http://schemas.openxmlformats.org/officeDocument/2006/relationships/image" Target="media/image60.jpeg"/><Relationship Id="rId272" Type="http://schemas.openxmlformats.org/officeDocument/2006/relationships/image" Target="media/image61.jpeg"/><Relationship Id="rId273" Type="http://schemas.openxmlformats.org/officeDocument/2006/relationships/footer" Target="footer23.xml"/><Relationship Id="rId274" Type="http://schemas.openxmlformats.org/officeDocument/2006/relationships/footer" Target="footer24.xml"/><Relationship Id="rId275" Type="http://schemas.openxmlformats.org/officeDocument/2006/relationships/image" Target="media/image62.jpeg"/><Relationship Id="rId276" Type="http://schemas.openxmlformats.org/officeDocument/2006/relationships/image" Target="media/image63.jpeg"/><Relationship Id="rId277" Type="http://schemas.openxmlformats.org/officeDocument/2006/relationships/image" Target="media/image64.jpeg"/><Relationship Id="rId278" Type="http://schemas.openxmlformats.org/officeDocument/2006/relationships/image" Target="media/image65.jpeg"/><Relationship Id="rId279" Type="http://schemas.openxmlformats.org/officeDocument/2006/relationships/image" Target="media/image66.jpeg"/><Relationship Id="rId280" Type="http://schemas.openxmlformats.org/officeDocument/2006/relationships/image" Target="media/image67.jpeg"/><Relationship Id="rId281" Type="http://schemas.openxmlformats.org/officeDocument/2006/relationships/image" Target="media/image68.jpeg"/><Relationship Id="rId282" Type="http://schemas.openxmlformats.org/officeDocument/2006/relationships/hyperlink" Target="https://doi.org/10.1257/aer.100.5.2125" TargetMode="External"/><Relationship Id="rId283" Type="http://schemas.openxmlformats.org/officeDocument/2006/relationships/hyperlink" Target="https://doi.org/10.1002/he.20081" TargetMode="External"/><Relationship Id="rId284" Type="http://schemas.openxmlformats.org/officeDocument/2006/relationships/hyperlink" Target="https://doi.org/10.1080/00221546.2018.1442633" TargetMode="External"/><Relationship Id="rId285" Type="http://schemas.openxmlformats.org/officeDocument/2006/relationships/hyperlink" Target="https://doi.org/10.1086/209336" TargetMode="External"/><Relationship Id="rId286" Type="http://schemas.openxmlformats.org/officeDocument/2006/relationships/hyperlink" Target="https://doi.org/10.2307/3172866" TargetMode="External"/><Relationship Id="rId287" Type="http://schemas.openxmlformats.org/officeDocument/2006/relationships/hyperlink" Target="https://doi.org/10.1007/s11747-010-0222-5" TargetMode="External"/><Relationship Id="rId288" Type="http://schemas.openxmlformats.org/officeDocument/2006/relationships/hyperlink" Target="https://doi.org/10.1509/jmkg.64.2.66.18000" TargetMode="External"/><Relationship Id="rId289" Type="http://schemas.openxmlformats.org/officeDocument/2006/relationships/hyperlink" Target="https://doi.org/10.1086/209439" TargetMode="External"/><Relationship Id="rId290" Type="http://schemas.openxmlformats.org/officeDocument/2006/relationships/hyperlink" Target="https://doi.org/10.2307/1252200" TargetMode="External"/><Relationship Id="rId291" Type="http://schemas.openxmlformats.org/officeDocument/2006/relationships/hyperlink" Target="https://www.nacacnet.org/" TargetMode="External"/><Relationship Id="rId292" Type="http://schemas.openxmlformats.org/officeDocument/2006/relationships/hyperlink" Target="https://doi.org/10.1007/1-4020-4512-3_3" TargetMode="External"/><Relationship Id="rId293" Type="http://schemas.openxmlformats.org/officeDocument/2006/relationships/hyperlink" Target="https://doi.org/10.1037/0033-" TargetMode="External"/><Relationship Id="rId294" Type="http://schemas.openxmlformats.org/officeDocument/2006/relationships/hyperlink" Target="https://doi.org/10.2307/1251446" TargetMode="External"/><Relationship Id="rId295" Type="http://schemas.openxmlformats.org/officeDocument/2006/relationships/hyperlink" Target="https://doi.org/10.1086/346251" TargetMode="External"/><Relationship Id="rId296" Type="http://schemas.openxmlformats.org/officeDocument/2006/relationships/hyperlink" Target="https://www.epa.gov/privatewells" TargetMode="External"/><Relationship Id="rId297" Type="http://schemas.openxmlformats.org/officeDocument/2006/relationships/footer" Target="footer25.xml"/><Relationship Id="rId298" Type="http://schemas.openxmlformats.org/officeDocument/2006/relationships/hyperlink" Target="mailto:tateu@marshall.edu" TargetMode="External"/><Relationship Id="rId299" Type="http://schemas.openxmlformats.org/officeDocument/2006/relationships/hyperlink" Target="mailto:Smiracle2@gmail.com" TargetMode="External"/><Relationship Id="rId300" Type="http://schemas.openxmlformats.org/officeDocument/2006/relationships/hyperlink" Target="mailto:subedi@marshall.edu" TargetMode="External"/><Relationship Id="rId301" Type="http://schemas.openxmlformats.org/officeDocument/2006/relationships/hyperlink" Target="mailto:akashwin08@gmail.com" TargetMode="External"/><Relationship Id="rId302" Type="http://schemas.openxmlformats.org/officeDocument/2006/relationships/hyperlink" Target="mailto:Trainor@etsu.edu" TargetMode="External"/><Relationship Id="rId303" Type="http://schemas.openxmlformats.org/officeDocument/2006/relationships/hyperlink" Target="https://doi.org/10.1016/j.jm.2004.03.001" TargetMode="External"/><Relationship Id="rId304" Type="http://schemas.openxmlformats.org/officeDocument/2006/relationships/hyperlink" Target="https://doi.org/10.1108/HRMID-05-2019-0151" TargetMode="External"/><Relationship Id="rId305" Type="http://schemas.openxmlformats.org/officeDocument/2006/relationships/hyperlink" Target="https://doi.org/10.1108/IJOA-01-2018-1327" TargetMode="External"/><Relationship Id="rId306" Type="http://schemas.openxmlformats.org/officeDocument/2006/relationships/hyperlink" Target="https://doi.org/10.3846/btp.2014.404" TargetMode="External"/><Relationship Id="rId307" Type="http://schemas.openxmlformats.org/officeDocument/2006/relationships/hyperlink" Target="https://doi.org/10.1177/1938965520965223" TargetMode="External"/><Relationship Id="rId308" Type="http://schemas.openxmlformats.org/officeDocument/2006/relationships/hyperlink" Target="https://doi.org/10.1177/23294884221096673" TargetMode="External"/><Relationship Id="rId309" Type="http://schemas.openxmlformats.org/officeDocument/2006/relationships/hyperlink" Target="mailto:levistone01@gmail.com" TargetMode="External"/><Relationship Id="rId310" Type="http://schemas.openxmlformats.org/officeDocument/2006/relationships/image" Target="media/image69.jpeg"/><Relationship Id="rId311" Type="http://schemas.openxmlformats.org/officeDocument/2006/relationships/image" Target="media/image70.jpeg"/><Relationship Id="rId312" Type="http://schemas.openxmlformats.org/officeDocument/2006/relationships/hyperlink" Target="mailto:Xiew1@appstate.edu" TargetMode="External"/><Relationship Id="rId313" Type="http://schemas.openxmlformats.org/officeDocument/2006/relationships/hyperlink" Target="mailto:kimjh1@appstate.edu" TargetMode="External"/><Relationship Id="rId314" Type="http://schemas.openxmlformats.org/officeDocument/2006/relationships/hyperlink" Target="mailto:chenl5@appstate.edu" TargetMode="External"/><Relationship Id="rId315" Type="http://schemas.openxmlformats.org/officeDocument/2006/relationships/hyperlink" Target="https://doi.org/10.1002/bdm.2102" TargetMode="External"/><Relationship Id="rId316" Type="http://schemas.openxmlformats.org/officeDocument/2006/relationships/hyperlink" Target="mailto:yez1@appstate.edu" TargetMode="External"/><Relationship Id="rId317" Type="http://schemas.openxmlformats.org/officeDocument/2006/relationships/hyperlink" Target="mailto:chenk16@rpi.edu" TargetMode="External"/><Relationship Id="rId318" Type="http://schemas.openxmlformats.org/officeDocument/2006/relationships/hyperlink" Target="mailto:LCao@odu.edu" TargetMode="External"/><Relationship Id="rId319" Type="http://schemas.openxmlformats.org/officeDocument/2006/relationships/hyperlink" Target="mailto:ayim@radford.edu" TargetMode="External"/><Relationship Id="rId320" Type="http://schemas.openxmlformats.org/officeDocument/2006/relationships/hyperlink" Target="mailto:lliska@radford.edu" TargetMode="External"/><Relationship Id="rId321" Type="http://schemas.openxmlformats.org/officeDocument/2006/relationships/hyperlink" Target="mailto:mthakkar@radford.edu" TargetMode="External"/><Relationship Id="rId322" Type="http://schemas.openxmlformats.org/officeDocument/2006/relationships/hyperlink" Target="mailto:ymu1@radford.edu" TargetMode="External"/><Relationship Id="rId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2026 ARBS Proceedings.docx</dc:title>
  <dcterms:created xsi:type="dcterms:W3CDTF">2026-10-01T18:27:39Z</dcterms:created>
  <dcterms:modified xsi:type="dcterms:W3CDTF">2026-10-01T18:27:39Z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2026-10-01T00:00:00Z</vt:filetime>
  </property>
  <property fmtid="{D5CDD505-2E9C-101B-9397-08002B2CF9AE}" pid="3" name="Producer">
    <vt:lpwstr>Skia/PDF m155 Google Docs Renderer</vt:lpwstr>
  </property>
  <property fmtid="{D5CDD505-2E9C-101B-9397-08002B2CF9AE}" pid="4" name="LastSaved">
    <vt:filetime>2026-10-01T00:00:00Z</vt:filetime>
  </property>
</Properties>
</file>