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EC96" w14:textId="77777777" w:rsidR="00E72135" w:rsidRPr="00465988" w:rsidRDefault="009B2E06" w:rsidP="00465988">
      <w:pPr>
        <w:jc w:val="center"/>
        <w:rPr>
          <w:b/>
        </w:rPr>
      </w:pPr>
      <w:bookmarkStart w:id="0" w:name="_GoBack"/>
      <w:bookmarkEnd w:id="0"/>
      <w:r>
        <w:rPr>
          <w:b/>
        </w:rPr>
        <w:t>Empathy and Blame Video Discussion</w:t>
      </w:r>
      <w:r w:rsidR="00BC1D15" w:rsidRPr="00465988">
        <w:rPr>
          <w:b/>
        </w:rPr>
        <w:t xml:space="preserve"> Guide</w:t>
      </w:r>
      <w:r>
        <w:rPr>
          <w:b/>
        </w:rPr>
        <w:t>s</w:t>
      </w:r>
    </w:p>
    <w:p w14:paraId="6848EC4A" w14:textId="77777777" w:rsidR="00A93B08" w:rsidRDefault="00BC1D15" w:rsidP="00E82E1C">
      <w:r w:rsidRPr="00465988">
        <w:rPr>
          <w:b/>
        </w:rPr>
        <w:t>Overview:</w:t>
      </w:r>
      <w:r>
        <w:t xml:space="preserve"> This activity is designed to </w:t>
      </w:r>
      <w:r w:rsidR="00E82E1C">
        <w:t>prompt participants to think about the definition of empath</w:t>
      </w:r>
      <w:r w:rsidR="009E584D">
        <w:t>y and behaviors that block empathy.</w:t>
      </w:r>
      <w:r w:rsidR="00E82E1C">
        <w:t xml:space="preserve"> </w:t>
      </w:r>
      <w:r w:rsidR="009E584D">
        <w:t>Participants will also reflect on their own empathetic behavior and experiences of empathy.</w:t>
      </w:r>
    </w:p>
    <w:p w14:paraId="509DBCC1" w14:textId="77777777" w:rsidR="00E82E1C" w:rsidRPr="00E82E1C" w:rsidRDefault="009E584D" w:rsidP="00E82E1C">
      <w:pPr>
        <w:rPr>
          <w:b/>
        </w:rPr>
      </w:pPr>
      <w:r>
        <w:rPr>
          <w:b/>
        </w:rPr>
        <w:t>Begin By Playing the</w:t>
      </w:r>
      <w:hyperlink r:id="rId8" w:history="1">
        <w:r w:rsidRPr="00DC3CA4">
          <w:rPr>
            <w:rStyle w:val="Hyperlink"/>
            <w:b/>
          </w:rPr>
          <w:t xml:space="preserve"> </w:t>
        </w:r>
        <w:r w:rsidR="00E82E1C" w:rsidRPr="00DC3CA4">
          <w:rPr>
            <w:rStyle w:val="Hyperlink"/>
            <w:b/>
          </w:rPr>
          <w:t>Empathy Video</w:t>
        </w:r>
      </w:hyperlink>
      <w:r w:rsidR="00E82E1C" w:rsidRPr="00E82E1C">
        <w:rPr>
          <w:b/>
        </w:rPr>
        <w:t xml:space="preserve"> </w:t>
      </w:r>
      <w:r w:rsidR="00E82E1C">
        <w:rPr>
          <w:b/>
        </w:rPr>
        <w:t>(3 minutes)</w:t>
      </w:r>
      <w:r w:rsidR="00E82E1C" w:rsidRPr="00E82E1C">
        <w:rPr>
          <w:b/>
        </w:rPr>
        <w:t>:</w:t>
      </w:r>
    </w:p>
    <w:p w14:paraId="4E5F2B34" w14:textId="77777777" w:rsidR="00DC3CA4" w:rsidRDefault="00DC3CA4" w:rsidP="00DC3CA4">
      <w:pPr>
        <w:pStyle w:val="ListParagraph"/>
        <w:ind w:left="0"/>
      </w:pPr>
      <w:r>
        <w:t>Notes:</w:t>
      </w:r>
    </w:p>
    <w:p w14:paraId="340943BB" w14:textId="77777777" w:rsidR="00E82E1C" w:rsidRDefault="00E82E1C" w:rsidP="00E82E1C">
      <w:pPr>
        <w:pStyle w:val="ListParagraph"/>
        <w:numPr>
          <w:ilvl w:val="0"/>
          <w:numId w:val="4"/>
        </w:numPr>
      </w:pPr>
      <w:r w:rsidRPr="00465988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55D94C8A" wp14:editId="0C5A398E">
                <wp:simplePos x="0" y="0"/>
                <wp:positionH relativeFrom="margin">
                  <wp:posOffset>3324225</wp:posOffset>
                </wp:positionH>
                <wp:positionV relativeFrom="paragraph">
                  <wp:posOffset>6350</wp:posOffset>
                </wp:positionV>
                <wp:extent cx="3058795" cy="1863090"/>
                <wp:effectExtent l="0" t="0" r="0" b="3810"/>
                <wp:wrapTight wrapText="bothSides">
                  <wp:wrapPolygon edited="0">
                    <wp:start x="404" y="0"/>
                    <wp:lineTo x="404" y="21423"/>
                    <wp:lineTo x="21120" y="21423"/>
                    <wp:lineTo x="21120" y="0"/>
                    <wp:lineTo x="404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C0E3" w14:textId="77777777" w:rsidR="00E82E1C" w:rsidRPr="00465988" w:rsidRDefault="00E82E1C" w:rsidP="00E82E1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A few notes:</w:t>
                            </w:r>
                          </w:p>
                          <w:p w14:paraId="081FB1F0" w14:textId="77777777" w:rsidR="00E82E1C" w:rsidRPr="00465988" w:rsidRDefault="00E82E1C" w:rsidP="00E82E1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42FA0620" w14:textId="77777777" w:rsidR="00E82E1C" w:rsidRDefault="00E82E1C" w:rsidP="00E82E1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Individuals who enroll in professional school (medical/dental) often score lower on empathy assessments as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they </w:t>
                            </w:r>
                            <w:r w:rsidRPr="0046598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>progress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through those programs of student. In medical school, that assessment declines the most between the 2</w:t>
                            </w:r>
                            <w:r w:rsidRPr="00B06D3D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and 3</w:t>
                            </w:r>
                            <w:r w:rsidRPr="00B06D3D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year because of the increase in clinical exposure in the 3</w:t>
                            </w:r>
                            <w:r w:rsidRPr="00B06D3D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year.</w:t>
                            </w:r>
                          </w:p>
                          <w:p w14:paraId="0CC9CD79" w14:textId="77777777" w:rsidR="00E82E1C" w:rsidRDefault="00E82E1C" w:rsidP="00E82E1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34DC5840" w14:textId="77777777" w:rsidR="00E82E1C" w:rsidRPr="00465988" w:rsidRDefault="00E82E1C" w:rsidP="00E82E1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At least one study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>Savieto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16"/>
                                <w:szCs w:val="16"/>
                              </w:rPr>
                              <w:t xml:space="preserve"> et al, 2019) indicates a positive correlation between self-compassion and empathy.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13D4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75pt;margin-top:.5pt;width:240.85pt;height:146.7pt;z-index:-2516572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" filled="f" stroked="f">
                <v:textbox>
                  <w:txbxContent>
                    <w:p w:rsidR="00E82E1C" w:rsidRPr="00465988" w:rsidRDefault="00E82E1C" w:rsidP="00E82E1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  <w:t>A few notes:</w:t>
                      </w:r>
                    </w:p>
                    <w:p w:rsidR="00E82E1C" w:rsidRPr="00465988" w:rsidRDefault="00E82E1C" w:rsidP="00E82E1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C00000"/>
                          <w:sz w:val="16"/>
                          <w:szCs w:val="16"/>
                        </w:rPr>
                      </w:pPr>
                    </w:p>
                    <w:p w:rsidR="00E82E1C" w:rsidRDefault="00E82E1C" w:rsidP="00E82E1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Individuals who enroll in professional school (medical/dental) often score lower on empathy assessments as </w:t>
                      </w:r>
                      <w:proofErr w:type="gramStart"/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they </w:t>
                      </w:r>
                      <w:r w:rsidRPr="00465988"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>progress</w:t>
                      </w:r>
                      <w:proofErr w:type="gramEnd"/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through those programs of student. In medical school, that assessment declines the most between the 2</w:t>
                      </w:r>
                      <w:r w:rsidRPr="00B06D3D"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and 3</w:t>
                      </w:r>
                      <w:r w:rsidRPr="00B06D3D"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year because of the increase in clinical exposure in the 3</w:t>
                      </w:r>
                      <w:r w:rsidRPr="00B06D3D"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year.</w:t>
                      </w:r>
                    </w:p>
                    <w:p w:rsidR="00E82E1C" w:rsidRDefault="00E82E1C" w:rsidP="00E82E1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</w:pPr>
                    </w:p>
                    <w:p w:rsidR="00E82E1C" w:rsidRPr="00465988" w:rsidRDefault="00E82E1C" w:rsidP="00E82E1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At least one study (</w:t>
                      </w:r>
                      <w:proofErr w:type="spellStart"/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>Savieto</w:t>
                      </w:r>
                      <w:proofErr w:type="spellEnd"/>
                      <w:r>
                        <w:rPr>
                          <w:b/>
                          <w:i/>
                          <w:iCs/>
                          <w:color w:val="5B9BD5" w:themeColor="accent1"/>
                          <w:sz w:val="16"/>
                          <w:szCs w:val="16"/>
                        </w:rPr>
                        <w:t xml:space="preserve"> et al, 2019) indicates a positive correlation between self-compassion and empathy.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Empathy fuels connection, sympathy drives disconnection</w:t>
      </w:r>
    </w:p>
    <w:p w14:paraId="62782E9B" w14:textId="77777777" w:rsidR="00E82E1C" w:rsidRDefault="00E82E1C" w:rsidP="00E82E1C">
      <w:pPr>
        <w:pStyle w:val="ListParagraph"/>
        <w:numPr>
          <w:ilvl w:val="0"/>
          <w:numId w:val="4"/>
        </w:numPr>
      </w:pPr>
      <w:r>
        <w:t>4 qualities of empath</w:t>
      </w:r>
    </w:p>
    <w:p w14:paraId="37A0C9B3" w14:textId="77777777" w:rsidR="00E82E1C" w:rsidRDefault="00E82E1C" w:rsidP="00E82E1C">
      <w:pPr>
        <w:pStyle w:val="ListParagraph"/>
        <w:numPr>
          <w:ilvl w:val="1"/>
          <w:numId w:val="4"/>
        </w:numPr>
      </w:pPr>
      <w:r>
        <w:t>Perspective taking – seeing the world as others see it</w:t>
      </w:r>
    </w:p>
    <w:p w14:paraId="2E66A641" w14:textId="77777777" w:rsidR="00E82E1C" w:rsidRDefault="00E82E1C" w:rsidP="00E82E1C">
      <w:pPr>
        <w:pStyle w:val="ListParagraph"/>
        <w:numPr>
          <w:ilvl w:val="1"/>
          <w:numId w:val="4"/>
        </w:numPr>
      </w:pPr>
      <w:r>
        <w:t xml:space="preserve">Non-judgmental </w:t>
      </w:r>
    </w:p>
    <w:p w14:paraId="3304D75E" w14:textId="77777777" w:rsidR="00E82E1C" w:rsidRDefault="00E82E1C" w:rsidP="00E82E1C">
      <w:pPr>
        <w:pStyle w:val="ListParagraph"/>
        <w:numPr>
          <w:ilvl w:val="1"/>
          <w:numId w:val="4"/>
        </w:numPr>
      </w:pPr>
      <w:r>
        <w:t>Understanding another’s feelings</w:t>
      </w:r>
    </w:p>
    <w:p w14:paraId="5BC6FD20" w14:textId="77777777" w:rsidR="00E82E1C" w:rsidRDefault="00E82E1C" w:rsidP="00E82E1C">
      <w:pPr>
        <w:pStyle w:val="ListParagraph"/>
        <w:numPr>
          <w:ilvl w:val="1"/>
          <w:numId w:val="4"/>
        </w:numPr>
      </w:pPr>
      <w:r>
        <w:t>Communicating the understanding</w:t>
      </w:r>
    </w:p>
    <w:p w14:paraId="7BE99581" w14:textId="77777777" w:rsidR="00E82E1C" w:rsidRDefault="00E82E1C" w:rsidP="00E82E1C">
      <w:pPr>
        <w:pStyle w:val="ListParagraph"/>
        <w:numPr>
          <w:ilvl w:val="0"/>
          <w:numId w:val="4"/>
        </w:numPr>
      </w:pPr>
      <w:r>
        <w:t>Empathy is feeling with people</w:t>
      </w:r>
    </w:p>
    <w:p w14:paraId="4B1970BF" w14:textId="77777777" w:rsidR="00E82E1C" w:rsidRDefault="00E82E1C" w:rsidP="00E82E1C">
      <w:pPr>
        <w:pStyle w:val="ListParagraph"/>
        <w:numPr>
          <w:ilvl w:val="0"/>
          <w:numId w:val="4"/>
        </w:numPr>
      </w:pPr>
      <w:r>
        <w:t>Empathy is a choice, a vulnerable choice</w:t>
      </w:r>
    </w:p>
    <w:p w14:paraId="2A072508" w14:textId="77777777" w:rsidR="0000464A" w:rsidRDefault="00E82E1C" w:rsidP="0000464A">
      <w:pPr>
        <w:pStyle w:val="ListParagraph"/>
        <w:numPr>
          <w:ilvl w:val="0"/>
          <w:numId w:val="4"/>
        </w:numPr>
      </w:pPr>
      <w:r>
        <w:t xml:space="preserve">Rarely if ever, does an empathic response begin with “At Least” – the Silver Lining </w:t>
      </w:r>
    </w:p>
    <w:p w14:paraId="6F246EFB" w14:textId="77777777" w:rsidR="00DC3CA4" w:rsidRDefault="00840E53" w:rsidP="0000464A">
      <w:pPr>
        <w:rPr>
          <w:b/>
        </w:rPr>
      </w:pPr>
      <w:r>
        <w:rPr>
          <w:b/>
        </w:rPr>
        <w:t>Begin pro</w:t>
      </w:r>
      <w:r w:rsidR="00DC3CA4">
        <w:rPr>
          <w:b/>
        </w:rPr>
        <w:t>cess</w:t>
      </w:r>
      <w:r>
        <w:rPr>
          <w:b/>
        </w:rPr>
        <w:t>ing the video</w:t>
      </w:r>
      <w:r w:rsidR="00DC3CA4">
        <w:rPr>
          <w:b/>
        </w:rPr>
        <w:t xml:space="preserve"> by asking participants to respond to the following polling questions</w:t>
      </w:r>
      <w:r w:rsidR="007E6341">
        <w:rPr>
          <w:b/>
        </w:rPr>
        <w:t xml:space="preserve"> (3 minutes)</w:t>
      </w:r>
      <w:r w:rsidR="00DC3CA4">
        <w:rPr>
          <w:b/>
        </w:rPr>
        <w:t>:</w:t>
      </w:r>
    </w:p>
    <w:p w14:paraId="63C29389" w14:textId="77777777" w:rsidR="00DC3CA4" w:rsidRDefault="00DC3CA4" w:rsidP="00DC3CA4">
      <w:pPr>
        <w:pStyle w:val="ListParagraph"/>
        <w:numPr>
          <w:ilvl w:val="0"/>
          <w:numId w:val="5"/>
        </w:numPr>
      </w:pPr>
      <w:r w:rsidRPr="00DC3CA4">
        <w:t xml:space="preserve">How often do you </w:t>
      </w:r>
      <w:r>
        <w:t xml:space="preserve">take time to see the world or an event through the eyes of another? </w:t>
      </w:r>
    </w:p>
    <w:p w14:paraId="3AA2CE74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Almost Always</w:t>
      </w:r>
    </w:p>
    <w:p w14:paraId="12D71042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Frequently</w:t>
      </w:r>
    </w:p>
    <w:p w14:paraId="5F977ED4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Sometimes</w:t>
      </w:r>
    </w:p>
    <w:p w14:paraId="51E97676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Rarely</w:t>
      </w:r>
    </w:p>
    <w:p w14:paraId="047278D8" w14:textId="77777777" w:rsidR="00840E53" w:rsidRDefault="00840E53" w:rsidP="00840E53">
      <w:pPr>
        <w:pStyle w:val="ListParagraph"/>
        <w:numPr>
          <w:ilvl w:val="0"/>
          <w:numId w:val="5"/>
        </w:numPr>
      </w:pPr>
      <w:r>
        <w:t>Choose the best answer regarding your relationship to judgement.</w:t>
      </w:r>
    </w:p>
    <w:p w14:paraId="3692A021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lastRenderedPageBreak/>
        <w:t>Hello, my name is Amy and I’m a judger. I can tell determine a person’s poor life choices in 30 seconds or less.</w:t>
      </w:r>
    </w:p>
    <w:p w14:paraId="3215EB87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I judge others, but I’m hardest on myself</w:t>
      </w:r>
    </w:p>
    <w:p w14:paraId="0DF97635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I try to refrain from judging other people. I know the circumstances and experiences of others can be very different than mine.</w:t>
      </w:r>
    </w:p>
    <w:p w14:paraId="363892C4" w14:textId="77777777" w:rsidR="00840E53" w:rsidRDefault="00840E53" w:rsidP="00840E53">
      <w:pPr>
        <w:pStyle w:val="ListParagraph"/>
        <w:numPr>
          <w:ilvl w:val="0"/>
          <w:numId w:val="5"/>
        </w:numPr>
      </w:pPr>
      <w:r>
        <w:t>How often do you notice and communicate about the feelings of others?</w:t>
      </w:r>
    </w:p>
    <w:p w14:paraId="336335EE" w14:textId="77777777" w:rsidR="00840E53" w:rsidRDefault="00840E53" w:rsidP="00840E53">
      <w:pPr>
        <w:pStyle w:val="ListParagraph"/>
        <w:numPr>
          <w:ilvl w:val="1"/>
          <w:numId w:val="5"/>
        </w:numPr>
      </w:pPr>
      <w:r>
        <w:t>I pretty much live in my own world. Someone has to be in the middle of a breakdown or a fit of rage before I notice anything.</w:t>
      </w:r>
    </w:p>
    <w:p w14:paraId="0018C54E" w14:textId="77777777" w:rsidR="007E6341" w:rsidRDefault="007E6341" w:rsidP="00840E53">
      <w:pPr>
        <w:pStyle w:val="ListParagraph"/>
        <w:numPr>
          <w:ilvl w:val="1"/>
          <w:numId w:val="5"/>
        </w:numPr>
      </w:pPr>
      <w:r>
        <w:t xml:space="preserve">I often notice the feelings of others but I don’t want to intrude or invade the privacy of others. </w:t>
      </w:r>
    </w:p>
    <w:p w14:paraId="5155ECA5" w14:textId="77777777" w:rsidR="00DC3CA4" w:rsidRDefault="00840E53" w:rsidP="0000464A">
      <w:pPr>
        <w:pStyle w:val="ListParagraph"/>
        <w:numPr>
          <w:ilvl w:val="1"/>
          <w:numId w:val="5"/>
        </w:numPr>
      </w:pPr>
      <w:r>
        <w:t xml:space="preserve">I am pretty in tune to the emotions of people around me. I try to reach out when I notice someone is uncomfortable, worried, </w:t>
      </w:r>
      <w:r w:rsidR="007E6341">
        <w:t xml:space="preserve">confused, or afraid. </w:t>
      </w:r>
    </w:p>
    <w:p w14:paraId="68644F55" w14:textId="77777777" w:rsidR="007E6341" w:rsidRPr="007E6341" w:rsidRDefault="007E6341" w:rsidP="007E6341">
      <w:pPr>
        <w:rPr>
          <w:b/>
        </w:rPr>
      </w:pPr>
      <w:r w:rsidRPr="007E6341">
        <w:rPr>
          <w:b/>
        </w:rPr>
        <w:t>Continue Discussion by asking the following questions</w:t>
      </w:r>
      <w:r>
        <w:rPr>
          <w:b/>
        </w:rPr>
        <w:t xml:space="preserve"> (4 minutes)</w:t>
      </w:r>
      <w:r w:rsidRPr="007E6341">
        <w:rPr>
          <w:b/>
        </w:rPr>
        <w:t>:</w:t>
      </w:r>
    </w:p>
    <w:p w14:paraId="6B444BBD" w14:textId="77777777" w:rsidR="007E6341" w:rsidRDefault="007E6341" w:rsidP="007E6341">
      <w:pPr>
        <w:pStyle w:val="ListParagraph"/>
        <w:numPr>
          <w:ilvl w:val="0"/>
          <w:numId w:val="6"/>
        </w:numPr>
      </w:pPr>
      <w:r>
        <w:t>Who deserves empathy in the clinic</w:t>
      </w:r>
      <w:r w:rsidR="0058172F">
        <w:t>/classroom</w:t>
      </w:r>
      <w:r>
        <w:t xml:space="preserve">? </w:t>
      </w:r>
    </w:p>
    <w:p w14:paraId="361A8606" w14:textId="77777777" w:rsidR="007E6341" w:rsidRDefault="007E6341" w:rsidP="007E6341">
      <w:pPr>
        <w:pStyle w:val="ListParagraph"/>
        <w:numPr>
          <w:ilvl w:val="0"/>
          <w:numId w:val="6"/>
        </w:numPr>
      </w:pPr>
      <w:r>
        <w:t>Why is it important to practice empathy in the clinic</w:t>
      </w:r>
      <w:r w:rsidR="0058172F">
        <w:t>/classroom</w:t>
      </w:r>
      <w:r>
        <w:t xml:space="preserve">? </w:t>
      </w:r>
    </w:p>
    <w:p w14:paraId="32947177" w14:textId="77777777" w:rsidR="0000464A" w:rsidRPr="00E82E1C" w:rsidRDefault="007E6341" w:rsidP="0000464A">
      <w:pPr>
        <w:rPr>
          <w:b/>
        </w:rPr>
      </w:pPr>
      <w:r>
        <w:rPr>
          <w:b/>
        </w:rPr>
        <w:t>Play the</w:t>
      </w:r>
      <w:r w:rsidR="00E82E1C">
        <w:rPr>
          <w:b/>
        </w:rPr>
        <w:t xml:space="preserve"> </w:t>
      </w:r>
      <w:hyperlink r:id="rId9" w:history="1">
        <w:r w:rsidR="0000464A" w:rsidRPr="0058172F">
          <w:rPr>
            <w:rStyle w:val="Hyperlink"/>
            <w:b/>
          </w:rPr>
          <w:t>Blame Video</w:t>
        </w:r>
      </w:hyperlink>
      <w:r w:rsidR="00AC6EEC" w:rsidRPr="00E82E1C">
        <w:rPr>
          <w:b/>
        </w:rPr>
        <w:t xml:space="preserve"> (Runtime 3.5 minutes)</w:t>
      </w:r>
      <w:r w:rsidR="0000464A" w:rsidRPr="00E82E1C">
        <w:rPr>
          <w:b/>
        </w:rPr>
        <w:t>:</w:t>
      </w:r>
    </w:p>
    <w:p w14:paraId="03D1C18B" w14:textId="77777777" w:rsidR="00227B2A" w:rsidRDefault="00227B2A" w:rsidP="00227B2A">
      <w:pPr>
        <w:pStyle w:val="ListParagraph"/>
        <w:ind w:left="0"/>
      </w:pPr>
      <w:r>
        <w:t>Notes:</w:t>
      </w:r>
    </w:p>
    <w:p w14:paraId="20FAA6C6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>Damn you, Steve. The blame chain.</w:t>
      </w:r>
    </w:p>
    <w:p w14:paraId="4ADCB306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>I’d rather it be my fault than no one’s fault. Because it gives you some semblance of control.</w:t>
      </w:r>
    </w:p>
    <w:p w14:paraId="0FCCD6C2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 xml:space="preserve">Blame is simply the discharging of discomfort and pain. </w:t>
      </w:r>
    </w:p>
    <w:p w14:paraId="40578155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>Blame has an inverse relationship with accountability.</w:t>
      </w:r>
    </w:p>
    <w:p w14:paraId="78095DD6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>Accountability is a vulnerable process.</w:t>
      </w:r>
    </w:p>
    <w:p w14:paraId="1A61D148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 xml:space="preserve">People who blame a lot lack the tenacity and grit to actually hold people accountable. Why? </w:t>
      </w:r>
    </w:p>
    <w:p w14:paraId="35A6786B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t xml:space="preserve">Because they expend all of </w:t>
      </w:r>
      <w:r w:rsidR="004D07F2">
        <w:t>our energy blaming.</w:t>
      </w:r>
      <w:r>
        <w:t xml:space="preserve"> </w:t>
      </w:r>
    </w:p>
    <w:p w14:paraId="4E6682BA" w14:textId="77777777" w:rsidR="0000464A" w:rsidRDefault="0000464A" w:rsidP="0000464A">
      <w:pPr>
        <w:pStyle w:val="ListParagraph"/>
        <w:numPr>
          <w:ilvl w:val="0"/>
          <w:numId w:val="3"/>
        </w:numPr>
      </w:pPr>
      <w:r>
        <w:lastRenderedPageBreak/>
        <w:t xml:space="preserve">Blame blocks empathy </w:t>
      </w:r>
    </w:p>
    <w:p w14:paraId="4DB1FBF3" w14:textId="77777777" w:rsidR="00B06D3D" w:rsidRDefault="00B06D3D" w:rsidP="00B06D3D">
      <w:pPr>
        <w:pStyle w:val="ListParagraph"/>
      </w:pPr>
    </w:p>
    <w:p w14:paraId="401B8613" w14:textId="77777777" w:rsidR="007E6341" w:rsidRDefault="007E6341" w:rsidP="007E6341">
      <w:pPr>
        <w:pStyle w:val="ListParagraph"/>
        <w:ind w:left="0"/>
        <w:rPr>
          <w:b/>
        </w:rPr>
      </w:pPr>
      <w:r>
        <w:rPr>
          <w:b/>
        </w:rPr>
        <w:t>Process the video using the following discussion questions</w:t>
      </w:r>
      <w:r w:rsidR="00227B2A">
        <w:rPr>
          <w:b/>
        </w:rPr>
        <w:t xml:space="preserve"> (5 </w:t>
      </w:r>
      <w:proofErr w:type="spellStart"/>
      <w:r w:rsidR="00227B2A">
        <w:rPr>
          <w:b/>
        </w:rPr>
        <w:t>mintues</w:t>
      </w:r>
      <w:proofErr w:type="spellEnd"/>
      <w:r w:rsidR="00227B2A">
        <w:rPr>
          <w:b/>
        </w:rPr>
        <w:t>)</w:t>
      </w:r>
      <w:r>
        <w:rPr>
          <w:b/>
        </w:rPr>
        <w:t>:</w:t>
      </w:r>
    </w:p>
    <w:p w14:paraId="7AF356D9" w14:textId="77777777" w:rsidR="007E6341" w:rsidRDefault="007E6341" w:rsidP="007E6341">
      <w:pPr>
        <w:pStyle w:val="ListParagraph"/>
        <w:ind w:left="0"/>
        <w:rPr>
          <w:b/>
        </w:rPr>
      </w:pPr>
    </w:p>
    <w:p w14:paraId="6457BBC4" w14:textId="77777777" w:rsidR="007E6341" w:rsidRDefault="00227B2A" w:rsidP="007E6341">
      <w:pPr>
        <w:pStyle w:val="ListParagraph"/>
        <w:numPr>
          <w:ilvl w:val="0"/>
          <w:numId w:val="7"/>
        </w:numPr>
      </w:pPr>
      <w:r w:rsidRPr="00227B2A">
        <w:t xml:space="preserve">When are you most likely to </w:t>
      </w:r>
      <w:r>
        <w:t xml:space="preserve">express blame? </w:t>
      </w:r>
    </w:p>
    <w:p w14:paraId="14CB2EA4" w14:textId="77777777" w:rsidR="00227B2A" w:rsidRDefault="00227B2A" w:rsidP="007E6341">
      <w:pPr>
        <w:pStyle w:val="ListParagraph"/>
        <w:numPr>
          <w:ilvl w:val="0"/>
          <w:numId w:val="7"/>
        </w:numPr>
      </w:pPr>
      <w:r>
        <w:t xml:space="preserve">What does the blame chain look like to you? Who is you blame “go to”? </w:t>
      </w:r>
    </w:p>
    <w:p w14:paraId="51C8F449" w14:textId="77777777" w:rsidR="00227B2A" w:rsidRDefault="00227B2A" w:rsidP="007E6341">
      <w:pPr>
        <w:pStyle w:val="ListParagraph"/>
        <w:numPr>
          <w:ilvl w:val="0"/>
          <w:numId w:val="7"/>
        </w:numPr>
      </w:pPr>
      <w:r>
        <w:t xml:space="preserve">Have you thought about how blame blocks accountability and what makes us think blame is a tool of accountability? </w:t>
      </w:r>
    </w:p>
    <w:p w14:paraId="255082E4" w14:textId="77777777" w:rsidR="00227B2A" w:rsidRPr="00227B2A" w:rsidRDefault="00227B2A" w:rsidP="00227B2A">
      <w:pPr>
        <w:rPr>
          <w:b/>
        </w:rPr>
      </w:pPr>
      <w:r w:rsidRPr="00227B2A">
        <w:rPr>
          <w:b/>
        </w:rPr>
        <w:t>End by giving empathy and blame homework:</w:t>
      </w:r>
    </w:p>
    <w:p w14:paraId="1CBA2DA9" w14:textId="77777777" w:rsidR="00227B2A" w:rsidRDefault="00227B2A" w:rsidP="00227B2A">
      <w:r>
        <w:t>Reflect on the following two questions:</w:t>
      </w:r>
    </w:p>
    <w:p w14:paraId="2D767527" w14:textId="77777777" w:rsidR="00227B2A" w:rsidRDefault="00227B2A" w:rsidP="00227B2A">
      <w:pPr>
        <w:pStyle w:val="ListParagraph"/>
        <w:numPr>
          <w:ilvl w:val="0"/>
          <w:numId w:val="8"/>
        </w:numPr>
      </w:pPr>
      <w:r>
        <w:t>Identify a person who you think lives their values in the clinic</w:t>
      </w:r>
      <w:r w:rsidR="0058172F">
        <w:t>/classroom</w:t>
      </w:r>
      <w:r>
        <w:t>? What specific behaviors has that person engaged in that let you know they are living their values?</w:t>
      </w:r>
    </w:p>
    <w:p w14:paraId="34791AF5" w14:textId="77777777" w:rsidR="00227B2A" w:rsidRDefault="00227B2A" w:rsidP="00227B2A">
      <w:pPr>
        <w:pStyle w:val="ListParagraph"/>
        <w:numPr>
          <w:ilvl w:val="0"/>
          <w:numId w:val="8"/>
        </w:numPr>
      </w:pPr>
      <w:r>
        <w:t>Think about times when you have seen individuals blame others in the clinic</w:t>
      </w:r>
      <w:r w:rsidR="0058172F">
        <w:t>/classroom</w:t>
      </w:r>
      <w:r>
        <w:t xml:space="preserve">. What did that feel like? As the person receiving the anger and pain or as the person witnessing the discomfort and pain? </w:t>
      </w:r>
    </w:p>
    <w:p w14:paraId="250BEEEA" w14:textId="77777777" w:rsidR="00227B2A" w:rsidRPr="00227B2A" w:rsidRDefault="00227B2A" w:rsidP="00227B2A"/>
    <w:sectPr w:rsidR="00227B2A" w:rsidRPr="00227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084"/>
    <w:multiLevelType w:val="hybridMultilevel"/>
    <w:tmpl w:val="785E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BA0"/>
    <w:multiLevelType w:val="hybridMultilevel"/>
    <w:tmpl w:val="703A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0820"/>
    <w:multiLevelType w:val="hybridMultilevel"/>
    <w:tmpl w:val="C63E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66A8"/>
    <w:multiLevelType w:val="hybridMultilevel"/>
    <w:tmpl w:val="28AA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F3A"/>
    <w:multiLevelType w:val="hybridMultilevel"/>
    <w:tmpl w:val="082C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3FC"/>
    <w:multiLevelType w:val="hybridMultilevel"/>
    <w:tmpl w:val="BBDC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78D1"/>
    <w:multiLevelType w:val="hybridMultilevel"/>
    <w:tmpl w:val="753A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308C"/>
    <w:multiLevelType w:val="hybridMultilevel"/>
    <w:tmpl w:val="2A8A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15"/>
    <w:rsid w:val="0000464A"/>
    <w:rsid w:val="000E6A61"/>
    <w:rsid w:val="00101350"/>
    <w:rsid w:val="001144B3"/>
    <w:rsid w:val="00161CCB"/>
    <w:rsid w:val="00182000"/>
    <w:rsid w:val="00227B2A"/>
    <w:rsid w:val="002848EF"/>
    <w:rsid w:val="0043612A"/>
    <w:rsid w:val="00465988"/>
    <w:rsid w:val="004D07F2"/>
    <w:rsid w:val="0055603A"/>
    <w:rsid w:val="0058172F"/>
    <w:rsid w:val="005E12DA"/>
    <w:rsid w:val="007E6341"/>
    <w:rsid w:val="00840E53"/>
    <w:rsid w:val="009B2E06"/>
    <w:rsid w:val="009E584D"/>
    <w:rsid w:val="00A65F56"/>
    <w:rsid w:val="00A93B08"/>
    <w:rsid w:val="00AC6EEC"/>
    <w:rsid w:val="00B06D3D"/>
    <w:rsid w:val="00BC1D15"/>
    <w:rsid w:val="00C24C01"/>
    <w:rsid w:val="00C366E3"/>
    <w:rsid w:val="00DC3CA4"/>
    <w:rsid w:val="00E72135"/>
    <w:rsid w:val="00E82E1C"/>
    <w:rsid w:val="00F2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35A8"/>
  <w15:chartTrackingRefBased/>
  <w15:docId w15:val="{5D3EAE97-116F-445F-B792-6EA4408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72F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Evwgu369J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EAULTfEbe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AA37B33893347AD44FC942EFF518D" ma:contentTypeVersion="13" ma:contentTypeDescription="Create a new document." ma:contentTypeScope="" ma:versionID="8d3817e382559b4003de08af06963ce4">
  <xsd:schema xmlns:xsd="http://www.w3.org/2001/XMLSchema" xmlns:xs="http://www.w3.org/2001/XMLSchema" xmlns:p="http://schemas.microsoft.com/office/2006/metadata/properties" xmlns:ns3="fe6a1666-2650-4b47-8289-2a012f13852b" xmlns:ns4="ab303b1e-5f0a-4c74-80f9-f91c14462d82" targetNamespace="http://schemas.microsoft.com/office/2006/metadata/properties" ma:root="true" ma:fieldsID="8066778569af37bde21263f5ab563833" ns3:_="" ns4:_="">
    <xsd:import namespace="fe6a1666-2650-4b47-8289-2a012f13852b"/>
    <xsd:import namespace="ab303b1e-5f0a-4c74-80f9-f91c14462d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a1666-2650-4b47-8289-2a012f1385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03b1e-5f0a-4c74-80f9-f91c14462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BA732-DA8A-4350-A681-B97A27804214}">
  <ds:schemaRefs>
    <ds:schemaRef ds:uri="http://purl.org/dc/elements/1.1/"/>
    <ds:schemaRef ds:uri="ab303b1e-5f0a-4c74-80f9-f91c14462d82"/>
    <ds:schemaRef ds:uri="http://schemas.microsoft.com/office/infopath/2007/PartnerControls"/>
    <ds:schemaRef ds:uri="fe6a1666-2650-4b47-8289-2a012f13852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32F82E-E9D1-4729-8D3F-88A69B095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B0179-798D-47C3-ABDB-FD17659D1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a1666-2650-4b47-8289-2a012f13852b"/>
    <ds:schemaRef ds:uri="ab303b1e-5f0a-4c74-80f9-f91c14462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Amy D.</dc:creator>
  <cp:keywords/>
  <dc:description/>
  <cp:lastModifiedBy>Loum, Jeannine</cp:lastModifiedBy>
  <cp:revision>2</cp:revision>
  <dcterms:created xsi:type="dcterms:W3CDTF">2021-05-12T15:54:00Z</dcterms:created>
  <dcterms:modified xsi:type="dcterms:W3CDTF">2021-05-12T15:54:00Z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0x01010083BAA37B33893347AD44FC942EFF518D</vt:lpwstr>
  </property>
</Properties>
</file>