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83F6" w14:textId="77777777" w:rsidR="00E07CAA" w:rsidRPr="00DB1B73" w:rsidRDefault="00EE1764" w:rsidP="00EE1764">
      <w:pPr>
        <w:spacing w:after="0"/>
        <w:jc w:val="center"/>
        <w:rPr>
          <w:b/>
        </w:rPr>
      </w:pPr>
      <w:r>
        <w:rPr>
          <w:noProof/>
        </w:rPr>
        <w:drawing>
          <wp:inline distT="0" distB="0" distL="0" distR="0" wp14:anchorId="5421E382" wp14:editId="3321C40D">
            <wp:extent cx="2895600" cy="57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419" cy="582586"/>
                    </a:xfrm>
                    <a:prstGeom prst="rect">
                      <a:avLst/>
                    </a:prstGeom>
                    <a:noFill/>
                  </pic:spPr>
                </pic:pic>
              </a:graphicData>
            </a:graphic>
          </wp:inline>
        </w:drawing>
      </w:r>
    </w:p>
    <w:p w14:paraId="399141B2" w14:textId="77777777" w:rsidR="00E07CAA" w:rsidRDefault="00E07CAA" w:rsidP="00E07CAA">
      <w:pPr>
        <w:spacing w:after="0"/>
      </w:pPr>
    </w:p>
    <w:p w14:paraId="14920E87" w14:textId="77777777" w:rsidR="00EE1764" w:rsidRDefault="00EE1764" w:rsidP="00EE1764"/>
    <w:tbl>
      <w:tblPr>
        <w:tblStyle w:val="TableGrid"/>
        <w:tblW w:w="0" w:type="auto"/>
        <w:tblLook w:val="04A0" w:firstRow="1" w:lastRow="0" w:firstColumn="1" w:lastColumn="0" w:noHBand="0" w:noVBand="1"/>
      </w:tblPr>
      <w:tblGrid>
        <w:gridCol w:w="4788"/>
        <w:gridCol w:w="4788"/>
      </w:tblGrid>
      <w:tr w:rsidR="00EE1764" w14:paraId="4603D8C6" w14:textId="77777777" w:rsidTr="007C4F8B">
        <w:tc>
          <w:tcPr>
            <w:tcW w:w="9576" w:type="dxa"/>
            <w:gridSpan w:val="2"/>
            <w:shd w:val="clear" w:color="auto" w:fill="DBE5F1" w:themeFill="accent1" w:themeFillTint="33"/>
          </w:tcPr>
          <w:p w14:paraId="424401BF" w14:textId="77777777" w:rsidR="00EE1764" w:rsidRDefault="00EE1764" w:rsidP="00E45096">
            <w:pPr>
              <w:jc w:val="center"/>
            </w:pPr>
            <w:r w:rsidRPr="001F3E57">
              <w:rPr>
                <w:bCs/>
                <w:lang w:val="en"/>
              </w:rPr>
              <w:t>Approval of Academic Programs, Units, and Modifications</w:t>
            </w:r>
          </w:p>
        </w:tc>
      </w:tr>
      <w:tr w:rsidR="00EE1764" w14:paraId="6D8E61A0" w14:textId="77777777" w:rsidTr="007C4F8B">
        <w:tc>
          <w:tcPr>
            <w:tcW w:w="4788" w:type="dxa"/>
          </w:tcPr>
          <w:p w14:paraId="1C9FFC59" w14:textId="77777777" w:rsidR="00EE1764" w:rsidRPr="00EB74D1" w:rsidRDefault="00EE1764" w:rsidP="007C4F8B">
            <w:pPr>
              <w:rPr>
                <w:color w:val="FF0000"/>
              </w:rPr>
            </w:pPr>
            <w:r w:rsidRPr="00615034">
              <w:t xml:space="preserve">Responsible Official:  </w:t>
            </w:r>
            <w:r>
              <w:t xml:space="preserve"> Provost</w:t>
            </w:r>
          </w:p>
        </w:tc>
        <w:tc>
          <w:tcPr>
            <w:tcW w:w="4788" w:type="dxa"/>
          </w:tcPr>
          <w:p w14:paraId="40A0A2B2" w14:textId="77777777" w:rsidR="00EE1764" w:rsidRPr="00EB74D1" w:rsidRDefault="00EE1764" w:rsidP="00E45096">
            <w:pPr>
              <w:spacing w:line="240" w:lineRule="auto"/>
            </w:pPr>
            <w:r>
              <w:t>Responsible Office:   Vice Provost for Academic Affairs</w:t>
            </w:r>
          </w:p>
        </w:tc>
      </w:tr>
    </w:tbl>
    <w:p w14:paraId="0A442499" w14:textId="77777777" w:rsidR="00EE1764" w:rsidRDefault="00EE1764" w:rsidP="00EE1764">
      <w:pPr>
        <w:shd w:val="clear" w:color="auto" w:fill="FFFFFF" w:themeFill="background1"/>
      </w:pPr>
    </w:p>
    <w:p w14:paraId="733CC397" w14:textId="77777777" w:rsidR="00EE1764" w:rsidRDefault="00EE1764" w:rsidP="00EE1764">
      <w:pPr>
        <w:shd w:val="clear" w:color="auto" w:fill="FFFFCC"/>
      </w:pPr>
      <w:r>
        <w:t>Policy Purpose</w:t>
      </w:r>
    </w:p>
    <w:p w14:paraId="7C3ED643" w14:textId="5006111A" w:rsidR="000F7629" w:rsidRDefault="00EE1764" w:rsidP="000F7629">
      <w:pPr>
        <w:spacing w:after="0" w:line="240" w:lineRule="auto"/>
        <w:rPr>
          <w:lang w:val="en"/>
        </w:rPr>
      </w:pPr>
      <w:r w:rsidRPr="000A75FC">
        <w:rPr>
          <w:lang w:val="en"/>
        </w:rPr>
        <w:t xml:space="preserve">The purpose of this policy is to establish the procedures and processes for the submission and approval of requests for </w:t>
      </w:r>
      <w:r>
        <w:rPr>
          <w:lang w:val="en"/>
        </w:rPr>
        <w:t xml:space="preserve">developing or modifying academic programs or units.  </w:t>
      </w:r>
    </w:p>
    <w:p w14:paraId="13CAEF22" w14:textId="77777777" w:rsidR="000F7629" w:rsidRDefault="000F7629" w:rsidP="000F7629">
      <w:pPr>
        <w:spacing w:after="0" w:line="240" w:lineRule="auto"/>
        <w:rPr>
          <w:lang w:val="en"/>
        </w:rPr>
      </w:pPr>
    </w:p>
    <w:p w14:paraId="05D0A8ED" w14:textId="77777777" w:rsidR="000F7629" w:rsidRDefault="000F7629" w:rsidP="000F7629">
      <w:pPr>
        <w:spacing w:after="0" w:line="240" w:lineRule="auto"/>
        <w:rPr>
          <w:lang w:val="en"/>
        </w:rPr>
      </w:pPr>
    </w:p>
    <w:p w14:paraId="7302444D" w14:textId="77777777" w:rsidR="00EE1764" w:rsidRDefault="00EE1764" w:rsidP="00EE1764">
      <w:pPr>
        <w:shd w:val="clear" w:color="auto" w:fill="FFFFCC"/>
      </w:pPr>
      <w:r>
        <w:t>Policy Statement</w:t>
      </w:r>
    </w:p>
    <w:p w14:paraId="39033E67" w14:textId="77777777" w:rsidR="00EE1764" w:rsidRDefault="00EE1764" w:rsidP="00EE1764">
      <w:pPr>
        <w:pStyle w:val="ListParagraph"/>
        <w:numPr>
          <w:ilvl w:val="0"/>
          <w:numId w:val="18"/>
        </w:numPr>
        <w:spacing w:after="0" w:line="240" w:lineRule="auto"/>
      </w:pPr>
      <w:r w:rsidRPr="00084D65">
        <w:t>East Tennessee State University complies with the academic policies of the Tennessee Higher Education Commission</w:t>
      </w:r>
      <w:r>
        <w:t xml:space="preserve"> (THEC)</w:t>
      </w:r>
      <w:r w:rsidRPr="00084D65">
        <w:t xml:space="preserve">.  </w:t>
      </w:r>
    </w:p>
    <w:p w14:paraId="4C7DB5C8" w14:textId="77777777" w:rsidR="00EE1764" w:rsidRDefault="00EE1764" w:rsidP="00EE1764">
      <w:pPr>
        <w:pStyle w:val="ListParagraph"/>
      </w:pPr>
    </w:p>
    <w:p w14:paraId="0DB3949F" w14:textId="4BC159EA" w:rsidR="00CC5CCF" w:rsidRDefault="00EE1764" w:rsidP="00EE1764">
      <w:pPr>
        <w:pStyle w:val="ListParagraph"/>
        <w:numPr>
          <w:ilvl w:val="0"/>
          <w:numId w:val="18"/>
        </w:numPr>
      </w:pPr>
      <w:r>
        <w:t xml:space="preserve">ETSU has </w:t>
      </w:r>
      <w:r w:rsidR="00CC5CCF">
        <w:t xml:space="preserve">the </w:t>
      </w:r>
      <w:r>
        <w:t xml:space="preserve">authority </w:t>
      </w:r>
      <w:r w:rsidR="00CC5CCF">
        <w:t>to do the following without approval from THEC:</w:t>
      </w:r>
    </w:p>
    <w:p w14:paraId="3D595EDF" w14:textId="77777777" w:rsidR="00CC5CCF" w:rsidRDefault="00CC5CCF" w:rsidP="00A10EBB">
      <w:pPr>
        <w:pStyle w:val="ListParagraph"/>
      </w:pPr>
    </w:p>
    <w:p w14:paraId="289952F3" w14:textId="77777777" w:rsidR="00CC5CCF" w:rsidRPr="00A10EBB" w:rsidRDefault="00EE1764" w:rsidP="00A10EBB">
      <w:pPr>
        <w:pStyle w:val="ListParagraph"/>
        <w:numPr>
          <w:ilvl w:val="1"/>
          <w:numId w:val="18"/>
        </w:numPr>
      </w:pPr>
      <w:r>
        <w:t xml:space="preserve">create </w:t>
      </w:r>
      <w:r w:rsidRPr="00F81BC2">
        <w:rPr>
          <w:lang w:val="en"/>
        </w:rPr>
        <w:t>new courses</w:t>
      </w:r>
    </w:p>
    <w:p w14:paraId="1D100820" w14:textId="368DB3C2" w:rsidR="00CC5CCF" w:rsidRPr="00A10EBB" w:rsidRDefault="00EE1764" w:rsidP="00A10EBB">
      <w:pPr>
        <w:pStyle w:val="ListParagraph"/>
        <w:numPr>
          <w:ilvl w:val="1"/>
          <w:numId w:val="18"/>
        </w:numPr>
      </w:pPr>
      <w:r w:rsidRPr="00F81BC2">
        <w:rPr>
          <w:lang w:val="en"/>
        </w:rPr>
        <w:t>substantially modify or make minor edits or updates to existing courses</w:t>
      </w:r>
    </w:p>
    <w:p w14:paraId="0B1470EB" w14:textId="309669AE" w:rsidR="00CC5CCF" w:rsidRPr="00A10EBB" w:rsidRDefault="00EE1764" w:rsidP="00A10EBB">
      <w:pPr>
        <w:pStyle w:val="ListParagraph"/>
        <w:numPr>
          <w:ilvl w:val="1"/>
          <w:numId w:val="18"/>
        </w:numPr>
      </w:pPr>
      <w:r w:rsidRPr="00F81BC2">
        <w:rPr>
          <w:lang w:val="en"/>
        </w:rPr>
        <w:t>inactivate</w:t>
      </w:r>
      <w:r>
        <w:rPr>
          <w:lang w:val="en"/>
        </w:rPr>
        <w:t xml:space="preserve"> existing courses</w:t>
      </w:r>
    </w:p>
    <w:p w14:paraId="2A3CB12D" w14:textId="1560F608" w:rsidR="00CC5CCF" w:rsidRPr="00A10EBB" w:rsidRDefault="00EE1764" w:rsidP="00A10EBB">
      <w:pPr>
        <w:pStyle w:val="ListParagraph"/>
        <w:numPr>
          <w:ilvl w:val="1"/>
          <w:numId w:val="18"/>
        </w:numPr>
      </w:pPr>
      <w:r w:rsidRPr="00F81BC2">
        <w:rPr>
          <w:lang w:val="en"/>
        </w:rPr>
        <w:t>determine course content or design</w:t>
      </w:r>
    </w:p>
    <w:p w14:paraId="703B7745" w14:textId="77777777" w:rsidR="00502932" w:rsidRPr="00502932" w:rsidRDefault="00502932" w:rsidP="00A10EBB">
      <w:pPr>
        <w:pStyle w:val="ListParagraph"/>
        <w:numPr>
          <w:ilvl w:val="1"/>
          <w:numId w:val="18"/>
        </w:numPr>
      </w:pPr>
      <w:r>
        <w:rPr>
          <w:lang w:val="en"/>
        </w:rPr>
        <w:t>establish certificates 12-23 credits</w:t>
      </w:r>
    </w:p>
    <w:p w14:paraId="7565E1F6" w14:textId="345B84C8" w:rsidR="00CC5CCF" w:rsidRPr="00A10EBB" w:rsidRDefault="00EE1764" w:rsidP="00A10EBB">
      <w:pPr>
        <w:pStyle w:val="ListParagraph"/>
        <w:numPr>
          <w:ilvl w:val="1"/>
          <w:numId w:val="18"/>
        </w:numPr>
      </w:pPr>
      <w:r w:rsidRPr="00F81BC2">
        <w:rPr>
          <w:lang w:val="en"/>
        </w:rPr>
        <w:t>establish minors</w:t>
      </w:r>
    </w:p>
    <w:p w14:paraId="609A99AB" w14:textId="42669205" w:rsidR="00CC5CCF" w:rsidRPr="00A10EBB" w:rsidRDefault="00EE1764" w:rsidP="00A10EBB">
      <w:pPr>
        <w:pStyle w:val="ListParagraph"/>
        <w:numPr>
          <w:ilvl w:val="1"/>
          <w:numId w:val="18"/>
        </w:numPr>
      </w:pPr>
      <w:r w:rsidRPr="00F81BC2">
        <w:rPr>
          <w:lang w:val="en"/>
        </w:rPr>
        <w:t>revise existing academic degrees, certificates, concentrations or minors</w:t>
      </w:r>
    </w:p>
    <w:p w14:paraId="26062657" w14:textId="73FCA24E" w:rsidR="00EE1764" w:rsidRPr="001F3E57" w:rsidRDefault="00EE1764" w:rsidP="00A10EBB">
      <w:pPr>
        <w:pStyle w:val="ListParagraph"/>
        <w:numPr>
          <w:ilvl w:val="1"/>
          <w:numId w:val="18"/>
        </w:numPr>
      </w:pPr>
      <w:r w:rsidRPr="00F81BC2">
        <w:rPr>
          <w:lang w:val="en"/>
        </w:rPr>
        <w:t>establish institutes and ce</w:t>
      </w:r>
      <w:r>
        <w:rPr>
          <w:lang w:val="en"/>
        </w:rPr>
        <w:t xml:space="preserve">nters that are not cost centers </w:t>
      </w:r>
    </w:p>
    <w:p w14:paraId="54F99CB0" w14:textId="77777777" w:rsidR="00EE1764" w:rsidRDefault="00EE1764" w:rsidP="00EE1764">
      <w:pPr>
        <w:pStyle w:val="ListParagraph"/>
      </w:pPr>
    </w:p>
    <w:p w14:paraId="06FCF7EA" w14:textId="1E5A0CB2" w:rsidR="00EE1764" w:rsidRPr="00631FF0" w:rsidRDefault="00EE1764" w:rsidP="00EE1764">
      <w:pPr>
        <w:pStyle w:val="ListParagraph"/>
        <w:numPr>
          <w:ilvl w:val="0"/>
          <w:numId w:val="18"/>
        </w:numPr>
        <w:rPr>
          <w:color w:val="000000" w:themeColor="text1"/>
        </w:rPr>
      </w:pPr>
      <w:r>
        <w:t xml:space="preserve">ETSU </w:t>
      </w:r>
      <w:r w:rsidRPr="001F3E57">
        <w:rPr>
          <w:color w:val="231F20"/>
        </w:rPr>
        <w:t xml:space="preserve">places primary responsibility for the content, quality, and effectiveness of its curriculum with its faculty.  Curricular academic actions, therefore, must be approved </w:t>
      </w:r>
      <w:r w:rsidR="00631FF0">
        <w:rPr>
          <w:color w:val="231F20"/>
        </w:rPr>
        <w:t xml:space="preserve">initially </w:t>
      </w:r>
      <w:r w:rsidRPr="001F3E57">
        <w:rPr>
          <w:color w:val="231F20"/>
        </w:rPr>
        <w:t xml:space="preserve">by the faculty of the originating </w:t>
      </w:r>
      <w:r w:rsidR="00C500E6">
        <w:rPr>
          <w:color w:val="231F20"/>
        </w:rPr>
        <w:t>unit</w:t>
      </w:r>
      <w:r w:rsidR="00631FF0">
        <w:rPr>
          <w:color w:val="231F20"/>
        </w:rPr>
        <w:t xml:space="preserve">.  </w:t>
      </w:r>
      <w:r w:rsidR="00C500E6">
        <w:rPr>
          <w:color w:val="231F20"/>
        </w:rPr>
        <w:t xml:space="preserve"> </w:t>
      </w:r>
    </w:p>
    <w:p w14:paraId="17D89898" w14:textId="77777777" w:rsidR="00631FF0" w:rsidRPr="00631FF0" w:rsidRDefault="00631FF0" w:rsidP="00631FF0">
      <w:pPr>
        <w:pStyle w:val="ListParagraph"/>
        <w:ind w:left="1080"/>
        <w:rPr>
          <w:color w:val="000000" w:themeColor="text1"/>
        </w:rPr>
      </w:pPr>
    </w:p>
    <w:p w14:paraId="7FA5D490" w14:textId="44402A68" w:rsidR="00631FF0" w:rsidRPr="001F3E57" w:rsidRDefault="00631FF0" w:rsidP="00EE1764">
      <w:pPr>
        <w:pStyle w:val="ListParagraph"/>
        <w:numPr>
          <w:ilvl w:val="0"/>
          <w:numId w:val="18"/>
        </w:numPr>
        <w:rPr>
          <w:color w:val="000000" w:themeColor="text1"/>
        </w:rPr>
      </w:pPr>
      <w:r>
        <w:rPr>
          <w:color w:val="000000" w:themeColor="text1"/>
        </w:rPr>
        <w:t>Academic actions are approved as indicated on the Academic Approval matrix.</w:t>
      </w:r>
    </w:p>
    <w:p w14:paraId="31BF75AB" w14:textId="77777777" w:rsidR="00EE1764" w:rsidRPr="00210E21" w:rsidRDefault="00EE1764" w:rsidP="00EE1764">
      <w:pPr>
        <w:pStyle w:val="ListParagraph"/>
        <w:ind w:left="1530"/>
        <w:rPr>
          <w:color w:val="231F20"/>
        </w:rPr>
      </w:pPr>
    </w:p>
    <w:p w14:paraId="1911FAAA" w14:textId="77777777" w:rsidR="00EE1764" w:rsidRPr="001F3E57" w:rsidRDefault="00EE1764" w:rsidP="00EE1764">
      <w:pPr>
        <w:pStyle w:val="ListParagraph"/>
        <w:numPr>
          <w:ilvl w:val="0"/>
          <w:numId w:val="18"/>
        </w:numPr>
        <w:rPr>
          <w:color w:val="231F20"/>
        </w:rPr>
      </w:pPr>
      <w:r w:rsidRPr="001F3E57">
        <w:rPr>
          <w:color w:val="231F20"/>
        </w:rPr>
        <w:t xml:space="preserve">When </w:t>
      </w:r>
      <w:r>
        <w:t xml:space="preserve">an academic action is reviewed and approved by Academic Council, the Council determines if the action represents a substantive change in accordance with ETSU’s Substantive Change policy.   </w:t>
      </w:r>
    </w:p>
    <w:p w14:paraId="61CA018E" w14:textId="77777777" w:rsidR="00EE1764" w:rsidRDefault="00EE1764" w:rsidP="00EE1764">
      <w:pPr>
        <w:spacing w:after="0"/>
        <w:ind w:left="1080" w:hanging="1080"/>
        <w:rPr>
          <w:rFonts w:eastAsia="Times New Roman" w:cs="Arial"/>
          <w:lang w:val="en"/>
        </w:rPr>
      </w:pPr>
      <w:r w:rsidRPr="004F6A2A">
        <w:t xml:space="preserve">Authority:   </w:t>
      </w:r>
      <w:r w:rsidRPr="004F6A2A">
        <w:tab/>
        <w:t xml:space="preserve">THEC </w:t>
      </w:r>
      <w:hyperlink r:id="rId9" w:history="1">
        <w:r>
          <w:rPr>
            <w:rFonts w:eastAsia="Times New Roman" w:cs="Arial"/>
            <w:lang w:val="en"/>
          </w:rPr>
          <w:t xml:space="preserve">Academic Policy </w:t>
        </w:r>
        <w:proofErr w:type="gramStart"/>
        <w:r>
          <w:rPr>
            <w:rFonts w:eastAsia="Times New Roman" w:cs="Arial"/>
            <w:lang w:val="en"/>
          </w:rPr>
          <w:t>A1.0 :</w:t>
        </w:r>
        <w:proofErr w:type="gramEnd"/>
        <w:r>
          <w:rPr>
            <w:rFonts w:eastAsia="Times New Roman" w:cs="Arial"/>
            <w:lang w:val="en"/>
          </w:rPr>
          <w:t xml:space="preserve">  </w:t>
        </w:r>
        <w:r w:rsidRPr="004F6A2A">
          <w:rPr>
            <w:rFonts w:eastAsia="Times New Roman" w:cs="Arial"/>
            <w:lang w:val="en"/>
          </w:rPr>
          <w:t>New Academic Programs:  Approval Process</w:t>
        </w:r>
      </w:hyperlink>
    </w:p>
    <w:p w14:paraId="1DAA8E76" w14:textId="77777777" w:rsidR="00EE1764" w:rsidRDefault="00EE1764" w:rsidP="00EE1764">
      <w:pPr>
        <w:spacing w:after="0" w:line="240" w:lineRule="auto"/>
        <w:ind w:left="1080" w:hanging="1080"/>
        <w:rPr>
          <w:rFonts w:eastAsia="Times New Roman" w:cs="Arial"/>
          <w:color w:val="131E29"/>
          <w:lang w:val="en"/>
        </w:rPr>
      </w:pPr>
      <w:r>
        <w:rPr>
          <w:rFonts w:eastAsia="Times New Roman" w:cs="Arial"/>
          <w:lang w:val="en"/>
        </w:rPr>
        <w:tab/>
        <w:t>T</w:t>
      </w:r>
      <w:r w:rsidRPr="004F6A2A">
        <w:rPr>
          <w:rFonts w:eastAsia="Times New Roman" w:cs="Arial"/>
          <w:lang w:val="en"/>
        </w:rPr>
        <w:t>HEC</w:t>
      </w:r>
      <w:r>
        <w:rPr>
          <w:rFonts w:eastAsia="Times New Roman" w:cs="Arial"/>
          <w:lang w:val="en"/>
        </w:rPr>
        <w:t xml:space="preserve"> Academic Policy A1.1:  </w:t>
      </w:r>
      <w:r w:rsidRPr="004F6A2A">
        <w:rPr>
          <w:rFonts w:eastAsia="Times New Roman" w:cs="Arial"/>
          <w:lang w:val="en"/>
        </w:rPr>
        <w:t>A</w:t>
      </w:r>
      <w:r w:rsidRPr="004F6A2A">
        <w:rPr>
          <w:rFonts w:cs="Arial"/>
          <w:color w:val="131E29"/>
          <w:lang w:val="en"/>
        </w:rPr>
        <w:t xml:space="preserve"> </w:t>
      </w:r>
      <w:hyperlink r:id="rId10" w:history="1">
        <w:r w:rsidRPr="004F6A2A">
          <w:rPr>
            <w:rFonts w:eastAsia="Times New Roman" w:cs="Arial"/>
            <w:color w:val="1B365D"/>
            <w:lang w:val="en"/>
          </w:rPr>
          <w:t>- Academic Program Modifications</w:t>
        </w:r>
      </w:hyperlink>
    </w:p>
    <w:p w14:paraId="33281198" w14:textId="77777777" w:rsidR="00EE1764" w:rsidRDefault="00EE1764" w:rsidP="00EE1764">
      <w:pPr>
        <w:spacing w:after="0" w:line="240" w:lineRule="auto"/>
        <w:ind w:left="1080" w:hanging="1080"/>
        <w:rPr>
          <w:rFonts w:eastAsia="Times New Roman" w:cs="Arial"/>
          <w:lang w:val="en"/>
        </w:rPr>
      </w:pPr>
      <w:r>
        <w:rPr>
          <w:rFonts w:eastAsia="Times New Roman" w:cs="Arial"/>
          <w:lang w:val="en"/>
        </w:rPr>
        <w:tab/>
        <w:t xml:space="preserve">SACSCOC Substantive Change Policy </w:t>
      </w:r>
    </w:p>
    <w:p w14:paraId="37F769A7" w14:textId="77777777" w:rsidR="00EE1764" w:rsidRDefault="00EE1764" w:rsidP="00EE1764">
      <w:pPr>
        <w:shd w:val="clear" w:color="auto" w:fill="FFFFCC"/>
      </w:pPr>
      <w:r>
        <w:lastRenderedPageBreak/>
        <w:t>Definitions</w:t>
      </w:r>
    </w:p>
    <w:p w14:paraId="299CF9E5" w14:textId="77777777" w:rsidR="00EE1764" w:rsidRDefault="00C12E3C" w:rsidP="00EE1764">
      <w:r>
        <w:t xml:space="preserve">Actions identified </w:t>
      </w:r>
      <w:r w:rsidR="00EE1764">
        <w:t>in the Academic Approvals matrix, located under Procedure.</w:t>
      </w:r>
    </w:p>
    <w:p w14:paraId="099ACE27" w14:textId="77777777" w:rsidR="000F7629" w:rsidRDefault="000F7629" w:rsidP="00EE1764"/>
    <w:p w14:paraId="062B91F3" w14:textId="77777777" w:rsidR="00EE1764" w:rsidRDefault="00EE1764" w:rsidP="00EE1764">
      <w:pPr>
        <w:shd w:val="clear" w:color="auto" w:fill="FFFFCC"/>
        <w:jc w:val="center"/>
      </w:pPr>
      <w:r>
        <w:t>Policy History</w:t>
      </w:r>
    </w:p>
    <w:p w14:paraId="508ABCE4" w14:textId="77777777" w:rsidR="00EE1764" w:rsidRDefault="00EE1764" w:rsidP="00EE1764">
      <w:r>
        <w:t>Effective Date:   March 24, 2017</w:t>
      </w:r>
    </w:p>
    <w:p w14:paraId="757D57B5" w14:textId="77777777" w:rsidR="00EE1764" w:rsidRDefault="00EE1764" w:rsidP="00EE1764"/>
    <w:p w14:paraId="649AB5A2" w14:textId="77777777" w:rsidR="00EE1764" w:rsidRDefault="00EE1764" w:rsidP="00EE1764">
      <w:pPr>
        <w:shd w:val="clear" w:color="auto" w:fill="DBE5F1" w:themeFill="accent1" w:themeFillTint="33"/>
        <w:jc w:val="center"/>
      </w:pPr>
      <w:r>
        <w:t>Procedure (s)</w:t>
      </w:r>
    </w:p>
    <w:p w14:paraId="1E3703DC" w14:textId="77777777" w:rsidR="00EE1764" w:rsidRDefault="00EE1764" w:rsidP="00EE1764"/>
    <w:p w14:paraId="3F9BDA00" w14:textId="77777777" w:rsidR="00EE1764" w:rsidRDefault="00E45096" w:rsidP="00EE1764">
      <w:r>
        <w:t>The approval matrix (below) should be available here.</w:t>
      </w:r>
    </w:p>
    <w:p w14:paraId="55106776" w14:textId="77777777" w:rsidR="00EE1764" w:rsidRDefault="00EE1764" w:rsidP="00EE1764">
      <w:pPr>
        <w:shd w:val="clear" w:color="auto" w:fill="DBE5F1" w:themeFill="accent1" w:themeFillTint="33"/>
        <w:jc w:val="center"/>
      </w:pPr>
      <w:r>
        <w:t>Procedure History</w:t>
      </w:r>
    </w:p>
    <w:p w14:paraId="715E0F47" w14:textId="77777777" w:rsidR="00EE1764" w:rsidRDefault="00EE1764" w:rsidP="00EE1764">
      <w:pPr>
        <w:spacing w:after="0" w:line="240" w:lineRule="auto"/>
      </w:pPr>
      <w:r>
        <w:t>Effective Date:  March 24, 2017</w:t>
      </w:r>
    </w:p>
    <w:p w14:paraId="407D08D6" w14:textId="18FF8BDD" w:rsidR="00EE1764" w:rsidRDefault="00EE1764" w:rsidP="00EE1764">
      <w:pPr>
        <w:spacing w:after="0" w:line="240" w:lineRule="auto"/>
      </w:pPr>
      <w:r>
        <w:t>Revision Date:</w:t>
      </w:r>
      <w:r w:rsidR="000F7629">
        <w:t xml:space="preserve">  April 12, 2018</w:t>
      </w:r>
    </w:p>
    <w:p w14:paraId="17C8BEE7" w14:textId="77777777" w:rsidR="00EE1764" w:rsidRDefault="00EE1764" w:rsidP="00EE1764">
      <w:pPr>
        <w:spacing w:after="0" w:line="240" w:lineRule="auto"/>
      </w:pPr>
    </w:p>
    <w:p w14:paraId="1EA555B5" w14:textId="77777777" w:rsidR="000F7629" w:rsidRDefault="000F7629" w:rsidP="00EE1764">
      <w:pPr>
        <w:spacing w:after="0" w:line="240" w:lineRule="auto"/>
      </w:pPr>
    </w:p>
    <w:p w14:paraId="0B507080" w14:textId="77777777" w:rsidR="00EE1764" w:rsidRDefault="00EE1764" w:rsidP="00EE1764">
      <w:pPr>
        <w:shd w:val="clear" w:color="auto" w:fill="FFFFCC"/>
        <w:jc w:val="center"/>
      </w:pPr>
      <w:r>
        <w:t>Related Form(s)</w:t>
      </w:r>
    </w:p>
    <w:p w14:paraId="27F8840A" w14:textId="67933BC2" w:rsidR="00EE1764" w:rsidRDefault="00C12E3C" w:rsidP="00EE1764">
      <w:pPr>
        <w:spacing w:after="0" w:line="240" w:lineRule="auto"/>
        <w:rPr>
          <w:i/>
        </w:rPr>
      </w:pPr>
      <w:r>
        <w:t>A</w:t>
      </w:r>
      <w:r w:rsidR="00EE1764">
        <w:t xml:space="preserve">cademic action forms are available in the University’s Curriculum Process software, </w:t>
      </w:r>
      <w:hyperlink r:id="rId11" w:history="1">
        <w:r w:rsidR="00EE1764" w:rsidRPr="00576DB2">
          <w:rPr>
            <w:rStyle w:val="Hyperlink"/>
            <w:i/>
          </w:rPr>
          <w:t>Curriculog</w:t>
        </w:r>
      </w:hyperlink>
      <w:r w:rsidR="00EE1764">
        <w:rPr>
          <w:i/>
        </w:rPr>
        <w:t>.</w:t>
      </w:r>
    </w:p>
    <w:p w14:paraId="03EE4D8D" w14:textId="77777777" w:rsidR="00EE1764" w:rsidRDefault="00EE1764" w:rsidP="00EE1764">
      <w:pPr>
        <w:spacing w:after="0" w:line="240" w:lineRule="auto"/>
      </w:pPr>
    </w:p>
    <w:p w14:paraId="6821CC7F" w14:textId="77777777" w:rsidR="00EE1764" w:rsidRDefault="00EE1764" w:rsidP="00EE1764">
      <w:pPr>
        <w:spacing w:after="0" w:line="240" w:lineRule="auto"/>
      </w:pPr>
    </w:p>
    <w:p w14:paraId="73AF1FC4" w14:textId="77777777" w:rsidR="00EE1764" w:rsidRDefault="00EE1764" w:rsidP="00EE1764">
      <w:pPr>
        <w:shd w:val="clear" w:color="auto" w:fill="FFFFCC"/>
        <w:spacing w:after="0" w:line="240" w:lineRule="auto"/>
        <w:jc w:val="center"/>
      </w:pPr>
      <w:r>
        <w:t>Scope and Applicability</w:t>
      </w:r>
    </w:p>
    <w:p w14:paraId="2062972B" w14:textId="77777777" w:rsidR="00EE1764" w:rsidRDefault="00EE1764" w:rsidP="00EE1764">
      <w:pPr>
        <w:spacing w:after="0" w:line="240" w:lineRule="auto"/>
      </w:pPr>
    </w:p>
    <w:p w14:paraId="4A42587C" w14:textId="05ED56D9" w:rsidR="00EE1764" w:rsidRDefault="00F55DE2" w:rsidP="00F55DE2">
      <w:pPr>
        <w:spacing w:after="0" w:line="240" w:lineRule="auto"/>
      </w:pPr>
      <w:r>
        <w:t>Primary:  Academics</w:t>
      </w:r>
      <w:bookmarkStart w:id="0" w:name="_GoBack"/>
      <w:bookmarkEnd w:id="0"/>
    </w:p>
    <w:p w14:paraId="6E4973B2" w14:textId="77777777" w:rsidR="00EE1764" w:rsidRDefault="00EE1764" w:rsidP="00EE1764"/>
    <w:p w14:paraId="12E86E06" w14:textId="77777777" w:rsidR="00EE1764" w:rsidRPr="00EE1764" w:rsidRDefault="00EE1764" w:rsidP="00EE1764">
      <w:r>
        <w:br w:type="page"/>
      </w:r>
    </w:p>
    <w:p w14:paraId="79D1A77B" w14:textId="77777777" w:rsidR="00B2081C" w:rsidRDefault="00B2081C" w:rsidP="00B2081C">
      <w:pPr>
        <w:spacing w:after="0" w:line="240" w:lineRule="auto"/>
        <w:jc w:val="center"/>
        <w:sectPr w:rsidR="00B2081C" w:rsidSect="00B2081C">
          <w:footerReference w:type="default" r:id="rId12"/>
          <w:pgSz w:w="12240" w:h="15840"/>
          <w:pgMar w:top="1440" w:right="1440" w:bottom="1440" w:left="1440" w:header="720" w:footer="720" w:gutter="0"/>
          <w:cols w:space="720"/>
          <w:docGrid w:linePitch="360"/>
        </w:sectPr>
      </w:pPr>
    </w:p>
    <w:p w14:paraId="7B130893" w14:textId="77777777" w:rsidR="00ED2FC6" w:rsidRDefault="00ED2FC6" w:rsidP="00B2081C">
      <w:pPr>
        <w:spacing w:after="0" w:line="240" w:lineRule="auto"/>
        <w:jc w:val="center"/>
      </w:pPr>
      <w:r>
        <w:lastRenderedPageBreak/>
        <w:t>Academic Approvals</w:t>
      </w:r>
    </w:p>
    <w:p w14:paraId="243CE903" w14:textId="77777777" w:rsidR="00B2081C" w:rsidRDefault="00B2081C" w:rsidP="00B2081C">
      <w:pPr>
        <w:spacing w:after="0" w:line="240" w:lineRule="auto"/>
        <w:jc w:val="center"/>
      </w:pPr>
    </w:p>
    <w:tbl>
      <w:tblPr>
        <w:tblStyle w:val="TableGrid"/>
        <w:tblW w:w="14310" w:type="dxa"/>
        <w:tblInd w:w="-432" w:type="dxa"/>
        <w:tblLayout w:type="fixed"/>
        <w:tblLook w:val="04A0" w:firstRow="1" w:lastRow="0" w:firstColumn="1" w:lastColumn="0" w:noHBand="0" w:noVBand="1"/>
      </w:tblPr>
      <w:tblGrid>
        <w:gridCol w:w="3240"/>
        <w:gridCol w:w="1197"/>
        <w:gridCol w:w="1107"/>
        <w:gridCol w:w="1107"/>
        <w:gridCol w:w="1107"/>
        <w:gridCol w:w="1062"/>
        <w:gridCol w:w="45"/>
        <w:gridCol w:w="1107"/>
        <w:gridCol w:w="1107"/>
        <w:gridCol w:w="1107"/>
        <w:gridCol w:w="1107"/>
        <w:gridCol w:w="1017"/>
      </w:tblGrid>
      <w:tr w:rsidR="00ED2FC6" w:rsidRPr="00ED2FC6" w14:paraId="12903D82" w14:textId="77777777" w:rsidTr="00502932">
        <w:trPr>
          <w:tblHeader/>
        </w:trPr>
        <w:tc>
          <w:tcPr>
            <w:tcW w:w="3240" w:type="dxa"/>
            <w:shd w:val="clear" w:color="auto" w:fill="FFFFCC"/>
            <w:vAlign w:val="center"/>
          </w:tcPr>
          <w:p w14:paraId="4FC3EA6F"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Academic Action</w:t>
            </w:r>
          </w:p>
        </w:tc>
        <w:tc>
          <w:tcPr>
            <w:tcW w:w="1197" w:type="dxa"/>
            <w:shd w:val="clear" w:color="auto" w:fill="FFFFCC"/>
            <w:vAlign w:val="center"/>
          </w:tcPr>
          <w:p w14:paraId="2A059611"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Department</w:t>
            </w:r>
          </w:p>
          <w:p w14:paraId="335AD9AD" w14:textId="77777777" w:rsidR="00ED2FC6" w:rsidRPr="00ED2FC6" w:rsidRDefault="005D2FA8" w:rsidP="00D43C31">
            <w:pPr>
              <w:spacing w:after="0" w:line="240" w:lineRule="auto"/>
              <w:jc w:val="center"/>
              <w:rPr>
                <w:rFonts w:cs="Times New Roman"/>
                <w:b/>
                <w:color w:val="000000" w:themeColor="text1"/>
                <w:sz w:val="18"/>
                <w:szCs w:val="18"/>
              </w:rPr>
            </w:pPr>
            <w:r>
              <w:rPr>
                <w:rFonts w:cs="Times New Roman"/>
                <w:b/>
                <w:color w:val="000000" w:themeColor="text1"/>
                <w:sz w:val="18"/>
                <w:szCs w:val="18"/>
              </w:rPr>
              <w:t xml:space="preserve">Chair </w:t>
            </w:r>
          </w:p>
        </w:tc>
        <w:tc>
          <w:tcPr>
            <w:tcW w:w="1107" w:type="dxa"/>
            <w:shd w:val="clear" w:color="auto" w:fill="FFFFCC"/>
            <w:vAlign w:val="center"/>
          </w:tcPr>
          <w:p w14:paraId="3F5D90F9"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College</w:t>
            </w:r>
          </w:p>
          <w:p w14:paraId="038F731B"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Curriculum Committee</w:t>
            </w:r>
          </w:p>
        </w:tc>
        <w:tc>
          <w:tcPr>
            <w:tcW w:w="1107" w:type="dxa"/>
            <w:shd w:val="clear" w:color="auto" w:fill="FFFFCC"/>
            <w:vAlign w:val="center"/>
          </w:tcPr>
          <w:p w14:paraId="313F93B3"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Teacher Education Advisory</w:t>
            </w:r>
          </w:p>
          <w:p w14:paraId="6F11F90A"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Committee</w:t>
            </w:r>
          </w:p>
        </w:tc>
        <w:tc>
          <w:tcPr>
            <w:tcW w:w="1107" w:type="dxa"/>
            <w:shd w:val="clear" w:color="auto" w:fill="FFFFCC"/>
            <w:vAlign w:val="center"/>
          </w:tcPr>
          <w:p w14:paraId="7C67A63A" w14:textId="77777777" w:rsidR="00576DB2" w:rsidRDefault="00183461" w:rsidP="00183461">
            <w:pPr>
              <w:spacing w:after="0" w:line="240" w:lineRule="auto"/>
              <w:jc w:val="center"/>
              <w:rPr>
                <w:rFonts w:cs="Times New Roman"/>
                <w:b/>
                <w:color w:val="000000" w:themeColor="text1"/>
                <w:sz w:val="18"/>
                <w:szCs w:val="18"/>
              </w:rPr>
            </w:pPr>
            <w:r>
              <w:rPr>
                <w:rFonts w:cs="Times New Roman"/>
                <w:b/>
                <w:color w:val="000000" w:themeColor="text1"/>
                <w:sz w:val="18"/>
                <w:szCs w:val="18"/>
              </w:rPr>
              <w:t>College</w:t>
            </w:r>
            <w:r w:rsidR="00576DB2">
              <w:rPr>
                <w:rFonts w:cs="Times New Roman"/>
                <w:b/>
                <w:color w:val="000000" w:themeColor="text1"/>
                <w:sz w:val="18"/>
                <w:szCs w:val="18"/>
              </w:rPr>
              <w:t>/</w:t>
            </w:r>
          </w:p>
          <w:p w14:paraId="1F8BEB9F" w14:textId="2F6104F8" w:rsidR="00ED2FC6" w:rsidRPr="00ED2FC6" w:rsidRDefault="00576DB2" w:rsidP="00183461">
            <w:pPr>
              <w:spacing w:after="0" w:line="240" w:lineRule="auto"/>
              <w:jc w:val="center"/>
              <w:rPr>
                <w:rFonts w:cs="Times New Roman"/>
                <w:b/>
                <w:color w:val="000000" w:themeColor="text1"/>
                <w:sz w:val="18"/>
                <w:szCs w:val="18"/>
              </w:rPr>
            </w:pPr>
            <w:r>
              <w:rPr>
                <w:rFonts w:cs="Times New Roman"/>
                <w:b/>
                <w:color w:val="000000" w:themeColor="text1"/>
                <w:sz w:val="18"/>
                <w:szCs w:val="18"/>
              </w:rPr>
              <w:t>Graduate</w:t>
            </w:r>
            <w:r w:rsidR="00183461">
              <w:rPr>
                <w:rFonts w:cs="Times New Roman"/>
                <w:b/>
                <w:color w:val="000000" w:themeColor="text1"/>
                <w:sz w:val="18"/>
                <w:szCs w:val="18"/>
              </w:rPr>
              <w:t xml:space="preserve"> </w:t>
            </w:r>
            <w:r w:rsidR="00ED2FC6" w:rsidRPr="00ED2FC6">
              <w:rPr>
                <w:rFonts w:cs="Times New Roman"/>
                <w:b/>
                <w:color w:val="000000" w:themeColor="text1"/>
                <w:sz w:val="18"/>
                <w:szCs w:val="18"/>
              </w:rPr>
              <w:t>Dean</w:t>
            </w:r>
            <w:r w:rsidR="00616380">
              <w:rPr>
                <w:rFonts w:cs="Times New Roman"/>
                <w:b/>
                <w:color w:val="000000" w:themeColor="text1"/>
                <w:sz w:val="18"/>
                <w:szCs w:val="18"/>
              </w:rPr>
              <w:t xml:space="preserve"> </w:t>
            </w:r>
          </w:p>
        </w:tc>
        <w:tc>
          <w:tcPr>
            <w:tcW w:w="1107" w:type="dxa"/>
            <w:gridSpan w:val="2"/>
            <w:shd w:val="clear" w:color="auto" w:fill="FFFFCC"/>
            <w:vAlign w:val="center"/>
          </w:tcPr>
          <w:p w14:paraId="55DAF752"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UG Curriculum Committee/Graduate Council</w:t>
            </w:r>
          </w:p>
        </w:tc>
        <w:tc>
          <w:tcPr>
            <w:tcW w:w="1107" w:type="dxa"/>
            <w:shd w:val="clear" w:color="auto" w:fill="FFFFCC"/>
            <w:vAlign w:val="center"/>
          </w:tcPr>
          <w:p w14:paraId="4C4EE658"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Academic</w:t>
            </w:r>
          </w:p>
          <w:p w14:paraId="09E7AAD8"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Council</w:t>
            </w:r>
          </w:p>
        </w:tc>
        <w:tc>
          <w:tcPr>
            <w:tcW w:w="1107" w:type="dxa"/>
            <w:shd w:val="clear" w:color="auto" w:fill="FFFFCC"/>
            <w:vAlign w:val="center"/>
          </w:tcPr>
          <w:p w14:paraId="1791D106"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ETSU</w:t>
            </w:r>
          </w:p>
          <w:p w14:paraId="500CA1A1"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President</w:t>
            </w:r>
          </w:p>
        </w:tc>
        <w:tc>
          <w:tcPr>
            <w:tcW w:w="1107" w:type="dxa"/>
            <w:shd w:val="clear" w:color="auto" w:fill="FFFFCC"/>
            <w:vAlign w:val="center"/>
          </w:tcPr>
          <w:p w14:paraId="0FA17E26"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Academic and Student Affairs Committee</w:t>
            </w:r>
          </w:p>
        </w:tc>
        <w:tc>
          <w:tcPr>
            <w:tcW w:w="1107" w:type="dxa"/>
            <w:shd w:val="clear" w:color="auto" w:fill="FFFFCC"/>
            <w:vAlign w:val="center"/>
          </w:tcPr>
          <w:p w14:paraId="4171376B"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ETSU</w:t>
            </w:r>
          </w:p>
          <w:p w14:paraId="2F67E5E1"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Board</w:t>
            </w:r>
          </w:p>
        </w:tc>
        <w:tc>
          <w:tcPr>
            <w:tcW w:w="1017" w:type="dxa"/>
            <w:shd w:val="clear" w:color="auto" w:fill="FFFFCC"/>
            <w:vAlign w:val="center"/>
          </w:tcPr>
          <w:p w14:paraId="3FEAB2B1"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THEC</w:t>
            </w:r>
          </w:p>
          <w:p w14:paraId="29D614DB" w14:textId="77777777" w:rsidR="00ED2FC6" w:rsidRPr="00ED2FC6" w:rsidRDefault="00ED2FC6" w:rsidP="00D43C31">
            <w:pPr>
              <w:spacing w:after="0" w:line="240" w:lineRule="auto"/>
              <w:jc w:val="center"/>
              <w:rPr>
                <w:rFonts w:cs="Times New Roman"/>
                <w:b/>
                <w:color w:val="000000" w:themeColor="text1"/>
                <w:sz w:val="18"/>
                <w:szCs w:val="18"/>
              </w:rPr>
            </w:pPr>
          </w:p>
          <w:p w14:paraId="14EAE642" w14:textId="77777777" w:rsidR="00ED2FC6" w:rsidRPr="00ED2FC6" w:rsidRDefault="00ED2FC6" w:rsidP="00D43C31">
            <w:pPr>
              <w:spacing w:after="0" w:line="240" w:lineRule="auto"/>
              <w:jc w:val="center"/>
              <w:rPr>
                <w:rFonts w:cs="Times New Roman"/>
                <w:b/>
                <w:color w:val="000000" w:themeColor="text1"/>
                <w:sz w:val="18"/>
                <w:szCs w:val="18"/>
              </w:rPr>
            </w:pPr>
          </w:p>
        </w:tc>
      </w:tr>
      <w:tr w:rsidR="00ED2FC6" w:rsidRPr="00ED2FC6" w14:paraId="5F429BD9" w14:textId="77777777" w:rsidTr="004138F4">
        <w:tc>
          <w:tcPr>
            <w:tcW w:w="14310" w:type="dxa"/>
            <w:gridSpan w:val="12"/>
            <w:shd w:val="clear" w:color="auto" w:fill="FFFFCC"/>
            <w:vAlign w:val="center"/>
          </w:tcPr>
          <w:p w14:paraId="42945B4D" w14:textId="77777777" w:rsidR="00ED2FC6" w:rsidRPr="00ED2FC6" w:rsidRDefault="00ED2FC6" w:rsidP="00D43C31">
            <w:pPr>
              <w:spacing w:after="0" w:line="240" w:lineRule="auto"/>
              <w:jc w:val="center"/>
              <w:rPr>
                <w:rFonts w:cs="Times New Roman"/>
                <w:b/>
                <w:color w:val="000000" w:themeColor="text1"/>
                <w:sz w:val="18"/>
                <w:szCs w:val="18"/>
              </w:rPr>
            </w:pPr>
          </w:p>
          <w:p w14:paraId="507F5FDB"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THEC Academic Polices</w:t>
            </w:r>
          </w:p>
          <w:p w14:paraId="418D27F4"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A1.0 New Academic Programs:  Approval Process</w:t>
            </w:r>
          </w:p>
        </w:tc>
      </w:tr>
      <w:tr w:rsidR="00ED2FC6" w:rsidRPr="00ED2FC6" w14:paraId="69620D84" w14:textId="77777777" w:rsidTr="001332FA">
        <w:tc>
          <w:tcPr>
            <w:tcW w:w="3240" w:type="dxa"/>
            <w:shd w:val="clear" w:color="auto" w:fill="D6E3BC" w:themeFill="accent3" w:themeFillTint="66"/>
          </w:tcPr>
          <w:p w14:paraId="1961B65E" w14:textId="47D5D1FA" w:rsidR="00ED2FC6" w:rsidRPr="00ED2FC6" w:rsidRDefault="000F7629"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Establish New Academic Program</w:t>
            </w:r>
          </w:p>
          <w:p w14:paraId="549DE227" w14:textId="77777777" w:rsidR="00ED2FC6" w:rsidRPr="00ED2FC6" w:rsidRDefault="00ED2FC6" w:rsidP="00D43C31">
            <w:pPr>
              <w:spacing w:after="0" w:line="240" w:lineRule="auto"/>
              <w:rPr>
                <w:rFonts w:cs="Times New Roman"/>
                <w:color w:val="000000" w:themeColor="text1"/>
                <w:sz w:val="18"/>
                <w:szCs w:val="18"/>
              </w:rPr>
            </w:pPr>
          </w:p>
        </w:tc>
        <w:tc>
          <w:tcPr>
            <w:tcW w:w="1197" w:type="dxa"/>
            <w:shd w:val="clear" w:color="auto" w:fill="C6D9F1" w:themeFill="text2" w:themeFillTint="33"/>
          </w:tcPr>
          <w:p w14:paraId="47F9E03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581C577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5254E2EC"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1D925E6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133BCFF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78A5DB9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0DE63E2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54EAE8E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52F4FEF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c>
          <w:tcPr>
            <w:tcW w:w="1017" w:type="dxa"/>
            <w:shd w:val="clear" w:color="auto" w:fill="C6D9F1" w:themeFill="text2" w:themeFillTint="33"/>
          </w:tcPr>
          <w:p w14:paraId="1BE633E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4CB643DC" w14:textId="77777777" w:rsidTr="001332FA">
        <w:tc>
          <w:tcPr>
            <w:tcW w:w="3240" w:type="dxa"/>
            <w:shd w:val="clear" w:color="auto" w:fill="D6E3BC" w:themeFill="accent3" w:themeFillTint="66"/>
          </w:tcPr>
          <w:p w14:paraId="71AD70AB" w14:textId="359E2D5C" w:rsidR="00ED2FC6" w:rsidRPr="00ED2FC6" w:rsidRDefault="000F7629"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Establish New Certificate 24</w:t>
            </w:r>
            <w:r>
              <w:rPr>
                <w:rFonts w:cs="Times New Roman"/>
                <w:color w:val="000000" w:themeColor="text1"/>
                <w:sz w:val="18"/>
                <w:szCs w:val="18"/>
              </w:rPr>
              <w:t>–</w:t>
            </w:r>
            <w:r w:rsidR="00ED2FC6" w:rsidRPr="00ED2FC6">
              <w:rPr>
                <w:rFonts w:cs="Times New Roman"/>
                <w:color w:val="000000" w:themeColor="text1"/>
                <w:sz w:val="18"/>
                <w:szCs w:val="18"/>
              </w:rPr>
              <w:t xml:space="preserve">up credits </w:t>
            </w:r>
          </w:p>
          <w:p w14:paraId="25C849A8" w14:textId="77777777" w:rsidR="00ED2FC6" w:rsidRPr="00ED2FC6" w:rsidRDefault="00ED2FC6" w:rsidP="00D43C31">
            <w:pPr>
              <w:spacing w:after="0" w:line="240" w:lineRule="auto"/>
              <w:rPr>
                <w:rFonts w:cs="Times New Roman"/>
                <w:color w:val="000000" w:themeColor="text1"/>
                <w:sz w:val="18"/>
                <w:szCs w:val="18"/>
              </w:rPr>
            </w:pPr>
          </w:p>
        </w:tc>
        <w:tc>
          <w:tcPr>
            <w:tcW w:w="1197" w:type="dxa"/>
            <w:shd w:val="clear" w:color="auto" w:fill="C6D9F1" w:themeFill="text2" w:themeFillTint="33"/>
          </w:tcPr>
          <w:p w14:paraId="0FBE7D7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9E0D48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614596F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45BD080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7FE9B1E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35B086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65EC38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C7F863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534C5E4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c>
          <w:tcPr>
            <w:tcW w:w="1017" w:type="dxa"/>
            <w:shd w:val="clear" w:color="auto" w:fill="C6D9F1" w:themeFill="text2" w:themeFillTint="33"/>
          </w:tcPr>
          <w:p w14:paraId="33C94DB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5B21A44B" w14:textId="77777777" w:rsidTr="004138F4">
        <w:tc>
          <w:tcPr>
            <w:tcW w:w="14310" w:type="dxa"/>
            <w:gridSpan w:val="12"/>
            <w:shd w:val="clear" w:color="auto" w:fill="FFFFCC"/>
          </w:tcPr>
          <w:p w14:paraId="0756307B" w14:textId="77777777" w:rsidR="00ED2FC6" w:rsidRPr="00ED2FC6" w:rsidRDefault="00ED2FC6" w:rsidP="00D43C31">
            <w:pPr>
              <w:spacing w:after="0" w:line="240" w:lineRule="auto"/>
              <w:jc w:val="center"/>
              <w:rPr>
                <w:rFonts w:cs="Times New Roman"/>
                <w:b/>
                <w:color w:val="000000" w:themeColor="text1"/>
                <w:sz w:val="18"/>
                <w:szCs w:val="18"/>
              </w:rPr>
            </w:pPr>
          </w:p>
          <w:p w14:paraId="108EA532"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THEC Academic Polices</w:t>
            </w:r>
          </w:p>
          <w:p w14:paraId="4B641FB8"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 xml:space="preserve">A1.1 Academic Program Modifications </w:t>
            </w:r>
          </w:p>
        </w:tc>
      </w:tr>
      <w:tr w:rsidR="00ED2FC6" w:rsidRPr="00ED2FC6" w14:paraId="6CF9B4C9" w14:textId="77777777" w:rsidTr="004138F4">
        <w:tc>
          <w:tcPr>
            <w:tcW w:w="3240" w:type="dxa"/>
            <w:shd w:val="clear" w:color="auto" w:fill="FFFFFF" w:themeFill="background1"/>
          </w:tcPr>
          <w:p w14:paraId="34A8B1E8"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 xml:space="preserve">Change </w:t>
            </w:r>
            <w:r w:rsidRPr="00ED2FC6">
              <w:rPr>
                <w:rFonts w:cs="Times New Roman"/>
                <w:sz w:val="18"/>
                <w:szCs w:val="18"/>
              </w:rPr>
              <w:t xml:space="preserve">or add a program </w:t>
            </w:r>
            <w:r w:rsidRPr="00ED2FC6">
              <w:rPr>
                <w:rFonts w:cs="Times New Roman"/>
                <w:color w:val="000000" w:themeColor="text1"/>
                <w:sz w:val="18"/>
                <w:szCs w:val="18"/>
              </w:rPr>
              <w:t xml:space="preserve">degree designation when change </w:t>
            </w:r>
            <w:r w:rsidRPr="00ED2FC6">
              <w:rPr>
                <w:rFonts w:cs="Times New Roman"/>
                <w:sz w:val="18"/>
                <w:szCs w:val="18"/>
              </w:rPr>
              <w:t xml:space="preserve">does not involve a significant curriculum </w:t>
            </w:r>
            <w:r w:rsidRPr="00ED2FC6">
              <w:rPr>
                <w:rFonts w:cs="Times New Roman"/>
                <w:color w:val="000000" w:themeColor="text1"/>
                <w:sz w:val="18"/>
                <w:szCs w:val="18"/>
              </w:rPr>
              <w:t xml:space="preserve">shift in redefining the program’s purpose </w:t>
            </w:r>
          </w:p>
        </w:tc>
        <w:tc>
          <w:tcPr>
            <w:tcW w:w="1197" w:type="dxa"/>
            <w:shd w:val="clear" w:color="auto" w:fill="C6D9F1" w:themeFill="text2" w:themeFillTint="33"/>
          </w:tcPr>
          <w:p w14:paraId="46BDD0E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7B03C332"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5A64457B"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53CA645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p w14:paraId="167728BB"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gridSpan w:val="2"/>
          </w:tcPr>
          <w:p w14:paraId="74625556"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7B70C86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30C5743C"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2208E0A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499F9C7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C6D9F1" w:themeFill="text2" w:themeFillTint="33"/>
          </w:tcPr>
          <w:p w14:paraId="0B418E3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0C6506C5" w14:textId="77777777" w:rsidTr="004138F4">
        <w:tc>
          <w:tcPr>
            <w:tcW w:w="3240" w:type="dxa"/>
            <w:shd w:val="clear" w:color="auto" w:fill="FFFFFF" w:themeFill="background1"/>
          </w:tcPr>
          <w:p w14:paraId="429976EF"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sz w:val="18"/>
                <w:szCs w:val="18"/>
                <w:shd w:val="clear" w:color="auto" w:fill="FFFFFF" w:themeFill="background1"/>
              </w:rPr>
              <w:t>Change  degree</w:t>
            </w:r>
            <w:r w:rsidRPr="00ED2FC6">
              <w:rPr>
                <w:rFonts w:cs="Times New Roman"/>
                <w:sz w:val="18"/>
                <w:szCs w:val="18"/>
              </w:rPr>
              <w:t xml:space="preserve"> designation for an existing academic program or concentration</w:t>
            </w:r>
            <w:r w:rsidRPr="00ED2FC6">
              <w:rPr>
                <w:rFonts w:cs="Times New Roman"/>
                <w:b/>
                <w:sz w:val="18"/>
                <w:szCs w:val="18"/>
              </w:rPr>
              <w:t xml:space="preserve"> </w:t>
            </w:r>
            <w:r w:rsidRPr="00ED2FC6">
              <w:rPr>
                <w:rFonts w:cs="Times New Roman"/>
                <w:color w:val="000000" w:themeColor="text1"/>
                <w:sz w:val="18"/>
                <w:szCs w:val="18"/>
              </w:rPr>
              <w:t>per written recommendation of a disciplinary accreditation body</w:t>
            </w:r>
          </w:p>
        </w:tc>
        <w:tc>
          <w:tcPr>
            <w:tcW w:w="1197" w:type="dxa"/>
            <w:shd w:val="clear" w:color="auto" w:fill="C6D9F1" w:themeFill="text2" w:themeFillTint="33"/>
          </w:tcPr>
          <w:p w14:paraId="147488A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55ABB36E"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370F5C5A"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6356B6E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10B4477D"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6F27526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529080D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0CABD96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37C1073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C6D9F1" w:themeFill="text2" w:themeFillTint="33"/>
          </w:tcPr>
          <w:p w14:paraId="033E699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1608CC03" w14:textId="77777777" w:rsidTr="001332FA">
        <w:tc>
          <w:tcPr>
            <w:tcW w:w="3240" w:type="dxa"/>
            <w:shd w:val="clear" w:color="auto" w:fill="D6E3BC" w:themeFill="accent3" w:themeFillTint="66"/>
          </w:tcPr>
          <w:p w14:paraId="1AC1694C" w14:textId="751A780C" w:rsidR="00ED2FC6" w:rsidRPr="00ED2FC6" w:rsidRDefault="000F7629"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Establish free-stand</w:t>
            </w:r>
            <w:r w:rsidR="00ED2FC6" w:rsidRPr="00ED2FC6">
              <w:rPr>
                <w:rFonts w:cs="Times New Roman"/>
                <w:sz w:val="18"/>
                <w:szCs w:val="18"/>
              </w:rPr>
              <w:t>ing academic degree program from an existing concentration with steady enrollment/degrees awarded within both the degree designation and all concentrations under that degree for a</w:t>
            </w:r>
            <w:r w:rsidR="002964F0">
              <w:rPr>
                <w:rFonts w:cs="Times New Roman"/>
                <w:sz w:val="18"/>
                <w:szCs w:val="18"/>
              </w:rPr>
              <w:t xml:space="preserve"> period of the last three years</w:t>
            </w:r>
          </w:p>
        </w:tc>
        <w:tc>
          <w:tcPr>
            <w:tcW w:w="1197" w:type="dxa"/>
            <w:shd w:val="clear" w:color="auto" w:fill="C6D9F1" w:themeFill="text2" w:themeFillTint="33"/>
          </w:tcPr>
          <w:p w14:paraId="08F135C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28A9188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7A1FC81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304B8A3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5D01FAE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30026B9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67E6889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1213426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07E6533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C6D9F1" w:themeFill="text2" w:themeFillTint="33"/>
          </w:tcPr>
          <w:p w14:paraId="2A122B0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71A34ACF" w14:textId="77777777" w:rsidTr="004138F4">
        <w:tc>
          <w:tcPr>
            <w:tcW w:w="14310" w:type="dxa"/>
            <w:gridSpan w:val="12"/>
            <w:shd w:val="clear" w:color="auto" w:fill="FFFFCC"/>
          </w:tcPr>
          <w:p w14:paraId="6A875239" w14:textId="77777777" w:rsidR="00ED2FC6" w:rsidRPr="00ED2FC6" w:rsidRDefault="00ED2FC6" w:rsidP="00D43C31">
            <w:pPr>
              <w:spacing w:after="0" w:line="240" w:lineRule="auto"/>
              <w:jc w:val="center"/>
              <w:rPr>
                <w:rFonts w:cs="Times New Roman"/>
                <w:b/>
                <w:color w:val="000000" w:themeColor="text1"/>
                <w:sz w:val="18"/>
                <w:szCs w:val="18"/>
              </w:rPr>
            </w:pPr>
          </w:p>
          <w:p w14:paraId="646A4B51"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THEC Academic Polices</w:t>
            </w:r>
          </w:p>
          <w:p w14:paraId="5CD850D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b/>
                <w:color w:val="000000" w:themeColor="text1"/>
                <w:sz w:val="18"/>
                <w:szCs w:val="18"/>
              </w:rPr>
              <w:t>A1.3 New Academic Units</w:t>
            </w:r>
          </w:p>
        </w:tc>
      </w:tr>
      <w:tr w:rsidR="00ED2FC6" w:rsidRPr="00ED2FC6" w14:paraId="3D72DA43" w14:textId="77777777" w:rsidTr="004138F4">
        <w:tc>
          <w:tcPr>
            <w:tcW w:w="3240" w:type="dxa"/>
            <w:shd w:val="clear" w:color="auto" w:fill="FFFFFF" w:themeFill="background1"/>
          </w:tcPr>
          <w:p w14:paraId="2079D233" w14:textId="77777777" w:rsid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Establish College/School:  Instructional unit that includes several departments and is administered by a dean or director</w:t>
            </w:r>
          </w:p>
          <w:p w14:paraId="7C81B0B0" w14:textId="77777777" w:rsidR="00ED2FC6" w:rsidRDefault="00ED2FC6" w:rsidP="00D43C31">
            <w:pPr>
              <w:spacing w:after="0" w:line="240" w:lineRule="auto"/>
              <w:rPr>
                <w:rFonts w:cs="Times New Roman"/>
                <w:color w:val="000000" w:themeColor="text1"/>
                <w:sz w:val="18"/>
                <w:szCs w:val="18"/>
              </w:rPr>
            </w:pPr>
          </w:p>
          <w:p w14:paraId="166438B1" w14:textId="77777777" w:rsidR="00C87FF8" w:rsidRPr="00ED2FC6" w:rsidRDefault="00C87FF8" w:rsidP="00D43C31">
            <w:pPr>
              <w:spacing w:after="0" w:line="240" w:lineRule="auto"/>
              <w:rPr>
                <w:rFonts w:cs="Times New Roman"/>
                <w:color w:val="000000" w:themeColor="text1"/>
                <w:sz w:val="18"/>
                <w:szCs w:val="18"/>
              </w:rPr>
            </w:pPr>
          </w:p>
        </w:tc>
        <w:tc>
          <w:tcPr>
            <w:tcW w:w="1197" w:type="dxa"/>
            <w:shd w:val="clear" w:color="auto" w:fill="C6D9F1" w:themeFill="text2" w:themeFillTint="33"/>
          </w:tcPr>
          <w:p w14:paraId="1DDF8F6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248C551B"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36A9B09F"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26E9860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67C6775A"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43DDB13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2AE4EFB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2BCDEE3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637A10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c>
          <w:tcPr>
            <w:tcW w:w="1017" w:type="dxa"/>
            <w:shd w:val="clear" w:color="auto" w:fill="C6D9F1" w:themeFill="text2" w:themeFillTint="33"/>
          </w:tcPr>
          <w:p w14:paraId="6F2A1BA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3188A9AB" w14:textId="77777777" w:rsidTr="004138F4">
        <w:tc>
          <w:tcPr>
            <w:tcW w:w="3240" w:type="dxa"/>
            <w:shd w:val="clear" w:color="auto" w:fill="FFFFFF" w:themeFill="background1"/>
          </w:tcPr>
          <w:p w14:paraId="7A2C1008"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lastRenderedPageBreak/>
              <w:t>Establish Division: Two or more departments within a college or universi</w:t>
            </w:r>
            <w:r w:rsidR="005D2FA8">
              <w:rPr>
                <w:rFonts w:cs="Times New Roman"/>
                <w:color w:val="000000" w:themeColor="text1"/>
                <w:sz w:val="18"/>
                <w:szCs w:val="18"/>
              </w:rPr>
              <w:t xml:space="preserve">ty which may be administered by </w:t>
            </w:r>
            <w:r w:rsidRPr="00ED2FC6">
              <w:rPr>
                <w:rFonts w:cs="Times New Roman"/>
                <w:color w:val="000000" w:themeColor="text1"/>
                <w:sz w:val="18"/>
                <w:szCs w:val="18"/>
              </w:rPr>
              <w:t>an assistant or associate dean</w:t>
            </w:r>
          </w:p>
        </w:tc>
        <w:tc>
          <w:tcPr>
            <w:tcW w:w="1197" w:type="dxa"/>
            <w:shd w:val="clear" w:color="auto" w:fill="C6D9F1" w:themeFill="text2" w:themeFillTint="33"/>
          </w:tcPr>
          <w:p w14:paraId="076FFEF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6E9601F4"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0BD5E9E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2879F02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68FE970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09F3D9D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6AF96DE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7DF99AA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6BAF800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C6D9F1" w:themeFill="text2" w:themeFillTint="33"/>
          </w:tcPr>
          <w:p w14:paraId="46CFEB7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660BC2E8" w14:textId="77777777" w:rsidTr="00502932">
        <w:tc>
          <w:tcPr>
            <w:tcW w:w="3240" w:type="dxa"/>
            <w:shd w:val="clear" w:color="auto" w:fill="FFFFFF" w:themeFill="background1"/>
          </w:tcPr>
          <w:p w14:paraId="62E1C781"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Establish Academic Department:  Organized around common and similar academic areas and administered by a department chair</w:t>
            </w:r>
          </w:p>
        </w:tc>
        <w:tc>
          <w:tcPr>
            <w:tcW w:w="1197" w:type="dxa"/>
            <w:shd w:val="clear" w:color="auto" w:fill="FFFFFF" w:themeFill="background1"/>
          </w:tcPr>
          <w:p w14:paraId="0AAF9D86" w14:textId="31E2D273"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0E3AC24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7F3AB6EF"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0A88FD0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4460392E"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3A7E7DA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21A7C87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3CC136D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5B60F0B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C6D9F1" w:themeFill="text2" w:themeFillTint="33"/>
          </w:tcPr>
          <w:p w14:paraId="30FFF2A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r>
      <w:tr w:rsidR="00ED2FC6" w:rsidRPr="00ED2FC6" w14:paraId="011296E3" w14:textId="77777777" w:rsidTr="004138F4">
        <w:tc>
          <w:tcPr>
            <w:tcW w:w="14310" w:type="dxa"/>
            <w:gridSpan w:val="12"/>
            <w:shd w:val="clear" w:color="auto" w:fill="FFFFCC"/>
          </w:tcPr>
          <w:p w14:paraId="6C4135DD"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THEC Academic Polices</w:t>
            </w:r>
          </w:p>
          <w:p w14:paraId="1CBC5B9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b/>
                <w:color w:val="000000" w:themeColor="text1"/>
                <w:sz w:val="18"/>
                <w:szCs w:val="18"/>
              </w:rPr>
              <w:t xml:space="preserve">A1.5 Academic </w:t>
            </w:r>
            <w:r w:rsidR="000D04AD">
              <w:rPr>
                <w:rFonts w:cs="Times New Roman"/>
                <w:b/>
                <w:color w:val="000000" w:themeColor="text1"/>
                <w:sz w:val="18"/>
                <w:szCs w:val="18"/>
              </w:rPr>
              <w:t>Actions Notification*</w:t>
            </w:r>
          </w:p>
        </w:tc>
      </w:tr>
      <w:tr w:rsidR="00ED2FC6" w:rsidRPr="00ED2FC6" w14:paraId="46E71109" w14:textId="77777777" w:rsidTr="001332FA">
        <w:tc>
          <w:tcPr>
            <w:tcW w:w="3240" w:type="dxa"/>
            <w:shd w:val="clear" w:color="auto" w:fill="D6E3BC" w:themeFill="accent3" w:themeFillTint="66"/>
          </w:tcPr>
          <w:p w14:paraId="41332C93" w14:textId="78BA7BFA"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Establish New Certificate 12-23 credits</w:t>
            </w:r>
          </w:p>
          <w:p w14:paraId="6341E063" w14:textId="77777777" w:rsidR="00ED2FC6" w:rsidRPr="00ED2FC6" w:rsidRDefault="00ED2FC6" w:rsidP="00D43C31">
            <w:pPr>
              <w:spacing w:after="0" w:line="240" w:lineRule="auto"/>
              <w:rPr>
                <w:rFonts w:cs="Times New Roman"/>
                <w:color w:val="000000" w:themeColor="text1"/>
                <w:sz w:val="18"/>
                <w:szCs w:val="18"/>
              </w:rPr>
            </w:pPr>
          </w:p>
        </w:tc>
        <w:tc>
          <w:tcPr>
            <w:tcW w:w="1197" w:type="dxa"/>
            <w:shd w:val="clear" w:color="auto" w:fill="C6D9F1" w:themeFill="text2" w:themeFillTint="33"/>
          </w:tcPr>
          <w:p w14:paraId="714A2B3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569342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70036F9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4EDD24D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14DB011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30C5463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B237FA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3BE5E591" w14:textId="77777777" w:rsidR="00ED2FC6" w:rsidRPr="00ED2FC6" w:rsidRDefault="00ED2FC6" w:rsidP="00D43C31">
            <w:pPr>
              <w:spacing w:after="0" w:line="240" w:lineRule="auto"/>
              <w:jc w:val="center"/>
              <w:rPr>
                <w:rFonts w:cs="Times New Roman"/>
                <w:strike/>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7DA4BDB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340F381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2BA86AFD" w14:textId="77777777" w:rsidTr="004138F4">
        <w:tc>
          <w:tcPr>
            <w:tcW w:w="3240" w:type="dxa"/>
            <w:shd w:val="clear" w:color="auto" w:fill="FFFFFF" w:themeFill="background1"/>
          </w:tcPr>
          <w:p w14:paraId="298561D5"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Name/Title Change for Program/Concentration</w:t>
            </w:r>
          </w:p>
        </w:tc>
        <w:tc>
          <w:tcPr>
            <w:tcW w:w="1197" w:type="dxa"/>
            <w:shd w:val="clear" w:color="auto" w:fill="C6D9F1" w:themeFill="text2" w:themeFillTint="33"/>
          </w:tcPr>
          <w:p w14:paraId="7D0700D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10B93259"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2BCD30D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79D6630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30A281C7"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65596E9B" w14:textId="77777777" w:rsidR="00ED2FC6" w:rsidRPr="00ED2FC6" w:rsidRDefault="00616380"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tc>
        <w:tc>
          <w:tcPr>
            <w:tcW w:w="1107" w:type="dxa"/>
            <w:shd w:val="clear" w:color="auto" w:fill="C6D9F1" w:themeFill="text2" w:themeFillTint="33"/>
          </w:tcPr>
          <w:p w14:paraId="32F51CCE" w14:textId="77777777" w:rsidR="00ED2FC6" w:rsidRPr="00ED2FC6" w:rsidRDefault="00616380"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tc>
        <w:tc>
          <w:tcPr>
            <w:tcW w:w="1107" w:type="dxa"/>
            <w:shd w:val="clear" w:color="auto" w:fill="FFFFFF" w:themeFill="background1"/>
          </w:tcPr>
          <w:p w14:paraId="005EE54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538E917C"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1F7020D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0AD2A90F" w14:textId="77777777" w:rsidTr="004138F4">
        <w:tc>
          <w:tcPr>
            <w:tcW w:w="3240" w:type="dxa"/>
            <w:shd w:val="clear" w:color="auto" w:fill="FFFFFF" w:themeFill="background1"/>
          </w:tcPr>
          <w:p w14:paraId="771D3D0E"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Establish New Concentrations</w:t>
            </w:r>
          </w:p>
          <w:p w14:paraId="37BC376D" w14:textId="77777777" w:rsidR="00ED2FC6" w:rsidRPr="00ED2FC6" w:rsidRDefault="00ED2FC6" w:rsidP="00D43C31">
            <w:pPr>
              <w:spacing w:after="0" w:line="240" w:lineRule="auto"/>
              <w:rPr>
                <w:rFonts w:cs="Times New Roman"/>
                <w:color w:val="000000" w:themeColor="text1"/>
                <w:sz w:val="18"/>
                <w:szCs w:val="18"/>
              </w:rPr>
            </w:pPr>
          </w:p>
        </w:tc>
        <w:tc>
          <w:tcPr>
            <w:tcW w:w="1197" w:type="dxa"/>
            <w:shd w:val="clear" w:color="auto" w:fill="C6D9F1" w:themeFill="text2" w:themeFillTint="33"/>
          </w:tcPr>
          <w:p w14:paraId="4AA7157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06EF009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19F5BD6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0370D70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1AF574D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558F50E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761F01EF"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1E9A162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184F9D7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4158E84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5B00C6D5" w14:textId="77777777" w:rsidTr="002964F0">
        <w:tc>
          <w:tcPr>
            <w:tcW w:w="3240" w:type="dxa"/>
            <w:shd w:val="clear" w:color="auto" w:fill="D6E3BC" w:themeFill="accent3" w:themeFillTint="66"/>
          </w:tcPr>
          <w:p w14:paraId="4EAC54B4" w14:textId="137C4851"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 xml:space="preserve">Change (increase or decrease) in number of hours of an existing program  </w:t>
            </w:r>
          </w:p>
        </w:tc>
        <w:tc>
          <w:tcPr>
            <w:tcW w:w="1197" w:type="dxa"/>
            <w:shd w:val="clear" w:color="auto" w:fill="C6D9F1" w:themeFill="text2" w:themeFillTint="33"/>
          </w:tcPr>
          <w:p w14:paraId="443A565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0D0EC5A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0AC1A28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4184455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0A642A7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3FBCE7C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D137B2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7F686F2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647DA2F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42E15ED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77576805" w14:textId="77777777" w:rsidTr="002964F0">
        <w:tc>
          <w:tcPr>
            <w:tcW w:w="3240" w:type="dxa"/>
            <w:shd w:val="clear" w:color="auto" w:fill="FFFFFF" w:themeFill="background1"/>
          </w:tcPr>
          <w:p w14:paraId="47D8B9F6"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 xml:space="preserve">Consolidation of two or more existing academic programs into a single academic program without an essential change in the original approved curriculum and without a net gain in the number of programs an existing academic program </w:t>
            </w:r>
          </w:p>
        </w:tc>
        <w:tc>
          <w:tcPr>
            <w:tcW w:w="1197" w:type="dxa"/>
            <w:shd w:val="clear" w:color="auto" w:fill="C6D9F1" w:themeFill="text2" w:themeFillTint="33"/>
          </w:tcPr>
          <w:p w14:paraId="6062F16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ED2D60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0968ADF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0FE5DEA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009A856F"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2FD969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587F41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1BAB8FE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1FBCC60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280588A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08963DA0" w14:textId="77777777" w:rsidTr="001332FA">
        <w:tc>
          <w:tcPr>
            <w:tcW w:w="3240" w:type="dxa"/>
            <w:shd w:val="clear" w:color="auto" w:fill="D6E3BC" w:themeFill="accent3" w:themeFillTint="66"/>
          </w:tcPr>
          <w:p w14:paraId="6F3E785B" w14:textId="21EF0ABE"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 xml:space="preserve">Extension of an existing academic program to an approved off-campus center  </w:t>
            </w:r>
          </w:p>
        </w:tc>
        <w:tc>
          <w:tcPr>
            <w:tcW w:w="1197" w:type="dxa"/>
            <w:shd w:val="clear" w:color="auto" w:fill="C6D9F1" w:themeFill="text2" w:themeFillTint="33"/>
          </w:tcPr>
          <w:p w14:paraId="4A9C34A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659D5677"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600B04F8"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21CA93F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739AED2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1987DDA3" w14:textId="209B02BF" w:rsidR="00F26962" w:rsidRPr="00ED2FC6" w:rsidRDefault="00F26962"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0C4E772E"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393EE5B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3CFEAA2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10D2F88F"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62DCA819" w14:textId="77777777" w:rsidTr="001332FA">
        <w:tc>
          <w:tcPr>
            <w:tcW w:w="3240" w:type="dxa"/>
            <w:shd w:val="clear" w:color="auto" w:fill="D6E3BC" w:themeFill="accent3" w:themeFillTint="66"/>
          </w:tcPr>
          <w:p w14:paraId="06C6D508" w14:textId="6A7BE127" w:rsidR="00ED2FC6" w:rsidRPr="00ED2FC6" w:rsidRDefault="002964F0" w:rsidP="00ED2FC6">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 xml:space="preserve">Change of the primary delivery mode for an existing academic program.  The extension to  100% off-campus delivery requires additional action if the location of delivery is to be converted from an off-campus site to a center </w:t>
            </w:r>
          </w:p>
        </w:tc>
        <w:tc>
          <w:tcPr>
            <w:tcW w:w="1197" w:type="dxa"/>
            <w:shd w:val="clear" w:color="auto" w:fill="C6D9F1" w:themeFill="text2" w:themeFillTint="33"/>
          </w:tcPr>
          <w:p w14:paraId="14E7465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07820E16"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2363285A"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2E0FCDA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2F523C8B"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00E95A0C"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13301EA8"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3814D18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11B6D36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2DD86D0F"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2D75DD67" w14:textId="77777777" w:rsidTr="001332FA">
        <w:tc>
          <w:tcPr>
            <w:tcW w:w="3240" w:type="dxa"/>
            <w:shd w:val="clear" w:color="auto" w:fill="D6E3BC" w:themeFill="accent3" w:themeFillTint="66"/>
          </w:tcPr>
          <w:p w14:paraId="4629A425" w14:textId="2D7995F9"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 xml:space="preserve">Inactivation of an existing academic program or concentration.  If the inactivated academic program or </w:t>
            </w:r>
            <w:r w:rsidR="00ED2FC6" w:rsidRPr="00ED2FC6">
              <w:rPr>
                <w:rFonts w:cs="Times New Roman"/>
                <w:color w:val="000000" w:themeColor="text1"/>
                <w:sz w:val="18"/>
                <w:szCs w:val="18"/>
              </w:rPr>
              <w:lastRenderedPageBreak/>
              <w:t xml:space="preserve">concentration is not reactivated within a period of three years, the academic program or concentration will automatically be terminated and removed from the institution’s inventory </w:t>
            </w:r>
          </w:p>
        </w:tc>
        <w:tc>
          <w:tcPr>
            <w:tcW w:w="1197" w:type="dxa"/>
            <w:shd w:val="clear" w:color="auto" w:fill="C6D9F1" w:themeFill="text2" w:themeFillTint="33"/>
          </w:tcPr>
          <w:p w14:paraId="468AE9D8" w14:textId="690A3B46" w:rsidR="00ED2FC6" w:rsidRPr="00ED2FC6" w:rsidRDefault="00502932" w:rsidP="00D43C31">
            <w:pPr>
              <w:spacing w:after="0" w:line="240" w:lineRule="auto"/>
              <w:jc w:val="center"/>
              <w:rPr>
                <w:rFonts w:cs="Times New Roman"/>
                <w:color w:val="000000" w:themeColor="text1"/>
                <w:sz w:val="18"/>
                <w:szCs w:val="18"/>
              </w:rPr>
            </w:pPr>
            <w:r>
              <w:rPr>
                <w:rFonts w:cs="Times New Roman"/>
                <w:color w:val="000000" w:themeColor="text1"/>
                <w:sz w:val="18"/>
                <w:szCs w:val="18"/>
              </w:rPr>
              <w:lastRenderedPageBreak/>
              <w:t>x</w:t>
            </w:r>
          </w:p>
        </w:tc>
        <w:tc>
          <w:tcPr>
            <w:tcW w:w="1107" w:type="dxa"/>
            <w:shd w:val="clear" w:color="auto" w:fill="FFFFFF" w:themeFill="background1"/>
          </w:tcPr>
          <w:p w14:paraId="5A39EB78" w14:textId="0467EA81" w:rsidR="00576DB2" w:rsidRPr="00ED2FC6" w:rsidRDefault="00576DB2"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7B0B38ED" w14:textId="4E71F244" w:rsidR="00576DB2" w:rsidRPr="00ED2FC6" w:rsidRDefault="00576DB2"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7893D03C" w14:textId="77777777" w:rsidR="00ED2FC6" w:rsidRDefault="00E45096"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p w14:paraId="59A87C9D" w14:textId="363D14AE" w:rsidR="00E45096" w:rsidRPr="00E45096" w:rsidRDefault="00F26962" w:rsidP="00F26962">
            <w:pPr>
              <w:spacing w:after="0" w:line="240" w:lineRule="auto"/>
              <w:jc w:val="center"/>
              <w:rPr>
                <w:rFonts w:cs="Times New Roman"/>
                <w:color w:val="000000" w:themeColor="text1"/>
                <w:sz w:val="16"/>
                <w:szCs w:val="16"/>
              </w:rPr>
            </w:pPr>
            <w:r>
              <w:rPr>
                <w:rFonts w:cs="Times New Roman"/>
                <w:color w:val="000000" w:themeColor="text1"/>
                <w:sz w:val="16"/>
                <w:szCs w:val="16"/>
              </w:rPr>
              <w:t>+ College Dean support</w:t>
            </w:r>
            <w:r w:rsidRPr="00E45096">
              <w:rPr>
                <w:rFonts w:cs="Times New Roman"/>
                <w:color w:val="000000" w:themeColor="text1"/>
                <w:sz w:val="16"/>
                <w:szCs w:val="16"/>
              </w:rPr>
              <w:t xml:space="preserve"> </w:t>
            </w:r>
            <w:r>
              <w:rPr>
                <w:rFonts w:cs="Times New Roman"/>
                <w:color w:val="000000" w:themeColor="text1"/>
                <w:sz w:val="16"/>
                <w:szCs w:val="16"/>
              </w:rPr>
              <w:lastRenderedPageBreak/>
              <w:t>(for post-bac programs)</w:t>
            </w:r>
          </w:p>
        </w:tc>
        <w:tc>
          <w:tcPr>
            <w:tcW w:w="1107" w:type="dxa"/>
            <w:gridSpan w:val="2"/>
          </w:tcPr>
          <w:p w14:paraId="2FC185C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2E34F41D" w14:textId="704107ED" w:rsidR="00F26962" w:rsidRPr="00ED2FC6" w:rsidRDefault="00F26962"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tc>
        <w:tc>
          <w:tcPr>
            <w:tcW w:w="1107" w:type="dxa"/>
            <w:shd w:val="clear" w:color="auto" w:fill="FFFFFF" w:themeFill="background1"/>
          </w:tcPr>
          <w:p w14:paraId="4085BC73"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659B5F4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14A3A01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6441055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2AA111A2" w14:textId="77777777" w:rsidTr="001332FA">
        <w:tc>
          <w:tcPr>
            <w:tcW w:w="3240" w:type="dxa"/>
            <w:shd w:val="clear" w:color="auto" w:fill="D6E3BC" w:themeFill="accent3" w:themeFillTint="66"/>
          </w:tcPr>
          <w:p w14:paraId="1DBB7E41" w14:textId="2C7B2E27"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lastRenderedPageBreak/>
              <w:t>*</w:t>
            </w:r>
            <w:r w:rsidR="00ED2FC6" w:rsidRPr="00ED2FC6">
              <w:rPr>
                <w:rFonts w:cs="Times New Roman"/>
                <w:color w:val="000000" w:themeColor="text1"/>
                <w:sz w:val="18"/>
                <w:szCs w:val="18"/>
              </w:rPr>
              <w:t>Reactivation of an academic program or concentration that was placed on inactivation within the past three years.  The date of inactivation and the date of the proposed reactivation must be provided</w:t>
            </w:r>
          </w:p>
        </w:tc>
        <w:tc>
          <w:tcPr>
            <w:tcW w:w="1197" w:type="dxa"/>
            <w:shd w:val="clear" w:color="auto" w:fill="C6D9F1" w:themeFill="text2" w:themeFillTint="33"/>
          </w:tcPr>
          <w:p w14:paraId="3CE7422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0EE2ABE4" w14:textId="2606F6B2"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28E900C1" w14:textId="23F9177E"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0DCEA510" w14:textId="77777777" w:rsidR="00ED2FC6" w:rsidRDefault="00E45096"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p w14:paraId="4B9F0C16" w14:textId="7D10D587" w:rsidR="00E45096" w:rsidRPr="00ED2FC6" w:rsidRDefault="00F26962" w:rsidP="00F26962">
            <w:pPr>
              <w:spacing w:after="0" w:line="240" w:lineRule="auto"/>
              <w:jc w:val="center"/>
              <w:rPr>
                <w:rFonts w:cs="Times New Roman"/>
                <w:color w:val="000000" w:themeColor="text1"/>
                <w:sz w:val="18"/>
                <w:szCs w:val="18"/>
              </w:rPr>
            </w:pPr>
            <w:r>
              <w:rPr>
                <w:rFonts w:cs="Times New Roman"/>
                <w:color w:val="000000" w:themeColor="text1"/>
                <w:sz w:val="16"/>
                <w:szCs w:val="16"/>
              </w:rPr>
              <w:t>+ College Dean support</w:t>
            </w:r>
            <w:r w:rsidRPr="00E45096">
              <w:rPr>
                <w:rFonts w:cs="Times New Roman"/>
                <w:color w:val="000000" w:themeColor="text1"/>
                <w:sz w:val="16"/>
                <w:szCs w:val="16"/>
              </w:rPr>
              <w:t xml:space="preserve"> </w:t>
            </w:r>
            <w:r>
              <w:rPr>
                <w:rFonts w:cs="Times New Roman"/>
                <w:color w:val="000000" w:themeColor="text1"/>
                <w:sz w:val="16"/>
                <w:szCs w:val="16"/>
              </w:rPr>
              <w:t>(for post-bac programs)</w:t>
            </w:r>
          </w:p>
        </w:tc>
        <w:tc>
          <w:tcPr>
            <w:tcW w:w="1107" w:type="dxa"/>
            <w:gridSpan w:val="2"/>
            <w:shd w:val="clear" w:color="auto" w:fill="FFFFFF" w:themeFill="background1"/>
          </w:tcPr>
          <w:p w14:paraId="2F9F8774"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161C305B" w14:textId="77988993" w:rsidR="00F26962" w:rsidRPr="00502932" w:rsidRDefault="00502932"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tc>
        <w:tc>
          <w:tcPr>
            <w:tcW w:w="1107" w:type="dxa"/>
            <w:shd w:val="clear" w:color="auto" w:fill="FFFFFF" w:themeFill="background1"/>
          </w:tcPr>
          <w:p w14:paraId="5277C3E9"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57A3ABF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3D09194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211B2D2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r>
      <w:tr w:rsidR="00ED2FC6" w:rsidRPr="00ED2FC6" w14:paraId="0397B3BE" w14:textId="77777777" w:rsidTr="001332FA">
        <w:tc>
          <w:tcPr>
            <w:tcW w:w="3240" w:type="dxa"/>
            <w:shd w:val="clear" w:color="auto" w:fill="D6E3BC" w:themeFill="accent3" w:themeFillTint="66"/>
          </w:tcPr>
          <w:p w14:paraId="002E381E" w14:textId="0CA64698"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Termination of an academic program or concentration.  A teach-out plan should accompany the notification of termination</w:t>
            </w:r>
          </w:p>
        </w:tc>
        <w:tc>
          <w:tcPr>
            <w:tcW w:w="1197" w:type="dxa"/>
            <w:shd w:val="clear" w:color="auto" w:fill="C6D9F1" w:themeFill="text2" w:themeFillTint="33"/>
          </w:tcPr>
          <w:p w14:paraId="082B7639" w14:textId="4890EB0F" w:rsidR="00ED2FC6" w:rsidRPr="00ED2FC6" w:rsidRDefault="00502932" w:rsidP="00D43C31">
            <w:pPr>
              <w:spacing w:after="0" w:line="240" w:lineRule="auto"/>
              <w:jc w:val="center"/>
              <w:rPr>
                <w:rFonts w:cs="Times New Roman"/>
                <w:color w:val="000000" w:themeColor="text1"/>
                <w:sz w:val="18"/>
                <w:szCs w:val="18"/>
              </w:rPr>
            </w:pPr>
            <w:r>
              <w:rPr>
                <w:rFonts w:cs="Times New Roman"/>
                <w:color w:val="000000" w:themeColor="text1"/>
                <w:sz w:val="18"/>
                <w:szCs w:val="18"/>
              </w:rPr>
              <w:t>x</w:t>
            </w:r>
          </w:p>
        </w:tc>
        <w:tc>
          <w:tcPr>
            <w:tcW w:w="1107" w:type="dxa"/>
            <w:shd w:val="clear" w:color="auto" w:fill="FFFFFF" w:themeFill="background1"/>
          </w:tcPr>
          <w:p w14:paraId="06631957" w14:textId="5C0E01B8"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22CFDC0A" w14:textId="7432CDCC"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1B39341F" w14:textId="77777777" w:rsidR="00E45096" w:rsidRPr="00E45096" w:rsidRDefault="00E45096" w:rsidP="00E45096">
            <w:pPr>
              <w:spacing w:after="0" w:line="240" w:lineRule="auto"/>
              <w:jc w:val="center"/>
              <w:rPr>
                <w:rFonts w:cs="Times New Roman"/>
                <w:color w:val="000000" w:themeColor="text1"/>
                <w:sz w:val="16"/>
                <w:szCs w:val="16"/>
              </w:rPr>
            </w:pPr>
            <w:r w:rsidRPr="00E45096">
              <w:rPr>
                <w:rFonts w:cs="Times New Roman"/>
                <w:color w:val="000000" w:themeColor="text1"/>
                <w:sz w:val="16"/>
                <w:szCs w:val="16"/>
              </w:rPr>
              <w:t>x</w:t>
            </w:r>
          </w:p>
          <w:p w14:paraId="7C913697" w14:textId="584A9AB4" w:rsidR="00ED2FC6" w:rsidRPr="00ED2FC6" w:rsidRDefault="00F26962" w:rsidP="00E45096">
            <w:pPr>
              <w:spacing w:after="0" w:line="240" w:lineRule="auto"/>
              <w:jc w:val="center"/>
              <w:rPr>
                <w:rFonts w:cs="Times New Roman"/>
                <w:color w:val="000000" w:themeColor="text1"/>
                <w:sz w:val="18"/>
                <w:szCs w:val="18"/>
              </w:rPr>
            </w:pPr>
            <w:r>
              <w:rPr>
                <w:rFonts w:cs="Times New Roman"/>
                <w:color w:val="000000" w:themeColor="text1"/>
                <w:sz w:val="16"/>
                <w:szCs w:val="16"/>
              </w:rPr>
              <w:t>+ College Dean support</w:t>
            </w:r>
            <w:r w:rsidRPr="00E45096">
              <w:rPr>
                <w:rFonts w:cs="Times New Roman"/>
                <w:color w:val="000000" w:themeColor="text1"/>
                <w:sz w:val="16"/>
                <w:szCs w:val="16"/>
              </w:rPr>
              <w:t xml:space="preserve"> </w:t>
            </w:r>
            <w:r>
              <w:rPr>
                <w:rFonts w:cs="Times New Roman"/>
                <w:color w:val="000000" w:themeColor="text1"/>
                <w:sz w:val="16"/>
                <w:szCs w:val="16"/>
              </w:rPr>
              <w:t>(for post-bac programs)</w:t>
            </w:r>
          </w:p>
        </w:tc>
        <w:tc>
          <w:tcPr>
            <w:tcW w:w="1107" w:type="dxa"/>
            <w:gridSpan w:val="2"/>
            <w:shd w:val="clear" w:color="auto" w:fill="C6D9F1" w:themeFill="text2" w:themeFillTint="33"/>
          </w:tcPr>
          <w:p w14:paraId="69E83AEF"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0D29DB3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9CC62A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50F1F3B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6D208DA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14E6FA0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w:t>
            </w:r>
            <w:r w:rsidRPr="00ED2FC6">
              <w:rPr>
                <w:rFonts w:cs="Times New Roman"/>
                <w:color w:val="000000" w:themeColor="text1"/>
                <w:sz w:val="18"/>
                <w:szCs w:val="18"/>
                <w:shd w:val="clear" w:color="auto" w:fill="FFFFFF" w:themeFill="background1"/>
              </w:rPr>
              <w:t>f</w:t>
            </w:r>
            <w:r w:rsidRPr="00ED2FC6">
              <w:rPr>
                <w:rFonts w:cs="Times New Roman"/>
                <w:color w:val="000000" w:themeColor="text1"/>
                <w:sz w:val="18"/>
                <w:szCs w:val="18"/>
              </w:rPr>
              <w:t xml:space="preserve">y + teach-out plan </w:t>
            </w:r>
          </w:p>
          <w:p w14:paraId="7C131849" w14:textId="77777777" w:rsidR="00ED2FC6" w:rsidRPr="00ED2FC6" w:rsidRDefault="00ED2FC6" w:rsidP="00D43C31">
            <w:pPr>
              <w:spacing w:after="0" w:line="240" w:lineRule="auto"/>
              <w:jc w:val="center"/>
              <w:rPr>
                <w:rFonts w:cs="Times New Roman"/>
                <w:color w:val="000000" w:themeColor="text1"/>
                <w:sz w:val="18"/>
                <w:szCs w:val="18"/>
              </w:rPr>
            </w:pPr>
          </w:p>
        </w:tc>
      </w:tr>
      <w:tr w:rsidR="00ED2FC6" w:rsidRPr="00ED2FC6" w14:paraId="61CDF0F3" w14:textId="77777777" w:rsidTr="004138F4">
        <w:tc>
          <w:tcPr>
            <w:tcW w:w="14310" w:type="dxa"/>
            <w:gridSpan w:val="12"/>
            <w:shd w:val="clear" w:color="auto" w:fill="FFFFCC"/>
          </w:tcPr>
          <w:p w14:paraId="6DD72004" w14:textId="77777777" w:rsidR="00ED2FC6" w:rsidRPr="00ED2FC6" w:rsidRDefault="00ED2FC6" w:rsidP="00D43C31">
            <w:pPr>
              <w:spacing w:after="0" w:line="240" w:lineRule="auto"/>
              <w:jc w:val="center"/>
              <w:rPr>
                <w:rFonts w:cs="Times New Roman"/>
                <w:b/>
                <w:color w:val="000000" w:themeColor="text1"/>
                <w:sz w:val="18"/>
                <w:szCs w:val="18"/>
              </w:rPr>
            </w:pPr>
          </w:p>
          <w:p w14:paraId="70F428CB" w14:textId="77777777" w:rsidR="00ED2FC6" w:rsidRPr="00ED2FC6" w:rsidRDefault="00ED2FC6" w:rsidP="00D43C31">
            <w:pPr>
              <w:spacing w:after="0" w:line="240" w:lineRule="auto"/>
              <w:jc w:val="center"/>
              <w:rPr>
                <w:rFonts w:cs="Times New Roman"/>
                <w:b/>
                <w:color w:val="000000" w:themeColor="text1"/>
                <w:sz w:val="18"/>
                <w:szCs w:val="18"/>
              </w:rPr>
            </w:pPr>
            <w:r w:rsidRPr="00ED2FC6">
              <w:rPr>
                <w:rFonts w:cs="Times New Roman"/>
                <w:b/>
                <w:color w:val="000000" w:themeColor="text1"/>
                <w:sz w:val="18"/>
                <w:szCs w:val="18"/>
              </w:rPr>
              <w:t>ETSU Academic Actions</w:t>
            </w:r>
          </w:p>
        </w:tc>
      </w:tr>
      <w:tr w:rsidR="00ED2FC6" w:rsidRPr="00ED2FC6" w14:paraId="6E9DEE3B" w14:textId="77777777" w:rsidTr="00563335">
        <w:tc>
          <w:tcPr>
            <w:tcW w:w="3240" w:type="dxa"/>
            <w:shd w:val="clear" w:color="auto" w:fill="auto"/>
          </w:tcPr>
          <w:p w14:paraId="34A18833"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Admission, Progression, Retention, Graduation Policies (University)</w:t>
            </w:r>
          </w:p>
        </w:tc>
        <w:tc>
          <w:tcPr>
            <w:tcW w:w="1197" w:type="dxa"/>
            <w:shd w:val="clear" w:color="auto" w:fill="FFFFFF" w:themeFill="background1"/>
          </w:tcPr>
          <w:p w14:paraId="33F2D1E9"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056BB921"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10A9E688"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60FDA414"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gridSpan w:val="2"/>
            <w:shd w:val="clear" w:color="auto" w:fill="C6D9F1" w:themeFill="text2" w:themeFillTint="33"/>
          </w:tcPr>
          <w:p w14:paraId="7D8C87B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33EE89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6F6CFD5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33F8CF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c>
          <w:tcPr>
            <w:tcW w:w="1107" w:type="dxa"/>
            <w:shd w:val="clear" w:color="auto" w:fill="C6D9F1" w:themeFill="text2" w:themeFillTint="33"/>
          </w:tcPr>
          <w:p w14:paraId="7810509F"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Approve</w:t>
            </w:r>
          </w:p>
        </w:tc>
        <w:tc>
          <w:tcPr>
            <w:tcW w:w="1017" w:type="dxa"/>
            <w:shd w:val="clear" w:color="auto" w:fill="FFFFFF" w:themeFill="background1"/>
          </w:tcPr>
          <w:p w14:paraId="24F1E2F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r>
      <w:tr w:rsidR="00ED2FC6" w:rsidRPr="00ED2FC6" w14:paraId="28EB63AE" w14:textId="77777777" w:rsidTr="004138F4">
        <w:tc>
          <w:tcPr>
            <w:tcW w:w="3240" w:type="dxa"/>
            <w:shd w:val="clear" w:color="auto" w:fill="auto"/>
          </w:tcPr>
          <w:p w14:paraId="3BC943F9"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Admission, Progression, Retention, Graduation Policies (Program)</w:t>
            </w:r>
          </w:p>
        </w:tc>
        <w:tc>
          <w:tcPr>
            <w:tcW w:w="1197" w:type="dxa"/>
            <w:shd w:val="clear" w:color="auto" w:fill="C6D9F1" w:themeFill="text2" w:themeFillTint="33"/>
          </w:tcPr>
          <w:p w14:paraId="334168B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6F5B3CB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1A348169"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6B555FA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4543609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4DD28F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73788635"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71C1853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28210A8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169D3AF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r>
      <w:tr w:rsidR="00ED2FC6" w:rsidRPr="00ED2FC6" w14:paraId="279B4DA9" w14:textId="77777777" w:rsidTr="004138F4">
        <w:tc>
          <w:tcPr>
            <w:tcW w:w="3240" w:type="dxa"/>
            <w:shd w:val="clear" w:color="auto" w:fill="auto"/>
          </w:tcPr>
          <w:p w14:paraId="695BD729"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Establish minor (18-21 credits)</w:t>
            </w:r>
          </w:p>
        </w:tc>
        <w:tc>
          <w:tcPr>
            <w:tcW w:w="1197" w:type="dxa"/>
            <w:shd w:val="clear" w:color="auto" w:fill="C6D9F1" w:themeFill="text2" w:themeFillTint="33"/>
          </w:tcPr>
          <w:p w14:paraId="035A2EA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35BC0EE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0A93F4F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692A04D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0C08AD2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3E6C2F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06D1B6B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365AC360" w14:textId="77777777" w:rsidR="00ED2FC6" w:rsidRPr="00ED2FC6" w:rsidRDefault="00ED2FC6" w:rsidP="00D43C31">
            <w:pPr>
              <w:spacing w:after="0" w:line="240" w:lineRule="auto"/>
              <w:jc w:val="center"/>
              <w:rPr>
                <w:rFonts w:cs="Times New Roman"/>
                <w:strike/>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5306054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29045E1D"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r>
      <w:tr w:rsidR="00ED2FC6" w:rsidRPr="00ED2FC6" w14:paraId="6BC5FE74" w14:textId="77777777" w:rsidTr="004138F4">
        <w:tc>
          <w:tcPr>
            <w:tcW w:w="3240" w:type="dxa"/>
            <w:shd w:val="clear" w:color="auto" w:fill="auto"/>
          </w:tcPr>
          <w:p w14:paraId="0BFF1F0B"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 xml:space="preserve">Significant revision of existing academic program: degree, certificate, concentration, or minor </w:t>
            </w:r>
          </w:p>
        </w:tc>
        <w:tc>
          <w:tcPr>
            <w:tcW w:w="1197" w:type="dxa"/>
            <w:shd w:val="clear" w:color="auto" w:fill="C6D9F1" w:themeFill="text2" w:themeFillTint="33"/>
          </w:tcPr>
          <w:p w14:paraId="5556A9E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78C0287A"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7EDDC74E"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if appropriate</w:t>
            </w:r>
          </w:p>
        </w:tc>
        <w:tc>
          <w:tcPr>
            <w:tcW w:w="1107" w:type="dxa"/>
            <w:shd w:val="clear" w:color="auto" w:fill="C6D9F1" w:themeFill="text2" w:themeFillTint="33"/>
          </w:tcPr>
          <w:p w14:paraId="1D33E64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C6D9F1" w:themeFill="text2" w:themeFillTint="33"/>
          </w:tcPr>
          <w:p w14:paraId="6B15539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2C355526"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151065C1"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311C5383" w14:textId="77777777" w:rsidR="00ED2FC6" w:rsidRPr="00ED2FC6" w:rsidRDefault="00ED2FC6" w:rsidP="00D43C31">
            <w:pPr>
              <w:spacing w:after="0" w:line="240" w:lineRule="auto"/>
              <w:jc w:val="center"/>
              <w:rPr>
                <w:rFonts w:cs="Times New Roman"/>
                <w:strike/>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26BC9D7C" w14:textId="77777777" w:rsidR="00ED2FC6" w:rsidRPr="00ED2FC6" w:rsidRDefault="00ED2FC6" w:rsidP="00D43C31">
            <w:pPr>
              <w:spacing w:after="0" w:line="240" w:lineRule="auto"/>
              <w:jc w:val="center"/>
              <w:rPr>
                <w:rFonts w:cs="Times New Roman"/>
                <w:strike/>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2CF2702B"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r>
      <w:tr w:rsidR="00ED2FC6" w:rsidRPr="00ED2FC6" w14:paraId="35727D04" w14:textId="77777777" w:rsidTr="004138F4">
        <w:tc>
          <w:tcPr>
            <w:tcW w:w="3240" w:type="dxa"/>
            <w:shd w:val="clear" w:color="auto" w:fill="auto"/>
          </w:tcPr>
          <w:p w14:paraId="25BFAA5E"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Establish Institutes and Centers</w:t>
            </w:r>
          </w:p>
          <w:p w14:paraId="44F7A64C"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(not a budget line item)</w:t>
            </w:r>
          </w:p>
          <w:p w14:paraId="6BB39CC1" w14:textId="77777777" w:rsidR="00ED2FC6" w:rsidRPr="00ED2FC6" w:rsidRDefault="00ED2FC6" w:rsidP="00D43C31">
            <w:pPr>
              <w:spacing w:after="0" w:line="240" w:lineRule="auto"/>
              <w:rPr>
                <w:rFonts w:cs="Times New Roman"/>
                <w:color w:val="000000" w:themeColor="text1"/>
                <w:sz w:val="18"/>
                <w:szCs w:val="18"/>
              </w:rPr>
            </w:pPr>
          </w:p>
        </w:tc>
        <w:tc>
          <w:tcPr>
            <w:tcW w:w="1197" w:type="dxa"/>
            <w:shd w:val="clear" w:color="auto" w:fill="C6D9F1" w:themeFill="text2" w:themeFillTint="33"/>
          </w:tcPr>
          <w:p w14:paraId="64918E9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tcPr>
          <w:p w14:paraId="3F177DFC"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03490B8F"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244D2CB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tcPr>
          <w:p w14:paraId="3FB93210"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C6D9F1" w:themeFill="text2" w:themeFillTint="33"/>
          </w:tcPr>
          <w:p w14:paraId="3EC26887"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C6D9F1" w:themeFill="text2" w:themeFillTint="33"/>
          </w:tcPr>
          <w:p w14:paraId="4330DF48"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44F297A3" w14:textId="77777777" w:rsidR="00ED2FC6" w:rsidRPr="00ED2FC6" w:rsidRDefault="00ED2FC6" w:rsidP="00D43C31">
            <w:pPr>
              <w:spacing w:after="0" w:line="240" w:lineRule="auto"/>
              <w:jc w:val="center"/>
              <w:rPr>
                <w:rFonts w:cs="Times New Roman"/>
                <w:strike/>
                <w:color w:val="000000" w:themeColor="text1"/>
                <w:sz w:val="18"/>
                <w:szCs w:val="18"/>
              </w:rPr>
            </w:pPr>
            <w:r w:rsidRPr="00ED2FC6">
              <w:rPr>
                <w:rFonts w:cs="Times New Roman"/>
                <w:color w:val="000000" w:themeColor="text1"/>
                <w:sz w:val="18"/>
                <w:szCs w:val="18"/>
              </w:rPr>
              <w:t>Notify</w:t>
            </w:r>
          </w:p>
        </w:tc>
        <w:tc>
          <w:tcPr>
            <w:tcW w:w="1107" w:type="dxa"/>
            <w:shd w:val="clear" w:color="auto" w:fill="FFFFFF" w:themeFill="background1"/>
          </w:tcPr>
          <w:p w14:paraId="29B010D2"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Notify</w:t>
            </w:r>
          </w:p>
        </w:tc>
        <w:tc>
          <w:tcPr>
            <w:tcW w:w="1017" w:type="dxa"/>
            <w:shd w:val="clear" w:color="auto" w:fill="FFFFFF" w:themeFill="background1"/>
          </w:tcPr>
          <w:p w14:paraId="6282228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r>
      <w:tr w:rsidR="00ED2FC6" w:rsidRPr="00ED2FC6" w14:paraId="34CFDC2E" w14:textId="77777777" w:rsidTr="001332FA">
        <w:tc>
          <w:tcPr>
            <w:tcW w:w="3240" w:type="dxa"/>
            <w:shd w:val="clear" w:color="auto" w:fill="D6E3BC" w:themeFill="accent3" w:themeFillTint="66"/>
          </w:tcPr>
          <w:p w14:paraId="0432C73E" w14:textId="61EEE013" w:rsidR="00ED2FC6" w:rsidRPr="00ED2FC6" w:rsidRDefault="002964F0" w:rsidP="00D43C31">
            <w:pPr>
              <w:spacing w:after="0" w:line="240" w:lineRule="auto"/>
              <w:rPr>
                <w:rFonts w:cs="Times New Roman"/>
                <w:color w:val="000000" w:themeColor="text1"/>
                <w:sz w:val="18"/>
                <w:szCs w:val="18"/>
              </w:rPr>
            </w:pPr>
            <w:r>
              <w:rPr>
                <w:rFonts w:cs="Times New Roman"/>
                <w:color w:val="000000" w:themeColor="text1"/>
                <w:sz w:val="18"/>
                <w:szCs w:val="18"/>
              </w:rPr>
              <w:t>*</w:t>
            </w:r>
            <w:r w:rsidR="00ED2FC6" w:rsidRPr="00ED2FC6">
              <w:rPr>
                <w:rFonts w:cs="Times New Roman"/>
                <w:color w:val="000000" w:themeColor="text1"/>
                <w:sz w:val="18"/>
                <w:szCs w:val="18"/>
              </w:rPr>
              <w:t>Site Codes</w:t>
            </w:r>
          </w:p>
        </w:tc>
        <w:tc>
          <w:tcPr>
            <w:tcW w:w="1197" w:type="dxa"/>
            <w:shd w:val="clear" w:color="auto" w:fill="B8CCE4" w:themeFill="accent1" w:themeFillTint="66"/>
          </w:tcPr>
          <w:p w14:paraId="2B123F4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shd w:val="clear" w:color="auto" w:fill="FFFFFF" w:themeFill="background1"/>
          </w:tcPr>
          <w:p w14:paraId="7611A77B"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tcPr>
          <w:p w14:paraId="1E531817"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B8CCE4" w:themeFill="accent1" w:themeFillTint="66"/>
          </w:tcPr>
          <w:p w14:paraId="74CFEE50"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x</w:t>
            </w:r>
          </w:p>
        </w:tc>
        <w:tc>
          <w:tcPr>
            <w:tcW w:w="1107" w:type="dxa"/>
            <w:gridSpan w:val="2"/>
            <w:shd w:val="clear" w:color="auto" w:fill="FFFFFF" w:themeFill="background1"/>
          </w:tcPr>
          <w:p w14:paraId="67F66999"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733DFA34"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2BB4A51D" w14:textId="77777777" w:rsidR="00ED2FC6" w:rsidRPr="00ED2FC6" w:rsidRDefault="00ED2FC6" w:rsidP="00D43C31">
            <w:pPr>
              <w:spacing w:after="0" w:line="240" w:lineRule="auto"/>
              <w:jc w:val="center"/>
              <w:rPr>
                <w:rFonts w:cs="Times New Roman"/>
                <w:color w:val="000000" w:themeColor="text1"/>
                <w:sz w:val="18"/>
                <w:szCs w:val="18"/>
              </w:rPr>
            </w:pPr>
          </w:p>
        </w:tc>
        <w:tc>
          <w:tcPr>
            <w:tcW w:w="1107" w:type="dxa"/>
            <w:shd w:val="clear" w:color="auto" w:fill="FFFFFF" w:themeFill="background1"/>
          </w:tcPr>
          <w:p w14:paraId="4C2F05B4"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c>
          <w:tcPr>
            <w:tcW w:w="1107" w:type="dxa"/>
            <w:shd w:val="clear" w:color="auto" w:fill="FFFFFF" w:themeFill="background1"/>
          </w:tcPr>
          <w:p w14:paraId="42FA9EC3"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N/A</w:t>
            </w:r>
          </w:p>
        </w:tc>
        <w:tc>
          <w:tcPr>
            <w:tcW w:w="1017" w:type="dxa"/>
            <w:shd w:val="clear" w:color="auto" w:fill="FFFFFF" w:themeFill="background1"/>
          </w:tcPr>
          <w:p w14:paraId="23A9668C" w14:textId="77777777" w:rsidR="00ED2FC6" w:rsidRPr="00ED2FC6" w:rsidRDefault="00ED2FC6" w:rsidP="00D43C31">
            <w:pPr>
              <w:spacing w:after="0" w:line="240" w:lineRule="auto"/>
              <w:jc w:val="center"/>
              <w:rPr>
                <w:rFonts w:cs="Times New Roman"/>
                <w:color w:val="000000" w:themeColor="text1"/>
                <w:sz w:val="18"/>
                <w:szCs w:val="18"/>
              </w:rPr>
            </w:pPr>
            <w:r w:rsidRPr="00ED2FC6">
              <w:rPr>
                <w:rFonts w:cs="Times New Roman"/>
                <w:color w:val="000000" w:themeColor="text1"/>
                <w:sz w:val="18"/>
                <w:szCs w:val="18"/>
              </w:rPr>
              <w:t>Assign</w:t>
            </w:r>
          </w:p>
        </w:tc>
      </w:tr>
      <w:tr w:rsidR="00ED2FC6" w:rsidRPr="00ED2FC6" w14:paraId="700AB5ED" w14:textId="77777777" w:rsidTr="004138F4">
        <w:tc>
          <w:tcPr>
            <w:tcW w:w="14310" w:type="dxa"/>
            <w:gridSpan w:val="12"/>
            <w:shd w:val="clear" w:color="auto" w:fill="FFFFCC"/>
          </w:tcPr>
          <w:p w14:paraId="253EA9F4" w14:textId="77777777" w:rsidR="00ED2FC6" w:rsidRPr="00ED2FC6" w:rsidRDefault="000D04AD" w:rsidP="00D43C31">
            <w:pPr>
              <w:spacing w:after="0" w:line="240" w:lineRule="auto"/>
              <w:jc w:val="center"/>
              <w:rPr>
                <w:rFonts w:cs="Times New Roman"/>
                <w:b/>
                <w:color w:val="000000" w:themeColor="text1"/>
                <w:sz w:val="18"/>
                <w:szCs w:val="18"/>
              </w:rPr>
            </w:pPr>
            <w:r>
              <w:rPr>
                <w:rFonts w:cs="Times New Roman"/>
                <w:b/>
                <w:color w:val="000000" w:themeColor="text1"/>
                <w:sz w:val="18"/>
                <w:szCs w:val="18"/>
              </w:rPr>
              <w:t>*</w:t>
            </w:r>
            <w:r w:rsidR="00ED2FC6" w:rsidRPr="00ED2FC6">
              <w:rPr>
                <w:rFonts w:cs="Times New Roman"/>
                <w:b/>
                <w:color w:val="000000" w:themeColor="text1"/>
                <w:sz w:val="18"/>
                <w:szCs w:val="18"/>
              </w:rPr>
              <w:t>THEC Notification Schedule</w:t>
            </w:r>
            <w:r w:rsidR="005E517A">
              <w:rPr>
                <w:rFonts w:cs="Times New Roman"/>
                <w:b/>
                <w:color w:val="000000" w:themeColor="text1"/>
                <w:sz w:val="18"/>
                <w:szCs w:val="18"/>
              </w:rPr>
              <w:t xml:space="preserve"> for A1.5 Actions</w:t>
            </w:r>
          </w:p>
        </w:tc>
      </w:tr>
      <w:tr w:rsidR="00ED2FC6" w:rsidRPr="00ED2FC6" w14:paraId="4189B82E" w14:textId="77777777" w:rsidTr="004138F4">
        <w:tc>
          <w:tcPr>
            <w:tcW w:w="3240" w:type="dxa"/>
            <w:shd w:val="clear" w:color="auto" w:fill="FFFFFF" w:themeFill="background1"/>
          </w:tcPr>
          <w:p w14:paraId="65F23F74"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May 15</w:t>
            </w:r>
          </w:p>
        </w:tc>
        <w:tc>
          <w:tcPr>
            <w:tcW w:w="5580" w:type="dxa"/>
            <w:gridSpan w:val="5"/>
            <w:shd w:val="clear" w:color="auto" w:fill="FFFFFF" w:themeFill="background1"/>
          </w:tcPr>
          <w:p w14:paraId="197936CF"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 xml:space="preserve">Actions approved between Jan 1 and April 30 </w:t>
            </w:r>
          </w:p>
        </w:tc>
        <w:tc>
          <w:tcPr>
            <w:tcW w:w="5490" w:type="dxa"/>
            <w:gridSpan w:val="6"/>
            <w:vMerge w:val="restart"/>
            <w:shd w:val="clear" w:color="auto" w:fill="FFFFFF" w:themeFill="background1"/>
          </w:tcPr>
          <w:p w14:paraId="5A386BBB" w14:textId="77777777" w:rsidR="00ED2FC6" w:rsidRPr="00ED2FC6" w:rsidRDefault="00ED2FC6" w:rsidP="00D43C31">
            <w:pPr>
              <w:spacing w:after="0" w:line="240" w:lineRule="auto"/>
              <w:rPr>
                <w:rFonts w:cs="Times New Roman"/>
                <w:color w:val="000000" w:themeColor="text1"/>
                <w:sz w:val="18"/>
                <w:szCs w:val="18"/>
              </w:rPr>
            </w:pPr>
            <w:r w:rsidRPr="00ED2FC6">
              <w:rPr>
                <w:rFonts w:cs="Open Sans"/>
                <w:color w:val="000000" w:themeColor="text1"/>
                <w:sz w:val="18"/>
                <w:szCs w:val="18"/>
              </w:rPr>
              <w:t>The chief academic officer at each university will submit all academic program actions designating that each action has been approved though appropriate institutional and/or governing board processes.</w:t>
            </w:r>
          </w:p>
        </w:tc>
      </w:tr>
      <w:tr w:rsidR="00ED2FC6" w:rsidRPr="00ED2FC6" w14:paraId="1200AFE1" w14:textId="77777777" w:rsidTr="004138F4">
        <w:tc>
          <w:tcPr>
            <w:tcW w:w="3240" w:type="dxa"/>
            <w:shd w:val="clear" w:color="auto" w:fill="FFFFFF" w:themeFill="background1"/>
          </w:tcPr>
          <w:p w14:paraId="5B6B8EFB"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August 15</w:t>
            </w:r>
          </w:p>
        </w:tc>
        <w:tc>
          <w:tcPr>
            <w:tcW w:w="5580" w:type="dxa"/>
            <w:gridSpan w:val="5"/>
            <w:shd w:val="clear" w:color="auto" w:fill="FFFFFF" w:themeFill="background1"/>
          </w:tcPr>
          <w:p w14:paraId="48591DF5"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Actions approved between May 1 and July 30</w:t>
            </w:r>
          </w:p>
        </w:tc>
        <w:tc>
          <w:tcPr>
            <w:tcW w:w="5490" w:type="dxa"/>
            <w:gridSpan w:val="6"/>
            <w:vMerge/>
            <w:shd w:val="clear" w:color="auto" w:fill="FFFFFF" w:themeFill="background1"/>
          </w:tcPr>
          <w:p w14:paraId="1DDF13A0" w14:textId="77777777" w:rsidR="00ED2FC6" w:rsidRPr="00ED2FC6" w:rsidRDefault="00ED2FC6" w:rsidP="00D43C31">
            <w:pPr>
              <w:spacing w:after="0" w:line="240" w:lineRule="auto"/>
              <w:rPr>
                <w:rFonts w:cs="Times New Roman"/>
                <w:color w:val="000000" w:themeColor="text1"/>
                <w:sz w:val="18"/>
                <w:szCs w:val="18"/>
              </w:rPr>
            </w:pPr>
          </w:p>
        </w:tc>
      </w:tr>
      <w:tr w:rsidR="00ED2FC6" w:rsidRPr="00ED2FC6" w14:paraId="4B89D0BD" w14:textId="77777777" w:rsidTr="004138F4">
        <w:tc>
          <w:tcPr>
            <w:tcW w:w="3240" w:type="dxa"/>
            <w:shd w:val="clear" w:color="auto" w:fill="FFFFFF" w:themeFill="background1"/>
          </w:tcPr>
          <w:p w14:paraId="3F67FA8B"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January 15</w:t>
            </w:r>
          </w:p>
        </w:tc>
        <w:tc>
          <w:tcPr>
            <w:tcW w:w="5580" w:type="dxa"/>
            <w:gridSpan w:val="5"/>
            <w:shd w:val="clear" w:color="auto" w:fill="FFFFFF" w:themeFill="background1"/>
          </w:tcPr>
          <w:p w14:paraId="13037BFE" w14:textId="77777777" w:rsidR="00ED2FC6" w:rsidRPr="00ED2FC6" w:rsidRDefault="00ED2FC6" w:rsidP="00D43C31">
            <w:pPr>
              <w:spacing w:after="0" w:line="240" w:lineRule="auto"/>
              <w:rPr>
                <w:rFonts w:cs="Times New Roman"/>
                <w:color w:val="000000" w:themeColor="text1"/>
                <w:sz w:val="18"/>
                <w:szCs w:val="18"/>
              </w:rPr>
            </w:pPr>
            <w:r w:rsidRPr="00ED2FC6">
              <w:rPr>
                <w:rFonts w:cs="Times New Roman"/>
                <w:color w:val="000000" w:themeColor="text1"/>
                <w:sz w:val="18"/>
                <w:szCs w:val="18"/>
              </w:rPr>
              <w:t xml:space="preserve">Actions approved between Aug 1 and Dec 31   </w:t>
            </w:r>
          </w:p>
        </w:tc>
        <w:tc>
          <w:tcPr>
            <w:tcW w:w="5490" w:type="dxa"/>
            <w:gridSpan w:val="6"/>
            <w:vMerge/>
            <w:shd w:val="clear" w:color="auto" w:fill="FFFFFF" w:themeFill="background1"/>
          </w:tcPr>
          <w:p w14:paraId="07B87C6B" w14:textId="77777777" w:rsidR="00ED2FC6" w:rsidRPr="00ED2FC6" w:rsidRDefault="00ED2FC6" w:rsidP="00D43C31">
            <w:pPr>
              <w:spacing w:after="0" w:line="240" w:lineRule="auto"/>
              <w:rPr>
                <w:rFonts w:cs="Times New Roman"/>
                <w:color w:val="000000" w:themeColor="text1"/>
                <w:sz w:val="18"/>
                <w:szCs w:val="18"/>
              </w:rPr>
            </w:pPr>
          </w:p>
        </w:tc>
      </w:tr>
    </w:tbl>
    <w:p w14:paraId="0119C186" w14:textId="6558C8EA" w:rsidR="00E22355" w:rsidRPr="002964F0" w:rsidRDefault="002964F0" w:rsidP="002964F0">
      <w:pPr>
        <w:rPr>
          <w:sz w:val="18"/>
          <w:szCs w:val="18"/>
        </w:rPr>
      </w:pPr>
      <w:r w:rsidRPr="00110619">
        <w:rPr>
          <w:sz w:val="18"/>
          <w:szCs w:val="18"/>
        </w:rPr>
        <w:t>*Possible SACSCOC implication; consult with Accreditation Liaison when planning these actions.</w:t>
      </w:r>
    </w:p>
    <w:sectPr w:rsidR="00E22355" w:rsidRPr="002964F0" w:rsidSect="00B2081C">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8DCF4" w15:done="0"/>
  <w15:commentEx w15:paraId="60C145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153E2" w14:textId="77777777" w:rsidR="007A738C" w:rsidRDefault="007A738C" w:rsidP="00241137">
      <w:pPr>
        <w:spacing w:after="0" w:line="240" w:lineRule="auto"/>
      </w:pPr>
      <w:r>
        <w:separator/>
      </w:r>
    </w:p>
  </w:endnote>
  <w:endnote w:type="continuationSeparator" w:id="0">
    <w:p w14:paraId="5CCF87C5" w14:textId="77777777" w:rsidR="007A738C" w:rsidRDefault="007A738C" w:rsidP="0024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22536"/>
      <w:docPartObj>
        <w:docPartGallery w:val="Page Numbers (Bottom of Page)"/>
        <w:docPartUnique/>
      </w:docPartObj>
    </w:sdtPr>
    <w:sdtEndPr>
      <w:rPr>
        <w:noProof/>
      </w:rPr>
    </w:sdtEndPr>
    <w:sdtContent>
      <w:p w14:paraId="22A9F18D" w14:textId="57DF7EAF" w:rsidR="00241137" w:rsidRDefault="00241137">
        <w:pPr>
          <w:pStyle w:val="Footer"/>
          <w:jc w:val="right"/>
        </w:pPr>
        <w:r>
          <w:fldChar w:fldCharType="begin"/>
        </w:r>
        <w:r>
          <w:instrText xml:space="preserve"> PAGE   \* MERGEFORMAT </w:instrText>
        </w:r>
        <w:r>
          <w:fldChar w:fldCharType="separate"/>
        </w:r>
        <w:r w:rsidR="00F55DE2">
          <w:rPr>
            <w:noProof/>
          </w:rPr>
          <w:t>3</w:t>
        </w:r>
        <w:r>
          <w:rPr>
            <w:noProof/>
          </w:rPr>
          <w:fldChar w:fldCharType="end"/>
        </w:r>
        <w:r w:rsidR="000F7629">
          <w:rPr>
            <w:noProof/>
          </w:rPr>
          <w:t xml:space="preserve"> of </w:t>
        </w:r>
        <w:r w:rsidR="000F7629">
          <w:rPr>
            <w:noProof/>
          </w:rPr>
          <w:fldChar w:fldCharType="begin"/>
        </w:r>
        <w:r w:rsidR="000F7629">
          <w:rPr>
            <w:noProof/>
          </w:rPr>
          <w:instrText xml:space="preserve"> NUMPAGES  \* Arabic  \* MERGEFORMAT </w:instrText>
        </w:r>
        <w:r w:rsidR="000F7629">
          <w:rPr>
            <w:noProof/>
          </w:rPr>
          <w:fldChar w:fldCharType="separate"/>
        </w:r>
        <w:r w:rsidR="00F55DE2">
          <w:rPr>
            <w:noProof/>
          </w:rPr>
          <w:t>5</w:t>
        </w:r>
        <w:r w:rsidR="000F7629">
          <w:rPr>
            <w:noProof/>
          </w:rPr>
          <w:fldChar w:fldCharType="end"/>
        </w:r>
      </w:p>
    </w:sdtContent>
  </w:sdt>
  <w:p w14:paraId="6CA47600" w14:textId="77777777" w:rsidR="00241137" w:rsidRDefault="0024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BDED" w14:textId="77777777" w:rsidR="007A738C" w:rsidRDefault="007A738C" w:rsidP="00241137">
      <w:pPr>
        <w:spacing w:after="0" w:line="240" w:lineRule="auto"/>
      </w:pPr>
      <w:r>
        <w:separator/>
      </w:r>
    </w:p>
  </w:footnote>
  <w:footnote w:type="continuationSeparator" w:id="0">
    <w:p w14:paraId="608C0691" w14:textId="77777777" w:rsidR="007A738C" w:rsidRDefault="007A738C" w:rsidP="00241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16E"/>
    <w:multiLevelType w:val="hybridMultilevel"/>
    <w:tmpl w:val="AAF06352"/>
    <w:lvl w:ilvl="0" w:tplc="5330C2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0B7D20"/>
    <w:multiLevelType w:val="hybridMultilevel"/>
    <w:tmpl w:val="0A2ED0C4"/>
    <w:lvl w:ilvl="0" w:tplc="2AF67D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D78240CC">
      <w:start w:val="2"/>
      <w:numFmt w:val="upp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D64EBD"/>
    <w:multiLevelType w:val="hybridMultilevel"/>
    <w:tmpl w:val="DA826264"/>
    <w:lvl w:ilvl="0" w:tplc="0C580F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DF6FE2"/>
    <w:multiLevelType w:val="hybridMultilevel"/>
    <w:tmpl w:val="0CF0B034"/>
    <w:lvl w:ilvl="0" w:tplc="58DEAFDC">
      <w:start w:val="1"/>
      <w:numFmt w:val="upperLetter"/>
      <w:lvlText w:val="%1."/>
      <w:lvlJc w:val="left"/>
      <w:pPr>
        <w:ind w:left="1440" w:hanging="360"/>
      </w:pPr>
      <w:rPr>
        <w:rFonts w:asciiTheme="minorHAnsi" w:eastAsiaTheme="minorHAnsi" w:hAnsiTheme="minorHAnsi" w:cstheme="minorBidi"/>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74EC2"/>
    <w:multiLevelType w:val="hybridMultilevel"/>
    <w:tmpl w:val="926E2D7C"/>
    <w:lvl w:ilvl="0" w:tplc="292016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774A6"/>
    <w:multiLevelType w:val="hybridMultilevel"/>
    <w:tmpl w:val="023E762C"/>
    <w:lvl w:ilvl="0" w:tplc="D11A7B24">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F2CB6"/>
    <w:multiLevelType w:val="hybridMultilevel"/>
    <w:tmpl w:val="08E22698"/>
    <w:lvl w:ilvl="0" w:tplc="0C580F40">
      <w:start w:val="1"/>
      <w:numFmt w:val="decimal"/>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174AED46">
      <w:start w:val="1"/>
      <w:numFmt w:val="upperLetter"/>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AF0D67"/>
    <w:multiLevelType w:val="hybridMultilevel"/>
    <w:tmpl w:val="8D5A59F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4978DC"/>
    <w:multiLevelType w:val="hybridMultilevel"/>
    <w:tmpl w:val="43300696"/>
    <w:lvl w:ilvl="0" w:tplc="9698EE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058F5"/>
    <w:multiLevelType w:val="hybridMultilevel"/>
    <w:tmpl w:val="E5BAB77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1E93813"/>
    <w:multiLevelType w:val="hybridMultilevel"/>
    <w:tmpl w:val="E67E2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2E5CDF"/>
    <w:multiLevelType w:val="hybridMultilevel"/>
    <w:tmpl w:val="E5E4E9A2"/>
    <w:lvl w:ilvl="0" w:tplc="14E4C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75F95"/>
    <w:multiLevelType w:val="hybridMultilevel"/>
    <w:tmpl w:val="DF405FC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483F88"/>
    <w:multiLevelType w:val="hybridMultilevel"/>
    <w:tmpl w:val="6EF41FC4"/>
    <w:lvl w:ilvl="0" w:tplc="4BBE4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15716"/>
    <w:multiLevelType w:val="hybridMultilevel"/>
    <w:tmpl w:val="C0B80E16"/>
    <w:lvl w:ilvl="0" w:tplc="426CBB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09009B"/>
    <w:multiLevelType w:val="hybridMultilevel"/>
    <w:tmpl w:val="66705E7C"/>
    <w:lvl w:ilvl="0" w:tplc="58DEAFDC">
      <w:start w:val="1"/>
      <w:numFmt w:val="upp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097AE2"/>
    <w:multiLevelType w:val="hybridMultilevel"/>
    <w:tmpl w:val="858CB44C"/>
    <w:lvl w:ilvl="0" w:tplc="0C580F40">
      <w:start w:val="1"/>
      <w:numFmt w:val="decimal"/>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D5A91"/>
    <w:multiLevelType w:val="hybridMultilevel"/>
    <w:tmpl w:val="60B0D5D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DFE66F9"/>
    <w:multiLevelType w:val="hybridMultilevel"/>
    <w:tmpl w:val="4BAEE1A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6E74045"/>
    <w:multiLevelType w:val="hybridMultilevel"/>
    <w:tmpl w:val="D4A09C4C"/>
    <w:lvl w:ilvl="0" w:tplc="3D52FD38">
      <w:start w:val="1"/>
      <w:numFmt w:val="upperLetter"/>
      <w:lvlText w:val="%1."/>
      <w:lvlJc w:val="left"/>
      <w:pPr>
        <w:ind w:left="1080" w:hanging="360"/>
      </w:pPr>
      <w:rPr>
        <w:rFonts w:hint="default"/>
      </w:rPr>
    </w:lvl>
    <w:lvl w:ilvl="1" w:tplc="9F7853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53985"/>
    <w:multiLevelType w:val="hybridMultilevel"/>
    <w:tmpl w:val="84D4324C"/>
    <w:lvl w:ilvl="0" w:tplc="04090019">
      <w:start w:val="1"/>
      <w:numFmt w:val="lowerLetter"/>
      <w:lvlText w:val="%1."/>
      <w:lvlJc w:val="left"/>
      <w:pPr>
        <w:ind w:left="1800" w:hanging="360"/>
      </w:pPr>
    </w:lvl>
    <w:lvl w:ilvl="1" w:tplc="ACCEFDDE">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0"/>
  </w:num>
  <w:num w:numId="3">
    <w:abstractNumId w:val="12"/>
  </w:num>
  <w:num w:numId="4">
    <w:abstractNumId w:val="2"/>
  </w:num>
  <w:num w:numId="5">
    <w:abstractNumId w:val="19"/>
  </w:num>
  <w:num w:numId="6">
    <w:abstractNumId w:val="0"/>
  </w:num>
  <w:num w:numId="7">
    <w:abstractNumId w:val="1"/>
  </w:num>
  <w:num w:numId="8">
    <w:abstractNumId w:val="15"/>
  </w:num>
  <w:num w:numId="9">
    <w:abstractNumId w:val="10"/>
  </w:num>
  <w:num w:numId="10">
    <w:abstractNumId w:val="11"/>
  </w:num>
  <w:num w:numId="11">
    <w:abstractNumId w:val="4"/>
  </w:num>
  <w:num w:numId="12">
    <w:abstractNumId w:val="6"/>
  </w:num>
  <w:num w:numId="13">
    <w:abstractNumId w:val="7"/>
  </w:num>
  <w:num w:numId="14">
    <w:abstractNumId w:val="18"/>
  </w:num>
  <w:num w:numId="15">
    <w:abstractNumId w:val="9"/>
  </w:num>
  <w:num w:numId="16">
    <w:abstractNumId w:val="17"/>
  </w:num>
  <w:num w:numId="17">
    <w:abstractNumId w:val="13"/>
  </w:num>
  <w:num w:numId="18">
    <w:abstractNumId w:val="5"/>
  </w:num>
  <w:num w:numId="19">
    <w:abstractNumId w:val="14"/>
  </w:num>
  <w:num w:numId="20">
    <w:abstractNumId w:val="8"/>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pps, Susan Bramlett">
    <w15:presenceInfo w15:providerId="AD" w15:userId="S-1-5-21-606747145-1409082233-725345543-3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A"/>
    <w:rsid w:val="0004695E"/>
    <w:rsid w:val="000659A6"/>
    <w:rsid w:val="00084D65"/>
    <w:rsid w:val="000D04AD"/>
    <w:rsid w:val="000F7629"/>
    <w:rsid w:val="001332FA"/>
    <w:rsid w:val="00183461"/>
    <w:rsid w:val="001C0ABC"/>
    <w:rsid w:val="001E012A"/>
    <w:rsid w:val="00210E21"/>
    <w:rsid w:val="0022540A"/>
    <w:rsid w:val="00241137"/>
    <w:rsid w:val="00271AA4"/>
    <w:rsid w:val="002964F0"/>
    <w:rsid w:val="002C7575"/>
    <w:rsid w:val="002F2EC7"/>
    <w:rsid w:val="002F7514"/>
    <w:rsid w:val="00305B15"/>
    <w:rsid w:val="00317C83"/>
    <w:rsid w:val="00320A5B"/>
    <w:rsid w:val="00347553"/>
    <w:rsid w:val="00380DC3"/>
    <w:rsid w:val="00385F8C"/>
    <w:rsid w:val="00387E85"/>
    <w:rsid w:val="00396CB2"/>
    <w:rsid w:val="003B39BF"/>
    <w:rsid w:val="003C5BEB"/>
    <w:rsid w:val="003F7AB7"/>
    <w:rsid w:val="004138F4"/>
    <w:rsid w:val="00467E59"/>
    <w:rsid w:val="00502932"/>
    <w:rsid w:val="0051083E"/>
    <w:rsid w:val="00563335"/>
    <w:rsid w:val="00576DB2"/>
    <w:rsid w:val="00581C5B"/>
    <w:rsid w:val="0059669F"/>
    <w:rsid w:val="005D2FA8"/>
    <w:rsid w:val="005D3A45"/>
    <w:rsid w:val="005E517A"/>
    <w:rsid w:val="005F3525"/>
    <w:rsid w:val="00616380"/>
    <w:rsid w:val="00631FF0"/>
    <w:rsid w:val="00635BD6"/>
    <w:rsid w:val="00643D1B"/>
    <w:rsid w:val="00651B6A"/>
    <w:rsid w:val="006B163B"/>
    <w:rsid w:val="00724C2C"/>
    <w:rsid w:val="0078085F"/>
    <w:rsid w:val="007A738C"/>
    <w:rsid w:val="007C5D7B"/>
    <w:rsid w:val="00840898"/>
    <w:rsid w:val="00866285"/>
    <w:rsid w:val="008A3132"/>
    <w:rsid w:val="008B1ADB"/>
    <w:rsid w:val="008C15FE"/>
    <w:rsid w:val="009E4667"/>
    <w:rsid w:val="00A01162"/>
    <w:rsid w:val="00A10EBB"/>
    <w:rsid w:val="00A743DB"/>
    <w:rsid w:val="00A93822"/>
    <w:rsid w:val="00AC10CF"/>
    <w:rsid w:val="00AD2D8E"/>
    <w:rsid w:val="00B2081C"/>
    <w:rsid w:val="00B27D42"/>
    <w:rsid w:val="00B8535E"/>
    <w:rsid w:val="00BE2A8E"/>
    <w:rsid w:val="00BE4334"/>
    <w:rsid w:val="00C12E3C"/>
    <w:rsid w:val="00C500E6"/>
    <w:rsid w:val="00C51497"/>
    <w:rsid w:val="00C852B9"/>
    <w:rsid w:val="00C87FF8"/>
    <w:rsid w:val="00C91099"/>
    <w:rsid w:val="00C976FF"/>
    <w:rsid w:val="00CC5CCF"/>
    <w:rsid w:val="00CD2DD7"/>
    <w:rsid w:val="00CF2726"/>
    <w:rsid w:val="00CF6FEA"/>
    <w:rsid w:val="00D51A48"/>
    <w:rsid w:val="00D613CF"/>
    <w:rsid w:val="00DC2754"/>
    <w:rsid w:val="00E05967"/>
    <w:rsid w:val="00E07CAA"/>
    <w:rsid w:val="00E22355"/>
    <w:rsid w:val="00E45096"/>
    <w:rsid w:val="00EA069B"/>
    <w:rsid w:val="00EB71F3"/>
    <w:rsid w:val="00ED2FC6"/>
    <w:rsid w:val="00EE1764"/>
    <w:rsid w:val="00EE74C5"/>
    <w:rsid w:val="00F12171"/>
    <w:rsid w:val="00F26962"/>
    <w:rsid w:val="00F46169"/>
    <w:rsid w:val="00F55DE2"/>
    <w:rsid w:val="00F81BC2"/>
    <w:rsid w:val="00FE7345"/>
    <w:rsid w:val="00FF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AA"/>
    <w:pPr>
      <w:spacing w:after="160" w:line="259" w:lineRule="auto"/>
      <w:ind w:firstLine="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AA"/>
    <w:rPr>
      <w:rFonts w:ascii="Tahoma" w:hAnsi="Tahoma" w:cs="Tahoma"/>
      <w:color w:val="auto"/>
      <w:sz w:val="16"/>
      <w:szCs w:val="16"/>
    </w:rPr>
  </w:style>
  <w:style w:type="paragraph" w:styleId="ListParagraph">
    <w:name w:val="List Paragraph"/>
    <w:basedOn w:val="Normal"/>
    <w:uiPriority w:val="34"/>
    <w:qFormat/>
    <w:rsid w:val="00380DC3"/>
    <w:pPr>
      <w:ind w:left="720"/>
      <w:contextualSpacing/>
    </w:pPr>
  </w:style>
  <w:style w:type="paragraph" w:customStyle="1" w:styleId="Default">
    <w:name w:val="Default"/>
    <w:rsid w:val="00387E85"/>
    <w:pPr>
      <w:autoSpaceDE w:val="0"/>
      <w:autoSpaceDN w:val="0"/>
      <w:adjustRightInd w:val="0"/>
      <w:ind w:firstLine="0"/>
    </w:pPr>
    <w:rPr>
      <w:rFonts w:ascii="Open Sans" w:hAnsi="Open Sans" w:cs="Open Sans"/>
      <w:color w:val="000000"/>
      <w:sz w:val="24"/>
      <w:szCs w:val="24"/>
    </w:rPr>
  </w:style>
  <w:style w:type="paragraph" w:styleId="Header">
    <w:name w:val="header"/>
    <w:basedOn w:val="Normal"/>
    <w:link w:val="HeaderChar"/>
    <w:uiPriority w:val="99"/>
    <w:unhideWhenUsed/>
    <w:rsid w:val="0024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137"/>
    <w:rPr>
      <w:rFonts w:cstheme="minorBidi"/>
      <w:color w:val="auto"/>
    </w:rPr>
  </w:style>
  <w:style w:type="paragraph" w:styleId="Footer">
    <w:name w:val="footer"/>
    <w:basedOn w:val="Normal"/>
    <w:link w:val="FooterChar"/>
    <w:uiPriority w:val="99"/>
    <w:unhideWhenUsed/>
    <w:rsid w:val="0024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37"/>
    <w:rPr>
      <w:rFonts w:cstheme="minorBidi"/>
      <w:color w:val="auto"/>
    </w:rPr>
  </w:style>
  <w:style w:type="table" w:styleId="TableGrid">
    <w:name w:val="Table Grid"/>
    <w:basedOn w:val="TableNormal"/>
    <w:uiPriority w:val="59"/>
    <w:rsid w:val="00ED2FC6"/>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CCF"/>
    <w:rPr>
      <w:sz w:val="16"/>
      <w:szCs w:val="16"/>
    </w:rPr>
  </w:style>
  <w:style w:type="paragraph" w:styleId="CommentText">
    <w:name w:val="annotation text"/>
    <w:basedOn w:val="Normal"/>
    <w:link w:val="CommentTextChar"/>
    <w:uiPriority w:val="99"/>
    <w:semiHidden/>
    <w:unhideWhenUsed/>
    <w:rsid w:val="00CC5CCF"/>
    <w:pPr>
      <w:spacing w:line="240" w:lineRule="auto"/>
    </w:pPr>
    <w:rPr>
      <w:sz w:val="20"/>
      <w:szCs w:val="20"/>
    </w:rPr>
  </w:style>
  <w:style w:type="character" w:customStyle="1" w:styleId="CommentTextChar">
    <w:name w:val="Comment Text Char"/>
    <w:basedOn w:val="DefaultParagraphFont"/>
    <w:link w:val="CommentText"/>
    <w:uiPriority w:val="99"/>
    <w:semiHidden/>
    <w:rsid w:val="00CC5CCF"/>
    <w:rPr>
      <w:rFonts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CC5CCF"/>
    <w:rPr>
      <w:b/>
      <w:bCs/>
    </w:rPr>
  </w:style>
  <w:style w:type="character" w:customStyle="1" w:styleId="CommentSubjectChar">
    <w:name w:val="Comment Subject Char"/>
    <w:basedOn w:val="CommentTextChar"/>
    <w:link w:val="CommentSubject"/>
    <w:uiPriority w:val="99"/>
    <w:semiHidden/>
    <w:rsid w:val="00CC5CCF"/>
    <w:rPr>
      <w:rFonts w:cstheme="minorBidi"/>
      <w:b/>
      <w:bCs/>
      <w:color w:val="auto"/>
      <w:sz w:val="20"/>
      <w:szCs w:val="20"/>
    </w:rPr>
  </w:style>
  <w:style w:type="character" w:styleId="Hyperlink">
    <w:name w:val="Hyperlink"/>
    <w:basedOn w:val="DefaultParagraphFont"/>
    <w:uiPriority w:val="99"/>
    <w:unhideWhenUsed/>
    <w:rsid w:val="00576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AA"/>
    <w:pPr>
      <w:spacing w:after="160" w:line="259" w:lineRule="auto"/>
      <w:ind w:firstLine="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AA"/>
    <w:rPr>
      <w:rFonts w:ascii="Tahoma" w:hAnsi="Tahoma" w:cs="Tahoma"/>
      <w:color w:val="auto"/>
      <w:sz w:val="16"/>
      <w:szCs w:val="16"/>
    </w:rPr>
  </w:style>
  <w:style w:type="paragraph" w:styleId="ListParagraph">
    <w:name w:val="List Paragraph"/>
    <w:basedOn w:val="Normal"/>
    <w:uiPriority w:val="34"/>
    <w:qFormat/>
    <w:rsid w:val="00380DC3"/>
    <w:pPr>
      <w:ind w:left="720"/>
      <w:contextualSpacing/>
    </w:pPr>
  </w:style>
  <w:style w:type="paragraph" w:customStyle="1" w:styleId="Default">
    <w:name w:val="Default"/>
    <w:rsid w:val="00387E85"/>
    <w:pPr>
      <w:autoSpaceDE w:val="0"/>
      <w:autoSpaceDN w:val="0"/>
      <w:adjustRightInd w:val="0"/>
      <w:ind w:firstLine="0"/>
    </w:pPr>
    <w:rPr>
      <w:rFonts w:ascii="Open Sans" w:hAnsi="Open Sans" w:cs="Open Sans"/>
      <w:color w:val="000000"/>
      <w:sz w:val="24"/>
      <w:szCs w:val="24"/>
    </w:rPr>
  </w:style>
  <w:style w:type="paragraph" w:styleId="Header">
    <w:name w:val="header"/>
    <w:basedOn w:val="Normal"/>
    <w:link w:val="HeaderChar"/>
    <w:uiPriority w:val="99"/>
    <w:unhideWhenUsed/>
    <w:rsid w:val="0024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137"/>
    <w:rPr>
      <w:rFonts w:cstheme="minorBidi"/>
      <w:color w:val="auto"/>
    </w:rPr>
  </w:style>
  <w:style w:type="paragraph" w:styleId="Footer">
    <w:name w:val="footer"/>
    <w:basedOn w:val="Normal"/>
    <w:link w:val="FooterChar"/>
    <w:uiPriority w:val="99"/>
    <w:unhideWhenUsed/>
    <w:rsid w:val="0024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37"/>
    <w:rPr>
      <w:rFonts w:cstheme="minorBidi"/>
      <w:color w:val="auto"/>
    </w:rPr>
  </w:style>
  <w:style w:type="table" w:styleId="TableGrid">
    <w:name w:val="Table Grid"/>
    <w:basedOn w:val="TableNormal"/>
    <w:uiPriority w:val="59"/>
    <w:rsid w:val="00ED2FC6"/>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CCF"/>
    <w:rPr>
      <w:sz w:val="16"/>
      <w:szCs w:val="16"/>
    </w:rPr>
  </w:style>
  <w:style w:type="paragraph" w:styleId="CommentText">
    <w:name w:val="annotation text"/>
    <w:basedOn w:val="Normal"/>
    <w:link w:val="CommentTextChar"/>
    <w:uiPriority w:val="99"/>
    <w:semiHidden/>
    <w:unhideWhenUsed/>
    <w:rsid w:val="00CC5CCF"/>
    <w:pPr>
      <w:spacing w:line="240" w:lineRule="auto"/>
    </w:pPr>
    <w:rPr>
      <w:sz w:val="20"/>
      <w:szCs w:val="20"/>
    </w:rPr>
  </w:style>
  <w:style w:type="character" w:customStyle="1" w:styleId="CommentTextChar">
    <w:name w:val="Comment Text Char"/>
    <w:basedOn w:val="DefaultParagraphFont"/>
    <w:link w:val="CommentText"/>
    <w:uiPriority w:val="99"/>
    <w:semiHidden/>
    <w:rsid w:val="00CC5CCF"/>
    <w:rPr>
      <w:rFonts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CC5CCF"/>
    <w:rPr>
      <w:b/>
      <w:bCs/>
    </w:rPr>
  </w:style>
  <w:style w:type="character" w:customStyle="1" w:styleId="CommentSubjectChar">
    <w:name w:val="Comment Subject Char"/>
    <w:basedOn w:val="CommentTextChar"/>
    <w:link w:val="CommentSubject"/>
    <w:uiPriority w:val="99"/>
    <w:semiHidden/>
    <w:rsid w:val="00CC5CCF"/>
    <w:rPr>
      <w:rFonts w:cstheme="minorBidi"/>
      <w:b/>
      <w:bCs/>
      <w:color w:val="auto"/>
      <w:sz w:val="20"/>
      <w:szCs w:val="20"/>
    </w:rPr>
  </w:style>
  <w:style w:type="character" w:styleId="Hyperlink">
    <w:name w:val="Hyperlink"/>
    <w:basedOn w:val="DefaultParagraphFont"/>
    <w:uiPriority w:val="99"/>
    <w:unhideWhenUsed/>
    <w:rsid w:val="00576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su.edu/curriculum-process/"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tn.gov/content/dam/tn/thec/bureau/aa/academic-programs/program-approv/aca-pol/THEC_A1.1_Academic_Prog_Modification_Policy_Jan_26_2017.pdf" TargetMode="External"/><Relationship Id="rId4" Type="http://schemas.openxmlformats.org/officeDocument/2006/relationships/settings" Target="settings.xml"/><Relationship Id="rId9" Type="http://schemas.openxmlformats.org/officeDocument/2006/relationships/hyperlink" Target="https://www.tn.gov/content/dam/tn/thec/bureau/aa/academic-programs/program-approv/aca-pol/THEC_A1.0_Program_Approval_New_Programs_Policy_Jan_26_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ETSU</cp:lastModifiedBy>
  <cp:revision>2</cp:revision>
  <cp:lastPrinted>2018-03-28T14:47:00Z</cp:lastPrinted>
  <dcterms:created xsi:type="dcterms:W3CDTF">2018-05-01T20:16:00Z</dcterms:created>
  <dcterms:modified xsi:type="dcterms:W3CDTF">2018-05-01T20:16:00Z</dcterms:modified>
</cp:coreProperties>
</file>