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C1E4" w14:textId="77777777" w:rsidR="002367DD" w:rsidRPr="003822A3" w:rsidRDefault="002367DD" w:rsidP="003822A3">
      <w:pPr>
        <w:outlineLvl w:val="3"/>
        <w:rPr>
          <w:rFonts w:eastAsia="Times New Roman" w:cstheme="minorHAnsi"/>
          <w:b/>
          <w:bCs/>
        </w:rPr>
      </w:pPr>
      <w:r w:rsidRPr="003822A3">
        <w:rPr>
          <w:rFonts w:eastAsia="Times New Roman" w:cstheme="minorHAnsi"/>
          <w:b/>
          <w:bCs/>
        </w:rPr>
        <w:t>1. Purpose</w:t>
      </w:r>
    </w:p>
    <w:p w14:paraId="054813E3" w14:textId="5FE6DA48" w:rsidR="002367DD" w:rsidRPr="003822A3" w:rsidRDefault="002367DD" w:rsidP="003822A3">
      <w:pPr>
        <w:rPr>
          <w:rFonts w:eastAsia="Times New Roman" w:cstheme="minorHAnsi"/>
        </w:rPr>
      </w:pPr>
      <w:r w:rsidRPr="003822A3">
        <w:rPr>
          <w:rFonts w:eastAsia="Times New Roman" w:cstheme="minorHAnsi"/>
        </w:rPr>
        <w:t xml:space="preserve">This </w:t>
      </w:r>
      <w:r w:rsidR="003822A3">
        <w:rPr>
          <w:rFonts w:eastAsia="Times New Roman" w:cstheme="minorHAnsi"/>
        </w:rPr>
        <w:t xml:space="preserve">partnership </w:t>
      </w:r>
      <w:r w:rsidRPr="003822A3">
        <w:rPr>
          <w:rFonts w:eastAsia="Times New Roman" w:cstheme="minorHAnsi"/>
        </w:rPr>
        <w:t xml:space="preserve">policy outlines the standards and criteria for selecting community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s to partner with East Tennessee State University’s </w:t>
      </w:r>
      <w:r w:rsidR="00732EB5">
        <w:rPr>
          <w:rFonts w:eastAsia="Times New Roman" w:cstheme="minorHAnsi"/>
        </w:rPr>
        <w:t>ID BUC$</w:t>
      </w:r>
      <w:r w:rsidRPr="003822A3">
        <w:rPr>
          <w:rFonts w:eastAsia="Times New Roman" w:cstheme="minorHAnsi"/>
        </w:rPr>
        <w:t xml:space="preserve"> Program. The program allows students to use their ID cards as a form of payment at approved off-campus locations, providing convenience while ensuring that these partnerships align with the university's values.</w:t>
      </w:r>
    </w:p>
    <w:p w14:paraId="1CEA98CE" w14:textId="77777777" w:rsidR="003822A3" w:rsidRDefault="003822A3" w:rsidP="003822A3">
      <w:pPr>
        <w:outlineLvl w:val="3"/>
        <w:rPr>
          <w:rFonts w:eastAsia="Times New Roman" w:cstheme="minorHAnsi"/>
          <w:b/>
          <w:bCs/>
        </w:rPr>
      </w:pPr>
    </w:p>
    <w:p w14:paraId="392F94FA" w14:textId="5808B3F8" w:rsidR="002367DD" w:rsidRPr="003822A3" w:rsidRDefault="002367DD" w:rsidP="003822A3">
      <w:pPr>
        <w:outlineLvl w:val="3"/>
        <w:rPr>
          <w:rFonts w:eastAsia="Times New Roman" w:cstheme="minorHAnsi"/>
          <w:b/>
          <w:bCs/>
        </w:rPr>
      </w:pPr>
      <w:r w:rsidRPr="003822A3">
        <w:rPr>
          <w:rFonts w:eastAsia="Times New Roman" w:cstheme="minorHAnsi"/>
          <w:b/>
          <w:bCs/>
        </w:rPr>
        <w:t xml:space="preserve">2. </w:t>
      </w:r>
      <w:r w:rsidR="005B27C7">
        <w:rPr>
          <w:rFonts w:eastAsia="Times New Roman" w:cstheme="minorHAnsi"/>
          <w:b/>
          <w:bCs/>
        </w:rPr>
        <w:t>Merchant</w:t>
      </w:r>
      <w:r w:rsidRPr="003822A3">
        <w:rPr>
          <w:rFonts w:eastAsia="Times New Roman" w:cstheme="minorHAnsi"/>
          <w:b/>
          <w:bCs/>
        </w:rPr>
        <w:t xml:space="preserve"> Eligibility Criteria</w:t>
      </w:r>
    </w:p>
    <w:p w14:paraId="7173066C" w14:textId="024D530B" w:rsidR="002367DD" w:rsidRPr="003822A3" w:rsidRDefault="005B27C7" w:rsidP="003822A3">
      <w:pPr>
        <w:rPr>
          <w:rFonts w:eastAsia="Times New Roman" w:cstheme="minorHAnsi"/>
        </w:rPr>
      </w:pPr>
      <w:r>
        <w:rPr>
          <w:rFonts w:eastAsia="Times New Roman" w:cstheme="minorHAnsi"/>
        </w:rPr>
        <w:t>Merchant</w:t>
      </w:r>
      <w:r w:rsidR="002367DD" w:rsidRPr="003822A3">
        <w:rPr>
          <w:rFonts w:eastAsia="Times New Roman" w:cstheme="minorHAnsi"/>
        </w:rPr>
        <w:t>s interested in partnering with ETSU must meet the following criteria:</w:t>
      </w:r>
    </w:p>
    <w:p w14:paraId="64CA41A3" w14:textId="5F9475A4" w:rsidR="002367DD" w:rsidRPr="003822A3" w:rsidRDefault="002367DD" w:rsidP="003822A3">
      <w:pPr>
        <w:numPr>
          <w:ilvl w:val="0"/>
          <w:numId w:val="1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Alignment with ETSU Values</w:t>
      </w:r>
      <w:r w:rsidRPr="003822A3">
        <w:rPr>
          <w:rFonts w:eastAsia="Times New Roman" w:cstheme="minorHAnsi"/>
        </w:rPr>
        <w:t xml:space="preserve">: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>s must demonstrate practices that are in harmony with the values of ETSU, including promoting health, wellness, and positive community engagement.</w:t>
      </w:r>
    </w:p>
    <w:p w14:paraId="3E44F357" w14:textId="7BA858EE" w:rsidR="002367DD" w:rsidRPr="006E29D4" w:rsidRDefault="002367DD" w:rsidP="003822A3">
      <w:pPr>
        <w:numPr>
          <w:ilvl w:val="0"/>
          <w:numId w:val="1"/>
        </w:numPr>
        <w:rPr>
          <w:rFonts w:eastAsia="Times New Roman" w:cstheme="minorHAnsi"/>
        </w:rPr>
      </w:pPr>
      <w:r w:rsidRPr="006E29D4">
        <w:rPr>
          <w:rFonts w:eastAsia="Times New Roman" w:cstheme="minorHAnsi"/>
          <w:b/>
          <w:bCs/>
        </w:rPr>
        <w:t>Positive Impact on Students</w:t>
      </w:r>
      <w:r w:rsidRPr="006E29D4">
        <w:rPr>
          <w:rFonts w:eastAsia="Times New Roman" w:cstheme="minorHAnsi"/>
        </w:rPr>
        <w:t xml:space="preserve">: </w:t>
      </w:r>
      <w:r w:rsidR="005B27C7">
        <w:rPr>
          <w:rFonts w:eastAsia="Times New Roman" w:cstheme="minorHAnsi"/>
        </w:rPr>
        <w:t>Merchant</w:t>
      </w:r>
      <w:r w:rsidRPr="006E29D4">
        <w:rPr>
          <w:rFonts w:eastAsia="Times New Roman" w:cstheme="minorHAnsi"/>
        </w:rPr>
        <w:t xml:space="preserve">s should provide services or products that contribute positively to students' academic and personal development. </w:t>
      </w:r>
      <w:r w:rsidR="00732EB5" w:rsidRPr="006E29D4">
        <w:rPr>
          <w:rFonts w:eastAsia="Times New Roman" w:cstheme="minorHAnsi"/>
        </w:rPr>
        <w:t>Positive impacts include but may not be</w:t>
      </w:r>
      <w:r w:rsidRPr="006E29D4">
        <w:rPr>
          <w:rFonts w:eastAsia="Times New Roman" w:cstheme="minorHAnsi"/>
        </w:rPr>
        <w:t xml:space="preserve"> limited to</w:t>
      </w:r>
      <w:r w:rsidR="00845673" w:rsidRPr="006E29D4">
        <w:rPr>
          <w:rFonts w:eastAsia="Times New Roman" w:cstheme="minorHAnsi"/>
        </w:rPr>
        <w:t>: offering products and services requested by students; providing essential services such as food, books and school supplies; providing products and services that contribute to health and wellbeing; connection to the university through employment</w:t>
      </w:r>
      <w:r w:rsidR="00732EB5" w:rsidRPr="006E29D4">
        <w:rPr>
          <w:rFonts w:eastAsia="Times New Roman" w:cstheme="minorHAnsi"/>
        </w:rPr>
        <w:t xml:space="preserve"> or entrepreneurship</w:t>
      </w:r>
      <w:r w:rsidR="00845673" w:rsidRPr="006E29D4">
        <w:rPr>
          <w:rFonts w:eastAsia="Times New Roman" w:cstheme="minorHAnsi"/>
        </w:rPr>
        <w:t xml:space="preserve"> of students or alumni; use of </w:t>
      </w:r>
      <w:r w:rsidR="00732EB5" w:rsidRPr="006E29D4">
        <w:rPr>
          <w:rFonts w:eastAsia="Times New Roman" w:cstheme="minorHAnsi"/>
        </w:rPr>
        <w:t xml:space="preserve">environmentally </w:t>
      </w:r>
      <w:r w:rsidR="00845673" w:rsidRPr="006E29D4">
        <w:rPr>
          <w:rFonts w:eastAsia="Times New Roman" w:cstheme="minorHAnsi"/>
        </w:rPr>
        <w:t>sustainable practices</w:t>
      </w:r>
      <w:r w:rsidR="000C2C74" w:rsidRPr="006E29D4">
        <w:rPr>
          <w:rFonts w:eastAsia="Times New Roman" w:cstheme="minorHAnsi"/>
        </w:rPr>
        <w:t>;</w:t>
      </w:r>
      <w:r w:rsidR="00845673" w:rsidRPr="006E29D4">
        <w:rPr>
          <w:rFonts w:eastAsia="Times New Roman" w:cstheme="minorHAnsi"/>
        </w:rPr>
        <w:t xml:space="preserve"> and</w:t>
      </w:r>
      <w:r w:rsidR="000C2C74" w:rsidRPr="006E29D4">
        <w:rPr>
          <w:rFonts w:eastAsia="Times New Roman" w:cstheme="minorHAnsi"/>
        </w:rPr>
        <w:t>/or offer</w:t>
      </w:r>
      <w:r w:rsidR="00732EB5" w:rsidRPr="006E29D4">
        <w:rPr>
          <w:rFonts w:eastAsia="Times New Roman" w:cstheme="minorHAnsi"/>
        </w:rPr>
        <w:t>ing</w:t>
      </w:r>
      <w:r w:rsidR="000C2C74" w:rsidRPr="006E29D4">
        <w:rPr>
          <w:rFonts w:eastAsia="Times New Roman" w:cstheme="minorHAnsi"/>
        </w:rPr>
        <w:t xml:space="preserve"> a student discount</w:t>
      </w:r>
      <w:r w:rsidRPr="006E29D4">
        <w:rPr>
          <w:rFonts w:eastAsia="Times New Roman" w:cstheme="minorHAnsi"/>
        </w:rPr>
        <w:t>.</w:t>
      </w:r>
    </w:p>
    <w:p w14:paraId="37E97012" w14:textId="3C0A32F4" w:rsidR="00C321AF" w:rsidRPr="006E29D4" w:rsidRDefault="00C321AF" w:rsidP="00C321AF">
      <w:pPr>
        <w:numPr>
          <w:ilvl w:val="0"/>
          <w:numId w:val="1"/>
        </w:numPr>
        <w:rPr>
          <w:rFonts w:eastAsia="Times New Roman" w:cstheme="minorHAnsi"/>
        </w:rPr>
      </w:pPr>
      <w:r w:rsidRPr="006E29D4">
        <w:rPr>
          <w:rFonts w:eastAsia="Times New Roman" w:cstheme="minorHAnsi"/>
          <w:b/>
          <w:bCs/>
        </w:rPr>
        <w:t>Does Not Conflict with Campus Policies</w:t>
      </w:r>
      <w:r w:rsidR="002367DD" w:rsidRPr="006E29D4">
        <w:rPr>
          <w:rFonts w:eastAsia="Times New Roman" w:cstheme="minorHAnsi"/>
        </w:rPr>
        <w:t xml:space="preserve">: </w:t>
      </w:r>
      <w:r w:rsidR="005B27C7">
        <w:rPr>
          <w:rFonts w:eastAsia="Times New Roman" w:cstheme="minorHAnsi"/>
        </w:rPr>
        <w:t>Merchant</w:t>
      </w:r>
      <w:r w:rsidR="002367DD" w:rsidRPr="006E29D4">
        <w:rPr>
          <w:rFonts w:eastAsia="Times New Roman" w:cstheme="minorHAnsi"/>
        </w:rPr>
        <w:t>s involved</w:t>
      </w:r>
      <w:r w:rsidRPr="006E29D4">
        <w:rPr>
          <w:rFonts w:eastAsia="Times New Roman" w:cstheme="minorHAnsi"/>
        </w:rPr>
        <w:t xml:space="preserve"> </w:t>
      </w:r>
      <w:r w:rsidRPr="006E29D4">
        <w:rPr>
          <w:rFonts w:eastAsia="Times New Roman" w:cstheme="minorHAnsi"/>
          <w:i/>
          <w:iCs/>
        </w:rPr>
        <w:t>primarily or exclusively</w:t>
      </w:r>
      <w:r w:rsidR="002367DD" w:rsidRPr="006E29D4">
        <w:rPr>
          <w:rFonts w:eastAsia="Times New Roman" w:cstheme="minorHAnsi"/>
        </w:rPr>
        <w:t xml:space="preserve"> in the sale or promotion of alcohol, tobacco, vaping products, gambling services, or any other items deemed </w:t>
      </w:r>
      <w:r w:rsidRPr="006E29D4">
        <w:rPr>
          <w:rFonts w:eastAsia="Times New Roman" w:cstheme="minorHAnsi"/>
        </w:rPr>
        <w:t xml:space="preserve">in conflict with campus policies (see appendix) </w:t>
      </w:r>
      <w:r w:rsidR="002367DD" w:rsidRPr="006E29D4">
        <w:rPr>
          <w:rFonts w:eastAsia="Times New Roman" w:cstheme="minorHAnsi"/>
        </w:rPr>
        <w:t xml:space="preserve">or contrary to </w:t>
      </w:r>
      <w:r w:rsidRPr="006E29D4">
        <w:rPr>
          <w:rFonts w:eastAsia="Times New Roman" w:cstheme="minorHAnsi"/>
        </w:rPr>
        <w:t>the health and safety of the ETSU community will not be eligible</w:t>
      </w:r>
      <w:r w:rsidR="002367DD" w:rsidRPr="006E29D4">
        <w:rPr>
          <w:rFonts w:eastAsia="Times New Roman" w:cstheme="minorHAnsi"/>
        </w:rPr>
        <w:t>.</w:t>
      </w:r>
      <w:r w:rsidRPr="006E29D4">
        <w:rPr>
          <w:rFonts w:eastAsia="Times New Roman" w:cstheme="minorHAnsi"/>
        </w:rPr>
        <w:t xml:space="preserve">  While some merchants (such as grocery stores</w:t>
      </w:r>
      <w:r w:rsidR="00732EB5" w:rsidRPr="006E29D4">
        <w:rPr>
          <w:rFonts w:eastAsia="Times New Roman" w:cstheme="minorHAnsi"/>
        </w:rPr>
        <w:t xml:space="preserve"> or restaurants</w:t>
      </w:r>
      <w:r w:rsidRPr="006E29D4">
        <w:rPr>
          <w:rFonts w:eastAsia="Times New Roman" w:cstheme="minorHAnsi"/>
        </w:rPr>
        <w:t xml:space="preserve">) may offer these products, it is the responsibility of merchants to ensure that these items are not purchased using ETSU ID BUC$. </w:t>
      </w:r>
      <w:r w:rsidR="00732EB5" w:rsidRPr="006E29D4">
        <w:rPr>
          <w:rFonts w:eastAsia="Times New Roman" w:cstheme="minorHAnsi"/>
        </w:rPr>
        <w:t xml:space="preserve">It is also important for merchants to recognize that ETSU will not promote these products when highlighting their business partnership with ETSU ID BUC$. </w:t>
      </w:r>
    </w:p>
    <w:p w14:paraId="62D8538F" w14:textId="4CB10DB9" w:rsidR="002367DD" w:rsidRPr="003822A3" w:rsidRDefault="002367DD" w:rsidP="003822A3">
      <w:pPr>
        <w:numPr>
          <w:ilvl w:val="0"/>
          <w:numId w:val="1"/>
        </w:numPr>
        <w:rPr>
          <w:rFonts w:eastAsia="Times New Roman" w:cstheme="minorHAnsi"/>
        </w:rPr>
      </w:pPr>
      <w:r w:rsidRPr="006E29D4">
        <w:rPr>
          <w:rFonts w:eastAsia="Times New Roman" w:cstheme="minorHAnsi"/>
          <w:b/>
          <w:bCs/>
        </w:rPr>
        <w:t>Ethical Business Practices</w:t>
      </w:r>
      <w:r w:rsidRPr="006E29D4">
        <w:rPr>
          <w:rFonts w:eastAsia="Times New Roman" w:cstheme="minorHAnsi"/>
        </w:rPr>
        <w:t xml:space="preserve">: </w:t>
      </w:r>
      <w:r w:rsidR="005B27C7">
        <w:rPr>
          <w:rFonts w:eastAsia="Times New Roman" w:cstheme="minorHAnsi"/>
        </w:rPr>
        <w:t>Merchant</w:t>
      </w:r>
      <w:r w:rsidRPr="006E29D4">
        <w:rPr>
          <w:rFonts w:eastAsia="Times New Roman" w:cstheme="minorHAnsi"/>
        </w:rPr>
        <w:t>s must adhere to ethical business practices, including fair</w:t>
      </w:r>
      <w:r w:rsidRPr="003822A3">
        <w:rPr>
          <w:rFonts w:eastAsia="Times New Roman" w:cstheme="minorHAnsi"/>
        </w:rPr>
        <w:t xml:space="preserve"> treatment of employees, transparent pricing, and a commitment to sustainability.</w:t>
      </w:r>
    </w:p>
    <w:p w14:paraId="200A8951" w14:textId="2053ED5C" w:rsidR="002367DD" w:rsidRDefault="002367DD" w:rsidP="003822A3">
      <w:pPr>
        <w:numPr>
          <w:ilvl w:val="0"/>
          <w:numId w:val="1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Reputation and Compliance</w:t>
      </w:r>
      <w:r w:rsidRPr="003822A3">
        <w:rPr>
          <w:rFonts w:eastAsia="Times New Roman" w:cstheme="minorHAnsi"/>
        </w:rPr>
        <w:t xml:space="preserve">: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>s must have a good reputation in the community and comply with all local, state, and federal regulations, including</w:t>
      </w:r>
      <w:r w:rsidR="001D0BF7">
        <w:rPr>
          <w:rFonts w:eastAsia="Times New Roman" w:cstheme="minorHAnsi"/>
        </w:rPr>
        <w:t xml:space="preserve">, but not limited to </w:t>
      </w:r>
      <w:r w:rsidR="003822A3">
        <w:rPr>
          <w:rFonts w:eastAsia="Times New Roman" w:cstheme="minorHAnsi"/>
        </w:rPr>
        <w:t xml:space="preserve">ADA, </w:t>
      </w:r>
      <w:r w:rsidRPr="003822A3">
        <w:rPr>
          <w:rFonts w:eastAsia="Times New Roman" w:cstheme="minorHAnsi"/>
        </w:rPr>
        <w:t>health</w:t>
      </w:r>
      <w:r w:rsidR="001D0BF7">
        <w:rPr>
          <w:rFonts w:eastAsia="Times New Roman" w:cstheme="minorHAnsi"/>
        </w:rPr>
        <w:t xml:space="preserve"> department regulations</w:t>
      </w:r>
      <w:r w:rsidR="003822A3">
        <w:rPr>
          <w:rFonts w:eastAsia="Times New Roman" w:cstheme="minorHAnsi"/>
        </w:rPr>
        <w:t xml:space="preserve"> and </w:t>
      </w:r>
      <w:r w:rsidRPr="003822A3">
        <w:rPr>
          <w:rFonts w:eastAsia="Times New Roman" w:cstheme="minorHAnsi"/>
        </w:rPr>
        <w:t>safety standards.</w:t>
      </w:r>
    </w:p>
    <w:p w14:paraId="3CE0DF60" w14:textId="77777777" w:rsidR="001D0BF7" w:rsidRPr="003822A3" w:rsidRDefault="001D0BF7" w:rsidP="001D0BF7">
      <w:pPr>
        <w:ind w:left="720"/>
        <w:rPr>
          <w:rFonts w:eastAsia="Times New Roman" w:cstheme="minorHAnsi"/>
        </w:rPr>
      </w:pPr>
    </w:p>
    <w:p w14:paraId="4F429F46" w14:textId="77777777" w:rsidR="002367DD" w:rsidRPr="003822A3" w:rsidRDefault="002367DD" w:rsidP="003822A3">
      <w:pPr>
        <w:outlineLvl w:val="3"/>
        <w:rPr>
          <w:rFonts w:eastAsia="Times New Roman" w:cstheme="minorHAnsi"/>
          <w:b/>
          <w:bCs/>
        </w:rPr>
      </w:pPr>
      <w:r w:rsidRPr="003822A3">
        <w:rPr>
          <w:rFonts w:eastAsia="Times New Roman" w:cstheme="minorHAnsi"/>
          <w:b/>
          <w:bCs/>
        </w:rPr>
        <w:t>3. Application and Review Process</w:t>
      </w:r>
    </w:p>
    <w:p w14:paraId="49E518C5" w14:textId="0FBACBB5" w:rsidR="002367DD" w:rsidRPr="003822A3" w:rsidRDefault="002367DD" w:rsidP="003822A3">
      <w:pPr>
        <w:numPr>
          <w:ilvl w:val="0"/>
          <w:numId w:val="2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Application Submission</w:t>
      </w:r>
      <w:r w:rsidRPr="003822A3">
        <w:rPr>
          <w:rFonts w:eastAsia="Times New Roman" w:cstheme="minorHAnsi"/>
        </w:rPr>
        <w:t xml:space="preserve">: Interested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s </w:t>
      </w:r>
      <w:r w:rsidR="001D0BF7">
        <w:rPr>
          <w:rFonts w:eastAsia="Times New Roman" w:cstheme="minorHAnsi"/>
        </w:rPr>
        <w:t xml:space="preserve">may request inclusion by </w:t>
      </w:r>
      <w:r w:rsidR="006E29D4">
        <w:rPr>
          <w:rFonts w:eastAsia="Times New Roman" w:cstheme="minorHAnsi"/>
        </w:rPr>
        <w:t xml:space="preserve">providing </w:t>
      </w:r>
      <w:r w:rsidR="006E29D4" w:rsidRPr="003822A3">
        <w:rPr>
          <w:rFonts w:eastAsia="Times New Roman" w:cstheme="minorHAnsi"/>
        </w:rPr>
        <w:t>details</w:t>
      </w:r>
      <w:r w:rsidRPr="003822A3">
        <w:rPr>
          <w:rFonts w:eastAsia="Times New Roman" w:cstheme="minorHAnsi"/>
        </w:rPr>
        <w:t xml:space="preserve"> on their business practices, products/services offered, and how they align with ETSU’s values</w:t>
      </w:r>
      <w:r w:rsidR="001D0BF7">
        <w:rPr>
          <w:rFonts w:eastAsia="Times New Roman" w:cstheme="minorHAnsi"/>
        </w:rPr>
        <w:t xml:space="preserve"> and/or meet student needs</w:t>
      </w:r>
      <w:r w:rsidRPr="003822A3">
        <w:rPr>
          <w:rFonts w:eastAsia="Times New Roman" w:cstheme="minorHAnsi"/>
        </w:rPr>
        <w:t>.</w:t>
      </w:r>
    </w:p>
    <w:p w14:paraId="74F41D52" w14:textId="1C10C8F3" w:rsidR="002367DD" w:rsidRDefault="002367DD" w:rsidP="003822A3">
      <w:pPr>
        <w:numPr>
          <w:ilvl w:val="0"/>
          <w:numId w:val="2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Review and Approval</w:t>
      </w:r>
      <w:r w:rsidRPr="003822A3">
        <w:rPr>
          <w:rFonts w:eastAsia="Times New Roman" w:cstheme="minorHAnsi"/>
        </w:rPr>
        <w:t xml:space="preserve">: The ETSU ID Office, in collaboration with other relevant university departments, will review applications based on the above criteria. The review process will also include an assessment of the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’s </w:t>
      </w:r>
      <w:r w:rsidR="001D0BF7">
        <w:rPr>
          <w:rFonts w:eastAsia="Times New Roman" w:cstheme="minorHAnsi"/>
        </w:rPr>
        <w:t>willingness to comply with university requirements and purchase of equipment necessary for ID BUC$ transactions</w:t>
      </w:r>
      <w:r w:rsidRPr="003822A3">
        <w:rPr>
          <w:rFonts w:eastAsia="Times New Roman" w:cstheme="minorHAnsi"/>
        </w:rPr>
        <w:t>.</w:t>
      </w:r>
    </w:p>
    <w:p w14:paraId="5415D83C" w14:textId="6AF650DA" w:rsidR="002367DD" w:rsidRDefault="002367DD" w:rsidP="003822A3">
      <w:pPr>
        <w:numPr>
          <w:ilvl w:val="0"/>
          <w:numId w:val="2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Contractual Agreement</w:t>
      </w:r>
      <w:r w:rsidRPr="003822A3">
        <w:rPr>
          <w:rFonts w:eastAsia="Times New Roman" w:cstheme="minorHAnsi"/>
        </w:rPr>
        <w:t xml:space="preserve">: Approved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>s will enter into a contractual agreement with ETSU, outlining the terms of the partnership, including any fees, payment processing protocols, and compliance expectations.</w:t>
      </w:r>
    </w:p>
    <w:p w14:paraId="30BFA5CF" w14:textId="77777777" w:rsidR="001D0BF7" w:rsidRPr="003822A3" w:rsidRDefault="001D0BF7" w:rsidP="001D0BF7">
      <w:pPr>
        <w:ind w:left="720"/>
        <w:rPr>
          <w:rFonts w:eastAsia="Times New Roman" w:cstheme="minorHAnsi"/>
        </w:rPr>
      </w:pPr>
    </w:p>
    <w:p w14:paraId="651562F7" w14:textId="77777777" w:rsidR="002367DD" w:rsidRPr="003822A3" w:rsidRDefault="002367DD" w:rsidP="003822A3">
      <w:pPr>
        <w:outlineLvl w:val="3"/>
        <w:rPr>
          <w:rFonts w:eastAsia="Times New Roman" w:cstheme="minorHAnsi"/>
          <w:b/>
          <w:bCs/>
        </w:rPr>
      </w:pPr>
      <w:r w:rsidRPr="003822A3">
        <w:rPr>
          <w:rFonts w:eastAsia="Times New Roman" w:cstheme="minorHAnsi"/>
          <w:b/>
          <w:bCs/>
        </w:rPr>
        <w:t>4. Monitoring and Compliance</w:t>
      </w:r>
    </w:p>
    <w:p w14:paraId="00829086" w14:textId="44DADD33" w:rsidR="002367DD" w:rsidRPr="003822A3" w:rsidRDefault="002367DD" w:rsidP="003822A3">
      <w:pPr>
        <w:numPr>
          <w:ilvl w:val="0"/>
          <w:numId w:val="3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t>Ongoing Monitoring</w:t>
      </w:r>
      <w:r w:rsidRPr="003822A3">
        <w:rPr>
          <w:rFonts w:eastAsia="Times New Roman" w:cstheme="minorHAnsi"/>
        </w:rPr>
        <w:t xml:space="preserve">: ETSU reserves the right to monitor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 activities continuously. Any breach of the agreement, including the promotion of harmful products or unethical practices, may result in termination of the partnership.</w:t>
      </w:r>
    </w:p>
    <w:p w14:paraId="2BEF22A6" w14:textId="3399FDD7" w:rsidR="002367DD" w:rsidRDefault="002367DD" w:rsidP="003822A3">
      <w:pPr>
        <w:numPr>
          <w:ilvl w:val="0"/>
          <w:numId w:val="3"/>
        </w:numPr>
        <w:rPr>
          <w:rFonts w:eastAsia="Times New Roman" w:cstheme="minorHAnsi"/>
        </w:rPr>
      </w:pPr>
      <w:r w:rsidRPr="003822A3">
        <w:rPr>
          <w:rFonts w:eastAsia="Times New Roman" w:cstheme="minorHAnsi"/>
          <w:b/>
          <w:bCs/>
        </w:rPr>
        <w:lastRenderedPageBreak/>
        <w:t>Annual Review</w:t>
      </w:r>
      <w:r w:rsidRPr="003822A3">
        <w:rPr>
          <w:rFonts w:eastAsia="Times New Roman" w:cstheme="minorHAnsi"/>
        </w:rPr>
        <w:t xml:space="preserve">: All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 partnerships will undergo an annual review to ensure continued compliance with this policy.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>s may be required to provide updated information as part of this process.</w:t>
      </w:r>
    </w:p>
    <w:p w14:paraId="22434CA2" w14:textId="77777777" w:rsidR="001D0BF7" w:rsidRPr="003822A3" w:rsidRDefault="001D0BF7" w:rsidP="001D0BF7">
      <w:pPr>
        <w:ind w:left="720"/>
        <w:rPr>
          <w:rFonts w:eastAsia="Times New Roman" w:cstheme="minorHAnsi"/>
        </w:rPr>
      </w:pPr>
    </w:p>
    <w:p w14:paraId="1010F61A" w14:textId="77777777" w:rsidR="002367DD" w:rsidRPr="003822A3" w:rsidRDefault="002367DD" w:rsidP="003822A3">
      <w:pPr>
        <w:outlineLvl w:val="3"/>
        <w:rPr>
          <w:rFonts w:eastAsia="Times New Roman" w:cstheme="minorHAnsi"/>
          <w:b/>
          <w:bCs/>
        </w:rPr>
      </w:pPr>
      <w:r w:rsidRPr="003822A3">
        <w:rPr>
          <w:rFonts w:eastAsia="Times New Roman" w:cstheme="minorHAnsi"/>
          <w:b/>
          <w:bCs/>
        </w:rPr>
        <w:t>5. Termination of Agreement</w:t>
      </w:r>
    </w:p>
    <w:p w14:paraId="75BE0079" w14:textId="1DE17477" w:rsidR="002367DD" w:rsidRDefault="002367DD" w:rsidP="003822A3">
      <w:pPr>
        <w:rPr>
          <w:rFonts w:eastAsia="Times New Roman" w:cstheme="minorHAnsi"/>
        </w:rPr>
      </w:pPr>
      <w:r w:rsidRPr="003822A3">
        <w:rPr>
          <w:rFonts w:eastAsia="Times New Roman" w:cstheme="minorHAnsi"/>
        </w:rPr>
        <w:t xml:space="preserve">ETSU may terminate the partnership with any </w:t>
      </w:r>
      <w:r w:rsidR="005B27C7">
        <w:rPr>
          <w:rFonts w:eastAsia="Times New Roman" w:cstheme="minorHAnsi"/>
        </w:rPr>
        <w:t>merchant</w:t>
      </w:r>
      <w:r w:rsidRPr="003822A3">
        <w:rPr>
          <w:rFonts w:eastAsia="Times New Roman" w:cstheme="minorHAnsi"/>
        </w:rPr>
        <w:t xml:space="preserve"> that fails to comply with this policy or engages in activities that are harmful to students or the university’s reputation.</w:t>
      </w:r>
    </w:p>
    <w:p w14:paraId="489BD3DA" w14:textId="1D1B3D6C" w:rsidR="00C321AF" w:rsidRDefault="00C321AF" w:rsidP="003822A3">
      <w:pPr>
        <w:rPr>
          <w:rFonts w:eastAsia="Times New Roman" w:cstheme="minorHAnsi"/>
        </w:rPr>
      </w:pPr>
    </w:p>
    <w:p w14:paraId="391008F0" w14:textId="1AC5003B" w:rsidR="00C321AF" w:rsidRDefault="00C321AF" w:rsidP="005102B8">
      <w:pPr>
        <w:rPr>
          <w:rFonts w:eastAsia="Times New Roman" w:cstheme="minorHAnsi"/>
          <w:b/>
          <w:bCs/>
        </w:rPr>
      </w:pPr>
      <w:r w:rsidRPr="006E29D4">
        <w:rPr>
          <w:rFonts w:eastAsia="Times New Roman" w:cstheme="minorHAnsi"/>
          <w:b/>
          <w:bCs/>
        </w:rPr>
        <w:t>Appendix A:  Referenced Policies</w:t>
      </w:r>
    </w:p>
    <w:p w14:paraId="12A6A01E" w14:textId="77777777" w:rsidR="006E29D4" w:rsidRPr="006E29D4" w:rsidRDefault="006E29D4" w:rsidP="00C321AF">
      <w:pPr>
        <w:jc w:val="center"/>
        <w:rPr>
          <w:rFonts w:eastAsia="Times New Roman" w:cstheme="minorHAnsi"/>
          <w:b/>
          <w:bCs/>
        </w:rPr>
      </w:pPr>
    </w:p>
    <w:p w14:paraId="1A397CEE" w14:textId="1987268A" w:rsidR="00C321AF" w:rsidRPr="006E29D4" w:rsidRDefault="00000000" w:rsidP="003822A3">
      <w:pPr>
        <w:rPr>
          <w:rFonts w:eastAsia="Times New Roman" w:cstheme="minorHAnsi"/>
        </w:rPr>
      </w:pPr>
      <w:hyperlink r:id="rId7" w:anchor=":~:text=University%20Policies,-Policy%2FRule%20Search&amp;text=This%20policy%20prohibits%20smoking%2C%20vaping,ETSU%2Downed%20or%20controlled%20property" w:history="1">
        <w:r w:rsidR="00C321AF" w:rsidRPr="006E29D4">
          <w:rPr>
            <w:rStyle w:val="Hyperlink"/>
            <w:rFonts w:eastAsia="Times New Roman" w:cstheme="minorHAnsi"/>
          </w:rPr>
          <w:t>ETSU Smoke-Free Campus</w:t>
        </w:r>
      </w:hyperlink>
    </w:p>
    <w:p w14:paraId="4A84AFB1" w14:textId="77777777" w:rsidR="00C321AF" w:rsidRPr="006E29D4" w:rsidRDefault="00C321AF" w:rsidP="003822A3">
      <w:pPr>
        <w:rPr>
          <w:rFonts w:eastAsia="Times New Roman" w:cstheme="minorHAnsi"/>
        </w:rPr>
      </w:pPr>
    </w:p>
    <w:p w14:paraId="19E53872" w14:textId="629C21AE" w:rsidR="00C321AF" w:rsidRDefault="00000000" w:rsidP="003822A3">
      <w:pPr>
        <w:rPr>
          <w:rStyle w:val="Hyperlink"/>
          <w:rFonts w:eastAsia="Times New Roman" w:cstheme="minorHAnsi"/>
        </w:rPr>
      </w:pPr>
      <w:hyperlink r:id="rId8" w:history="1">
        <w:r w:rsidR="00C321AF" w:rsidRPr="006E29D4">
          <w:rPr>
            <w:rStyle w:val="Hyperlink"/>
            <w:rFonts w:eastAsia="Times New Roman" w:cstheme="minorHAnsi"/>
          </w:rPr>
          <w:t>ETSU Campus Alcohol Policy</w:t>
        </w:r>
      </w:hyperlink>
    </w:p>
    <w:p w14:paraId="0A8EF7E4" w14:textId="77777777" w:rsidR="0039355B" w:rsidRDefault="0039355B" w:rsidP="003822A3">
      <w:pPr>
        <w:rPr>
          <w:rStyle w:val="Hyperlink"/>
          <w:rFonts w:eastAsia="Times New Roman" w:cstheme="minorHAnsi"/>
        </w:rPr>
      </w:pPr>
    </w:p>
    <w:p w14:paraId="0E5246A9" w14:textId="64E5D781" w:rsidR="0039355B" w:rsidRPr="00AC5675" w:rsidRDefault="0039355B" w:rsidP="003822A3">
      <w:pPr>
        <w:rPr>
          <w:rFonts w:eastAsia="Times New Roman" w:cstheme="minorHAnsi"/>
        </w:rPr>
      </w:pPr>
    </w:p>
    <w:p w14:paraId="004B2AED" w14:textId="0437A33B" w:rsidR="00C321AF" w:rsidRDefault="005102B8" w:rsidP="003822A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Related Form</w:t>
      </w:r>
      <w:r w:rsidR="002E4299">
        <w:rPr>
          <w:rFonts w:eastAsia="Times New Roman" w:cstheme="minorHAnsi"/>
          <w:b/>
          <w:bCs/>
        </w:rPr>
        <w:t>s:</w:t>
      </w:r>
    </w:p>
    <w:p w14:paraId="36A2EB08" w14:textId="77777777" w:rsidR="005102B8" w:rsidRDefault="005102B8" w:rsidP="003822A3">
      <w:pPr>
        <w:rPr>
          <w:rFonts w:eastAsia="Times New Roman" w:cstheme="minorHAnsi"/>
          <w:b/>
          <w:bCs/>
        </w:rPr>
      </w:pPr>
    </w:p>
    <w:p w14:paraId="7DC8C4EF" w14:textId="77777777" w:rsidR="00C06167" w:rsidRDefault="00C06167" w:rsidP="003822A3">
      <w:pPr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Merchant Services Agreement Terms &amp; Conditions</w:t>
        </w:r>
      </w:hyperlink>
    </w:p>
    <w:p w14:paraId="6BEE35B8" w14:textId="1E314D33" w:rsidR="00C06167" w:rsidRDefault="00C06167" w:rsidP="003822A3">
      <w:pPr>
        <w:rPr>
          <w:rFonts w:eastAsia="Times New Roman"/>
        </w:rPr>
      </w:pPr>
    </w:p>
    <w:p w14:paraId="0EBFF448" w14:textId="5F84278D" w:rsidR="00BD686F" w:rsidRPr="003822A3" w:rsidRDefault="00BD686F" w:rsidP="003822A3">
      <w:pPr>
        <w:rPr>
          <w:rFonts w:cstheme="minorHAnsi"/>
        </w:rPr>
      </w:pPr>
    </w:p>
    <w:sectPr w:rsidR="00BD686F" w:rsidRPr="003822A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C1C0" w14:textId="77777777" w:rsidR="00F81012" w:rsidRDefault="00F81012" w:rsidP="003822A3">
      <w:r>
        <w:separator/>
      </w:r>
    </w:p>
  </w:endnote>
  <w:endnote w:type="continuationSeparator" w:id="0">
    <w:p w14:paraId="04FD4227" w14:textId="77777777" w:rsidR="00F81012" w:rsidRDefault="00F81012" w:rsidP="003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A391" w14:textId="77777777" w:rsidR="00F81012" w:rsidRDefault="00F81012" w:rsidP="003822A3">
      <w:r>
        <w:separator/>
      </w:r>
    </w:p>
  </w:footnote>
  <w:footnote w:type="continuationSeparator" w:id="0">
    <w:p w14:paraId="65CC909B" w14:textId="77777777" w:rsidR="00F81012" w:rsidRDefault="00F81012" w:rsidP="0038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E2B4" w14:textId="530349F3" w:rsidR="003822A3" w:rsidRPr="003822A3" w:rsidRDefault="003822A3" w:rsidP="003822A3">
    <w:pPr>
      <w:pBdr>
        <w:bottom w:val="single" w:sz="4" w:space="1" w:color="auto"/>
      </w:pBdr>
      <w:spacing w:before="100" w:beforeAutospacing="1" w:after="100" w:afterAutospacing="1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r w:rsidRPr="002367DD">
      <w:rPr>
        <w:rFonts w:ascii="Times New Roman" w:eastAsia="Times New Roman" w:hAnsi="Times New Roman" w:cs="Times New Roman"/>
        <w:b/>
        <w:bCs/>
        <w:sz w:val="27"/>
        <w:szCs w:val="27"/>
      </w:rPr>
      <w:t xml:space="preserve">ETSU </w:t>
    </w:r>
    <w:r w:rsidR="007C7DAD">
      <w:rPr>
        <w:rFonts w:ascii="Times New Roman" w:eastAsia="Times New Roman" w:hAnsi="Times New Roman" w:cs="Times New Roman"/>
        <w:b/>
        <w:bCs/>
        <w:sz w:val="27"/>
        <w:szCs w:val="27"/>
      </w:rPr>
      <w:t>ID BUC$</w:t>
    </w:r>
    <w:r w:rsidRPr="002367DD">
      <w:rPr>
        <w:rFonts w:ascii="Times New Roman" w:eastAsia="Times New Roman" w:hAnsi="Times New Roman" w:cs="Times New Roman"/>
        <w:b/>
        <w:bCs/>
        <w:sz w:val="27"/>
        <w:szCs w:val="27"/>
      </w:rPr>
      <w:t xml:space="preserve"> </w:t>
    </w:r>
    <w:r w:rsidR="005B27C7">
      <w:rPr>
        <w:rFonts w:ascii="Times New Roman" w:eastAsia="Times New Roman" w:hAnsi="Times New Roman" w:cs="Times New Roman"/>
        <w:b/>
        <w:bCs/>
        <w:sz w:val="27"/>
        <w:szCs w:val="27"/>
      </w:rPr>
      <w:t>Merchant</w:t>
    </w:r>
    <w:r w:rsidRPr="002367DD">
      <w:rPr>
        <w:rFonts w:ascii="Times New Roman" w:eastAsia="Times New Roman" w:hAnsi="Times New Roman" w:cs="Times New Roman"/>
        <w:b/>
        <w:bCs/>
        <w:sz w:val="27"/>
        <w:szCs w:val="27"/>
      </w:rPr>
      <w:t xml:space="preserve"> Partnership Policy</w:t>
    </w:r>
    <w:r>
      <w:rPr>
        <w:rFonts w:ascii="Times New Roman" w:eastAsia="Times New Roman" w:hAnsi="Times New Roman" w:cs="Times New Roman"/>
        <w:b/>
        <w:bCs/>
        <w:sz w:val="27"/>
        <w:szCs w:val="27"/>
      </w:rPr>
      <w:br/>
      <w:t xml:space="preserve">ID Services at East Tennessee State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0241F"/>
    <w:multiLevelType w:val="multilevel"/>
    <w:tmpl w:val="073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42632"/>
    <w:multiLevelType w:val="multilevel"/>
    <w:tmpl w:val="0DA6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02E86"/>
    <w:multiLevelType w:val="multilevel"/>
    <w:tmpl w:val="1DA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00714">
    <w:abstractNumId w:val="1"/>
  </w:num>
  <w:num w:numId="2" w16cid:durableId="328875418">
    <w:abstractNumId w:val="0"/>
  </w:num>
  <w:num w:numId="3" w16cid:durableId="97695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DD"/>
    <w:rsid w:val="000C2C74"/>
    <w:rsid w:val="000E3BFD"/>
    <w:rsid w:val="001705A4"/>
    <w:rsid w:val="001D0BF7"/>
    <w:rsid w:val="002367DD"/>
    <w:rsid w:val="002E4299"/>
    <w:rsid w:val="003822A3"/>
    <w:rsid w:val="0039355B"/>
    <w:rsid w:val="004F6957"/>
    <w:rsid w:val="005102B8"/>
    <w:rsid w:val="005B27C7"/>
    <w:rsid w:val="006E29D4"/>
    <w:rsid w:val="00702AB2"/>
    <w:rsid w:val="00732EB5"/>
    <w:rsid w:val="007C7DAD"/>
    <w:rsid w:val="00845673"/>
    <w:rsid w:val="00AC5675"/>
    <w:rsid w:val="00BD686F"/>
    <w:rsid w:val="00C06167"/>
    <w:rsid w:val="00C321AF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8677"/>
  <w15:chartTrackingRefBased/>
  <w15:docId w15:val="{8DE9A23A-4239-41CC-873D-E9A6F63A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2A3"/>
  </w:style>
  <w:style w:type="paragraph" w:styleId="Footer">
    <w:name w:val="footer"/>
    <w:basedOn w:val="Normal"/>
    <w:link w:val="FooterChar"/>
    <w:uiPriority w:val="99"/>
    <w:unhideWhenUsed/>
    <w:rsid w:val="00382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2A3"/>
  </w:style>
  <w:style w:type="character" w:styleId="Hyperlink">
    <w:name w:val="Hyperlink"/>
    <w:basedOn w:val="DefaultParagraphFont"/>
    <w:uiPriority w:val="99"/>
    <w:unhideWhenUsed/>
    <w:rsid w:val="00C32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policies/facilities-operations/alcohol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su.edu/policies/human_resources_policies_webpage/smoking-and-tobacco-us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su365-my.sharepoint.com/personal/hensley1_etsu_edu/Documents/Documents/A.%20ID%20Services/Merchant%20Services%20Agreement%20Terms%20&amp;%20Cond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Adinolfi, M Leah</dc:creator>
  <cp:keywords/>
  <dc:description/>
  <cp:lastModifiedBy>Hensley, Laura G.</cp:lastModifiedBy>
  <cp:revision>8</cp:revision>
  <cp:lastPrinted>2024-08-09T12:30:00Z</cp:lastPrinted>
  <dcterms:created xsi:type="dcterms:W3CDTF">2024-08-16T14:55:00Z</dcterms:created>
  <dcterms:modified xsi:type="dcterms:W3CDTF">2024-08-30T13:31:00Z</dcterms:modified>
</cp:coreProperties>
</file>