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5892" w14:textId="77777777" w:rsidR="00313AFA" w:rsidRDefault="00BF6866">
      <w:pPr>
        <w:pStyle w:val="BodyText"/>
        <w:spacing w:before="42"/>
        <w:ind w:right="144"/>
      </w:pPr>
      <w:r>
        <w:t>Student and Student Organization events and activities held on campus (outside of informal meetings between organization leaders and members) must be reserved through the Student Center; provided, however, that this requirement will not be applied in a way</w:t>
      </w:r>
      <w:r>
        <w:t xml:space="preserve"> that prohibits spontaneous outdoor assemblies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reserved by an authorized user in advance.</w:t>
      </w:r>
    </w:p>
    <w:p w14:paraId="5EE85893" w14:textId="77777777" w:rsidR="00313AFA" w:rsidRDefault="00BF6866">
      <w:pPr>
        <w:pStyle w:val="BodyText"/>
        <w:spacing w:before="268"/>
        <w:ind w:right="174"/>
      </w:pPr>
      <w:r>
        <w:t>While small and informal events requiring little to no Student Center support and</w:t>
      </w:r>
      <w:r>
        <w:t xml:space="preserve"> taking place inside meeting rooms of the Culp Student Center may be reserved same-day by students and University- Affiliated groups; larger General Assembly and Outdoor spaces, as well as events requiring Student Center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(due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size,</w:t>
      </w:r>
      <w:r>
        <w:rPr>
          <w:spacing w:val="-2"/>
        </w:rPr>
        <w:t xml:space="preserve"> </w:t>
      </w:r>
      <w:r>
        <w:t>set-up,</w:t>
      </w:r>
      <w:r>
        <w:rPr>
          <w:spacing w:val="-2"/>
        </w:rPr>
        <w:t xml:space="preserve"> </w:t>
      </w:r>
      <w:r>
        <w:t>secur</w:t>
      </w:r>
      <w:r>
        <w:t>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needs),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reserved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15 business days (typically 3 weeks) in advance of the event.</w:t>
      </w:r>
    </w:p>
    <w:p w14:paraId="5EE85894" w14:textId="77777777" w:rsidR="00313AFA" w:rsidRDefault="00313AFA">
      <w:pPr>
        <w:pStyle w:val="BodyText"/>
        <w:spacing w:before="1"/>
        <w:ind w:left="0"/>
      </w:pPr>
    </w:p>
    <w:p w14:paraId="5EE85895" w14:textId="77777777" w:rsidR="00313AFA" w:rsidRDefault="00BF6866">
      <w:pPr>
        <w:pStyle w:val="BodyText"/>
        <w:ind w:right="174"/>
      </w:pPr>
      <w:r>
        <w:t>Advance reservation requirements outlined in this policy do not preclude public forum or spontaneous outdoor</w:t>
      </w:r>
      <w:r>
        <w:rPr>
          <w:spacing w:val="-2"/>
        </w:rPr>
        <w:t xml:space="preserve"> </w:t>
      </w:r>
      <w:r>
        <w:t>assembly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</w:t>
      </w:r>
      <w:r>
        <w:t>ribed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ETSU’s </w:t>
      </w:r>
      <w:hyperlink r:id="rId7">
        <w:r>
          <w:rPr>
            <w:color w:val="0462C1"/>
            <w:u w:val="single" w:color="0462C1"/>
          </w:rPr>
          <w:t>Free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Speech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t>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proofErr w:type="spellStart"/>
      <w:r>
        <w:t>Borchuck</w:t>
      </w:r>
      <w:proofErr w:type="spellEnd"/>
      <w:r>
        <w:t xml:space="preserve"> Plaza (in front of Sherrod Library) has been designated for outside or non-affiliated groups to reserve </w:t>
      </w:r>
      <w:proofErr w:type="gramStart"/>
      <w:r>
        <w:t>same-day</w:t>
      </w:r>
      <w:proofErr w:type="gramEnd"/>
      <w:r>
        <w:t xml:space="preserve"> for public forum when the space is not already reserved. Except as previous</w:t>
      </w:r>
      <w:r>
        <w:t xml:space="preserve">ly noted about spontaneous outdoor assemblies, any other outdoor or general assembly space must be </w:t>
      </w:r>
      <w:proofErr w:type="gramStart"/>
      <w:r>
        <w:t>reserved in advance</w:t>
      </w:r>
      <w:proofErr w:type="gramEnd"/>
      <w:r>
        <w:t xml:space="preserve"> according to policy.</w:t>
      </w:r>
    </w:p>
    <w:p w14:paraId="5EE85896" w14:textId="77777777" w:rsidR="00313AFA" w:rsidRDefault="00313AFA">
      <w:pPr>
        <w:pStyle w:val="BodyText"/>
        <w:ind w:left="0"/>
      </w:pPr>
    </w:p>
    <w:p w14:paraId="5EE85897" w14:textId="77777777" w:rsidR="00313AFA" w:rsidRDefault="00BF6866">
      <w:pPr>
        <w:pStyle w:val="BodyText"/>
        <w:ind w:right="144"/>
      </w:pPr>
      <w:r>
        <w:t>Student groups must be registered with the Office of Students Activities &amp; Organizations and have an active</w:t>
      </w:r>
      <w:r>
        <w:rPr>
          <w:spacing w:val="-3"/>
        </w:rPr>
        <w:t xml:space="preserve"> </w:t>
      </w:r>
      <w:r>
        <w:t>full-ti</w:t>
      </w:r>
      <w:r>
        <w:t>me</w:t>
      </w:r>
      <w:r>
        <w:rPr>
          <w:spacing w:val="-3"/>
        </w:rPr>
        <w:t xml:space="preserve"> </w:t>
      </w:r>
      <w:r>
        <w:t>faculty/staff</w:t>
      </w:r>
      <w:r>
        <w:rPr>
          <w:spacing w:val="-3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>
        <w:r>
          <w:rPr>
            <w:color w:val="0462C1"/>
            <w:u w:val="single" w:color="0462C1"/>
          </w:rPr>
          <w:t>General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Policies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Student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Organizations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at</w:t>
        </w:r>
      </w:hyperlink>
      <w:r>
        <w:rPr>
          <w:color w:val="0462C1"/>
        </w:rPr>
        <w:t xml:space="preserve"> </w:t>
      </w:r>
      <w:hyperlink r:id="rId9">
        <w:r>
          <w:rPr>
            <w:color w:val="0462C1"/>
            <w:u w:val="single" w:color="0462C1"/>
          </w:rPr>
          <w:t>ETSU</w:t>
        </w:r>
      </w:hyperlink>
      <w:r>
        <w:rPr>
          <w:color w:val="0462C1"/>
        </w:rPr>
        <w:t xml:space="preserve"> </w:t>
      </w:r>
      <w:r>
        <w:t xml:space="preserve">and the </w:t>
      </w:r>
      <w:hyperlink r:id="rId10">
        <w:r>
          <w:rPr>
            <w:color w:val="0462C1"/>
            <w:u w:val="single" w:color="0462C1"/>
          </w:rPr>
          <w:t>ETSU Board of Trustees Po</w:t>
        </w:r>
        <w:r>
          <w:rPr>
            <w:color w:val="0462C1"/>
            <w:u w:val="single" w:color="0462C1"/>
          </w:rPr>
          <w:t>licy on Student Organizations</w:t>
        </w:r>
      </w:hyperlink>
      <w:r>
        <w:rPr>
          <w:color w:val="0462C1"/>
        </w:rPr>
        <w:t xml:space="preserve"> </w:t>
      </w:r>
      <w:r>
        <w:t xml:space="preserve">(formerly TBR Policy 3:01:01:00) to be eligible to reserve space on campus. Event reservations must be approved by the </w:t>
      </w:r>
      <w:proofErr w:type="gramStart"/>
      <w:r>
        <w:t>student</w:t>
      </w:r>
      <w:proofErr w:type="gramEnd"/>
    </w:p>
    <w:p w14:paraId="5EE85898" w14:textId="77777777" w:rsidR="00313AFA" w:rsidRDefault="00BF6866">
      <w:pPr>
        <w:pStyle w:val="BodyText"/>
        <w:spacing w:before="1"/>
        <w:ind w:right="144"/>
      </w:pPr>
      <w:r>
        <w:t>organization’s faculty/staff advisor and the Student Center bef</w:t>
      </w:r>
      <w:r>
        <w:t>ore being advertised or taking place. Organizations</w:t>
      </w:r>
      <w:r>
        <w:rPr>
          <w:spacing w:val="-2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 assistance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faculty/staff</w:t>
      </w:r>
      <w:r>
        <w:rPr>
          <w:spacing w:val="-2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and reservation assistance with the Office of Student Activities &amp; Organizations.</w:t>
      </w:r>
    </w:p>
    <w:p w14:paraId="5EE85899" w14:textId="77777777" w:rsidR="00313AFA" w:rsidRDefault="00BF6866">
      <w:pPr>
        <w:pStyle w:val="Heading1"/>
        <w:spacing w:before="268"/>
        <w:rPr>
          <w:u w:val="none"/>
        </w:rPr>
      </w:pPr>
      <w:r>
        <w:t>Insurance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Security</w:t>
      </w:r>
    </w:p>
    <w:p w14:paraId="5EE8589A" w14:textId="77777777" w:rsidR="00313AFA" w:rsidRDefault="00BF6866">
      <w:pPr>
        <w:pStyle w:val="BodyText"/>
        <w:ind w:right="144"/>
      </w:pPr>
      <w:r>
        <w:t>For</w:t>
      </w:r>
      <w:r>
        <w:rPr>
          <w:spacing w:val="-2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ETSU</w:t>
      </w:r>
      <w:r>
        <w:rPr>
          <w:spacing w:val="-5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the Student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 xml:space="preserve">Organization to obtain event insurance and/or safety and security personnel for any event, </w:t>
      </w:r>
      <w:proofErr w:type="gramStart"/>
      <w:r>
        <w:t>activity</w:t>
      </w:r>
      <w:proofErr w:type="gramEnd"/>
      <w:r>
        <w:t xml:space="preserve"> or program.</w:t>
      </w:r>
    </w:p>
    <w:p w14:paraId="5EE8589B" w14:textId="77777777" w:rsidR="00313AFA" w:rsidRDefault="00BF6866">
      <w:pPr>
        <w:pStyle w:val="BodyText"/>
      </w:pPr>
      <w:r>
        <w:t>Features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security</w:t>
      </w:r>
      <w:r>
        <w:rPr>
          <w:spacing w:val="-2"/>
        </w:rPr>
        <w:t xml:space="preserve"> include:</w:t>
      </w:r>
    </w:p>
    <w:p w14:paraId="5EE8589C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rFonts w:ascii="Symbol" w:hAnsi="Symbol"/>
          <w:sz w:val="20"/>
        </w:rPr>
      </w:pP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attendees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inflatables</w:t>
      </w:r>
      <w:proofErr w:type="gramEnd"/>
    </w:p>
    <w:p w14:paraId="5EE8589D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  <w:sz w:val="20"/>
        </w:rPr>
      </w:pPr>
      <w:r>
        <w:t>Lar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crowds</w:t>
      </w:r>
    </w:p>
    <w:p w14:paraId="5EE8589E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spacing w:line="267" w:lineRule="exact"/>
        <w:rPr>
          <w:rFonts w:ascii="Symbol" w:hAnsi="Symbol"/>
          <w:sz w:val="20"/>
        </w:rPr>
      </w:pPr>
      <w:r>
        <w:t>Non-university</w:t>
      </w:r>
      <w:r>
        <w:rPr>
          <w:spacing w:val="-6"/>
        </w:rPr>
        <w:t xml:space="preserve"> </w:t>
      </w:r>
      <w:r>
        <w:t>attendees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2"/>
        </w:rPr>
        <w:t>participants</w:t>
      </w:r>
    </w:p>
    <w:p w14:paraId="5EE8589F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spacing w:line="267" w:lineRule="exact"/>
        <w:rPr>
          <w:rFonts w:ascii="Symbol" w:hAnsi="Symbol"/>
          <w:sz w:val="20"/>
        </w:rPr>
      </w:pPr>
      <w:r>
        <w:t>High</w:t>
      </w:r>
      <w:r>
        <w:rPr>
          <w:spacing w:val="-5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5EE858A0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  <w:sz w:val="20"/>
        </w:rPr>
      </w:pPr>
      <w:r>
        <w:t>Minors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attendance</w:t>
      </w:r>
      <w:proofErr w:type="gramEnd"/>
    </w:p>
    <w:p w14:paraId="5EE858A1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rFonts w:ascii="Symbol" w:hAnsi="Symbol"/>
          <w:sz w:val="20"/>
        </w:rPr>
      </w:pPr>
      <w:r>
        <w:t>Exchange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sums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cash</w:t>
      </w:r>
    </w:p>
    <w:p w14:paraId="5EE858A2" w14:textId="77777777" w:rsidR="00313AFA" w:rsidRDefault="00313AFA">
      <w:pPr>
        <w:pStyle w:val="BodyText"/>
        <w:ind w:left="0"/>
      </w:pPr>
    </w:p>
    <w:p w14:paraId="5EE858A3" w14:textId="77777777" w:rsidR="00313AFA" w:rsidRDefault="00BF6866">
      <w:pPr>
        <w:pStyle w:val="BodyText"/>
        <w:ind w:right="174"/>
      </w:pP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1">
        <w:r>
          <w:rPr>
            <w:color w:val="0462C1"/>
            <w:u w:val="single" w:color="0462C1"/>
          </w:rPr>
          <w:t>University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Free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Speech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t>,</w:t>
      </w:r>
      <w:r>
        <w:rPr>
          <w:spacing w:val="-2"/>
        </w:rPr>
        <w:t xml:space="preserve"> </w:t>
      </w:r>
      <w:r>
        <w:t>ETSU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 of their speech, the content of the speech of guest speakers invited by students, or the anticipated reaction or opposition of listeners to speech.</w:t>
      </w:r>
    </w:p>
    <w:p w14:paraId="5EE858A4" w14:textId="77777777" w:rsidR="00313AFA" w:rsidRDefault="00313AFA">
      <w:pPr>
        <w:pStyle w:val="BodyText"/>
        <w:spacing w:before="1"/>
        <w:ind w:left="0"/>
      </w:pPr>
    </w:p>
    <w:p w14:paraId="5EE858A5" w14:textId="77777777" w:rsidR="00313AFA" w:rsidRDefault="00BF6866">
      <w:pPr>
        <w:pStyle w:val="BodyText"/>
        <w:spacing w:before="1"/>
        <w:ind w:right="296"/>
      </w:pPr>
      <w:r>
        <w:t>ETSU Public Safety will be notified of all events scheduled through the Student Center.</w:t>
      </w:r>
      <w:r>
        <w:rPr>
          <w:spacing w:val="40"/>
        </w:rPr>
        <w:t xml:space="preserve"> </w:t>
      </w:r>
      <w:r>
        <w:t>Together, the Student Center, Public Safety and Emergency Management will determine if the event requires any safety/security staffing.</w:t>
      </w:r>
      <w:r>
        <w:rPr>
          <w:spacing w:val="40"/>
        </w:rPr>
        <w:t xml:space="preserve"> </w:t>
      </w:r>
      <w:r>
        <w:t>This may include uniformed offic</w:t>
      </w:r>
      <w:r>
        <w:t>ers, administrative staff, bonded security guards,</w:t>
      </w:r>
      <w:r>
        <w:rPr>
          <w:spacing w:val="-2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staff.</w:t>
      </w:r>
      <w:r>
        <w:rPr>
          <w:spacing w:val="4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(Tenn.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Ann.</w:t>
      </w:r>
      <w:r>
        <w:rPr>
          <w:spacing w:val="-2"/>
        </w:rPr>
        <w:t xml:space="preserve"> </w:t>
      </w:r>
      <w:r>
        <w:t>§ 49-7-2405(a)(15),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organizer/sponsor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to pay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 associated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providing security</w:t>
      </w:r>
      <w:r>
        <w:t xml:space="preserve"> staffing.</w:t>
      </w:r>
    </w:p>
    <w:p w14:paraId="5EE858A6" w14:textId="77777777" w:rsidR="00313AFA" w:rsidRDefault="00313AFA">
      <w:pPr>
        <w:sectPr w:rsidR="00313AFA">
          <w:headerReference w:type="default" r:id="rId12"/>
          <w:type w:val="continuous"/>
          <w:pgSz w:w="12240" w:h="15840"/>
          <w:pgMar w:top="1380" w:right="1340" w:bottom="280" w:left="1340" w:header="776" w:footer="0" w:gutter="0"/>
          <w:pgNumType w:start="1"/>
          <w:cols w:space="720"/>
        </w:sectPr>
      </w:pPr>
    </w:p>
    <w:p w14:paraId="5EE858A7" w14:textId="77777777" w:rsidR="00313AFA" w:rsidRDefault="00313AFA">
      <w:pPr>
        <w:pStyle w:val="BodyText"/>
        <w:spacing w:before="42"/>
        <w:ind w:left="0"/>
      </w:pPr>
    </w:p>
    <w:p w14:paraId="5EE858A8" w14:textId="77777777" w:rsidR="00313AFA" w:rsidRDefault="00BF6866">
      <w:pPr>
        <w:pStyle w:val="BodyText"/>
      </w:pPr>
      <w: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reservation</w:t>
      </w:r>
      <w:r>
        <w:rPr>
          <w:spacing w:val="-5"/>
        </w:rPr>
        <w:t xml:space="preserve"> </w:t>
      </w:r>
      <w:r>
        <w:rPr>
          <w:spacing w:val="-2"/>
        </w:rPr>
        <w:t>process.</w:t>
      </w:r>
    </w:p>
    <w:p w14:paraId="5EE858A9" w14:textId="77777777" w:rsidR="00313AFA" w:rsidRDefault="00313AFA">
      <w:pPr>
        <w:pStyle w:val="BodyText"/>
        <w:spacing w:before="1"/>
        <w:ind w:left="0"/>
      </w:pPr>
    </w:p>
    <w:p w14:paraId="5EE858AA" w14:textId="77777777" w:rsidR="00313AFA" w:rsidRDefault="00BF6866">
      <w:pPr>
        <w:pStyle w:val="Heading1"/>
        <w:spacing w:line="267" w:lineRule="exact"/>
        <w:rPr>
          <w:u w:val="none"/>
        </w:rPr>
      </w:pPr>
      <w:r>
        <w:rPr>
          <w:spacing w:val="-2"/>
        </w:rPr>
        <w:t>Minors*</w:t>
      </w:r>
    </w:p>
    <w:p w14:paraId="5EE858AB" w14:textId="77777777" w:rsidR="00313AFA" w:rsidRDefault="00BF6866">
      <w:pPr>
        <w:pStyle w:val="BodyText"/>
        <w:ind w:right="144"/>
      </w:pPr>
      <w:r>
        <w:t>Minors are persons under the age of 18 who are neither enrolled nor accepted for enrollment at the University.</w:t>
      </w:r>
      <w:r>
        <w:rPr>
          <w:spacing w:val="40"/>
        </w:rPr>
        <w:t xml:space="preserve"> </w:t>
      </w:r>
      <w:r>
        <w:t>Minors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on-campus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organization-sponsored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a parent or guardian is present with the minor for the durati</w:t>
      </w:r>
      <w:r>
        <w:t>on of the activity.</w:t>
      </w:r>
    </w:p>
    <w:p w14:paraId="5EE858AC" w14:textId="77777777" w:rsidR="00313AFA" w:rsidRDefault="00BF6866">
      <w:pPr>
        <w:pStyle w:val="BodyText"/>
        <w:spacing w:before="268"/>
        <w:ind w:right="55"/>
      </w:pPr>
      <w:r>
        <w:t>For events advertised as “all ages,” or where the organization anticipates minors to attend, the sponsoring</w:t>
      </w:r>
      <w:r>
        <w:rPr>
          <w:spacing w:val="-5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minors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 parent or guardian is responsible for the minor’s participation in the events or activities.</w:t>
      </w:r>
    </w:p>
    <w:p w14:paraId="5EE858AD" w14:textId="77777777" w:rsidR="00313AFA" w:rsidRDefault="00313AFA">
      <w:pPr>
        <w:pStyle w:val="BodyText"/>
        <w:spacing w:before="1"/>
        <w:ind w:left="0"/>
      </w:pPr>
    </w:p>
    <w:p w14:paraId="5EE858AE" w14:textId="77777777" w:rsidR="00313AFA" w:rsidRDefault="00BF6866">
      <w:pPr>
        <w:pStyle w:val="BodyText"/>
        <w:ind w:right="55"/>
      </w:pPr>
      <w:r>
        <w:t>For on-campus events advertised as “all ages,” or where the organization anticipates minors to attend, the</w:t>
      </w:r>
      <w:r>
        <w:rPr>
          <w:spacing w:val="-2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event. If the content of the event is deemed explicit, </w:t>
      </w:r>
      <w:proofErr w:type="gramStart"/>
      <w:r>
        <w:t>obscene</w:t>
      </w:r>
      <w:proofErr w:type="gramEnd"/>
      <w:r>
        <w:t xml:space="preserve"> or pornographic for minors (according to Tennessee Law), minors will not be permitted to attend, regardless of the presence of a parent or </w:t>
      </w:r>
      <w:r>
        <w:rPr>
          <w:spacing w:val="-2"/>
        </w:rPr>
        <w:t>guardian.</w:t>
      </w:r>
    </w:p>
    <w:p w14:paraId="5EE858AF" w14:textId="77777777" w:rsidR="00313AFA" w:rsidRDefault="00313AFA">
      <w:pPr>
        <w:pStyle w:val="BodyText"/>
        <w:ind w:left="0"/>
      </w:pPr>
    </w:p>
    <w:p w14:paraId="5EE858B0" w14:textId="77777777" w:rsidR="00313AFA" w:rsidRDefault="00BF6866">
      <w:pPr>
        <w:pStyle w:val="BodyText"/>
        <w:ind w:right="171"/>
      </w:pPr>
      <w:r>
        <w:t>I</w:t>
      </w:r>
      <w:r>
        <w:t xml:space="preserve">f minors are not permitted due to explicit, </w:t>
      </w:r>
      <w:proofErr w:type="gramStart"/>
      <w:r>
        <w:t>obscene</w:t>
      </w:r>
      <w:proofErr w:type="gramEnd"/>
      <w:r>
        <w:t xml:space="preserve"> or pornographic content, the organization must promote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18+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“ETSU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Only” and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event.</w:t>
      </w:r>
      <w:r>
        <w:rPr>
          <w:spacing w:val="-1"/>
        </w:rPr>
        <w:t xml:space="preserve"> </w:t>
      </w:r>
      <w:r>
        <w:t>It is the responsibility of the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to prevent minors from attending events</w:t>
      </w:r>
      <w:r>
        <w:rPr>
          <w:spacing w:val="-1"/>
        </w:rPr>
        <w:t xml:space="preserve"> </w:t>
      </w:r>
      <w:r>
        <w:t>where minors are not permitted to attend.</w:t>
      </w:r>
    </w:p>
    <w:p w14:paraId="5EE858B1" w14:textId="77777777" w:rsidR="00313AFA" w:rsidRDefault="00313AFA">
      <w:pPr>
        <w:pStyle w:val="BodyText"/>
        <w:spacing w:before="3"/>
        <w:ind w:left="0"/>
      </w:pPr>
    </w:p>
    <w:p w14:paraId="5EE858B2" w14:textId="77777777" w:rsidR="00313AFA" w:rsidRDefault="00BF6866">
      <w:pPr>
        <w:spacing w:line="237" w:lineRule="auto"/>
        <w:ind w:left="100" w:right="144"/>
        <w:rPr>
          <w:i/>
        </w:rPr>
      </w:pPr>
      <w:r>
        <w:t>FAQ:</w:t>
      </w:r>
      <w:r>
        <w:rPr>
          <w:spacing w:val="-1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2"/>
        </w:rPr>
        <w:t xml:space="preserve"> </w:t>
      </w:r>
      <w:r>
        <w:rPr>
          <w:i/>
        </w:rPr>
        <w:t>determine</w:t>
      </w:r>
      <w:r>
        <w:rPr>
          <w:i/>
          <w:spacing w:val="-5"/>
        </w:rPr>
        <w:t xml:space="preserve"> </w:t>
      </w:r>
      <w:r>
        <w:rPr>
          <w:i/>
        </w:rPr>
        <w:t>whether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content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event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explicit</w:t>
      </w:r>
      <w:r>
        <w:rPr>
          <w:i/>
          <w:spacing w:val="-2"/>
        </w:rPr>
        <w:t xml:space="preserve"> </w:t>
      </w:r>
      <w:r>
        <w:rPr>
          <w:i/>
        </w:rPr>
        <w:t>and/or</w:t>
      </w:r>
      <w:r>
        <w:rPr>
          <w:i/>
          <w:spacing w:val="-1"/>
        </w:rPr>
        <w:t xml:space="preserve"> </w:t>
      </w:r>
      <w:r>
        <w:rPr>
          <w:i/>
        </w:rPr>
        <w:t>inappropriate for minors?</w:t>
      </w:r>
    </w:p>
    <w:p w14:paraId="5EE858B3" w14:textId="77777777" w:rsidR="00313AFA" w:rsidRDefault="00BF6866">
      <w:pPr>
        <w:pStyle w:val="BodyText"/>
        <w:spacing w:before="2"/>
        <w:ind w:left="460" w:right="129"/>
      </w:pPr>
      <w:r>
        <w:t>Student Cen</w:t>
      </w:r>
      <w:r>
        <w:t xml:space="preserve">ter team members will work with organization officers and advisors and University Counsel to determine whether an event’s proposed content would be considered explicit, </w:t>
      </w:r>
      <w:proofErr w:type="gramStart"/>
      <w:r>
        <w:t>obscene</w:t>
      </w:r>
      <w:proofErr w:type="gramEnd"/>
      <w:r>
        <w:t xml:space="preserve"> or pornographic for audiences under 18.</w:t>
      </w:r>
      <w:r>
        <w:rPr>
          <w:spacing w:val="-1"/>
        </w:rPr>
        <w:t xml:space="preserve"> </w:t>
      </w:r>
      <w:r>
        <w:t>While some subjectivity may make it dif</w:t>
      </w:r>
      <w:r>
        <w:t>ficult to determine the suitability of the content, two frameworks will be considered. First, Tennessee statutes related to</w:t>
      </w:r>
      <w:r>
        <w:rPr>
          <w:spacing w:val="-1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t>explicit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consulted.</w:t>
      </w:r>
      <w:r>
        <w:rPr>
          <w:spacing w:val="-2"/>
        </w:rPr>
        <w:t xml:space="preserve"> </w:t>
      </w:r>
      <w:r>
        <w:t>Second,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ratings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pictures</w:t>
      </w:r>
      <w:r>
        <w:rPr>
          <w:spacing w:val="-4"/>
        </w:rPr>
        <w:t xml:space="preserve"> </w:t>
      </w:r>
      <w:r>
        <w:t>will be reviewed. For instance, a motion picture may be rated “R” or “NC-17” due to the presence of hard language, violence, sexual content, drugs, or other adult content. The University will generally prohibit the presence of minors at on-campus student o</w:t>
      </w:r>
      <w:r>
        <w:t>rganization events with content equivalent to R-rated or NC-17-rated films.</w:t>
      </w:r>
    </w:p>
    <w:p w14:paraId="5EE858B4" w14:textId="77777777" w:rsidR="00313AFA" w:rsidRDefault="00313AFA">
      <w:pPr>
        <w:pStyle w:val="BodyText"/>
        <w:ind w:left="0"/>
      </w:pPr>
    </w:p>
    <w:p w14:paraId="5EE858B5" w14:textId="77777777" w:rsidR="00313AFA" w:rsidRDefault="00BF6866">
      <w:pPr>
        <w:pStyle w:val="BodyText"/>
        <w:ind w:right="144"/>
      </w:pPr>
      <w:r>
        <w:t>There are many constructive reasons to allow minors to attend student organization-sponsored events on campus, and most proposed activities will be appropriate for all ages. Howev</w:t>
      </w:r>
      <w:r>
        <w:t>er, student officers and the University assume increased liability and responsibility when minors are involved. As such, the institution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err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electing</w:t>
      </w:r>
      <w:r>
        <w:rPr>
          <w:spacing w:val="-2"/>
        </w:rPr>
        <w:t xml:space="preserve"> </w:t>
      </w:r>
      <w:r>
        <w:t>to permit</w:t>
      </w:r>
      <w:r>
        <w:rPr>
          <w:spacing w:val="-3"/>
        </w:rPr>
        <w:t xml:space="preserve"> </w:t>
      </w:r>
      <w:r>
        <w:t>minors</w:t>
      </w:r>
      <w:r>
        <w:rPr>
          <w:spacing w:val="-4"/>
        </w:rPr>
        <w:t xml:space="preserve"> </w:t>
      </w:r>
      <w:r>
        <w:t>to attend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organization- sponsored events and act</w:t>
      </w:r>
      <w:r>
        <w:t>ivities.</w:t>
      </w:r>
    </w:p>
    <w:p w14:paraId="5EE858B6" w14:textId="77777777" w:rsidR="00313AFA" w:rsidRDefault="00313AFA">
      <w:pPr>
        <w:pStyle w:val="BodyText"/>
        <w:spacing w:before="2"/>
        <w:ind w:left="0"/>
      </w:pPr>
    </w:p>
    <w:p w14:paraId="5EE858B7" w14:textId="77777777" w:rsidR="00313AFA" w:rsidRDefault="00BF6866">
      <w:pPr>
        <w:pStyle w:val="BodyText"/>
        <w:ind w:right="144"/>
      </w:pPr>
      <w:r>
        <w:t>*Minors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current ETSU students. Enrolled students under the age of 18 are permitted at events sponsored by ETSU and registered student organizations.</w:t>
      </w:r>
    </w:p>
    <w:p w14:paraId="5EE858B8" w14:textId="77777777" w:rsidR="00313AFA" w:rsidRDefault="00BF6866">
      <w:pPr>
        <w:pStyle w:val="Heading1"/>
        <w:spacing w:before="267"/>
        <w:rPr>
          <w:u w:val="none"/>
        </w:rPr>
      </w:pPr>
      <w:r>
        <w:rPr>
          <w:spacing w:val="-2"/>
        </w:rPr>
        <w:t>Sponsorship/Co-S</w:t>
      </w:r>
      <w:r>
        <w:rPr>
          <w:spacing w:val="-2"/>
        </w:rPr>
        <w:t>ponsored</w:t>
      </w:r>
      <w:r>
        <w:rPr>
          <w:spacing w:val="24"/>
        </w:rPr>
        <w:t xml:space="preserve"> </w:t>
      </w:r>
      <w:r>
        <w:rPr>
          <w:spacing w:val="-2"/>
        </w:rPr>
        <w:t>Events</w:t>
      </w:r>
    </w:p>
    <w:p w14:paraId="5EE858B9" w14:textId="77777777" w:rsidR="00313AFA" w:rsidRDefault="00BF6866">
      <w:pPr>
        <w:pStyle w:val="BodyText"/>
        <w:ind w:right="144"/>
      </w:pPr>
      <w:r>
        <w:t>ETSU</w:t>
      </w:r>
      <w:r>
        <w:rPr>
          <w:spacing w:val="-1"/>
        </w:rPr>
        <w:t xml:space="preserve"> </w:t>
      </w:r>
      <w:r>
        <w:t>recognizes</w:t>
      </w:r>
      <w:r>
        <w:rPr>
          <w:spacing w:val="-2"/>
        </w:rPr>
        <w:t xml:space="preserve"> </w:t>
      </w:r>
      <w:r>
        <w:t>the importance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process and</w:t>
      </w:r>
      <w:r>
        <w:rPr>
          <w:spacing w:val="-2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persons affiliated</w:t>
      </w:r>
      <w:r>
        <w:rPr>
          <w:spacing w:val="-3"/>
        </w:rPr>
        <w:t xml:space="preserve"> </w:t>
      </w:r>
      <w:r>
        <w:t>with the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officially</w:t>
      </w:r>
      <w:r>
        <w:rPr>
          <w:spacing w:val="-5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reasonable</w:t>
      </w:r>
      <w:proofErr w:type="gramEnd"/>
    </w:p>
    <w:p w14:paraId="5EE858BA" w14:textId="77777777" w:rsidR="00313AFA" w:rsidRDefault="00313AFA">
      <w:pPr>
        <w:sectPr w:rsidR="00313AFA">
          <w:pgSz w:w="12240" w:h="15840"/>
          <w:pgMar w:top="1380" w:right="1340" w:bottom="280" w:left="1340" w:header="776" w:footer="0" w:gutter="0"/>
          <w:cols w:space="720"/>
        </w:sectPr>
      </w:pPr>
    </w:p>
    <w:p w14:paraId="5EE858BB" w14:textId="77777777" w:rsidR="00313AFA" w:rsidRDefault="00BF6866">
      <w:pPr>
        <w:pStyle w:val="BodyText"/>
        <w:spacing w:before="42"/>
        <w:ind w:right="174"/>
      </w:pPr>
      <w:r>
        <w:lastRenderedPageBreak/>
        <w:t>access</w:t>
      </w:r>
      <w:r>
        <w:rPr>
          <w:spacing w:val="-4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campus,</w:t>
      </w:r>
      <w:r>
        <w:rPr>
          <w:spacing w:val="-1"/>
        </w:rPr>
        <w:t xml:space="preserve"> </w:t>
      </w:r>
      <w:r>
        <w:t>to hear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views. While</w:t>
      </w:r>
      <w:r>
        <w:rPr>
          <w:spacing w:val="-1"/>
        </w:rPr>
        <w:t xml:space="preserve"> </w:t>
      </w:r>
      <w:r>
        <w:t>ETSU</w:t>
      </w:r>
      <w:r>
        <w:rPr>
          <w:spacing w:val="-6"/>
        </w:rPr>
        <w:t xml:space="preserve"> </w:t>
      </w:r>
      <w:r>
        <w:t>maintains the generally accessible open, outdoor areas of its campus as traditional public forums for free speech by students; ETSU facilities are not traditional public forums</w:t>
      </w:r>
      <w:r>
        <w:t xml:space="preserve"> for the </w:t>
      </w:r>
      <w:proofErr w:type="gramStart"/>
      <w:r>
        <w:t>general public</w:t>
      </w:r>
      <w:proofErr w:type="gramEnd"/>
      <w:r>
        <w:t>. Instead, ETSU facilities exist primarily for use consistent with the advancement and orderly administration of its educational</w:t>
      </w:r>
      <w:r>
        <w:rPr>
          <w:spacing w:val="-1"/>
        </w:rPr>
        <w:t xml:space="preserve"> </w:t>
      </w:r>
      <w:r>
        <w:t xml:space="preserve">mission for the benefit of its Students, Faculty/Staff, and Affiliated Groups and Individuals. As such, </w:t>
      </w:r>
      <w:r>
        <w:t>ETSU does not ordinarily make its buildings or other facilities available to Non- Affiliated Persons. Exceptions may be made if the proposed use is consistent with this policy and institutional policy and mission.</w:t>
      </w:r>
    </w:p>
    <w:p w14:paraId="5EE858BC" w14:textId="77777777" w:rsidR="00313AFA" w:rsidRDefault="00313AFA">
      <w:pPr>
        <w:pStyle w:val="BodyText"/>
        <w:ind w:left="0"/>
      </w:pPr>
    </w:p>
    <w:p w14:paraId="5EE858BD" w14:textId="77777777" w:rsidR="00313AFA" w:rsidRDefault="00BF6866">
      <w:pPr>
        <w:pStyle w:val="BodyText"/>
        <w:ind w:right="144"/>
      </w:pPr>
      <w:proofErr w:type="gramStart"/>
      <w:r>
        <w:t>With this in mind, student</w:t>
      </w:r>
      <w:proofErr w:type="gramEnd"/>
      <w:r>
        <w:t xml:space="preserve"> organizations are limited in the number of events co-sponsored with non- affiliated</w:t>
      </w:r>
      <w:r>
        <w:rPr>
          <w:spacing w:val="-3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annually.</w:t>
      </w:r>
      <w:r>
        <w:rPr>
          <w:spacing w:val="-1"/>
        </w:rPr>
        <w:t xml:space="preserve"> </w:t>
      </w:r>
      <w:r>
        <w:t>Co-sponsored</w:t>
      </w:r>
      <w:r>
        <w:rPr>
          <w:spacing w:val="-5"/>
        </w:rPr>
        <w:t xml:space="preserve"> </w:t>
      </w:r>
      <w:r>
        <w:t>events 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activities sponsored jointly by two or more organizations. Spo</w:t>
      </w:r>
      <w:r>
        <w:t xml:space="preserve">nsorship may be inferred </w:t>
      </w:r>
      <w:proofErr w:type="gramStart"/>
      <w:r>
        <w:t>by the use of</w:t>
      </w:r>
      <w:proofErr w:type="gramEnd"/>
      <w:r>
        <w:t xml:space="preserve"> an</w:t>
      </w:r>
    </w:p>
    <w:p w14:paraId="5EE858BE" w14:textId="77777777" w:rsidR="00313AFA" w:rsidRDefault="00BF6866">
      <w:pPr>
        <w:pStyle w:val="BodyText"/>
        <w:spacing w:before="1"/>
        <w:ind w:right="144"/>
      </w:pPr>
      <w:r>
        <w:t>organization’s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logo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decision- making and implementation, and/or the use of organization funds and resources. Guest speakers, beneficiaries of philanthropic fundraising efforts, or affiliated national organizations’ presence at an event does not necessarily constitute sponsors</w:t>
      </w:r>
      <w:r>
        <w:t>hip.</w:t>
      </w:r>
    </w:p>
    <w:p w14:paraId="5EE858BF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ind w:right="150"/>
        <w:rPr>
          <w:rFonts w:ascii="Symbol" w:hAnsi="Symbol"/>
          <w:sz w:val="20"/>
        </w:rPr>
      </w:pP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on-campus</w:t>
      </w:r>
      <w:r>
        <w:rPr>
          <w:spacing w:val="-6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co-sponsored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non-University groups each academic year.</w:t>
      </w:r>
    </w:p>
    <w:p w14:paraId="5EE858C0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ind w:right="191"/>
        <w:rPr>
          <w:rFonts w:ascii="Symbol" w:hAnsi="Symbol"/>
          <w:sz w:val="20"/>
        </w:rPr>
      </w:pPr>
      <w:r>
        <w:t>Student</w:t>
      </w:r>
      <w:r>
        <w:rPr>
          <w:spacing w:val="-1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co-sponsor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on-campus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non- University group each semester.</w:t>
      </w:r>
    </w:p>
    <w:p w14:paraId="5EE858C1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ind w:right="607"/>
        <w:rPr>
          <w:rFonts w:ascii="Symbol" w:hAnsi="Symbol"/>
          <w:sz w:val="20"/>
        </w:rPr>
      </w:pPr>
      <w:r>
        <w:t>Restrictions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non-University</w:t>
      </w:r>
      <w:r>
        <w:rPr>
          <w:spacing w:val="-3"/>
        </w:rPr>
        <w:t xml:space="preserve"> </w:t>
      </w:r>
      <w:r>
        <w:t>co-sponsorships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ambiguity or exploitation regarding the Affiliated Use and Rental of ETSU Facilities policies.</w:t>
      </w:r>
    </w:p>
    <w:p w14:paraId="5EE858C2" w14:textId="77777777" w:rsidR="00313AFA" w:rsidRDefault="00313AFA">
      <w:pPr>
        <w:pStyle w:val="BodyText"/>
        <w:ind w:left="0"/>
      </w:pPr>
    </w:p>
    <w:p w14:paraId="5EE858C3" w14:textId="77777777" w:rsidR="00313AFA" w:rsidRDefault="00BF6866">
      <w:pPr>
        <w:pStyle w:val="BodyText"/>
        <w:ind w:right="174"/>
      </w:pPr>
      <w:r>
        <w:t>When</w:t>
      </w:r>
      <w:r>
        <w:rPr>
          <w:spacing w:val="-4"/>
        </w:rPr>
        <w:t xml:space="preserve"> </w:t>
      </w:r>
      <w:r>
        <w:t>hosting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co-sponsored</w:t>
      </w:r>
      <w:r>
        <w:rPr>
          <w:spacing w:val="-3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sponsoring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 Student Center is responsible for planning the event and must be present at the event.</w:t>
      </w:r>
      <w:r>
        <w:rPr>
          <w:spacing w:val="40"/>
        </w:rPr>
        <w:t xml:space="preserve"> </w:t>
      </w:r>
      <w:r>
        <w:t>A sponsor may not “front” for another non-affiliated entity for the purpose of securing a venue at no cost or reduced fees.</w:t>
      </w:r>
      <w:r>
        <w:rPr>
          <w:spacing w:val="40"/>
        </w:rPr>
        <w:t xml:space="preserve"> </w:t>
      </w:r>
      <w:r>
        <w:t>For example, a community gr</w:t>
      </w:r>
      <w:r>
        <w:t>oup or for-profit entity may not utilize a registered student organization to reserve a venue unless the event is planned by the student organization and open to students. Student groups who violate this requirement may be barred from using ETSU property.</w:t>
      </w:r>
    </w:p>
    <w:p w14:paraId="5EE858C4" w14:textId="77777777" w:rsidR="00313AFA" w:rsidRDefault="00313AFA">
      <w:pPr>
        <w:pStyle w:val="BodyText"/>
        <w:ind w:left="0"/>
      </w:pPr>
    </w:p>
    <w:p w14:paraId="5EE858C5" w14:textId="77777777" w:rsidR="00313AFA" w:rsidRDefault="00BF6866">
      <w:pPr>
        <w:pStyle w:val="Heading1"/>
        <w:rPr>
          <w:u w:val="none"/>
        </w:rPr>
      </w:pPr>
      <w:r>
        <w:t>Amplified</w:t>
      </w:r>
      <w:r>
        <w:rPr>
          <w:spacing w:val="-8"/>
        </w:rPr>
        <w:t xml:space="preserve"> </w:t>
      </w:r>
      <w:r>
        <w:rPr>
          <w:spacing w:val="-2"/>
        </w:rPr>
        <w:t>Sound</w:t>
      </w:r>
    </w:p>
    <w:p w14:paraId="5EE858C6" w14:textId="77777777" w:rsidR="00313AFA" w:rsidRDefault="00BF6866">
      <w:pPr>
        <w:pStyle w:val="BodyText"/>
        <w:ind w:right="144"/>
      </w:pPr>
      <w:r>
        <w:t>Sound</w:t>
      </w:r>
      <w:r>
        <w:rPr>
          <w:spacing w:val="-2"/>
        </w:rPr>
        <w:t xml:space="preserve"> </w:t>
      </w:r>
      <w:r>
        <w:t>amplification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speakers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speech)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any kind will not be permitted in the Public Speaking Areas, unless written approval has been obtained by the D. P. Culp Student Center at least forty-eight (48) hours prior to the event. No amplified sound is allowed during final examination periods or </w:t>
      </w:r>
      <w:proofErr w:type="gramStart"/>
      <w:r>
        <w:t>in</w:t>
      </w:r>
      <w:r>
        <w:t xml:space="preserve"> close proximity to</w:t>
      </w:r>
      <w:proofErr w:type="gramEnd"/>
      <w:r>
        <w:t xml:space="preserve"> the library and classrooms.</w:t>
      </w:r>
    </w:p>
    <w:p w14:paraId="5EE858C7" w14:textId="77777777" w:rsidR="00313AFA" w:rsidRDefault="00BF6866">
      <w:pPr>
        <w:pStyle w:val="Heading1"/>
        <w:spacing w:before="268"/>
        <w:rPr>
          <w:u w:val="none"/>
        </w:rPr>
      </w:pPr>
      <w:r>
        <w:rPr>
          <w:spacing w:val="-4"/>
        </w:rPr>
        <w:t>Food</w:t>
      </w:r>
    </w:p>
    <w:p w14:paraId="5EE858C8" w14:textId="77777777" w:rsidR="00313AFA" w:rsidRDefault="00BF6866">
      <w:pPr>
        <w:pStyle w:val="BodyText"/>
        <w:ind w:right="174"/>
      </w:pPr>
      <w:r>
        <w:t>Food purchases by the organization for on-campus events must comply with the University’s Dining Services contract.</w:t>
      </w:r>
      <w:r>
        <w:rPr>
          <w:spacing w:val="40"/>
        </w:rPr>
        <w:t xml:space="preserve"> </w:t>
      </w:r>
      <w:r>
        <w:t>Events in the D.P. Culp Student Center with food expenses less than $300 may purchase f</w:t>
      </w:r>
      <w:r>
        <w:t>ood from off-campus restaurants and retailers.</w:t>
      </w:r>
      <w:r>
        <w:rPr>
          <w:spacing w:val="40"/>
        </w:rPr>
        <w:t xml:space="preserve"> </w:t>
      </w:r>
      <w:r>
        <w:t>If food expenses exceed $300, the organization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ETSU</w:t>
      </w:r>
      <w:r>
        <w:rPr>
          <w:spacing w:val="-3"/>
        </w:rPr>
        <w:t xml:space="preserve"> </w:t>
      </w:r>
      <w:r>
        <w:t>Dining</w:t>
      </w:r>
      <w:r>
        <w:rPr>
          <w:spacing w:val="-3"/>
        </w:rPr>
        <w:t xml:space="preserve"> </w:t>
      </w:r>
      <w:r>
        <w:t>Services.</w:t>
      </w:r>
      <w:r>
        <w:rPr>
          <w:spacing w:val="40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hosting</w:t>
      </w:r>
      <w:r>
        <w:rPr>
          <w:spacing w:val="-3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 xml:space="preserve">on campus can be found in the </w:t>
      </w:r>
      <w:hyperlink r:id="rId13">
        <w:r>
          <w:rPr>
            <w:color w:val="0462C1"/>
            <w:u w:val="single" w:color="0462C1"/>
          </w:rPr>
          <w:t>ETSU Facility Use Policy</w:t>
        </w:r>
        <w:r>
          <w:t>.</w:t>
        </w:r>
      </w:hyperlink>
    </w:p>
    <w:p w14:paraId="5EE858C9" w14:textId="77777777" w:rsidR="00313AFA" w:rsidRDefault="00313AFA">
      <w:pPr>
        <w:pStyle w:val="BodyText"/>
        <w:spacing w:before="2"/>
        <w:ind w:left="0"/>
      </w:pPr>
    </w:p>
    <w:p w14:paraId="5EE858CA" w14:textId="77777777" w:rsidR="00313AFA" w:rsidRDefault="00BF6866">
      <w:pPr>
        <w:pStyle w:val="Heading1"/>
        <w:spacing w:line="267" w:lineRule="exact"/>
        <w:rPr>
          <w:u w:val="none"/>
        </w:rPr>
      </w:pPr>
      <w:r>
        <w:t>Responsibilities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Users</w:t>
      </w:r>
    </w:p>
    <w:p w14:paraId="5EE858CB" w14:textId="77777777" w:rsidR="00313AFA" w:rsidRDefault="00BF6866">
      <w:pPr>
        <w:pStyle w:val="BodyText"/>
        <w:ind w:right="144"/>
      </w:pPr>
      <w:r>
        <w:t>Once an event ends, the space used for the event must be restored to its condition when the event began.</w:t>
      </w:r>
      <w:r>
        <w:rPr>
          <w:spacing w:val="40"/>
        </w:rPr>
        <w:t xml:space="preserve"> </w:t>
      </w:r>
      <w:r>
        <w:t>If clean-up or repai</w:t>
      </w:r>
      <w:r>
        <w:t>rs are needed following an event, the student group will be assessed supplementary</w:t>
      </w:r>
      <w:r>
        <w:rPr>
          <w:spacing w:val="-3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clean-up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repairs.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events</w:t>
      </w:r>
    </w:p>
    <w:p w14:paraId="5EE858CC" w14:textId="77777777" w:rsidR="00313AFA" w:rsidRDefault="00313AFA">
      <w:pPr>
        <w:sectPr w:rsidR="00313AFA">
          <w:pgSz w:w="12240" w:h="15840"/>
          <w:pgMar w:top="1380" w:right="1340" w:bottom="280" w:left="1340" w:header="776" w:footer="0" w:gutter="0"/>
          <w:cols w:space="720"/>
        </w:sectPr>
      </w:pPr>
    </w:p>
    <w:p w14:paraId="5EE858CD" w14:textId="77777777" w:rsidR="00313AFA" w:rsidRDefault="00BF6866">
      <w:pPr>
        <w:pStyle w:val="BodyText"/>
        <w:spacing w:before="42"/>
        <w:ind w:right="144"/>
      </w:pPr>
      <w:r>
        <w:lastRenderedPageBreak/>
        <w:t>repeatedly</w:t>
      </w:r>
      <w:r>
        <w:rPr>
          <w:spacing w:val="-3"/>
        </w:rPr>
        <w:t xml:space="preserve"> </w:t>
      </w:r>
      <w:r>
        <w:t>incur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supplementary</w:t>
      </w:r>
      <w:r>
        <w:rPr>
          <w:spacing w:val="-5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ETSU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and/or may be subject to additional conduct procedures.</w:t>
      </w:r>
    </w:p>
    <w:p w14:paraId="5EE858CE" w14:textId="77777777" w:rsidR="00313AFA" w:rsidRDefault="00313AFA">
      <w:pPr>
        <w:pStyle w:val="BodyText"/>
        <w:spacing w:before="1"/>
        <w:ind w:left="0"/>
      </w:pPr>
    </w:p>
    <w:p w14:paraId="5EE858CF" w14:textId="77777777" w:rsidR="00313AFA" w:rsidRDefault="00BF6866">
      <w:pPr>
        <w:pStyle w:val="Heading1"/>
        <w:spacing w:line="267" w:lineRule="exact"/>
        <w:rPr>
          <w:u w:val="none"/>
        </w:rPr>
      </w:pPr>
      <w:r>
        <w:t>Reservation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Rights</w:t>
      </w:r>
    </w:p>
    <w:p w14:paraId="5EE858D0" w14:textId="77777777" w:rsidR="00313AFA" w:rsidRDefault="00BF6866">
      <w:pPr>
        <w:pStyle w:val="BodyText"/>
      </w:pPr>
      <w:r>
        <w:t>Students/student groups reserving space on campus acknowledge that successful submission of a reservation</w:t>
      </w:r>
      <w:r>
        <w:rPr>
          <w:spacing w:val="-1"/>
        </w:rPr>
        <w:t xml:space="preserve"> </w:t>
      </w:r>
      <w:r>
        <w:t>does not guarantee assignment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requested.</w:t>
      </w:r>
      <w:r>
        <w:rPr>
          <w:spacing w:val="-3"/>
        </w:rPr>
        <w:t xml:space="preserve"> </w:t>
      </w:r>
      <w:r>
        <w:t>Furthermore, Student Center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limited to, event size/capacity, maximization of space utilization, or management of safety and security for </w:t>
      </w:r>
      <w:r>
        <w:rPr>
          <w:spacing w:val="-2"/>
        </w:rPr>
        <w:t>participants.</w:t>
      </w:r>
    </w:p>
    <w:p w14:paraId="5EE858D1" w14:textId="77777777" w:rsidR="00313AFA" w:rsidRDefault="00313AFA">
      <w:pPr>
        <w:pStyle w:val="BodyText"/>
        <w:ind w:left="0"/>
      </w:pPr>
    </w:p>
    <w:p w14:paraId="5EE858D2" w14:textId="77777777" w:rsidR="00313AFA" w:rsidRDefault="00BF6866">
      <w:pPr>
        <w:pStyle w:val="BodyText"/>
        <w:ind w:right="144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reservation</w:t>
      </w:r>
      <w:r>
        <w:rPr>
          <w:spacing w:val="-3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ETSU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</w:t>
      </w:r>
      <w:r>
        <w:t>h</w:t>
      </w:r>
      <w:r>
        <w:rPr>
          <w:spacing w:val="-2"/>
        </w:rPr>
        <w:t xml:space="preserve"> </w:t>
      </w:r>
      <w:r>
        <w:t xml:space="preserve">University Counsel and the Vice President for Student Life &amp; Enrollment, reserves the right to make any final decisions on matters not covered by the Facility Use Rule and policies outlined above. Additionally, event and reservation staff of the Student </w:t>
      </w:r>
      <w:r>
        <w:t xml:space="preserve">Center reserve the right to change, alter and/or rearrange parts or all of these polices at any time with the approval of the Vice President for Student Life &amp; </w:t>
      </w:r>
      <w:r>
        <w:rPr>
          <w:spacing w:val="-2"/>
        </w:rPr>
        <w:t>Enrollment.</w:t>
      </w:r>
    </w:p>
    <w:p w14:paraId="5EE858D3" w14:textId="77777777" w:rsidR="00313AFA" w:rsidRDefault="00313AFA">
      <w:pPr>
        <w:pStyle w:val="BodyText"/>
        <w:ind w:left="0"/>
      </w:pPr>
    </w:p>
    <w:p w14:paraId="5EE858D4" w14:textId="77777777" w:rsidR="00313AFA" w:rsidRDefault="00BF6866">
      <w:pPr>
        <w:pStyle w:val="Heading1"/>
        <w:rPr>
          <w:u w:val="none"/>
        </w:rPr>
      </w:pPr>
      <w:r>
        <w:rPr>
          <w:spacing w:val="-2"/>
        </w:rPr>
        <w:t>Exemptions</w:t>
      </w:r>
    </w:p>
    <w:p w14:paraId="5EE858D5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543"/>
        <w:rPr>
          <w:rFonts w:ascii="Symbol" w:hAnsi="Symbol"/>
        </w:rPr>
      </w:pPr>
      <w:r>
        <w:t xml:space="preserve">The sponsorship requirements of this Policy do not apply to events that </w:t>
      </w:r>
      <w:r>
        <w:t>have either a fully confirmed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reservation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contract before September 1, 2023.</w:t>
      </w:r>
    </w:p>
    <w:p w14:paraId="5EE858D6" w14:textId="77777777" w:rsidR="00313AFA" w:rsidRDefault="00BF686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608"/>
        <w:rPr>
          <w:rFonts w:ascii="Symbol" w:hAnsi="Symbol"/>
        </w:rPr>
      </w:pPr>
      <w:r>
        <w:t>The sponsorship requirements of this Policy do not apply to the use of ETSU Property by governmental</w:t>
      </w:r>
      <w:r>
        <w:rPr>
          <w:spacing w:val="-2"/>
        </w:rPr>
        <w:t xml:space="preserve"> </w:t>
      </w:r>
      <w:r>
        <w:t>entities,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Johnson</w:t>
      </w:r>
      <w:r>
        <w:rPr>
          <w:spacing w:val="-6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ETSU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ETSU</w:t>
      </w:r>
      <w:r>
        <w:rPr>
          <w:spacing w:val="-2"/>
        </w:rPr>
        <w:t xml:space="preserve"> </w:t>
      </w:r>
      <w:r>
        <w:t>Property available to governmental entities at an agreed rate or without compensation.</w:t>
      </w:r>
    </w:p>
    <w:p w14:paraId="5EE858D7" w14:textId="77777777" w:rsidR="00313AFA" w:rsidRDefault="00BF6866">
      <w:pPr>
        <w:pStyle w:val="Heading1"/>
        <w:spacing w:before="267"/>
        <w:rPr>
          <w:u w:val="none"/>
        </w:rPr>
      </w:pPr>
      <w:r>
        <w:rPr>
          <w:spacing w:val="-2"/>
        </w:rPr>
        <w:t>I</w:t>
      </w:r>
      <w:r>
        <w:rPr>
          <w:spacing w:val="-2"/>
        </w:rPr>
        <w:t>nterpretations</w:t>
      </w:r>
    </w:p>
    <w:p w14:paraId="5EE858D8" w14:textId="77777777" w:rsidR="00313AFA" w:rsidRDefault="00BF6866">
      <w:pPr>
        <w:pStyle w:val="BodyText"/>
        <w:ind w:right="114"/>
      </w:pPr>
      <w:r>
        <w:t>This Policy is intended to be applied consistently and in compliance with all</w:t>
      </w:r>
      <w:r>
        <w:rPr>
          <w:spacing w:val="-1"/>
        </w:rPr>
        <w:t xml:space="preserve"> </w:t>
      </w:r>
      <w:r>
        <w:t>applicable laws and policies, including the First Amendment to the United States Constitution, Article I Section 19 to the Tennessee Constitution,</w:t>
      </w:r>
      <w:r>
        <w:rPr>
          <w:spacing w:val="-1"/>
        </w:rPr>
        <w:t xml:space="preserve"> </w:t>
      </w:r>
      <w:hyperlink r:id="rId14">
        <w:r>
          <w:rPr>
            <w:color w:val="0462C1"/>
            <w:u w:val="single" w:color="0462C1"/>
          </w:rPr>
          <w:t>Tenn. Comp.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R. &amp;Regs.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§ 1720-01-02</w:t>
        </w:r>
      </w:hyperlink>
      <w:r>
        <w:rPr>
          <w:color w:val="0462C1"/>
        </w:rPr>
        <w:t xml:space="preserve"> </w:t>
      </w:r>
      <w:r>
        <w:t xml:space="preserve">(Regulations on the Use of University Property) and </w:t>
      </w:r>
      <w:hyperlink r:id="rId15">
        <w:r>
          <w:rPr>
            <w:color w:val="0462C1"/>
            <w:u w:val="single" w:color="0462C1"/>
          </w:rPr>
          <w:t>§</w:t>
        </w:r>
      </w:hyperlink>
      <w:r>
        <w:rPr>
          <w:color w:val="0462C1"/>
        </w:rPr>
        <w:t xml:space="preserve"> </w:t>
      </w:r>
      <w:hyperlink r:id="rId16">
        <w:r>
          <w:rPr>
            <w:color w:val="0462C1"/>
            <w:u w:val="single" w:color="0462C1"/>
          </w:rPr>
          <w:t>1720-01-12</w:t>
        </w:r>
      </w:hyperlink>
      <w:r>
        <w:rPr>
          <w:color w:val="0462C1"/>
        </w:rPr>
        <w:t xml:space="preserve"> </w:t>
      </w:r>
      <w:r>
        <w:t>(Regulation on the Use of University Property by Non-Affiliated Persons for Free Expression Activities), Board Policy (</w:t>
      </w:r>
      <w:hyperlink r:id="rId17">
        <w:r>
          <w:rPr>
            <w:color w:val="0462C1"/>
            <w:u w:val="single" w:color="0462C1"/>
          </w:rPr>
          <w:t>Use of Cam</w:t>
        </w:r>
        <w:r>
          <w:rPr>
            <w:color w:val="0462C1"/>
            <w:u w:val="single" w:color="0462C1"/>
          </w:rPr>
          <w:t>pus Property &amp; Facilities</w:t>
        </w:r>
      </w:hyperlink>
      <w:r>
        <w:t xml:space="preserve">, </w:t>
      </w:r>
      <w:hyperlink r:id="rId18">
        <w:r>
          <w:rPr>
            <w:color w:val="0462C1"/>
            <w:u w:val="single" w:color="0462C1"/>
          </w:rPr>
          <w:t>University Free Speech</w:t>
        </w:r>
      </w:hyperlink>
      <w:r>
        <w:t xml:space="preserve">) and Tenn. Code Ann. § 49-7-2401 </w:t>
      </w:r>
      <w:r>
        <w:rPr>
          <w:i/>
        </w:rPr>
        <w:t xml:space="preserve">et seq. </w:t>
      </w:r>
      <w:r>
        <w:t>(</w:t>
      </w:r>
      <w:hyperlink r:id="rId19">
        <w:r>
          <w:rPr>
            <w:color w:val="0462C1"/>
            <w:u w:val="single" w:color="0462C1"/>
          </w:rPr>
          <w:t>the Tennessee Campus Free Speech Protection Act</w:t>
        </w:r>
      </w:hyperlink>
      <w:r>
        <w:t>.) No decisions made in applying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proofErr w:type="gramStart"/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viewpoint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t>ny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wishes to</w:t>
      </w:r>
      <w:r>
        <w:rPr>
          <w:spacing w:val="-1"/>
        </w:rPr>
        <w:t xml:space="preserve"> </w:t>
      </w:r>
      <w:r>
        <w:t>engage in</w:t>
      </w:r>
      <w:r>
        <w:rPr>
          <w:spacing w:val="-2"/>
        </w:rPr>
        <w:t xml:space="preserve"> </w:t>
      </w:r>
      <w:r>
        <w:t>free expression</w:t>
      </w:r>
      <w:r>
        <w:rPr>
          <w:spacing w:val="-1"/>
        </w:rPr>
        <w:t xml:space="preserve"> </w:t>
      </w:r>
      <w:r>
        <w:t>activities.</w:t>
      </w:r>
      <w:r>
        <w:rPr>
          <w:spacing w:val="40"/>
        </w:rPr>
        <w:t xml:space="preserve"> </w:t>
      </w:r>
      <w:r>
        <w:t>Any questions</w:t>
      </w:r>
      <w:r>
        <w:rPr>
          <w:spacing w:val="-2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applicability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 laws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proper interpretation of this Policy should be addressed to the ETSU Office of University Counsel.</w:t>
      </w:r>
    </w:p>
    <w:sectPr w:rsidR="00313AFA">
      <w:pgSz w:w="12240" w:h="15840"/>
      <w:pgMar w:top="1380" w:right="1340" w:bottom="280" w:left="134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58DE" w14:textId="77777777" w:rsidR="00000000" w:rsidRDefault="00BF6866">
      <w:r>
        <w:separator/>
      </w:r>
    </w:p>
  </w:endnote>
  <w:endnote w:type="continuationSeparator" w:id="0">
    <w:p w14:paraId="5EE858E0" w14:textId="77777777" w:rsidR="00000000" w:rsidRDefault="00B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58DA" w14:textId="77777777" w:rsidR="00000000" w:rsidRDefault="00BF6866">
      <w:r>
        <w:separator/>
      </w:r>
    </w:p>
  </w:footnote>
  <w:footnote w:type="continuationSeparator" w:id="0">
    <w:p w14:paraId="5EE858DC" w14:textId="77777777" w:rsidR="00000000" w:rsidRDefault="00BF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58D9" w14:textId="77777777" w:rsidR="00313AFA" w:rsidRDefault="00BF686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EE858DA" wp14:editId="5EE858DB">
              <wp:simplePos x="0" y="0"/>
              <wp:positionH relativeFrom="page">
                <wp:posOffset>902004</wp:posOffset>
              </wp:positionH>
              <wp:positionV relativeFrom="page">
                <wp:posOffset>479933</wp:posOffset>
              </wp:positionV>
              <wp:extent cx="4337050" cy="420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858DC" w14:textId="77777777" w:rsidR="00313AFA" w:rsidRDefault="00BF6866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Student/Student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Organization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Event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Reservations</w:t>
                          </w:r>
                        </w:p>
                        <w:p w14:paraId="5EE858DD" w14:textId="77777777" w:rsidR="00313AFA" w:rsidRDefault="00BF6866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East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Tennessee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State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858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7.8pt;width:341.5pt;height:33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" filled="f" stroked="f">
              <v:textbox inset="0,0,0,0">
                <w:txbxContent>
                  <w:p w14:paraId="5EE858DC" w14:textId="77777777" w:rsidR="00313AFA" w:rsidRDefault="00BF6866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Student/Student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Organization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Campus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Event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Reservations</w:t>
                    </w:r>
                  </w:p>
                  <w:p w14:paraId="5EE858DD" w14:textId="77777777" w:rsidR="00313AFA" w:rsidRDefault="00BF6866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East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Tennessee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State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5733"/>
    <w:multiLevelType w:val="hybridMultilevel"/>
    <w:tmpl w:val="0F22E36E"/>
    <w:lvl w:ilvl="0" w:tplc="972E31C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D7E96D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E80E1B6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B218CD9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B1E0F7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1E5AAAB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AB8EEED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7689D1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FC341A0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25181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FA"/>
    <w:rsid w:val="00313AFA"/>
    <w:rsid w:val="00B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892"/>
  <w15:docId w15:val="{BACDFF74-DC53-4621-8644-B82CE0E5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u.edu/students/sao/documents/saogenpolicies2021.pdf" TargetMode="External"/><Relationship Id="rId13" Type="http://schemas.openxmlformats.org/officeDocument/2006/relationships/hyperlink" Target="https://www.etsu.edu/students/student-center/documents/facilitypolicy.pdf" TargetMode="External"/><Relationship Id="rId18" Type="http://schemas.openxmlformats.org/officeDocument/2006/relationships/hyperlink" Target="https://www.etsu.edu/policies/student/university_free_speech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tsu.edu/policies/student/university_free_speech.php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etsu.edu/students/student-center/documents/facility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ations.tnsosfiles.com/rules/1720/1720-01/1720-01-12.2014101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su.edu/policies/student/university_free_speech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lications.tnsosfiles.com/rules/1720/1720-01/1720-01-12.20141015.pdf" TargetMode="External"/><Relationship Id="rId10" Type="http://schemas.openxmlformats.org/officeDocument/2006/relationships/hyperlink" Target="https://www.etsu.edu/policies/documents/student_studentorganizations__3.24.2017.pdf" TargetMode="External"/><Relationship Id="rId19" Type="http://schemas.openxmlformats.org/officeDocument/2006/relationships/hyperlink" Target="https://publications.tnsosfiles.com/acts/110/pub/pc033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u.edu/students/sao/documents/saogenpolicies2021.pdf" TargetMode="External"/><Relationship Id="rId14" Type="http://schemas.openxmlformats.org/officeDocument/2006/relationships/hyperlink" Target="https://publications.tnsosfiles.com/rules/1720/1720-01/1720-01-02.201605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2065</Words>
  <Characters>11776</Characters>
  <Application>Microsoft Office Word</Application>
  <DocSecurity>0</DocSecurity>
  <Lines>98</Lines>
  <Paragraphs>27</Paragraphs>
  <ScaleCrop>false</ScaleCrop>
  <Company>East Tennessee State University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Adinolfi, M Leah</dc:creator>
  <cp:lastModifiedBy>Hensley, Laura G.</cp:lastModifiedBy>
  <cp:revision>2</cp:revision>
  <dcterms:created xsi:type="dcterms:W3CDTF">2024-08-30T14:33:00Z</dcterms:created>
  <dcterms:modified xsi:type="dcterms:W3CDTF">2024-08-30T14:33:00Z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LTSC</vt:lpwstr>
  </property>
</Properties>
</file>