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68E0EB" w14:textId="77777777" w:rsidR="00186D6A" w:rsidRPr="005F6896" w:rsidRDefault="00186D6A" w:rsidP="00186D6A">
      <w:pPr>
        <w:rPr>
          <w:b/>
        </w:rPr>
      </w:pPr>
      <w:r w:rsidRPr="005F6896">
        <w:rPr>
          <w:b/>
        </w:rPr>
        <w:t>Undergraduate Curriculum Committee</w:t>
      </w:r>
    </w:p>
    <w:p w14:paraId="118985AB" w14:textId="77777777" w:rsidR="00186D6A" w:rsidRPr="005F6896" w:rsidRDefault="00186D6A" w:rsidP="00186D6A">
      <w:pPr>
        <w:rPr>
          <w:b/>
        </w:rPr>
      </w:pPr>
      <w:r w:rsidRPr="005F6896">
        <w:rPr>
          <w:b/>
        </w:rPr>
        <w:t>Meeting Notes</w:t>
      </w:r>
    </w:p>
    <w:p w14:paraId="63D9B2FB" w14:textId="45931CFD" w:rsidR="00186D6A" w:rsidRPr="005F6896" w:rsidRDefault="009A01CA" w:rsidP="00186D6A">
      <w:pPr>
        <w:rPr>
          <w:b/>
        </w:rPr>
      </w:pPr>
      <w:r w:rsidRPr="005F6896">
        <w:rPr>
          <w:b/>
        </w:rPr>
        <w:t xml:space="preserve">October </w:t>
      </w:r>
      <w:r w:rsidR="00DA14FA" w:rsidRPr="005F6896">
        <w:rPr>
          <w:b/>
        </w:rPr>
        <w:t>22</w:t>
      </w:r>
      <w:r w:rsidRPr="005F6896">
        <w:rPr>
          <w:b/>
        </w:rPr>
        <w:t>, 2014</w:t>
      </w:r>
    </w:p>
    <w:p w14:paraId="31B43A6D" w14:textId="77777777" w:rsidR="00186D6A" w:rsidRPr="005F6896" w:rsidRDefault="00186D6A" w:rsidP="00186D6A">
      <w:pPr>
        <w:rPr>
          <w:b/>
        </w:rPr>
      </w:pPr>
    </w:p>
    <w:p w14:paraId="6A322902" w14:textId="77777777" w:rsidR="00186D6A" w:rsidRPr="005F6896" w:rsidRDefault="00186D6A" w:rsidP="00186D6A">
      <w:pPr>
        <w:rPr>
          <w:b/>
        </w:rPr>
      </w:pPr>
    </w:p>
    <w:p w14:paraId="33240319" w14:textId="76010408" w:rsidR="0015265F" w:rsidRPr="005F6896" w:rsidRDefault="0015265F" w:rsidP="0015265F">
      <w:r w:rsidRPr="005F6896">
        <w:rPr>
          <w:b/>
        </w:rPr>
        <w:t xml:space="preserve">Members present: </w:t>
      </w:r>
      <w:r w:rsidRPr="005F6896">
        <w:t xml:space="preserve">Joanna Anderson, Rhonda </w:t>
      </w:r>
      <w:proofErr w:type="spellStart"/>
      <w:r w:rsidRPr="005F6896">
        <w:t>Brodrick</w:t>
      </w:r>
      <w:proofErr w:type="spellEnd"/>
      <w:r w:rsidRPr="005F6896">
        <w:t xml:space="preserve">, </w:t>
      </w:r>
      <w:r w:rsidR="009D1513">
        <w:t xml:space="preserve">Sheryl Burnette, </w:t>
      </w:r>
      <w:r w:rsidRPr="005F6896">
        <w:t xml:space="preserve">Shirley Cherry, T. Jason Davis, Julie Fox-Horton, J. Keith Green, Marsh </w:t>
      </w:r>
      <w:proofErr w:type="spellStart"/>
      <w:r w:rsidRPr="005F6896">
        <w:t>Grube</w:t>
      </w:r>
      <w:proofErr w:type="spellEnd"/>
      <w:r w:rsidRPr="005F6896">
        <w:t xml:space="preserve">, Jill LeRoy-Frazier, </w:t>
      </w:r>
      <w:proofErr w:type="spellStart"/>
      <w:r w:rsidRPr="005F6896">
        <w:t>Effiong</w:t>
      </w:r>
      <w:proofErr w:type="spellEnd"/>
      <w:r w:rsidRPr="005F6896">
        <w:t xml:space="preserve"> </w:t>
      </w:r>
      <w:proofErr w:type="spellStart"/>
      <w:r w:rsidRPr="005F6896">
        <w:t>Otukonyong</w:t>
      </w:r>
      <w:proofErr w:type="spellEnd"/>
      <w:r w:rsidRPr="005F6896">
        <w:t xml:space="preserve">, </w:t>
      </w:r>
      <w:r w:rsidR="009D1513">
        <w:t>Evelyn Roach</w:t>
      </w:r>
      <w:r w:rsidRPr="005F6896">
        <w:t xml:space="preserve">, Kim Sell, </w:t>
      </w:r>
      <w:proofErr w:type="gramStart"/>
      <w:r w:rsidRPr="005F6896">
        <w:t>Suzanne</w:t>
      </w:r>
      <w:proofErr w:type="gramEnd"/>
      <w:r w:rsidRPr="005F6896">
        <w:t xml:space="preserve"> Smith</w:t>
      </w:r>
    </w:p>
    <w:p w14:paraId="0797AFDA" w14:textId="77777777" w:rsidR="0015265F" w:rsidRPr="005F6896" w:rsidRDefault="0015265F" w:rsidP="0015265F"/>
    <w:p w14:paraId="6141E289" w14:textId="7B5A6FAF" w:rsidR="0015265F" w:rsidRPr="005F6896" w:rsidRDefault="0015265F" w:rsidP="0015265F">
      <w:r w:rsidRPr="005F6896">
        <w:rPr>
          <w:b/>
        </w:rPr>
        <w:t>Guests present:</w:t>
      </w:r>
      <w:r w:rsidRPr="005F6896">
        <w:t xml:space="preserve"> </w:t>
      </w:r>
      <w:r w:rsidR="00DA14FA" w:rsidRPr="005F6896">
        <w:t>Martin Fitzgerald</w:t>
      </w:r>
    </w:p>
    <w:p w14:paraId="41A29438" w14:textId="77777777" w:rsidR="00A43C73" w:rsidRPr="005F6896" w:rsidRDefault="00A43C73"/>
    <w:p w14:paraId="50BA6BBF" w14:textId="32B41CE2" w:rsidR="00DE1E56" w:rsidRPr="005F6896" w:rsidRDefault="00A43C73">
      <w:r w:rsidRPr="005F6896">
        <w:t xml:space="preserve">The meeting was called to order at </w:t>
      </w:r>
      <w:r w:rsidR="009A01CA" w:rsidRPr="005F6896">
        <w:tab/>
      </w:r>
      <w:r w:rsidR="009D1513">
        <w:t xml:space="preserve">2 </w:t>
      </w:r>
      <w:r w:rsidR="0015265F" w:rsidRPr="005F6896">
        <w:t>pm</w:t>
      </w:r>
      <w:r w:rsidR="00BD1895" w:rsidRPr="005F6896">
        <w:t xml:space="preserve"> by Chair </w:t>
      </w:r>
      <w:r w:rsidR="00DE1E56" w:rsidRPr="005F6896">
        <w:t>Jill LeRoy-Frazier</w:t>
      </w:r>
      <w:r w:rsidR="008011B6" w:rsidRPr="005F6896">
        <w:t xml:space="preserve">. </w:t>
      </w:r>
    </w:p>
    <w:p w14:paraId="6DEBD424" w14:textId="77777777" w:rsidR="00DE1E56" w:rsidRPr="005F6896" w:rsidRDefault="00DE1E56"/>
    <w:p w14:paraId="0B3662B1" w14:textId="6D07CF87" w:rsidR="00DE1E56" w:rsidRPr="005F6896" w:rsidRDefault="0075055A">
      <w:r w:rsidRPr="005F6896">
        <w:rPr>
          <w:b/>
        </w:rPr>
        <w:t>Old Business</w:t>
      </w:r>
    </w:p>
    <w:p w14:paraId="5FB165DA" w14:textId="77777777" w:rsidR="0075055A" w:rsidRPr="005F6896" w:rsidRDefault="0075055A"/>
    <w:p w14:paraId="710C5699" w14:textId="46694736" w:rsidR="00717168" w:rsidRPr="005F6896" w:rsidRDefault="009D1513" w:rsidP="00717168">
      <w:r>
        <w:t xml:space="preserve">Suzanne Smith </w:t>
      </w:r>
      <w:r w:rsidR="00717168" w:rsidRPr="005F6896">
        <w:t xml:space="preserve">moved to approve the October </w:t>
      </w:r>
      <w:r w:rsidR="00DA14FA" w:rsidRPr="005F6896">
        <w:t>15</w:t>
      </w:r>
      <w:r w:rsidR="00717168" w:rsidRPr="005F6896">
        <w:t xml:space="preserve">, 2014 minutes and was seconded by </w:t>
      </w:r>
      <w:proofErr w:type="spellStart"/>
      <w:r>
        <w:t>Effiong</w:t>
      </w:r>
      <w:proofErr w:type="spellEnd"/>
      <w:r>
        <w:t xml:space="preserve"> </w:t>
      </w:r>
      <w:proofErr w:type="spellStart"/>
      <w:r>
        <w:t>Otukonyong</w:t>
      </w:r>
      <w:proofErr w:type="spellEnd"/>
      <w:r w:rsidR="00717168" w:rsidRPr="005F6896">
        <w:t xml:space="preserve">.  The motion passed unanimously. </w:t>
      </w:r>
    </w:p>
    <w:p w14:paraId="07812BB5" w14:textId="77777777" w:rsidR="00E27719" w:rsidRPr="005F6896" w:rsidRDefault="00E27719" w:rsidP="00E27719"/>
    <w:p w14:paraId="05F01CAB" w14:textId="5058B1E1" w:rsidR="009D1513" w:rsidRPr="00434E95" w:rsidRDefault="009D1513" w:rsidP="009D1513">
      <w:pPr>
        <w:ind w:left="360" w:hanging="360"/>
        <w:rPr>
          <w:rFonts w:cs="Arial"/>
        </w:rPr>
      </w:pPr>
      <w:r w:rsidRPr="00434E95">
        <w:rPr>
          <w:rFonts w:cs="Arial"/>
          <w:i/>
        </w:rPr>
        <w:t>Actions of the Chair on Behalf of the Committee:</w:t>
      </w:r>
      <w:r w:rsidRPr="00434E95">
        <w:rPr>
          <w:rFonts w:cs="Arial"/>
        </w:rPr>
        <w:t xml:space="preserve">  </w:t>
      </w:r>
      <w:r>
        <w:rPr>
          <w:rFonts w:cs="Arial"/>
        </w:rPr>
        <w:t xml:space="preserve">Returned FREN 4747/5747 for recommended revisions and edits.  </w:t>
      </w:r>
      <w:proofErr w:type="gramStart"/>
      <w:r>
        <w:rPr>
          <w:rFonts w:cs="Arial"/>
        </w:rPr>
        <w:t>Approved SOWK 2500, 3310, 4330, 4340, 4451, 4452, 4454, 4457, and the TBR proposal.</w:t>
      </w:r>
      <w:proofErr w:type="gramEnd"/>
      <w:r>
        <w:rPr>
          <w:rFonts w:cs="Arial"/>
        </w:rPr>
        <w:t xml:space="preserve">  SOWK 4455 has a CPS glitch and is unable to be edited, but Fred Washington has tried to make the recommended changes so we are proceeding as if the course is complete until OIT can address the CPS problem.</w:t>
      </w:r>
    </w:p>
    <w:p w14:paraId="67887C26" w14:textId="77777777" w:rsidR="009D1513" w:rsidRPr="00434E95" w:rsidRDefault="009D1513" w:rsidP="009D1513">
      <w:pPr>
        <w:ind w:left="360" w:hanging="360"/>
        <w:rPr>
          <w:rFonts w:cs="Arial"/>
        </w:rPr>
      </w:pPr>
    </w:p>
    <w:p w14:paraId="7A0FA833" w14:textId="77777777" w:rsidR="009D1513" w:rsidRDefault="009D1513" w:rsidP="009D1513">
      <w:pPr>
        <w:ind w:left="360" w:hanging="360"/>
        <w:rPr>
          <w:rFonts w:cs="Arial"/>
        </w:rPr>
      </w:pPr>
      <w:r w:rsidRPr="00434E95">
        <w:rPr>
          <w:rFonts w:cs="Arial"/>
          <w:u w:val="single"/>
        </w:rPr>
        <w:t>Outstanding proposals</w:t>
      </w:r>
    </w:p>
    <w:p w14:paraId="4E198E2B" w14:textId="2BC9FB4E" w:rsidR="00006D38" w:rsidRDefault="00006D38" w:rsidP="00006D38">
      <w:pPr>
        <w:pStyle w:val="ListParagraph"/>
        <w:numPr>
          <w:ilvl w:val="0"/>
          <w:numId w:val="32"/>
        </w:numPr>
        <w:rPr>
          <w:rFonts w:cs="Arial"/>
        </w:rPr>
      </w:pPr>
      <w:r w:rsidRPr="00006D38">
        <w:rPr>
          <w:rFonts w:cs="Arial"/>
        </w:rPr>
        <w:t xml:space="preserve">DIGM course proposals (19) and TBR proposal – on </w:t>
      </w:r>
      <w:r w:rsidR="004342C9">
        <w:rPr>
          <w:rFonts w:cs="Arial"/>
        </w:rPr>
        <w:t>today’s agenda</w:t>
      </w:r>
    </w:p>
    <w:p w14:paraId="126D0DCC" w14:textId="02098A6F" w:rsidR="00006D38" w:rsidRPr="00006D38" w:rsidRDefault="00006D38" w:rsidP="00006D38">
      <w:pPr>
        <w:pStyle w:val="ListParagraph"/>
        <w:numPr>
          <w:ilvl w:val="0"/>
          <w:numId w:val="32"/>
        </w:numPr>
        <w:rPr>
          <w:rFonts w:cs="Arial"/>
        </w:rPr>
      </w:pPr>
      <w:r>
        <w:rPr>
          <w:rFonts w:cs="Arial"/>
        </w:rPr>
        <w:t>BBA admissions standards (TBR) – ready for UCC review (added to today’s agenda)</w:t>
      </w:r>
    </w:p>
    <w:p w14:paraId="75ACD2D0" w14:textId="2A504605" w:rsidR="009D1513" w:rsidRDefault="009D1513" w:rsidP="00006D38">
      <w:pPr>
        <w:pStyle w:val="ListParagraph"/>
        <w:numPr>
          <w:ilvl w:val="0"/>
          <w:numId w:val="32"/>
        </w:numPr>
        <w:rPr>
          <w:rFonts w:cs="Arial"/>
        </w:rPr>
      </w:pPr>
      <w:r w:rsidRPr="00006D38">
        <w:rPr>
          <w:rFonts w:cs="Arial"/>
        </w:rPr>
        <w:t>HIST course proposals (37) and TBR proposal – on agenda for 10/29</w:t>
      </w:r>
      <w:r w:rsidR="00006D38" w:rsidRPr="00006D38">
        <w:rPr>
          <w:rFonts w:cs="Arial"/>
        </w:rPr>
        <w:t>/2014</w:t>
      </w:r>
    </w:p>
    <w:p w14:paraId="16F2CDF2" w14:textId="727403C6" w:rsidR="005245A4" w:rsidRPr="005245A4" w:rsidRDefault="005245A4" w:rsidP="005245A4">
      <w:pPr>
        <w:pStyle w:val="ListParagraph"/>
        <w:numPr>
          <w:ilvl w:val="0"/>
          <w:numId w:val="32"/>
        </w:numPr>
        <w:rPr>
          <w:rFonts w:cs="Arial"/>
        </w:rPr>
      </w:pPr>
      <w:r>
        <w:rPr>
          <w:rFonts w:cs="Arial"/>
        </w:rPr>
        <w:t>Social medicine minor (TBR) – added to agenda for 10/29/2014</w:t>
      </w:r>
    </w:p>
    <w:p w14:paraId="467A9244" w14:textId="51E648BC" w:rsidR="00006D38" w:rsidRPr="00006D38" w:rsidRDefault="00006D38" w:rsidP="00006D38">
      <w:pPr>
        <w:pStyle w:val="ListParagraph"/>
        <w:numPr>
          <w:ilvl w:val="0"/>
          <w:numId w:val="32"/>
        </w:numPr>
        <w:rPr>
          <w:rFonts w:cs="Arial"/>
        </w:rPr>
      </w:pPr>
      <w:r w:rsidRPr="00006D38">
        <w:rPr>
          <w:rFonts w:cs="Arial"/>
        </w:rPr>
        <w:t>NRSE course proposals (2) and TBR proposal – on agenda for 11/5/2014</w:t>
      </w:r>
    </w:p>
    <w:p w14:paraId="47FA6B9C" w14:textId="3E7BD6FB" w:rsidR="00006D38" w:rsidRDefault="00006D38" w:rsidP="00006D38">
      <w:pPr>
        <w:pStyle w:val="ListParagraph"/>
        <w:numPr>
          <w:ilvl w:val="0"/>
          <w:numId w:val="32"/>
        </w:numPr>
        <w:rPr>
          <w:rFonts w:cs="Arial"/>
        </w:rPr>
      </w:pPr>
      <w:r w:rsidRPr="00006D38">
        <w:rPr>
          <w:rFonts w:cs="Arial"/>
        </w:rPr>
        <w:t>GEOS course proposals (10) and TBR proposal, plus 3 non-substantive curriculum changes – on agenda for 11/5/2014</w:t>
      </w:r>
    </w:p>
    <w:p w14:paraId="26818D40" w14:textId="5314A1FF" w:rsidR="00006D38" w:rsidRDefault="00006D38" w:rsidP="00006D38">
      <w:pPr>
        <w:pStyle w:val="ListParagraph"/>
        <w:numPr>
          <w:ilvl w:val="0"/>
          <w:numId w:val="32"/>
        </w:numPr>
        <w:rPr>
          <w:rFonts w:cs="Arial"/>
        </w:rPr>
      </w:pPr>
      <w:r>
        <w:rPr>
          <w:rFonts w:cs="Arial"/>
        </w:rPr>
        <w:t>The following proposals are ready for UCC review</w:t>
      </w:r>
    </w:p>
    <w:p w14:paraId="6D4B334F" w14:textId="5BE4167A" w:rsidR="00006D38" w:rsidRDefault="00006D38" w:rsidP="00006D38">
      <w:pPr>
        <w:pStyle w:val="ListParagraph"/>
        <w:numPr>
          <w:ilvl w:val="1"/>
          <w:numId w:val="32"/>
        </w:numPr>
        <w:rPr>
          <w:rFonts w:cs="Arial"/>
        </w:rPr>
      </w:pPr>
      <w:r>
        <w:rPr>
          <w:rFonts w:cs="Arial"/>
        </w:rPr>
        <w:t>International Commerce B.A. (</w:t>
      </w:r>
      <w:proofErr w:type="spellStart"/>
      <w:r>
        <w:rPr>
          <w:rFonts w:cs="Arial"/>
        </w:rPr>
        <w:t>nonsubstantive</w:t>
      </w:r>
      <w:proofErr w:type="spellEnd"/>
      <w:r>
        <w:rPr>
          <w:rFonts w:cs="Arial"/>
        </w:rPr>
        <w:t xml:space="preserve">) </w:t>
      </w:r>
    </w:p>
    <w:p w14:paraId="43108271" w14:textId="036D59EF" w:rsidR="00006D38" w:rsidRDefault="00006D38" w:rsidP="00006D38">
      <w:pPr>
        <w:pStyle w:val="ListParagraph"/>
        <w:numPr>
          <w:ilvl w:val="1"/>
          <w:numId w:val="32"/>
        </w:numPr>
        <w:rPr>
          <w:rFonts w:cs="Arial"/>
        </w:rPr>
      </w:pPr>
      <w:r>
        <w:rPr>
          <w:rFonts w:cs="Arial"/>
        </w:rPr>
        <w:t>Finance minor (</w:t>
      </w:r>
      <w:proofErr w:type="spellStart"/>
      <w:r>
        <w:rPr>
          <w:rFonts w:cs="Arial"/>
        </w:rPr>
        <w:t>nonsubstantive</w:t>
      </w:r>
      <w:proofErr w:type="spellEnd"/>
      <w:r>
        <w:rPr>
          <w:rFonts w:cs="Arial"/>
        </w:rPr>
        <w:t>)</w:t>
      </w:r>
    </w:p>
    <w:p w14:paraId="04C7CAA3" w14:textId="151FD389" w:rsidR="00006D38" w:rsidRDefault="00006D38" w:rsidP="00006D38">
      <w:pPr>
        <w:pStyle w:val="ListParagraph"/>
        <w:numPr>
          <w:ilvl w:val="1"/>
          <w:numId w:val="32"/>
        </w:numPr>
        <w:rPr>
          <w:rFonts w:cs="Arial"/>
        </w:rPr>
      </w:pPr>
      <w:r>
        <w:rPr>
          <w:rFonts w:cs="Arial"/>
        </w:rPr>
        <w:t xml:space="preserve">Terminate the Urban Studies minor (TBR) </w:t>
      </w:r>
    </w:p>
    <w:p w14:paraId="36BDB6DB" w14:textId="658929BF" w:rsidR="00006D38" w:rsidRDefault="00006D38" w:rsidP="00006D38">
      <w:pPr>
        <w:pStyle w:val="ListParagraph"/>
        <w:numPr>
          <w:ilvl w:val="1"/>
          <w:numId w:val="32"/>
        </w:numPr>
        <w:rPr>
          <w:rFonts w:cs="Arial"/>
        </w:rPr>
      </w:pPr>
      <w:r>
        <w:rPr>
          <w:rFonts w:cs="Arial"/>
        </w:rPr>
        <w:t>ENVH 4737/5737 new course proposal</w:t>
      </w:r>
    </w:p>
    <w:p w14:paraId="5A13827E" w14:textId="77777777" w:rsidR="00006D38" w:rsidRDefault="00006D38" w:rsidP="00006D38">
      <w:pPr>
        <w:pStyle w:val="ListParagraph"/>
        <w:numPr>
          <w:ilvl w:val="0"/>
          <w:numId w:val="32"/>
        </w:numPr>
        <w:rPr>
          <w:rFonts w:cs="Arial"/>
        </w:rPr>
      </w:pPr>
      <w:r>
        <w:rPr>
          <w:rFonts w:cs="Arial"/>
        </w:rPr>
        <w:t>The following proposals are pending but not yet ready for UCC review</w:t>
      </w:r>
    </w:p>
    <w:p w14:paraId="42C04A7D" w14:textId="4A00AFAB" w:rsidR="00006D38" w:rsidRDefault="00006D38" w:rsidP="00006D38">
      <w:pPr>
        <w:pStyle w:val="ListParagraph"/>
        <w:numPr>
          <w:ilvl w:val="1"/>
          <w:numId w:val="32"/>
        </w:numPr>
        <w:rPr>
          <w:rFonts w:cs="Arial"/>
        </w:rPr>
      </w:pPr>
      <w:r>
        <w:rPr>
          <w:rFonts w:cs="Arial"/>
        </w:rPr>
        <w:t>Establish a Public Administration minor (TBR)</w:t>
      </w:r>
    </w:p>
    <w:p w14:paraId="40564E25" w14:textId="58C1A35A" w:rsidR="00006D38" w:rsidRDefault="00006D38" w:rsidP="00006D38">
      <w:pPr>
        <w:pStyle w:val="ListParagraph"/>
        <w:numPr>
          <w:ilvl w:val="1"/>
          <w:numId w:val="32"/>
        </w:numPr>
        <w:rPr>
          <w:rFonts w:cs="Arial"/>
        </w:rPr>
      </w:pPr>
      <w:r>
        <w:rPr>
          <w:rFonts w:cs="Arial"/>
        </w:rPr>
        <w:t>Inactivate the Technical Writing minor (TBR)</w:t>
      </w:r>
    </w:p>
    <w:p w14:paraId="175FFEE0" w14:textId="1FE4C649" w:rsidR="00006D38" w:rsidRDefault="00006D38" w:rsidP="00006D38">
      <w:pPr>
        <w:pStyle w:val="ListParagraph"/>
        <w:numPr>
          <w:ilvl w:val="1"/>
          <w:numId w:val="32"/>
        </w:numPr>
        <w:rPr>
          <w:rFonts w:cs="Arial"/>
        </w:rPr>
      </w:pPr>
      <w:r>
        <w:rPr>
          <w:rFonts w:cs="Arial"/>
        </w:rPr>
        <w:t>Modify the BM (</w:t>
      </w:r>
      <w:proofErr w:type="spellStart"/>
      <w:r>
        <w:rPr>
          <w:rFonts w:cs="Arial"/>
        </w:rPr>
        <w:t>nonsubstantive</w:t>
      </w:r>
      <w:proofErr w:type="spellEnd"/>
      <w:r>
        <w:rPr>
          <w:rFonts w:cs="Arial"/>
        </w:rPr>
        <w:t>)</w:t>
      </w:r>
    </w:p>
    <w:p w14:paraId="17A49495" w14:textId="24E77A57" w:rsidR="00006D38" w:rsidRDefault="00006D38" w:rsidP="00006D38">
      <w:pPr>
        <w:pStyle w:val="ListParagraph"/>
        <w:numPr>
          <w:ilvl w:val="1"/>
          <w:numId w:val="32"/>
        </w:numPr>
        <w:rPr>
          <w:rFonts w:cs="Arial"/>
        </w:rPr>
      </w:pPr>
      <w:r>
        <w:rPr>
          <w:rFonts w:cs="Arial"/>
        </w:rPr>
        <w:t>Modify the MGMT minor (</w:t>
      </w:r>
      <w:proofErr w:type="spellStart"/>
      <w:r>
        <w:rPr>
          <w:rFonts w:cs="Arial"/>
        </w:rPr>
        <w:t>nonsubstantive</w:t>
      </w:r>
      <w:proofErr w:type="spellEnd"/>
      <w:r>
        <w:rPr>
          <w:rFonts w:cs="Arial"/>
        </w:rPr>
        <w:t>)</w:t>
      </w:r>
    </w:p>
    <w:p w14:paraId="2697B42A" w14:textId="2A4E2A0B" w:rsidR="00006D38" w:rsidRDefault="00006D38" w:rsidP="00006D38">
      <w:pPr>
        <w:pStyle w:val="ListParagraph"/>
        <w:numPr>
          <w:ilvl w:val="1"/>
          <w:numId w:val="32"/>
        </w:numPr>
        <w:rPr>
          <w:rFonts w:cs="Arial"/>
        </w:rPr>
      </w:pPr>
      <w:r>
        <w:rPr>
          <w:rFonts w:cs="Arial"/>
        </w:rPr>
        <w:t>Modify the BBA in MKTG (</w:t>
      </w:r>
      <w:proofErr w:type="spellStart"/>
      <w:r>
        <w:rPr>
          <w:rFonts w:cs="Arial"/>
        </w:rPr>
        <w:t>nonsubstantive</w:t>
      </w:r>
      <w:proofErr w:type="spellEnd"/>
      <w:r>
        <w:rPr>
          <w:rFonts w:cs="Arial"/>
        </w:rPr>
        <w:t>)</w:t>
      </w:r>
    </w:p>
    <w:p w14:paraId="5F4D0F3B" w14:textId="13AFB925" w:rsidR="00006D38" w:rsidRDefault="00006D38" w:rsidP="00006D38">
      <w:pPr>
        <w:pStyle w:val="ListParagraph"/>
        <w:numPr>
          <w:ilvl w:val="1"/>
          <w:numId w:val="32"/>
        </w:numPr>
        <w:rPr>
          <w:rFonts w:cs="Arial"/>
        </w:rPr>
      </w:pPr>
      <w:r>
        <w:rPr>
          <w:rFonts w:cs="Arial"/>
        </w:rPr>
        <w:t>Modify the MKTG minor (</w:t>
      </w:r>
      <w:proofErr w:type="spellStart"/>
      <w:r>
        <w:rPr>
          <w:rFonts w:cs="Arial"/>
        </w:rPr>
        <w:t>nonsubstantive</w:t>
      </w:r>
      <w:proofErr w:type="spellEnd"/>
      <w:r>
        <w:rPr>
          <w:rFonts w:cs="Arial"/>
        </w:rPr>
        <w:t>)</w:t>
      </w:r>
    </w:p>
    <w:p w14:paraId="094ADB2E" w14:textId="70F4944E" w:rsidR="0075055A" w:rsidRPr="005F6896" w:rsidRDefault="007638F4">
      <w:r w:rsidRPr="005F6896">
        <w:rPr>
          <w:b/>
        </w:rPr>
        <w:lastRenderedPageBreak/>
        <w:t>New Business</w:t>
      </w:r>
    </w:p>
    <w:p w14:paraId="71EA6ED7" w14:textId="77777777" w:rsidR="007638F4" w:rsidRPr="005F6896" w:rsidRDefault="007638F4"/>
    <w:p w14:paraId="030A3F24" w14:textId="77777777" w:rsidR="00B71F64" w:rsidRDefault="00DA14FA" w:rsidP="00DA14FA">
      <w:r w:rsidRPr="005F6896">
        <w:t xml:space="preserve">DIGM courses were reviewed in </w:t>
      </w:r>
      <w:r w:rsidR="00E50C8D">
        <w:t>groups</w:t>
      </w:r>
      <w:r w:rsidRPr="005F6896">
        <w:t>.</w:t>
      </w:r>
      <w:r w:rsidR="00E50C8D">
        <w:t xml:space="preserve">  Group 1 consisted of DIGM 1400 (Principles of Visual Effects and Motion Graphics), 1500 (Principles of Digital Game Design), 1800 (Principles of Digital Animation),</w:t>
      </w:r>
      <w:r w:rsidR="00E50C8D" w:rsidRPr="005F6896">
        <w:t xml:space="preserve"> and</w:t>
      </w:r>
      <w:r w:rsidR="00E50C8D">
        <w:t xml:space="preserve"> 3010 (Principles of Visualization).  Group 2 consisted of DIGM 1640 (Vector-Based Imaging), 1650 (Raster-</w:t>
      </w:r>
      <w:r w:rsidR="00B71F64">
        <w:t>Based</w:t>
      </w:r>
      <w:r w:rsidR="00E50C8D">
        <w:t xml:space="preserve"> Imaging), 3410 (Visual Effects Compositing), and 4410 (Digital Media for Film and Effects).  Group 3 consisted of DIGM 2900 </w:t>
      </w:r>
      <w:r w:rsidR="00B71F64">
        <w:t>(Motion Tools 1: Editing), 3420 (</w:t>
      </w:r>
      <w:r w:rsidR="00E50C8D">
        <w:t>Motion Graphics</w:t>
      </w:r>
      <w:r w:rsidR="00B71F64">
        <w:t>)</w:t>
      </w:r>
      <w:r w:rsidR="00E50C8D">
        <w:t xml:space="preserve">, 4844 (Effects Animation), and 4854 (Character Animation).  </w:t>
      </w:r>
      <w:r w:rsidR="00B71F64">
        <w:t xml:space="preserve">Group 4 included DIGM 2530 (High-Fidelity Modeling for Entertainment), 2750 (3D Fundamentals), and 2824 (Technical Direction).  Group 5 included DIGM 2550 (Topics in Digital Media History), 2821 (Desktop Publishing), 2990 (Mid-Point Review), and 4550 (Game Plan and Testing).  </w:t>
      </w:r>
    </w:p>
    <w:p w14:paraId="1568C18A" w14:textId="77777777" w:rsidR="00B71F64" w:rsidRDefault="00B71F64" w:rsidP="00DA14FA"/>
    <w:p w14:paraId="45458B9A" w14:textId="3B24FF73" w:rsidR="00DA14FA" w:rsidRDefault="00DA14FA" w:rsidP="00DA14FA">
      <w:r w:rsidRPr="005F6896">
        <w:t xml:space="preserve">Within </w:t>
      </w:r>
      <w:r w:rsidR="00E50C8D">
        <w:t xml:space="preserve">the discussion for </w:t>
      </w:r>
      <w:r w:rsidRPr="005F6896">
        <w:t xml:space="preserve">each </w:t>
      </w:r>
      <w:r w:rsidR="00E50C8D">
        <w:t>group</w:t>
      </w:r>
      <w:r w:rsidR="00006D38" w:rsidRPr="005F6896">
        <w:t xml:space="preserve">, </w:t>
      </w:r>
      <w:r w:rsidR="00E50C8D">
        <w:t xml:space="preserve">committee members confirmed </w:t>
      </w:r>
      <w:r w:rsidR="00006D38" w:rsidRPr="005F6896">
        <w:t>the</w:t>
      </w:r>
      <w:r w:rsidRPr="005F6896">
        <w:t xml:space="preserve"> courses met the following criteria:</w:t>
      </w:r>
    </w:p>
    <w:p w14:paraId="46D61AD6" w14:textId="77777777" w:rsidR="00E50C8D" w:rsidRPr="005F6896" w:rsidRDefault="00E50C8D" w:rsidP="00DA14FA"/>
    <w:p w14:paraId="18095A6E" w14:textId="790A4C9C" w:rsidR="00DA14FA" w:rsidRPr="005F6896" w:rsidRDefault="00E50C8D" w:rsidP="00DA14FA">
      <w:pPr>
        <w:pStyle w:val="ListParagraph"/>
        <w:numPr>
          <w:ilvl w:val="0"/>
          <w:numId w:val="25"/>
        </w:numPr>
      </w:pPr>
      <w:r>
        <w:t xml:space="preserve">They </w:t>
      </w:r>
      <w:r w:rsidR="00DA14FA" w:rsidRPr="005F6896">
        <w:t>are valid for instruction.</w:t>
      </w:r>
    </w:p>
    <w:p w14:paraId="39DEEC60" w14:textId="77777777" w:rsidR="00DA14FA" w:rsidRPr="005F6896" w:rsidRDefault="00DA14FA" w:rsidP="00DA14FA">
      <w:pPr>
        <w:pStyle w:val="ListParagraph"/>
        <w:numPr>
          <w:ilvl w:val="0"/>
          <w:numId w:val="25"/>
        </w:numPr>
      </w:pPr>
      <w:r w:rsidRPr="005F6896">
        <w:t>They have appropriate credit designation.</w:t>
      </w:r>
    </w:p>
    <w:p w14:paraId="381F047B" w14:textId="77777777" w:rsidR="00DA14FA" w:rsidRPr="005F6896" w:rsidRDefault="00DA14FA" w:rsidP="00DA14FA">
      <w:pPr>
        <w:pStyle w:val="ListParagraph"/>
        <w:numPr>
          <w:ilvl w:val="0"/>
          <w:numId w:val="25"/>
        </w:numPr>
      </w:pPr>
      <w:r w:rsidRPr="005F6896">
        <w:t>They do not duplicate courses in other colleges or departments.</w:t>
      </w:r>
    </w:p>
    <w:p w14:paraId="18FBA1DA" w14:textId="77777777" w:rsidR="00DA14FA" w:rsidRPr="005F6896" w:rsidRDefault="00DA14FA" w:rsidP="00DA14FA">
      <w:pPr>
        <w:pStyle w:val="ListParagraph"/>
        <w:numPr>
          <w:ilvl w:val="0"/>
          <w:numId w:val="25"/>
        </w:numPr>
      </w:pPr>
      <w:r w:rsidRPr="005F6896">
        <w:t>The purpose, goals, and learning outcomes are appropriately aligned with one another and with the proposal’s rationale.</w:t>
      </w:r>
    </w:p>
    <w:p w14:paraId="087CE065" w14:textId="77777777" w:rsidR="00DA14FA" w:rsidRPr="005F6896" w:rsidRDefault="00DA14FA" w:rsidP="00DA14FA">
      <w:pPr>
        <w:pStyle w:val="ListParagraph"/>
        <w:numPr>
          <w:ilvl w:val="0"/>
          <w:numId w:val="25"/>
        </w:numPr>
      </w:pPr>
      <w:r w:rsidRPr="005F6896">
        <w:t>The learning outcomes are appropriate for the level of the course.</w:t>
      </w:r>
    </w:p>
    <w:p w14:paraId="39B93F02" w14:textId="77777777" w:rsidR="00DA14FA" w:rsidRPr="005F6896" w:rsidRDefault="00DA14FA" w:rsidP="00DA14FA">
      <w:pPr>
        <w:pStyle w:val="ListParagraph"/>
        <w:numPr>
          <w:ilvl w:val="0"/>
          <w:numId w:val="25"/>
        </w:numPr>
      </w:pPr>
      <w:r w:rsidRPr="005F6896">
        <w:t>The major assignments support the learning outcomes.</w:t>
      </w:r>
    </w:p>
    <w:p w14:paraId="20D277AA" w14:textId="77777777" w:rsidR="00DA14FA" w:rsidRPr="005F6896" w:rsidRDefault="00DA14FA"/>
    <w:p w14:paraId="26DB12C0" w14:textId="77777777" w:rsidR="00E92892" w:rsidRDefault="00E92892"/>
    <w:p w14:paraId="35A1A85A" w14:textId="3A60D1C7" w:rsidR="00DA14FA" w:rsidRDefault="00E50C8D">
      <w:r>
        <w:t>Martin Fitzgerald provided an overview of the DIGM curriculum revision.  The revision was initiated in response to feedback from an accreditation visit.  In the revision, DIGM will change the core courses, change concentration courses, and add one concentration.</w:t>
      </w:r>
    </w:p>
    <w:p w14:paraId="6ED57EAE" w14:textId="77777777" w:rsidR="00B71F64" w:rsidRDefault="00B71F64"/>
    <w:p w14:paraId="678650EA" w14:textId="316C73FC" w:rsidR="00E92892" w:rsidRDefault="00E92892">
      <w:r>
        <w:t>One global change was recommended across DIGM syllabi</w:t>
      </w:r>
    </w:p>
    <w:p w14:paraId="31980E61" w14:textId="62979BD3" w:rsidR="00E92892" w:rsidRDefault="00E92892" w:rsidP="00E92892">
      <w:pPr>
        <w:pStyle w:val="ListParagraph"/>
        <w:numPr>
          <w:ilvl w:val="0"/>
          <w:numId w:val="34"/>
        </w:numPr>
      </w:pPr>
      <w:r>
        <w:t>In the catalog description, edit the wording to reflect the topics may be taught rather than the topics will be taught.  Stating specifically which topics will be taught restricts faculty to teaching only the listed topics and does not allow for modification of topics in the future.</w:t>
      </w:r>
    </w:p>
    <w:p w14:paraId="6D41CD09" w14:textId="77777777" w:rsidR="00E92892" w:rsidRDefault="00E92892" w:rsidP="00E92892">
      <w:pPr>
        <w:pStyle w:val="ListParagraph"/>
      </w:pPr>
    </w:p>
    <w:p w14:paraId="1063B4E1" w14:textId="77777777" w:rsidR="00E92892" w:rsidRDefault="00E92892" w:rsidP="00E92892">
      <w:pPr>
        <w:pStyle w:val="ListParagraph"/>
      </w:pPr>
    </w:p>
    <w:p w14:paraId="119871F7" w14:textId="261BC1B7" w:rsidR="00F835C4" w:rsidRPr="005F6896" w:rsidRDefault="00F835C4" w:rsidP="00F835C4">
      <w:r w:rsidRPr="004342C9">
        <w:rPr>
          <w:i/>
        </w:rPr>
        <w:t xml:space="preserve">— New </w:t>
      </w:r>
      <w:r w:rsidR="00DA14FA" w:rsidRPr="004342C9">
        <w:rPr>
          <w:i/>
        </w:rPr>
        <w:t xml:space="preserve">and Substantially Modified Course Proposals, Group I </w:t>
      </w:r>
    </w:p>
    <w:p w14:paraId="557069F8" w14:textId="11E35071" w:rsidR="00717168" w:rsidRPr="005F6896" w:rsidRDefault="00717168" w:rsidP="00717168">
      <w:r w:rsidRPr="005F6896">
        <w:t xml:space="preserve"> </w:t>
      </w:r>
    </w:p>
    <w:p w14:paraId="30D11ADC" w14:textId="14BBCBBF" w:rsidR="00DA14FA" w:rsidRPr="005F6896" w:rsidRDefault="00DA14FA" w:rsidP="00DA14FA">
      <w:r w:rsidRPr="005F6896">
        <w:t>DIGM 1400 Principles of Visual Effects and Motion Graphics</w:t>
      </w:r>
      <w:r w:rsidR="00B71F64">
        <w:t xml:space="preserve"> (New Course)</w:t>
      </w:r>
    </w:p>
    <w:p w14:paraId="61003D04" w14:textId="77777777" w:rsidR="00DA14FA" w:rsidRPr="005F6896" w:rsidRDefault="00A44AF1" w:rsidP="00DA14FA">
      <w:hyperlink r:id="rId9" w:history="1">
        <w:r w:rsidR="00DA14FA" w:rsidRPr="005F6896">
          <w:rPr>
            <w:rStyle w:val="Hyperlink"/>
          </w:rPr>
          <w:t>http://etsuis.etsu.edu/CPS/forms.aspx?DispType=OutputForms&amp;NodeID=5_2a&amp;FormID=6&amp;Instance=7489</w:t>
        </w:r>
      </w:hyperlink>
    </w:p>
    <w:p w14:paraId="6131AD26" w14:textId="77777777" w:rsidR="00DA14FA" w:rsidRPr="005F6896" w:rsidRDefault="00DA14FA" w:rsidP="00DA14FA"/>
    <w:p w14:paraId="49CC7DD2" w14:textId="03842067" w:rsidR="00DA14FA" w:rsidRPr="005F6896" w:rsidRDefault="00DA14FA" w:rsidP="00DA14FA">
      <w:r w:rsidRPr="005F6896">
        <w:t>DIGM 1500 Principles of Digital Game Design</w:t>
      </w:r>
      <w:r w:rsidR="00B71F64">
        <w:t xml:space="preserve"> (New Course)</w:t>
      </w:r>
    </w:p>
    <w:p w14:paraId="4503B429" w14:textId="77777777" w:rsidR="00DA14FA" w:rsidRPr="005F6896" w:rsidRDefault="00A44AF1" w:rsidP="00DA14FA">
      <w:hyperlink r:id="rId10" w:history="1">
        <w:r w:rsidR="00DA14FA" w:rsidRPr="005F6896">
          <w:rPr>
            <w:rStyle w:val="Hyperlink"/>
          </w:rPr>
          <w:t>http://etsuis.etsu.edu/CPS/forms.aspx?DispType=OutputForms&amp;NodeID=5_2a&amp;FormID=6&amp;Instance=6294</w:t>
        </w:r>
      </w:hyperlink>
    </w:p>
    <w:p w14:paraId="79F45EF3" w14:textId="7EDBC3DD" w:rsidR="00DA14FA" w:rsidRPr="005F6896" w:rsidRDefault="00DA14FA" w:rsidP="00DA14FA">
      <w:r w:rsidRPr="005F6896">
        <w:lastRenderedPageBreak/>
        <w:t>DIGM 1800 Principles of Digital Animation</w:t>
      </w:r>
      <w:r w:rsidR="00B71F64">
        <w:t xml:space="preserve"> (New Course)</w:t>
      </w:r>
    </w:p>
    <w:p w14:paraId="2EEB8864" w14:textId="77777777" w:rsidR="00DA14FA" w:rsidRPr="005F6896" w:rsidRDefault="00A44AF1" w:rsidP="00DA14FA">
      <w:hyperlink r:id="rId11" w:history="1">
        <w:r w:rsidR="00DA14FA" w:rsidRPr="005F6896">
          <w:rPr>
            <w:rStyle w:val="Hyperlink"/>
          </w:rPr>
          <w:t>http://etsuis.etsu.edu/CPS/forms.aspx?DispType=OutputForms&amp;NodeID=5_2a&amp;FormID=6&amp;Instance=6297</w:t>
        </w:r>
      </w:hyperlink>
    </w:p>
    <w:p w14:paraId="1CDC1E66" w14:textId="77777777" w:rsidR="00DA14FA" w:rsidRPr="005F6896" w:rsidRDefault="00DA14FA" w:rsidP="00DA14FA"/>
    <w:p w14:paraId="43870021" w14:textId="1144A964" w:rsidR="00DA14FA" w:rsidRPr="005F6896" w:rsidRDefault="00DA14FA" w:rsidP="00DA14FA">
      <w:r w:rsidRPr="005F6896">
        <w:t>DIGM 3010 Principles of Visualization</w:t>
      </w:r>
      <w:r w:rsidR="00F577DB">
        <w:t xml:space="preserve"> (Substantive Modification)</w:t>
      </w:r>
    </w:p>
    <w:p w14:paraId="5677BDC0" w14:textId="2D1CB9FF" w:rsidR="00717168" w:rsidRPr="005F6896" w:rsidRDefault="00A44AF1" w:rsidP="00DA14FA">
      <w:pPr>
        <w:tabs>
          <w:tab w:val="left" w:pos="1812"/>
        </w:tabs>
      </w:pPr>
      <w:hyperlink r:id="rId12" w:history="1">
        <w:r w:rsidR="00DA14FA" w:rsidRPr="005F6896">
          <w:rPr>
            <w:rStyle w:val="Hyperlink"/>
          </w:rPr>
          <w:t>http://etsuis.etsu.edu/CPS/forms.aspx?DispType=OutputForms&amp;NodeID=5_2a&amp;FormID=10&amp;Instance=6761</w:t>
        </w:r>
      </w:hyperlink>
    </w:p>
    <w:p w14:paraId="4AB741B2" w14:textId="77777777" w:rsidR="00717168" w:rsidRPr="005F6896" w:rsidRDefault="00717168" w:rsidP="00717168">
      <w:pPr>
        <w:tabs>
          <w:tab w:val="left" w:pos="1812"/>
        </w:tabs>
      </w:pPr>
    </w:p>
    <w:p w14:paraId="74651DF3" w14:textId="77777777" w:rsidR="00B71F64" w:rsidRDefault="00B71F64" w:rsidP="00717168">
      <w:pPr>
        <w:tabs>
          <w:tab w:val="left" w:pos="1812"/>
        </w:tabs>
      </w:pPr>
      <w:r>
        <w:t>Editorial comments:</w:t>
      </w:r>
    </w:p>
    <w:p w14:paraId="3B3EB8AE" w14:textId="32AC45C0" w:rsidR="00B93322" w:rsidRDefault="00B71F64" w:rsidP="00B71F64">
      <w:pPr>
        <w:pStyle w:val="ListParagraph"/>
        <w:numPr>
          <w:ilvl w:val="0"/>
          <w:numId w:val="33"/>
        </w:numPr>
        <w:tabs>
          <w:tab w:val="left" w:pos="1812"/>
        </w:tabs>
      </w:pPr>
      <w:r>
        <w:t>DIGM 1500, 1800 – Add commas between faculty names</w:t>
      </w:r>
    </w:p>
    <w:p w14:paraId="495308AD" w14:textId="0C29068D" w:rsidR="00F577DB" w:rsidRPr="005F6896" w:rsidRDefault="00F577DB" w:rsidP="00F577DB">
      <w:pPr>
        <w:pStyle w:val="ListParagraph"/>
        <w:numPr>
          <w:ilvl w:val="0"/>
          <w:numId w:val="33"/>
        </w:numPr>
        <w:tabs>
          <w:tab w:val="left" w:pos="1812"/>
        </w:tabs>
      </w:pPr>
      <w:r>
        <w:t>DIGM 3010 will be renumbered to DIGM 1</w:t>
      </w:r>
      <w:r w:rsidR="005245A4">
        <w:t>9</w:t>
      </w:r>
      <w:r>
        <w:t>00 which explains the removal of prerequisite requirements for this course.</w:t>
      </w:r>
    </w:p>
    <w:p w14:paraId="42E50747" w14:textId="7EC63A4F" w:rsidR="00A869CE" w:rsidRPr="005F6896" w:rsidRDefault="00A869CE" w:rsidP="005E4AE6"/>
    <w:p w14:paraId="169CE3FA" w14:textId="3C6D690D" w:rsidR="00E50C8D" w:rsidRPr="00434E95" w:rsidRDefault="00F577DB" w:rsidP="00E50C8D">
      <w:pPr>
        <w:rPr>
          <w:rFonts w:cs="Arial"/>
        </w:rPr>
      </w:pPr>
      <w:r>
        <w:rPr>
          <w:rFonts w:cs="Arial"/>
        </w:rPr>
        <w:t>Kim Sell</w:t>
      </w:r>
      <w:r w:rsidR="00E50C8D" w:rsidRPr="00434E95">
        <w:rPr>
          <w:rFonts w:cs="Arial"/>
        </w:rPr>
        <w:t xml:space="preserve"> moved the</w:t>
      </w:r>
      <w:r>
        <w:rPr>
          <w:rFonts w:cs="Arial"/>
        </w:rPr>
        <w:t>se</w:t>
      </w:r>
      <w:r w:rsidR="00E50C8D" w:rsidRPr="00434E95">
        <w:rPr>
          <w:rFonts w:cs="Arial"/>
        </w:rPr>
        <w:t xml:space="preserve"> course</w:t>
      </w:r>
      <w:r>
        <w:rPr>
          <w:rFonts w:cs="Arial"/>
        </w:rPr>
        <w:t>s</w:t>
      </w:r>
      <w:r w:rsidR="00E50C8D" w:rsidRPr="00434E95">
        <w:rPr>
          <w:rFonts w:cs="Arial"/>
        </w:rPr>
        <w:t xml:space="preserve"> be accepted </w:t>
      </w:r>
      <w:r w:rsidR="00E50C8D">
        <w:rPr>
          <w:rFonts w:cs="Arial"/>
        </w:rPr>
        <w:t xml:space="preserve">1) </w:t>
      </w:r>
      <w:r w:rsidR="00E50C8D" w:rsidRPr="00434E95">
        <w:rPr>
          <w:rFonts w:cs="Arial"/>
        </w:rPr>
        <w:t>with</w:t>
      </w:r>
      <w:r w:rsidR="00E50C8D">
        <w:rPr>
          <w:rFonts w:cs="Arial"/>
        </w:rPr>
        <w:t xml:space="preserve"> correction of</w:t>
      </w:r>
      <w:r w:rsidR="00E50C8D" w:rsidRPr="00434E95">
        <w:rPr>
          <w:rFonts w:cs="Arial"/>
        </w:rPr>
        <w:t xml:space="preserve"> the recommended </w:t>
      </w:r>
      <w:r w:rsidR="00E92892">
        <w:rPr>
          <w:rFonts w:cs="Arial"/>
        </w:rPr>
        <w:t>global/minor editorial</w:t>
      </w:r>
      <w:r w:rsidR="00E50C8D">
        <w:rPr>
          <w:rFonts w:cs="Arial"/>
        </w:rPr>
        <w:t xml:space="preserve"> changes and 2) pending the approval of the TBR proposal then</w:t>
      </w:r>
      <w:r w:rsidR="00E50C8D" w:rsidRPr="00434E95">
        <w:rPr>
          <w:rFonts w:cs="Arial"/>
        </w:rPr>
        <w:t xml:space="preserve"> returned to the chair for approval.  </w:t>
      </w:r>
      <w:r>
        <w:rPr>
          <w:rFonts w:cs="Arial"/>
        </w:rPr>
        <w:t>J. Keith Green</w:t>
      </w:r>
      <w:r w:rsidR="00E50C8D" w:rsidRPr="00434E95">
        <w:rPr>
          <w:rFonts w:cs="Arial"/>
        </w:rPr>
        <w:t xml:space="preserve"> seconded.  The motion passed unanimously.</w:t>
      </w:r>
    </w:p>
    <w:p w14:paraId="38C1D90B" w14:textId="77777777" w:rsidR="00717168" w:rsidRPr="005F6896" w:rsidRDefault="00717168" w:rsidP="005E4AE6"/>
    <w:p w14:paraId="7FB05103" w14:textId="77777777" w:rsidR="00717168" w:rsidRPr="005F6896" w:rsidRDefault="00717168" w:rsidP="005E4AE6"/>
    <w:p w14:paraId="1EBFDFBA" w14:textId="0F76EC49" w:rsidR="00F835C4" w:rsidRPr="005F6896" w:rsidRDefault="00F835C4" w:rsidP="00F835C4">
      <w:r w:rsidRPr="004342C9">
        <w:rPr>
          <w:i/>
        </w:rPr>
        <w:t xml:space="preserve">— </w:t>
      </w:r>
      <w:r w:rsidR="00DA14FA" w:rsidRPr="004342C9">
        <w:rPr>
          <w:i/>
        </w:rPr>
        <w:t>New and Substantially Modified Course Proposals, Group II</w:t>
      </w:r>
    </w:p>
    <w:p w14:paraId="45575543" w14:textId="77777777" w:rsidR="00F835C4" w:rsidRPr="005F6896" w:rsidRDefault="00F835C4" w:rsidP="00186D6A"/>
    <w:p w14:paraId="443C96AE" w14:textId="4BA5F2BB" w:rsidR="00DA14FA" w:rsidRPr="005F6896" w:rsidRDefault="00DA14FA" w:rsidP="00DA14FA">
      <w:r w:rsidRPr="005F6896">
        <w:t>DIGM 1640 Vector-Based Imaging</w:t>
      </w:r>
      <w:r w:rsidR="00F577DB">
        <w:t xml:space="preserve"> (Substantive Modification)</w:t>
      </w:r>
    </w:p>
    <w:p w14:paraId="636D70AB" w14:textId="77777777" w:rsidR="00DA14FA" w:rsidRPr="005F6896" w:rsidRDefault="00A44AF1" w:rsidP="00DA14FA">
      <w:hyperlink r:id="rId13" w:history="1">
        <w:r w:rsidR="00DA14FA" w:rsidRPr="005F6896">
          <w:rPr>
            <w:rStyle w:val="Hyperlink"/>
          </w:rPr>
          <w:t>http://etsuis.etsu.edu/CPS/forms.aspx?DispType=OutputForms&amp;NodeID=5_2a&amp;FormID=10&amp;Instance=7497</w:t>
        </w:r>
      </w:hyperlink>
    </w:p>
    <w:p w14:paraId="788839B1" w14:textId="77777777" w:rsidR="00DA14FA" w:rsidRPr="005F6896" w:rsidRDefault="00DA14FA" w:rsidP="00DA14FA"/>
    <w:p w14:paraId="1D1A38E2" w14:textId="12232883" w:rsidR="00DA14FA" w:rsidRPr="005F6896" w:rsidRDefault="00DA14FA" w:rsidP="00DA14FA">
      <w:r w:rsidRPr="005F6896">
        <w:t>DIGM 1650 Raster-Based Imaging</w:t>
      </w:r>
      <w:r w:rsidR="00F577DB">
        <w:t xml:space="preserve"> (Substantive Modification)</w:t>
      </w:r>
    </w:p>
    <w:p w14:paraId="1204FA11" w14:textId="77777777" w:rsidR="00DA14FA" w:rsidRPr="005F6896" w:rsidRDefault="00A44AF1" w:rsidP="00DA14FA">
      <w:hyperlink r:id="rId14" w:history="1">
        <w:r w:rsidR="00DA14FA" w:rsidRPr="005F6896">
          <w:rPr>
            <w:rStyle w:val="Hyperlink"/>
          </w:rPr>
          <w:t>http://etsuis.etsu.edu/CPS/forms.aspx?DispType=OutputForms&amp;NodeID=5_2a&amp;FormID=10&amp;Instance=7499</w:t>
        </w:r>
      </w:hyperlink>
    </w:p>
    <w:p w14:paraId="63FA07FC" w14:textId="77777777" w:rsidR="00DA14FA" w:rsidRPr="005F6896" w:rsidRDefault="00DA14FA" w:rsidP="00DA14FA"/>
    <w:p w14:paraId="0A113607" w14:textId="69D5F27E" w:rsidR="00DA14FA" w:rsidRPr="005F6896" w:rsidRDefault="00DA14FA" w:rsidP="00DA14FA">
      <w:r w:rsidRPr="005F6896">
        <w:t>DIGM 3410 Visual Effects Compositing</w:t>
      </w:r>
      <w:r w:rsidR="00F577DB">
        <w:t xml:space="preserve"> (New course)</w:t>
      </w:r>
    </w:p>
    <w:p w14:paraId="51525819" w14:textId="77777777" w:rsidR="00DA14FA" w:rsidRPr="005F6896" w:rsidRDefault="00A44AF1" w:rsidP="00DA14FA">
      <w:hyperlink r:id="rId15" w:history="1">
        <w:r w:rsidR="00DA14FA" w:rsidRPr="005F6896">
          <w:rPr>
            <w:rStyle w:val="Hyperlink"/>
          </w:rPr>
          <w:t>http://etsuis.etsu.edu/CPS/forms.aspx?DispType=OutputForms&amp;NodeID=5_2a&amp;FormID=6&amp;Instance=7628</w:t>
        </w:r>
      </w:hyperlink>
    </w:p>
    <w:p w14:paraId="5F0AA1B4" w14:textId="77777777" w:rsidR="00DA14FA" w:rsidRPr="005F6896" w:rsidRDefault="00DA14FA" w:rsidP="00DA14FA"/>
    <w:p w14:paraId="35EA6270" w14:textId="4FC4C1DC" w:rsidR="00DA14FA" w:rsidRPr="005F6896" w:rsidRDefault="00DA14FA" w:rsidP="00DA14FA">
      <w:r w:rsidRPr="005F6896">
        <w:t>DIGM 4410 Digital Media for Film and Effects</w:t>
      </w:r>
      <w:r w:rsidR="00F577DB">
        <w:t xml:space="preserve"> (New course)</w:t>
      </w:r>
    </w:p>
    <w:p w14:paraId="7BCF39AD" w14:textId="77777777" w:rsidR="00DA14FA" w:rsidRPr="005F6896" w:rsidRDefault="00A44AF1" w:rsidP="00DA14FA">
      <w:hyperlink r:id="rId16" w:history="1">
        <w:r w:rsidR="00DA14FA" w:rsidRPr="005F6896">
          <w:rPr>
            <w:rStyle w:val="Hyperlink"/>
          </w:rPr>
          <w:t>http://etsuis.etsu.edu/CPS/forms.aspx?DispType=OutputForms&amp;NodeID=5_2a&amp;FormID=6&amp;Instance=7626</w:t>
        </w:r>
      </w:hyperlink>
    </w:p>
    <w:p w14:paraId="7B925724" w14:textId="77777777" w:rsidR="00D33ACE" w:rsidRPr="005F6896" w:rsidRDefault="00D33ACE" w:rsidP="00E27719"/>
    <w:p w14:paraId="571A72B0" w14:textId="2C546EED" w:rsidR="00717168" w:rsidRDefault="00F577DB" w:rsidP="00E27719">
      <w:r>
        <w:t>Recommended changes:</w:t>
      </w:r>
    </w:p>
    <w:p w14:paraId="4A4DF8F3" w14:textId="41FBF7AB" w:rsidR="00F577DB" w:rsidRDefault="00F577DB" w:rsidP="00F577DB">
      <w:pPr>
        <w:pStyle w:val="ListParagraph"/>
        <w:numPr>
          <w:ilvl w:val="0"/>
          <w:numId w:val="33"/>
        </w:numPr>
      </w:pPr>
      <w:r>
        <w:t>DIGM 4410 – On course goals 2 and 3, add “in students” to the goals.</w:t>
      </w:r>
    </w:p>
    <w:p w14:paraId="1198DEE8" w14:textId="77777777" w:rsidR="00F577DB" w:rsidRDefault="00F577DB" w:rsidP="00F577DB"/>
    <w:p w14:paraId="6291A58E" w14:textId="4C63F7B5" w:rsidR="00F577DB" w:rsidRPr="00434E95" w:rsidRDefault="00F577DB" w:rsidP="00F577DB">
      <w:pPr>
        <w:rPr>
          <w:rFonts w:cs="Arial"/>
        </w:rPr>
      </w:pPr>
      <w:r>
        <w:rPr>
          <w:rFonts w:cs="Arial"/>
        </w:rPr>
        <w:t>Joanna Anderson</w:t>
      </w:r>
      <w:r w:rsidRPr="00434E95">
        <w:rPr>
          <w:rFonts w:cs="Arial"/>
        </w:rPr>
        <w:t xml:space="preserve"> moved the</w:t>
      </w:r>
      <w:r>
        <w:rPr>
          <w:rFonts w:cs="Arial"/>
        </w:rPr>
        <w:t>se</w:t>
      </w:r>
      <w:r w:rsidRPr="00434E95">
        <w:rPr>
          <w:rFonts w:cs="Arial"/>
        </w:rPr>
        <w:t xml:space="preserve"> course</w:t>
      </w:r>
      <w:r>
        <w:rPr>
          <w:rFonts w:cs="Arial"/>
        </w:rPr>
        <w:t>s</w:t>
      </w:r>
      <w:r w:rsidRPr="00434E95">
        <w:rPr>
          <w:rFonts w:cs="Arial"/>
        </w:rPr>
        <w:t xml:space="preserve"> be accepted </w:t>
      </w:r>
      <w:r>
        <w:rPr>
          <w:rFonts w:cs="Arial"/>
        </w:rPr>
        <w:t xml:space="preserve">1) </w:t>
      </w:r>
      <w:r w:rsidRPr="00434E95">
        <w:rPr>
          <w:rFonts w:cs="Arial"/>
        </w:rPr>
        <w:t>with</w:t>
      </w:r>
      <w:r>
        <w:rPr>
          <w:rFonts w:cs="Arial"/>
        </w:rPr>
        <w:t xml:space="preserve"> correction of</w:t>
      </w:r>
      <w:r w:rsidRPr="00434E95">
        <w:rPr>
          <w:rFonts w:cs="Arial"/>
        </w:rPr>
        <w:t xml:space="preserve"> the </w:t>
      </w:r>
      <w:r w:rsidR="00E92892">
        <w:rPr>
          <w:rFonts w:cs="Arial"/>
        </w:rPr>
        <w:t xml:space="preserve">global/minor </w:t>
      </w:r>
      <w:r>
        <w:rPr>
          <w:rFonts w:cs="Arial"/>
        </w:rPr>
        <w:t>editorial changes and 2) pending the approval of the TBR proposal then</w:t>
      </w:r>
      <w:r w:rsidRPr="00434E95">
        <w:rPr>
          <w:rFonts w:cs="Arial"/>
        </w:rPr>
        <w:t xml:space="preserve"> returned to the chair for approval.  </w:t>
      </w:r>
      <w:r>
        <w:rPr>
          <w:rFonts w:cs="Arial"/>
        </w:rPr>
        <w:t>Suzanne Smith</w:t>
      </w:r>
      <w:r w:rsidRPr="00434E95">
        <w:rPr>
          <w:rFonts w:cs="Arial"/>
        </w:rPr>
        <w:t xml:space="preserve"> seconded.  The motion passed unanimously.</w:t>
      </w:r>
    </w:p>
    <w:p w14:paraId="7638EB0D" w14:textId="77777777" w:rsidR="00E92892" w:rsidRDefault="00E92892" w:rsidP="00F577DB"/>
    <w:p w14:paraId="2CFAE906" w14:textId="60535AD3" w:rsidR="00F835C4" w:rsidRPr="005F6896" w:rsidRDefault="00F835C4" w:rsidP="00F835C4">
      <w:r w:rsidRPr="004342C9">
        <w:rPr>
          <w:i/>
        </w:rPr>
        <w:lastRenderedPageBreak/>
        <w:t xml:space="preserve">— </w:t>
      </w:r>
      <w:r w:rsidR="00DA14FA" w:rsidRPr="004342C9">
        <w:rPr>
          <w:i/>
        </w:rPr>
        <w:t>New and Substantially Modified Course Proposals, Group III</w:t>
      </w:r>
    </w:p>
    <w:p w14:paraId="53848A70" w14:textId="77777777" w:rsidR="00F835C4" w:rsidRPr="005F6896" w:rsidRDefault="00F835C4" w:rsidP="00186D6A"/>
    <w:p w14:paraId="7F43AF77" w14:textId="2EA5A611" w:rsidR="00DA14FA" w:rsidRPr="005F6896" w:rsidRDefault="00DA14FA" w:rsidP="00DA14FA">
      <w:r w:rsidRPr="005F6896">
        <w:t>DIGM 29</w:t>
      </w:r>
      <w:r w:rsidR="00F577DB">
        <w:t xml:space="preserve">00 Motion Tools I: Editing (Substantive Modification) </w:t>
      </w:r>
      <w:hyperlink r:id="rId17" w:history="1">
        <w:r w:rsidRPr="005F6896">
          <w:rPr>
            <w:rStyle w:val="Hyperlink"/>
          </w:rPr>
          <w:t>http://etsuis.etsu.edu/CPS/forms.aspx?DispType=OutputForms&amp;NodeID=5_2a&amp;FormID=10&amp;Instance=7491</w:t>
        </w:r>
      </w:hyperlink>
    </w:p>
    <w:p w14:paraId="7E2F3D1A" w14:textId="23E09572" w:rsidR="00DA14FA" w:rsidRPr="005F6896" w:rsidRDefault="00DA14FA" w:rsidP="00DA14FA">
      <w:r w:rsidRPr="005F6896">
        <w:t>DIGM 3420 Motion Graphics</w:t>
      </w:r>
      <w:r w:rsidR="00F577DB">
        <w:t xml:space="preserve"> (New course)</w:t>
      </w:r>
    </w:p>
    <w:p w14:paraId="75480FC5" w14:textId="77777777" w:rsidR="00DA14FA" w:rsidRPr="005F6896" w:rsidRDefault="00A44AF1" w:rsidP="00DA14FA">
      <w:hyperlink r:id="rId18" w:history="1">
        <w:r w:rsidR="00DA14FA" w:rsidRPr="005F6896">
          <w:rPr>
            <w:rStyle w:val="Hyperlink"/>
          </w:rPr>
          <w:t>http://etsuis.etsu.edu/CPS/forms.aspx?DispType=OutputForms&amp;NodeID=5_2a&amp;FormID=6&amp;Instance=7510</w:t>
        </w:r>
      </w:hyperlink>
    </w:p>
    <w:p w14:paraId="6891E62F" w14:textId="77777777" w:rsidR="00DA14FA" w:rsidRPr="005F6896" w:rsidRDefault="00DA14FA" w:rsidP="00DA14FA"/>
    <w:p w14:paraId="40388F63" w14:textId="79D203E3" w:rsidR="00DA14FA" w:rsidRPr="005F6896" w:rsidRDefault="00DA14FA" w:rsidP="00DA14FA">
      <w:r w:rsidRPr="005F6896">
        <w:t>DIGM 4844 Effects Animation</w:t>
      </w:r>
      <w:r w:rsidR="00F577DB">
        <w:t xml:space="preserve"> (New course)</w:t>
      </w:r>
    </w:p>
    <w:p w14:paraId="54E19B89" w14:textId="77777777" w:rsidR="00DA14FA" w:rsidRPr="005F6896" w:rsidRDefault="00A44AF1" w:rsidP="00DA14FA">
      <w:hyperlink r:id="rId19" w:history="1">
        <w:r w:rsidR="00DA14FA" w:rsidRPr="005F6896">
          <w:rPr>
            <w:rStyle w:val="Hyperlink"/>
          </w:rPr>
          <w:t>http://etsuis.etsu.edu/CPS/forms.aspx?DispType=OutputForms&amp;NodeID=5_2a&amp;FormID=6&amp;Instance=6493</w:t>
        </w:r>
      </w:hyperlink>
    </w:p>
    <w:p w14:paraId="6E18B70D" w14:textId="77777777" w:rsidR="00DA14FA" w:rsidRPr="005F6896" w:rsidRDefault="00DA14FA" w:rsidP="00DA14FA"/>
    <w:p w14:paraId="45335739" w14:textId="08EC14A1" w:rsidR="00DA14FA" w:rsidRPr="005F6896" w:rsidRDefault="00DA14FA" w:rsidP="00DA14FA">
      <w:r w:rsidRPr="005F6896">
        <w:t>DIGM 4854 Character Animation</w:t>
      </w:r>
      <w:r w:rsidR="00F577DB">
        <w:t xml:space="preserve"> (New course)</w:t>
      </w:r>
    </w:p>
    <w:p w14:paraId="5DA5F5F4" w14:textId="77777777" w:rsidR="00DA14FA" w:rsidRPr="005F6896" w:rsidRDefault="00A44AF1" w:rsidP="00DA14FA">
      <w:hyperlink r:id="rId20" w:history="1">
        <w:r w:rsidR="00DA14FA" w:rsidRPr="005F6896">
          <w:rPr>
            <w:rStyle w:val="Hyperlink"/>
          </w:rPr>
          <w:t>http://etsuis.etsu.edu/CPS/forms.aspx?DispType=OutputForms&amp;NodeID=5_2a&amp;FormID=6&amp;Instance=6495</w:t>
        </w:r>
      </w:hyperlink>
    </w:p>
    <w:p w14:paraId="6A0F42CD" w14:textId="77777777" w:rsidR="00F5286C" w:rsidRDefault="00F5286C" w:rsidP="00F5286C">
      <w:pPr>
        <w:ind w:left="360" w:hanging="360"/>
      </w:pPr>
    </w:p>
    <w:p w14:paraId="15F27FC1" w14:textId="131BDE2A" w:rsidR="00E92892" w:rsidRDefault="00E92892" w:rsidP="00E92892">
      <w:r>
        <w:t xml:space="preserve">Recommended changes: </w:t>
      </w:r>
    </w:p>
    <w:p w14:paraId="35609A86" w14:textId="69CB6EFA" w:rsidR="00E92892" w:rsidRDefault="00E92892" w:rsidP="00E92892">
      <w:pPr>
        <w:pStyle w:val="ListParagraph"/>
        <w:numPr>
          <w:ilvl w:val="0"/>
          <w:numId w:val="33"/>
        </w:numPr>
      </w:pPr>
      <w:r>
        <w:t>DIGM 2900 and 4844 – global change recommendation for catalog descriptions</w:t>
      </w:r>
    </w:p>
    <w:p w14:paraId="3D6B1F40" w14:textId="77777777" w:rsidR="00E92892" w:rsidRPr="005F6896" w:rsidRDefault="00E92892" w:rsidP="00F5286C">
      <w:pPr>
        <w:ind w:left="360" w:hanging="360"/>
      </w:pPr>
    </w:p>
    <w:p w14:paraId="535832AD" w14:textId="3222A861" w:rsidR="00E92892" w:rsidRPr="00434E95" w:rsidRDefault="00E92892" w:rsidP="00E92892">
      <w:pPr>
        <w:rPr>
          <w:rFonts w:cs="Arial"/>
        </w:rPr>
      </w:pPr>
      <w:r>
        <w:rPr>
          <w:rFonts w:cs="Arial"/>
        </w:rPr>
        <w:t>T. Jason Davis</w:t>
      </w:r>
      <w:r w:rsidRPr="00434E95">
        <w:rPr>
          <w:rFonts w:cs="Arial"/>
        </w:rPr>
        <w:t xml:space="preserve"> moved the</w:t>
      </w:r>
      <w:r>
        <w:rPr>
          <w:rFonts w:cs="Arial"/>
        </w:rPr>
        <w:t>se</w:t>
      </w:r>
      <w:r w:rsidRPr="00434E95">
        <w:rPr>
          <w:rFonts w:cs="Arial"/>
        </w:rPr>
        <w:t xml:space="preserve"> course</w:t>
      </w:r>
      <w:r>
        <w:rPr>
          <w:rFonts w:cs="Arial"/>
        </w:rPr>
        <w:t>s</w:t>
      </w:r>
      <w:r w:rsidRPr="00434E95">
        <w:rPr>
          <w:rFonts w:cs="Arial"/>
        </w:rPr>
        <w:t xml:space="preserve"> be accepted </w:t>
      </w:r>
      <w:r>
        <w:rPr>
          <w:rFonts w:cs="Arial"/>
        </w:rPr>
        <w:t xml:space="preserve">1) </w:t>
      </w:r>
      <w:r w:rsidRPr="00434E95">
        <w:rPr>
          <w:rFonts w:cs="Arial"/>
        </w:rPr>
        <w:t>with</w:t>
      </w:r>
      <w:r>
        <w:rPr>
          <w:rFonts w:cs="Arial"/>
        </w:rPr>
        <w:t xml:space="preserve"> correction of</w:t>
      </w:r>
      <w:r w:rsidRPr="00434E95">
        <w:rPr>
          <w:rFonts w:cs="Arial"/>
        </w:rPr>
        <w:t xml:space="preserve"> the </w:t>
      </w:r>
      <w:r>
        <w:rPr>
          <w:rFonts w:cs="Arial"/>
        </w:rPr>
        <w:t>global/minor editorial changes in course descriptions and 2) pending the approval of the TBR proposal then</w:t>
      </w:r>
      <w:r w:rsidRPr="00434E95">
        <w:rPr>
          <w:rFonts w:cs="Arial"/>
        </w:rPr>
        <w:t xml:space="preserve"> returned to the chair for approval.  </w:t>
      </w:r>
      <w:r>
        <w:rPr>
          <w:rFonts w:cs="Arial"/>
        </w:rPr>
        <w:t>J. Keith Green</w:t>
      </w:r>
      <w:r w:rsidRPr="00434E95">
        <w:rPr>
          <w:rFonts w:cs="Arial"/>
        </w:rPr>
        <w:t xml:space="preserve"> seconded.  The motion passed unanimously.</w:t>
      </w:r>
    </w:p>
    <w:p w14:paraId="62BA1B03" w14:textId="77777777" w:rsidR="00717168" w:rsidRPr="005F6896" w:rsidRDefault="00717168" w:rsidP="00F5286C">
      <w:pPr>
        <w:ind w:left="360" w:hanging="360"/>
      </w:pPr>
    </w:p>
    <w:p w14:paraId="785B1F9F" w14:textId="77777777" w:rsidR="00717168" w:rsidRPr="005F6896" w:rsidRDefault="00717168" w:rsidP="00F5286C">
      <w:pPr>
        <w:ind w:left="360" w:hanging="360"/>
      </w:pPr>
    </w:p>
    <w:p w14:paraId="720FE417" w14:textId="6670A4A2" w:rsidR="00F835C4" w:rsidRPr="005F6896" w:rsidRDefault="00F835C4" w:rsidP="00F835C4">
      <w:r w:rsidRPr="004342C9">
        <w:rPr>
          <w:i/>
        </w:rPr>
        <w:t xml:space="preserve">— </w:t>
      </w:r>
      <w:r w:rsidR="00DA14FA" w:rsidRPr="004342C9">
        <w:rPr>
          <w:i/>
        </w:rPr>
        <w:t>New and Substantially Modified Course Proposals, Group IV</w:t>
      </w:r>
    </w:p>
    <w:p w14:paraId="706B80B7" w14:textId="77777777" w:rsidR="00F835C4" w:rsidRPr="005F6896" w:rsidRDefault="00F835C4" w:rsidP="00186D6A"/>
    <w:p w14:paraId="5D7A576C" w14:textId="7258EBDB" w:rsidR="00DA14FA" w:rsidRPr="005F6896" w:rsidRDefault="00DA14FA" w:rsidP="00DA14FA">
      <w:r w:rsidRPr="005F6896">
        <w:t>DIGM 2530 High-Fidelity Modeling for Entertainment</w:t>
      </w:r>
      <w:r w:rsidR="00E92892">
        <w:t xml:space="preserve"> (New course)</w:t>
      </w:r>
    </w:p>
    <w:p w14:paraId="3978C4AB" w14:textId="77777777" w:rsidR="00DA14FA" w:rsidRPr="005F6896" w:rsidRDefault="00A44AF1" w:rsidP="00DA14FA">
      <w:hyperlink r:id="rId21" w:history="1">
        <w:r w:rsidR="00DA14FA" w:rsidRPr="005F6896">
          <w:rPr>
            <w:rStyle w:val="Hyperlink"/>
          </w:rPr>
          <w:t>http://etsuis.etsu.edu/CPS/forms.aspx?DispType=OutputForms&amp;NodeID=5_2a&amp;FormID=6&amp;Instance=7493</w:t>
        </w:r>
      </w:hyperlink>
    </w:p>
    <w:p w14:paraId="691DB4B4" w14:textId="77777777" w:rsidR="00DA14FA" w:rsidRPr="005F6896" w:rsidRDefault="00DA14FA" w:rsidP="00DA14FA"/>
    <w:p w14:paraId="33AA3C67" w14:textId="585D31CF" w:rsidR="00DA14FA" w:rsidRPr="005F6896" w:rsidRDefault="00DA14FA" w:rsidP="00DA14FA">
      <w:r w:rsidRPr="005F6896">
        <w:t>DIGM 2750 3D Fundamentals</w:t>
      </w:r>
      <w:r w:rsidR="00E92892">
        <w:t xml:space="preserve"> (New course)</w:t>
      </w:r>
    </w:p>
    <w:p w14:paraId="24DBFB2F" w14:textId="77777777" w:rsidR="00DA14FA" w:rsidRPr="005F6896" w:rsidRDefault="00A44AF1" w:rsidP="00DA14FA">
      <w:hyperlink r:id="rId22" w:history="1">
        <w:r w:rsidR="00DA14FA" w:rsidRPr="005F6896">
          <w:rPr>
            <w:rStyle w:val="Hyperlink"/>
          </w:rPr>
          <w:t>http://etsuis.etsu.edu/CPS/forms.aspx?DispType=OutputForms&amp;NodeID=5_2a&amp;FormID=6&amp;Instance=7501</w:t>
        </w:r>
      </w:hyperlink>
    </w:p>
    <w:p w14:paraId="264003A8" w14:textId="77777777" w:rsidR="00DA14FA" w:rsidRPr="005F6896" w:rsidRDefault="00DA14FA" w:rsidP="00DA14FA"/>
    <w:p w14:paraId="00D905BF" w14:textId="0A4CB8C8" w:rsidR="00DA14FA" w:rsidRPr="005F6896" w:rsidRDefault="00DA14FA" w:rsidP="00DA14FA">
      <w:r w:rsidRPr="005F6896">
        <w:t>DIGM 2824 Technical Direction</w:t>
      </w:r>
      <w:r w:rsidR="00E92892">
        <w:t xml:space="preserve"> (New course)</w:t>
      </w:r>
    </w:p>
    <w:p w14:paraId="20BE2F54" w14:textId="77777777" w:rsidR="00DA14FA" w:rsidRPr="005F6896" w:rsidRDefault="00A44AF1" w:rsidP="00DA14FA">
      <w:hyperlink r:id="rId23" w:history="1">
        <w:r w:rsidR="00DA14FA" w:rsidRPr="005F6896">
          <w:rPr>
            <w:rStyle w:val="Hyperlink"/>
          </w:rPr>
          <w:t>http://etsuis.etsu.edu/CPS/forms.aspx?DispType=OutputForms&amp;NodeID=5_2a&amp;FormID=6&amp;Instance=6497</w:t>
        </w:r>
      </w:hyperlink>
    </w:p>
    <w:p w14:paraId="79961A2A" w14:textId="77777777" w:rsidR="00B65D29" w:rsidRPr="005F6896" w:rsidRDefault="00B65D29" w:rsidP="00186D6A"/>
    <w:p w14:paraId="4148C3FE" w14:textId="47A3F338" w:rsidR="00F5286C" w:rsidRDefault="00E92892" w:rsidP="00186D6A">
      <w:r>
        <w:t>Minor editorial change: DIGM 2824 – Add “to” in the purpose statement</w:t>
      </w:r>
    </w:p>
    <w:p w14:paraId="57894188" w14:textId="77777777" w:rsidR="00E92892" w:rsidRDefault="00E92892" w:rsidP="00186D6A"/>
    <w:p w14:paraId="108F75E8" w14:textId="18B1AEB2" w:rsidR="00E92892" w:rsidRPr="00434E95" w:rsidRDefault="00E92892" w:rsidP="00E92892">
      <w:pPr>
        <w:rPr>
          <w:rFonts w:cs="Arial"/>
        </w:rPr>
      </w:pPr>
      <w:r>
        <w:rPr>
          <w:rFonts w:cs="Arial"/>
        </w:rPr>
        <w:t>Suzanne Smith</w:t>
      </w:r>
      <w:r w:rsidRPr="00434E95">
        <w:rPr>
          <w:rFonts w:cs="Arial"/>
        </w:rPr>
        <w:t xml:space="preserve"> moved the</w:t>
      </w:r>
      <w:r>
        <w:rPr>
          <w:rFonts w:cs="Arial"/>
        </w:rPr>
        <w:t>se</w:t>
      </w:r>
      <w:r w:rsidRPr="00434E95">
        <w:rPr>
          <w:rFonts w:cs="Arial"/>
        </w:rPr>
        <w:t xml:space="preserve"> course</w:t>
      </w:r>
      <w:r>
        <w:rPr>
          <w:rFonts w:cs="Arial"/>
        </w:rPr>
        <w:t>s</w:t>
      </w:r>
      <w:r w:rsidRPr="00434E95">
        <w:rPr>
          <w:rFonts w:cs="Arial"/>
        </w:rPr>
        <w:t xml:space="preserve"> be accepted </w:t>
      </w:r>
      <w:r w:rsidR="00C05FD8">
        <w:rPr>
          <w:rFonts w:cs="Arial"/>
        </w:rPr>
        <w:t xml:space="preserve">1) </w:t>
      </w:r>
      <w:r w:rsidR="00C05FD8" w:rsidRPr="00434E95">
        <w:rPr>
          <w:rFonts w:cs="Arial"/>
        </w:rPr>
        <w:t>with</w:t>
      </w:r>
      <w:r w:rsidR="00C05FD8">
        <w:rPr>
          <w:rFonts w:cs="Arial"/>
        </w:rPr>
        <w:t xml:space="preserve"> correction of</w:t>
      </w:r>
      <w:r w:rsidR="00C05FD8" w:rsidRPr="00434E95">
        <w:rPr>
          <w:rFonts w:cs="Arial"/>
        </w:rPr>
        <w:t xml:space="preserve"> the </w:t>
      </w:r>
      <w:r w:rsidR="00C05FD8">
        <w:rPr>
          <w:rFonts w:cs="Arial"/>
        </w:rPr>
        <w:t xml:space="preserve">global/minor editorial changes and 2) </w:t>
      </w:r>
      <w:r>
        <w:rPr>
          <w:rFonts w:cs="Arial"/>
        </w:rPr>
        <w:t>pending the approval of the TBR proposal then</w:t>
      </w:r>
      <w:r w:rsidRPr="00434E95">
        <w:rPr>
          <w:rFonts w:cs="Arial"/>
        </w:rPr>
        <w:t xml:space="preserve"> returned to the chair for approval.  </w:t>
      </w:r>
      <w:r>
        <w:rPr>
          <w:rFonts w:cs="Arial"/>
        </w:rPr>
        <w:t>T. Jason Davis</w:t>
      </w:r>
      <w:r w:rsidRPr="00434E95">
        <w:rPr>
          <w:rFonts w:cs="Arial"/>
        </w:rPr>
        <w:t xml:space="preserve"> seconded.  The motion passed unanimously.</w:t>
      </w:r>
    </w:p>
    <w:p w14:paraId="77B68C00" w14:textId="77777777" w:rsidR="00E92892" w:rsidRPr="005F6896" w:rsidRDefault="00E92892" w:rsidP="00186D6A"/>
    <w:p w14:paraId="4A81DC83" w14:textId="38D9CD91" w:rsidR="00424E99" w:rsidRPr="005F6896" w:rsidRDefault="00424E99" w:rsidP="00424E99">
      <w:r w:rsidRPr="004342C9">
        <w:rPr>
          <w:i/>
        </w:rPr>
        <w:lastRenderedPageBreak/>
        <w:t xml:space="preserve">— </w:t>
      </w:r>
      <w:r w:rsidR="00DA14FA" w:rsidRPr="004342C9">
        <w:rPr>
          <w:i/>
        </w:rPr>
        <w:t>New and Substantially Modified Course Proposals, Group V</w:t>
      </w:r>
    </w:p>
    <w:p w14:paraId="5788D66C" w14:textId="77777777" w:rsidR="00F5286C" w:rsidRPr="005F6896" w:rsidRDefault="00F5286C" w:rsidP="00186D6A"/>
    <w:p w14:paraId="2E27864B" w14:textId="3C597752" w:rsidR="00DA14FA" w:rsidRPr="005F6896" w:rsidRDefault="00DA14FA" w:rsidP="00DA14FA">
      <w:r w:rsidRPr="005F6896">
        <w:t>DIGM 2660 Topics in Digital Media History</w:t>
      </w:r>
      <w:r w:rsidR="00E92892">
        <w:t xml:space="preserve"> (New course)</w:t>
      </w:r>
    </w:p>
    <w:p w14:paraId="3D57A4B7" w14:textId="77777777" w:rsidR="00DA14FA" w:rsidRPr="005F6896" w:rsidRDefault="00A44AF1" w:rsidP="00DA14FA">
      <w:hyperlink r:id="rId24" w:history="1">
        <w:r w:rsidR="00DA14FA" w:rsidRPr="005F6896">
          <w:rPr>
            <w:rStyle w:val="Hyperlink"/>
          </w:rPr>
          <w:t>http://etsuis.etsu.edu/CPS/forms.aspx?DispType=OutputForms&amp;NodeID=5_2a&amp;FormID=6&amp;Instance=7495</w:t>
        </w:r>
      </w:hyperlink>
    </w:p>
    <w:p w14:paraId="6656E688" w14:textId="77777777" w:rsidR="00DA14FA" w:rsidRPr="005F6896" w:rsidRDefault="00DA14FA" w:rsidP="00DA14FA">
      <w:pPr>
        <w:ind w:firstLine="720"/>
      </w:pPr>
    </w:p>
    <w:p w14:paraId="2ED6D862" w14:textId="4F435423" w:rsidR="00DA14FA" w:rsidRPr="005F6896" w:rsidRDefault="00DA14FA" w:rsidP="00DA14FA">
      <w:r w:rsidRPr="005F6896">
        <w:t>DIGM 2821 Desktop Publishing</w:t>
      </w:r>
      <w:r w:rsidR="00E92892">
        <w:t xml:space="preserve"> (Substantive modification)</w:t>
      </w:r>
    </w:p>
    <w:p w14:paraId="0337ED70" w14:textId="77777777" w:rsidR="00DA14FA" w:rsidRPr="005F6896" w:rsidRDefault="00A44AF1" w:rsidP="00DA14FA">
      <w:hyperlink r:id="rId25" w:history="1">
        <w:r w:rsidR="00DA14FA" w:rsidRPr="005F6896">
          <w:rPr>
            <w:rStyle w:val="Hyperlink"/>
          </w:rPr>
          <w:t>http://etsuis.etsu.edu/CPS/forms.aspx?DispType=OutputForms&amp;NodeID=5_2a&amp;FormID=10&amp;Instance=7506</w:t>
        </w:r>
      </w:hyperlink>
    </w:p>
    <w:p w14:paraId="139CA041" w14:textId="77777777" w:rsidR="00DA14FA" w:rsidRPr="005F6896" w:rsidRDefault="00DA14FA" w:rsidP="00DA14FA"/>
    <w:p w14:paraId="7ABCAACA" w14:textId="3F33CD97" w:rsidR="00DA14FA" w:rsidRPr="005F6896" w:rsidRDefault="00DA14FA" w:rsidP="00DA14FA">
      <w:r w:rsidRPr="005F6896">
        <w:t>DIGM 2990 Mid-Point Review</w:t>
      </w:r>
      <w:r w:rsidR="00E92892">
        <w:t xml:space="preserve"> (New course)</w:t>
      </w:r>
    </w:p>
    <w:p w14:paraId="32F0FBAC" w14:textId="77777777" w:rsidR="00DA14FA" w:rsidRPr="005F6896" w:rsidRDefault="00A44AF1" w:rsidP="00DA14FA">
      <w:hyperlink r:id="rId26" w:history="1">
        <w:r w:rsidR="00DA14FA" w:rsidRPr="005F6896">
          <w:rPr>
            <w:rStyle w:val="Hyperlink"/>
          </w:rPr>
          <w:t>http://etsuis.etsu.edu/CPS/forms.aspx?DispType=OutputForms&amp;NodeID=5_2a&amp;FormID=6&amp;Instance=6482</w:t>
        </w:r>
      </w:hyperlink>
    </w:p>
    <w:p w14:paraId="61F3CBBA" w14:textId="77777777" w:rsidR="00DA14FA" w:rsidRPr="005F6896" w:rsidRDefault="00DA14FA" w:rsidP="00DA14FA"/>
    <w:p w14:paraId="60DB7B08" w14:textId="4163005C" w:rsidR="00DA14FA" w:rsidRPr="005F6896" w:rsidRDefault="00DA14FA" w:rsidP="00DA14FA">
      <w:r w:rsidRPr="005F6896">
        <w:t>DIGM 4550 Game Play and Testing</w:t>
      </w:r>
      <w:r w:rsidR="00E92892">
        <w:t xml:space="preserve"> (New course)</w:t>
      </w:r>
    </w:p>
    <w:p w14:paraId="5F0BC14A" w14:textId="77777777" w:rsidR="00DA14FA" w:rsidRPr="005F6896" w:rsidRDefault="00A44AF1" w:rsidP="00DA14FA">
      <w:hyperlink r:id="rId27" w:history="1">
        <w:r w:rsidR="00DA14FA" w:rsidRPr="005F6896">
          <w:rPr>
            <w:rStyle w:val="Hyperlink"/>
          </w:rPr>
          <w:t>http://etsuis.etsu.edu/CPS/forms.aspx?DispType=OutputForms&amp;NodeID=5_2a&amp;FormID=6&amp;Instance=7514</w:t>
        </w:r>
      </w:hyperlink>
    </w:p>
    <w:p w14:paraId="5898FB7D" w14:textId="77777777" w:rsidR="00F5286C" w:rsidRPr="005F6896" w:rsidRDefault="00F5286C"/>
    <w:p w14:paraId="4F8271B4" w14:textId="7186BB9F" w:rsidR="00C05FD8" w:rsidRDefault="00C05FD8" w:rsidP="00C05FD8">
      <w:r>
        <w:t xml:space="preserve">Recommended change: </w:t>
      </w:r>
    </w:p>
    <w:p w14:paraId="5A50E8D8" w14:textId="6F2899A8" w:rsidR="00C05FD8" w:rsidRDefault="00C05FD8" w:rsidP="00C05FD8">
      <w:pPr>
        <w:pStyle w:val="ListParagraph"/>
        <w:numPr>
          <w:ilvl w:val="0"/>
          <w:numId w:val="33"/>
        </w:numPr>
      </w:pPr>
      <w:r>
        <w:t>DIGM 2821 – global change recommendation for catalog description</w:t>
      </w:r>
    </w:p>
    <w:p w14:paraId="2FCEB767" w14:textId="77777777" w:rsidR="00424E99" w:rsidRPr="005F6896" w:rsidRDefault="00424E99"/>
    <w:p w14:paraId="6FB79952" w14:textId="6FAB8721" w:rsidR="00C05FD8" w:rsidRPr="00434E95" w:rsidRDefault="00C05FD8" w:rsidP="00C05FD8">
      <w:pPr>
        <w:rPr>
          <w:rFonts w:cs="Arial"/>
        </w:rPr>
      </w:pPr>
      <w:r>
        <w:rPr>
          <w:rFonts w:cs="Arial"/>
        </w:rPr>
        <w:t>J. Keith Green</w:t>
      </w:r>
      <w:r w:rsidRPr="00434E95">
        <w:rPr>
          <w:rFonts w:cs="Arial"/>
        </w:rPr>
        <w:t xml:space="preserve"> moved the</w:t>
      </w:r>
      <w:r>
        <w:rPr>
          <w:rFonts w:cs="Arial"/>
        </w:rPr>
        <w:t>se</w:t>
      </w:r>
      <w:r w:rsidRPr="00434E95">
        <w:rPr>
          <w:rFonts w:cs="Arial"/>
        </w:rPr>
        <w:t xml:space="preserve"> course</w:t>
      </w:r>
      <w:r>
        <w:rPr>
          <w:rFonts w:cs="Arial"/>
        </w:rPr>
        <w:t>s</w:t>
      </w:r>
      <w:r w:rsidRPr="00434E95">
        <w:rPr>
          <w:rFonts w:cs="Arial"/>
        </w:rPr>
        <w:t xml:space="preserve"> be accepted </w:t>
      </w:r>
      <w:r>
        <w:rPr>
          <w:rFonts w:cs="Arial"/>
        </w:rPr>
        <w:t xml:space="preserve">1) </w:t>
      </w:r>
      <w:r w:rsidRPr="00434E95">
        <w:rPr>
          <w:rFonts w:cs="Arial"/>
        </w:rPr>
        <w:t>with</w:t>
      </w:r>
      <w:r>
        <w:rPr>
          <w:rFonts w:cs="Arial"/>
        </w:rPr>
        <w:t xml:space="preserve"> correction of</w:t>
      </w:r>
      <w:r w:rsidRPr="00434E95">
        <w:rPr>
          <w:rFonts w:cs="Arial"/>
        </w:rPr>
        <w:t xml:space="preserve"> the </w:t>
      </w:r>
      <w:r>
        <w:rPr>
          <w:rFonts w:cs="Arial"/>
        </w:rPr>
        <w:t>global/minor editorial change to course description in DIGM 2821 and 2) pending the approval of the TBR proposal then</w:t>
      </w:r>
      <w:r w:rsidRPr="00434E95">
        <w:rPr>
          <w:rFonts w:cs="Arial"/>
        </w:rPr>
        <w:t xml:space="preserve"> returned to the chair for approval.  </w:t>
      </w:r>
      <w:r>
        <w:rPr>
          <w:rFonts w:cs="Arial"/>
        </w:rPr>
        <w:t>T. Jason Davis</w:t>
      </w:r>
      <w:r w:rsidRPr="00434E95">
        <w:rPr>
          <w:rFonts w:cs="Arial"/>
        </w:rPr>
        <w:t xml:space="preserve"> seconded.  The motion passed unanimously.</w:t>
      </w:r>
    </w:p>
    <w:p w14:paraId="7578CC37" w14:textId="77777777" w:rsidR="00424E99" w:rsidRPr="005F6896" w:rsidRDefault="00424E99"/>
    <w:p w14:paraId="363F5ADC" w14:textId="77777777" w:rsidR="00424E99" w:rsidRPr="005F6896" w:rsidRDefault="00424E99"/>
    <w:p w14:paraId="05C58013" w14:textId="498C7EA8" w:rsidR="004B2268" w:rsidRPr="005F6896" w:rsidRDefault="004B2268" w:rsidP="004B2268">
      <w:r w:rsidRPr="004342C9">
        <w:rPr>
          <w:i/>
        </w:rPr>
        <w:t xml:space="preserve">— </w:t>
      </w:r>
      <w:r w:rsidR="00424E99" w:rsidRPr="004342C9">
        <w:rPr>
          <w:i/>
        </w:rPr>
        <w:t xml:space="preserve">TBR Proposal: </w:t>
      </w:r>
      <w:r w:rsidR="00DA14FA" w:rsidRPr="004342C9">
        <w:rPr>
          <w:i/>
        </w:rPr>
        <w:t>Revise the existing DIGM curriculum and establish a new concentration in Digital Visual Effects</w:t>
      </w:r>
    </w:p>
    <w:p w14:paraId="1501BCB2" w14:textId="77777777" w:rsidR="00F5286C" w:rsidRPr="005F6896" w:rsidRDefault="00F5286C"/>
    <w:p w14:paraId="4EBE3055" w14:textId="77777777" w:rsidR="00DA14FA" w:rsidRPr="005F6896" w:rsidRDefault="00A44AF1" w:rsidP="00DA14FA">
      <w:hyperlink r:id="rId28" w:history="1">
        <w:r w:rsidR="00DA14FA" w:rsidRPr="005F6896">
          <w:rPr>
            <w:rStyle w:val="Hyperlink"/>
          </w:rPr>
          <w:t>http://etsuis.etsu.edu/CPS/forms.aspx?DispType=OutputForms&amp;NodeID=5_2a&amp;FormID=11&amp;Instance=6293</w:t>
        </w:r>
      </w:hyperlink>
    </w:p>
    <w:p w14:paraId="2BA4A076" w14:textId="77777777" w:rsidR="00424E99" w:rsidRPr="005F6896" w:rsidRDefault="00424E99" w:rsidP="00FA4B05"/>
    <w:p w14:paraId="7EB0AB63" w14:textId="1579181E" w:rsidR="00F5286C" w:rsidRDefault="00C05FD8">
      <w:r>
        <w:t>Suzanne Smith and Shirley Cherry reviewed the DIGM TBR proposal in advance of the UCC meeting.  They submitted the following recommended changes to Marty Fitzgerald.</w:t>
      </w:r>
    </w:p>
    <w:p w14:paraId="2657E857" w14:textId="3B191CA7" w:rsidR="00C05FD8" w:rsidRDefault="00C05FD8" w:rsidP="00C05FD8">
      <w:pPr>
        <w:pStyle w:val="ListParagraph"/>
        <w:numPr>
          <w:ilvl w:val="0"/>
          <w:numId w:val="33"/>
        </w:numPr>
      </w:pPr>
      <w:r>
        <w:t xml:space="preserve">Cover page – Change </w:t>
      </w:r>
      <w:r w:rsidR="004342C9">
        <w:t xml:space="preserve">the </w:t>
      </w:r>
      <w:r>
        <w:t>proposed implementation date to Fall 2015</w:t>
      </w:r>
    </w:p>
    <w:p w14:paraId="0F77FCFA" w14:textId="0E22FB9E" w:rsidR="00C05FD8" w:rsidRDefault="00272E0C" w:rsidP="00C05FD8">
      <w:pPr>
        <w:pStyle w:val="ListParagraph"/>
        <w:numPr>
          <w:ilvl w:val="0"/>
          <w:numId w:val="33"/>
        </w:numPr>
      </w:pPr>
      <w:r>
        <w:t xml:space="preserve">Number 2a (pg. </w:t>
      </w:r>
      <w:r w:rsidR="00C05FD8">
        <w:t>4</w:t>
      </w:r>
      <w:r>
        <w:t>)</w:t>
      </w:r>
      <w:r w:rsidR="00C05FD8">
        <w:t xml:space="preserve"> – Students will decide on a concentration after taking an introductory class.</w:t>
      </w:r>
    </w:p>
    <w:p w14:paraId="1D2B0BC0" w14:textId="2132893A" w:rsidR="00C05FD8" w:rsidRDefault="00272E0C" w:rsidP="00C05FD8">
      <w:pPr>
        <w:pStyle w:val="ListParagraph"/>
        <w:numPr>
          <w:ilvl w:val="0"/>
          <w:numId w:val="33"/>
        </w:numPr>
      </w:pPr>
      <w:r>
        <w:t xml:space="preserve">Number 2b (pg. 4) </w:t>
      </w:r>
      <w:r w:rsidR="00C05FD8">
        <w:t>– Students will select a concentration earlier in their educational experience, which will prevent them from having to take extra courses to meet graduation requirements.</w:t>
      </w:r>
    </w:p>
    <w:p w14:paraId="75CC61AE" w14:textId="486DDFB8" w:rsidR="00C05FD8" w:rsidRDefault="00C05FD8" w:rsidP="00C05FD8">
      <w:pPr>
        <w:pStyle w:val="ListParagraph"/>
        <w:numPr>
          <w:ilvl w:val="0"/>
          <w:numId w:val="33"/>
        </w:numPr>
      </w:pPr>
      <w:r>
        <w:t xml:space="preserve">Page 5 – The number of credits in the Digital Visualization concentration 27 and the number of elective credits on the same page is 17.  In Appendix E (page 24), the total concentration credits are 24, and there are 20 elective credits.  It appears </w:t>
      </w:r>
      <w:r>
        <w:lastRenderedPageBreak/>
        <w:t>that the typos are on page 5.  The correct numbers are 24 total concentration credits and 20 elective credits.</w:t>
      </w:r>
    </w:p>
    <w:p w14:paraId="5E679FE4" w14:textId="27A5D509" w:rsidR="00C05FD8" w:rsidRDefault="00272E0C" w:rsidP="00C05FD8">
      <w:pPr>
        <w:pStyle w:val="ListParagraph"/>
        <w:numPr>
          <w:ilvl w:val="0"/>
          <w:numId w:val="33"/>
        </w:numPr>
      </w:pPr>
      <w:r>
        <w:t xml:space="preserve">Need (pg. 5) </w:t>
      </w:r>
      <w:r w:rsidR="00C05FD8">
        <w:t>– Accreditation is the primary factor driving the curricular changes.</w:t>
      </w:r>
    </w:p>
    <w:p w14:paraId="02B727E7" w14:textId="3E5292BF" w:rsidR="00C05FD8" w:rsidRDefault="00C05FD8" w:rsidP="00C05FD8">
      <w:pPr>
        <w:pStyle w:val="ListParagraph"/>
        <w:numPr>
          <w:ilvl w:val="0"/>
          <w:numId w:val="33"/>
        </w:numPr>
      </w:pPr>
      <w:r>
        <w:t xml:space="preserve">Supply and Demand Ratios </w:t>
      </w:r>
      <w:r w:rsidR="00272E0C">
        <w:t xml:space="preserve">(pg. 6) </w:t>
      </w:r>
      <w:r>
        <w:t>– There is a typo for pathway 3.1, Audio and Video Tech.  According to the THEC supply/demand analyses, the supply is 681 not 685.</w:t>
      </w:r>
    </w:p>
    <w:p w14:paraId="3A1D0E05" w14:textId="04620D83" w:rsidR="00C05FD8" w:rsidRDefault="00C05FD8" w:rsidP="00C05FD8">
      <w:pPr>
        <w:pStyle w:val="ListParagraph"/>
        <w:numPr>
          <w:ilvl w:val="0"/>
          <w:numId w:val="33"/>
        </w:numPr>
      </w:pPr>
      <w:r>
        <w:t>Evaluation Plans</w:t>
      </w:r>
      <w:r w:rsidR="00272E0C">
        <w:t xml:space="preserve"> (pg. 12) </w:t>
      </w:r>
      <w:r>
        <w:t>– Under the 3</w:t>
      </w:r>
      <w:r w:rsidRPr="00C05FD8">
        <w:rPr>
          <w:vertAlign w:val="superscript"/>
        </w:rPr>
        <w:t>rd</w:t>
      </w:r>
      <w:r>
        <w:t xml:space="preserve"> bullet point: As mentioned above, DIGM 4930 Portfolio Development for Digital Media is our primary point of assessment as a program.  We frequently invite outside professionals to review the student work along with the faculty to provide professional perspective.  Our accreditation body also reviews student work during accreditation visits.</w:t>
      </w:r>
    </w:p>
    <w:p w14:paraId="1261007D" w14:textId="21719704" w:rsidR="00DD5667" w:rsidRDefault="00996455" w:rsidP="00C05FD8">
      <w:pPr>
        <w:pStyle w:val="ListParagraph"/>
        <w:numPr>
          <w:ilvl w:val="0"/>
          <w:numId w:val="33"/>
        </w:numPr>
      </w:pPr>
      <w:r>
        <w:t xml:space="preserve">Appendix B, </w:t>
      </w:r>
      <w:r w:rsidR="00DD5667">
        <w:t>Table (pg. 18) – ARTH 4137 (History of Digital Media) is not in CPS or on the list of courses in the ETSU catalog.</w:t>
      </w:r>
    </w:p>
    <w:p w14:paraId="189D4A30" w14:textId="5294769A" w:rsidR="00DD5667" w:rsidRDefault="00DD5667" w:rsidP="00C05FD8">
      <w:pPr>
        <w:pStyle w:val="ListParagraph"/>
        <w:numPr>
          <w:ilvl w:val="0"/>
          <w:numId w:val="33"/>
        </w:numPr>
      </w:pPr>
      <w:r>
        <w:t>Appendix F (pg. 26) – DIGM 2530 should be “High Fidelity Modeling for Entertainment”</w:t>
      </w:r>
    </w:p>
    <w:p w14:paraId="2496D634" w14:textId="60A47D8E" w:rsidR="00DD5667" w:rsidRDefault="00996455" w:rsidP="00C05FD8">
      <w:pPr>
        <w:pStyle w:val="ListParagraph"/>
        <w:numPr>
          <w:ilvl w:val="0"/>
          <w:numId w:val="33"/>
        </w:numPr>
      </w:pPr>
      <w:r>
        <w:t>Appendix F (pg. 26) – DIGM 4700 the title of the course is incorrect and it should be bolded and labeled as a new course</w:t>
      </w:r>
    </w:p>
    <w:p w14:paraId="43A42865" w14:textId="2C501E0B" w:rsidR="00272E0C" w:rsidRDefault="00C05FD8" w:rsidP="00C05FD8">
      <w:pPr>
        <w:pStyle w:val="ListParagraph"/>
        <w:numPr>
          <w:ilvl w:val="0"/>
          <w:numId w:val="33"/>
        </w:numPr>
      </w:pPr>
      <w:r>
        <w:t>Total guided electives</w:t>
      </w:r>
      <w:r w:rsidR="00272E0C">
        <w:t xml:space="preserve"> (pg. 25) - 11 credit hours</w:t>
      </w:r>
      <w:r>
        <w:t xml:space="preserve"> are listed.  Should the total number of electives (20 credit hours) be provided too (as it provided on page 26)?</w:t>
      </w:r>
    </w:p>
    <w:p w14:paraId="6511BD14" w14:textId="77777777" w:rsidR="00272E0C" w:rsidRDefault="00272E0C" w:rsidP="00272E0C"/>
    <w:p w14:paraId="3D677D80" w14:textId="6AC51190" w:rsidR="00272E0C" w:rsidRDefault="00272E0C" w:rsidP="00272E0C">
      <w:r>
        <w:t xml:space="preserve">The above recommended changes </w:t>
      </w:r>
      <w:r w:rsidR="004342C9">
        <w:t>had been</w:t>
      </w:r>
      <w:r>
        <w:t xml:space="preserve"> completed in the proposal reviewed by UCC members in today’s meeting.</w:t>
      </w:r>
    </w:p>
    <w:p w14:paraId="1806A1D0" w14:textId="77777777" w:rsidR="00272E0C" w:rsidRDefault="00272E0C" w:rsidP="00272E0C"/>
    <w:p w14:paraId="6BE9D7DE" w14:textId="77777777" w:rsidR="00272E0C" w:rsidRDefault="00272E0C" w:rsidP="00272E0C">
      <w:r>
        <w:t>The following recommendations were made during today’s meeting:</w:t>
      </w:r>
    </w:p>
    <w:p w14:paraId="6301A992" w14:textId="77777777" w:rsidR="00272E0C" w:rsidRDefault="00272E0C" w:rsidP="00272E0C"/>
    <w:p w14:paraId="30D7661C" w14:textId="77777777" w:rsidR="00272E0C" w:rsidRDefault="00272E0C" w:rsidP="00272E0C">
      <w:pPr>
        <w:pStyle w:val="ListParagraph"/>
        <w:numPr>
          <w:ilvl w:val="0"/>
          <w:numId w:val="35"/>
        </w:numPr>
      </w:pPr>
      <w:r>
        <w:t>Need (pg. 5)</w:t>
      </w:r>
    </w:p>
    <w:p w14:paraId="1C1382D9" w14:textId="179D853F" w:rsidR="00C05FD8" w:rsidRDefault="00272E0C" w:rsidP="00272E0C">
      <w:pPr>
        <w:pStyle w:val="ListParagraph"/>
        <w:numPr>
          <w:ilvl w:val="1"/>
          <w:numId w:val="35"/>
        </w:numPr>
      </w:pPr>
      <w:r>
        <w:t>Delete the 1</w:t>
      </w:r>
      <w:r w:rsidRPr="00272E0C">
        <w:rPr>
          <w:vertAlign w:val="superscript"/>
        </w:rPr>
        <w:t>st</w:t>
      </w:r>
      <w:r>
        <w:t xml:space="preserve"> paragraph which contains instructions for completing the section.</w:t>
      </w:r>
    </w:p>
    <w:p w14:paraId="1B34AEFD" w14:textId="698EC6CF" w:rsidR="00272E0C" w:rsidRDefault="00272E0C" w:rsidP="00272E0C">
      <w:pPr>
        <w:pStyle w:val="ListParagraph"/>
        <w:numPr>
          <w:ilvl w:val="1"/>
          <w:numId w:val="35"/>
        </w:numPr>
      </w:pPr>
      <w:r>
        <w:t xml:space="preserve">Delete the following sections:  Begin with “Graduates from all of our concentrations” and continue through “We have recent graduates working in all these capacities.” </w:t>
      </w:r>
    </w:p>
    <w:p w14:paraId="294EC4A8" w14:textId="7B9134D9" w:rsidR="00272E0C" w:rsidRDefault="00272E0C" w:rsidP="00272E0C">
      <w:pPr>
        <w:pStyle w:val="ListParagraph"/>
        <w:numPr>
          <w:ilvl w:val="1"/>
          <w:numId w:val="35"/>
        </w:numPr>
      </w:pPr>
      <w:r>
        <w:t xml:space="preserve">Add a new paragraph that explains why </w:t>
      </w:r>
      <w:r w:rsidR="004342C9">
        <w:t>the</w:t>
      </w:r>
      <w:r>
        <w:t xml:space="preserve"> need </w:t>
      </w:r>
      <w:r w:rsidR="004342C9">
        <w:t xml:space="preserve">for </w:t>
      </w:r>
      <w:r>
        <w:t>the concentration</w:t>
      </w:r>
      <w:r w:rsidR="00E01A61">
        <w:t>.</w:t>
      </w:r>
    </w:p>
    <w:p w14:paraId="37DC89AB" w14:textId="0D00D4CE" w:rsidR="00E01A61" w:rsidRDefault="00E01A61" w:rsidP="00E01A61">
      <w:pPr>
        <w:pStyle w:val="ListParagraph"/>
        <w:numPr>
          <w:ilvl w:val="0"/>
          <w:numId w:val="35"/>
        </w:numPr>
      </w:pPr>
      <w:r>
        <w:t>Plans for accreditation (pg. 7) – Double space then add the statement “SACS notification is not required.”</w:t>
      </w:r>
    </w:p>
    <w:p w14:paraId="73F0AB4A" w14:textId="7F42E03E" w:rsidR="00E01A61" w:rsidRDefault="00E01A61" w:rsidP="00E01A61">
      <w:pPr>
        <w:pStyle w:val="ListParagraph"/>
        <w:numPr>
          <w:ilvl w:val="0"/>
          <w:numId w:val="35"/>
        </w:numPr>
      </w:pPr>
      <w:r>
        <w:t>Page 7 – Delete the following sections</w:t>
      </w:r>
    </w:p>
    <w:p w14:paraId="0092152C" w14:textId="69972F89" w:rsidR="00E01A61" w:rsidRDefault="00E01A61" w:rsidP="00E01A61">
      <w:pPr>
        <w:pStyle w:val="ListParagraph"/>
        <w:numPr>
          <w:ilvl w:val="1"/>
          <w:numId w:val="35"/>
        </w:numPr>
      </w:pPr>
      <w:r>
        <w:t>*Evidence of Cooperating/Collaborating Institutions</w:t>
      </w:r>
    </w:p>
    <w:p w14:paraId="43A1B19F" w14:textId="680785D7" w:rsidR="00E01A61" w:rsidRDefault="00E01A61" w:rsidP="00E01A61">
      <w:pPr>
        <w:pStyle w:val="ListParagraph"/>
        <w:numPr>
          <w:ilvl w:val="1"/>
          <w:numId w:val="35"/>
        </w:numPr>
      </w:pPr>
      <w:r>
        <w:t>*For Doctoral Programs</w:t>
      </w:r>
    </w:p>
    <w:p w14:paraId="7FF8ECA7" w14:textId="03A6789A" w:rsidR="00E01A61" w:rsidRDefault="00E01A61" w:rsidP="00E01A61">
      <w:pPr>
        <w:pStyle w:val="ListParagraph"/>
        <w:numPr>
          <w:ilvl w:val="1"/>
          <w:numId w:val="35"/>
        </w:numPr>
      </w:pPr>
      <w:r>
        <w:t>*For Technical Certificates</w:t>
      </w:r>
    </w:p>
    <w:p w14:paraId="246D6A36" w14:textId="0FCD95E9" w:rsidR="00E01A61" w:rsidRDefault="00E01A61" w:rsidP="00E01A61">
      <w:pPr>
        <w:pStyle w:val="ListParagraph"/>
        <w:numPr>
          <w:ilvl w:val="0"/>
          <w:numId w:val="35"/>
        </w:numPr>
      </w:pPr>
      <w:r>
        <w:t>Section III: Program Structure (pg. 8)</w:t>
      </w:r>
    </w:p>
    <w:p w14:paraId="0456C4EE" w14:textId="08150306" w:rsidR="00E01A61" w:rsidRDefault="00E01A61" w:rsidP="00E01A61">
      <w:pPr>
        <w:pStyle w:val="ListParagraph"/>
        <w:numPr>
          <w:ilvl w:val="1"/>
          <w:numId w:val="35"/>
        </w:numPr>
      </w:pPr>
      <w:r>
        <w:t>Section B: Correct this section to show the program of study including core courses, concentration courses, electives, and total credits</w:t>
      </w:r>
    </w:p>
    <w:p w14:paraId="4A7510DE" w14:textId="09F66C10" w:rsidR="00E01A61" w:rsidRDefault="00E01A61" w:rsidP="00E01A61">
      <w:pPr>
        <w:pStyle w:val="ListParagraph"/>
        <w:numPr>
          <w:ilvl w:val="1"/>
          <w:numId w:val="35"/>
        </w:numPr>
      </w:pPr>
      <w:r>
        <w:t>Move the appendices below the content added in the previous bullet</w:t>
      </w:r>
    </w:p>
    <w:p w14:paraId="29219FA6" w14:textId="4A6D4AA7" w:rsidR="00E01A61" w:rsidRDefault="00E01A61" w:rsidP="00E01A61">
      <w:pPr>
        <w:pStyle w:val="ListParagraph"/>
        <w:numPr>
          <w:ilvl w:val="0"/>
          <w:numId w:val="35"/>
        </w:numPr>
      </w:pPr>
      <w:r>
        <w:t>Section III - D, Description of New Courses (pg. 8-9) – Make sure any revisions recommended in today’s meeting are incorporated into the course descriptions in this section.</w:t>
      </w:r>
    </w:p>
    <w:p w14:paraId="75C706C9" w14:textId="3D573713" w:rsidR="00E01A61" w:rsidRDefault="00E01A61" w:rsidP="00E01A61">
      <w:pPr>
        <w:pStyle w:val="ListParagraph"/>
        <w:numPr>
          <w:ilvl w:val="0"/>
          <w:numId w:val="35"/>
        </w:numPr>
      </w:pPr>
      <w:r>
        <w:lastRenderedPageBreak/>
        <w:t xml:space="preserve">Section III – G, Describe any unique features not previously addressed (pg. 10) – Insert a sentence </w:t>
      </w:r>
      <w:r w:rsidR="004342C9">
        <w:t>explaining</w:t>
      </w:r>
      <w:r>
        <w:t xml:space="preserve"> how current students will be managed during the transition process.</w:t>
      </w:r>
    </w:p>
    <w:p w14:paraId="664F92BE" w14:textId="7D4A5816" w:rsidR="00E01A61" w:rsidRDefault="00E01A61" w:rsidP="00E01A61">
      <w:pPr>
        <w:pStyle w:val="ListParagraph"/>
        <w:numPr>
          <w:ilvl w:val="0"/>
          <w:numId w:val="35"/>
        </w:numPr>
      </w:pPr>
      <w:r>
        <w:t xml:space="preserve">Evidence of Demand and Need (pg. 12) – Delete </w:t>
      </w:r>
      <w:r w:rsidR="00DD5667">
        <w:t>the following information: Begin with “Mission Congruence” and continue through “Anticipated impact on existing associated or similar programs at other institutions within the region”</w:t>
      </w:r>
    </w:p>
    <w:p w14:paraId="28224997" w14:textId="032BB91F" w:rsidR="00DD5667" w:rsidRDefault="00DD5667" w:rsidP="00E01A61">
      <w:pPr>
        <w:pStyle w:val="ListParagraph"/>
        <w:numPr>
          <w:ilvl w:val="0"/>
          <w:numId w:val="35"/>
        </w:numPr>
      </w:pPr>
      <w:r>
        <w:t>Section VII; THEC Financial Projection Form INSTRUCTIONS (pg. 14) – Delete this entire section and replace with “NA”</w:t>
      </w:r>
    </w:p>
    <w:p w14:paraId="4F865C4D" w14:textId="77777777" w:rsidR="00DD5667" w:rsidRDefault="00DD5667" w:rsidP="00DD5667">
      <w:pPr>
        <w:ind w:left="415"/>
      </w:pPr>
    </w:p>
    <w:p w14:paraId="7ED74C60" w14:textId="3B6D7047" w:rsidR="00DD5667" w:rsidRPr="00D1432D" w:rsidRDefault="00DD5667" w:rsidP="00DD5667">
      <w:pPr>
        <w:ind w:left="415"/>
        <w:rPr>
          <w:rFonts w:cs="Arial"/>
        </w:rPr>
      </w:pPr>
      <w:r>
        <w:t>J. Keith Green moved to accept the TBR proposal with the recommended changes and the corrected proposal returned to the chair for approval.  Shirley Cherry seconded.  The motion passed unanimously.</w:t>
      </w:r>
    </w:p>
    <w:p w14:paraId="5349DB49" w14:textId="77777777" w:rsidR="00DA14FA" w:rsidRPr="005F6896" w:rsidRDefault="00DA14FA"/>
    <w:p w14:paraId="6183FCF7" w14:textId="77777777" w:rsidR="004342C9" w:rsidRPr="005F6896" w:rsidRDefault="004342C9" w:rsidP="004342C9">
      <w:r w:rsidRPr="005F6896">
        <w:rPr>
          <w:b/>
        </w:rPr>
        <w:t>Other Discussion:</w:t>
      </w:r>
    </w:p>
    <w:p w14:paraId="75F226B5" w14:textId="77777777" w:rsidR="00DA14FA" w:rsidRPr="005F6896" w:rsidRDefault="00DA14FA"/>
    <w:p w14:paraId="65C3E5C9" w14:textId="45773015" w:rsidR="00DA14FA" w:rsidRPr="005F6896" w:rsidRDefault="00996455">
      <w:r>
        <w:t xml:space="preserve">Suzanne Smith moved the TBR Proposal: Revise the BBA in Bachelor of Business Administration </w:t>
      </w:r>
      <w:proofErr w:type="gramStart"/>
      <w:r>
        <w:t>be</w:t>
      </w:r>
      <w:proofErr w:type="gramEnd"/>
      <w:r>
        <w:t xml:space="preserve"> added to today’s meeting agenda.  J. Keith Green seconded.  The motion passed unanimously.</w:t>
      </w:r>
    </w:p>
    <w:p w14:paraId="27534FED" w14:textId="77777777" w:rsidR="00DA14FA" w:rsidRPr="005F6896" w:rsidRDefault="00DA14FA"/>
    <w:p w14:paraId="72BF503C" w14:textId="3C5743EC" w:rsidR="00996455" w:rsidRPr="005F6896" w:rsidRDefault="00996455" w:rsidP="00996455">
      <w:r w:rsidRPr="005245A4">
        <w:rPr>
          <w:i/>
        </w:rPr>
        <w:t>— TBR Proposal: Revise the BBA in Bachelor of Business Administration</w:t>
      </w:r>
    </w:p>
    <w:p w14:paraId="422DECE5" w14:textId="77777777" w:rsidR="00DA14FA" w:rsidRPr="005F6896" w:rsidRDefault="00DA14FA"/>
    <w:p w14:paraId="76E5F710" w14:textId="71302438" w:rsidR="00DA14FA" w:rsidRDefault="00996455">
      <w:r>
        <w:t>Suzanne Smith presented an overview of the proposal.  The purpose of the proposal is to revise the current admission requirements to make them more stringent by requiring a C (2.0) or higher in 6 core courses and limiting the number of times students can retake courses when applying to the major.</w:t>
      </w:r>
    </w:p>
    <w:p w14:paraId="5EEA691C" w14:textId="77777777" w:rsidR="00996455" w:rsidRPr="005F6896" w:rsidRDefault="00996455"/>
    <w:p w14:paraId="6F4413E6" w14:textId="611A3101" w:rsidR="00DA14FA" w:rsidRDefault="00996455">
      <w:r>
        <w:t>The committee recommended the following change:</w:t>
      </w:r>
    </w:p>
    <w:p w14:paraId="2C735F42" w14:textId="57CA8396" w:rsidR="00996455" w:rsidRDefault="00996455" w:rsidP="00996455">
      <w:pPr>
        <w:pStyle w:val="ListParagraph"/>
        <w:numPr>
          <w:ilvl w:val="0"/>
          <w:numId w:val="36"/>
        </w:numPr>
      </w:pPr>
      <w:r>
        <w:t xml:space="preserve">Impact (pg. 6):  </w:t>
      </w:r>
      <w:r w:rsidR="004342C9">
        <w:t>Second bullet point – Edit to read “A significant increase in the number of students properly declaring a major by the time they accumulate 60 credit hours”</w:t>
      </w:r>
    </w:p>
    <w:p w14:paraId="0F26EC9C" w14:textId="77777777" w:rsidR="004342C9" w:rsidRDefault="004342C9" w:rsidP="004342C9"/>
    <w:p w14:paraId="0B22D2B3" w14:textId="5E076C1D" w:rsidR="004342C9" w:rsidRPr="00D1432D" w:rsidRDefault="004342C9" w:rsidP="004342C9">
      <w:pPr>
        <w:ind w:left="415"/>
        <w:rPr>
          <w:rFonts w:cs="Arial"/>
        </w:rPr>
      </w:pPr>
      <w:r>
        <w:t>J. Keith Green moved to accept the TBR proposal with the recommended edit under impact and the corrected proposal returned to the chair for approval.  T. Jason Davis seconded.  The motion passed unanimously.</w:t>
      </w:r>
    </w:p>
    <w:p w14:paraId="715ED62B" w14:textId="5E4B3212" w:rsidR="004342C9" w:rsidRPr="005F6896" w:rsidRDefault="004342C9" w:rsidP="004342C9"/>
    <w:p w14:paraId="2DB6917A" w14:textId="77777777" w:rsidR="00DA14FA" w:rsidRPr="005F6896" w:rsidRDefault="00DA14FA"/>
    <w:p w14:paraId="27D314C1" w14:textId="756C1BD1" w:rsidR="00277838" w:rsidRPr="005F6896" w:rsidRDefault="007F74B8">
      <w:r w:rsidRPr="005F6896">
        <w:t xml:space="preserve">A motion to adjourn was made </w:t>
      </w:r>
      <w:r w:rsidR="008053F1" w:rsidRPr="005F6896">
        <w:t>at</w:t>
      </w:r>
      <w:r w:rsidR="004342C9">
        <w:t xml:space="preserve"> 3:20 </w:t>
      </w:r>
      <w:r w:rsidRPr="005F6896">
        <w:t xml:space="preserve">p.m. by </w:t>
      </w:r>
      <w:r w:rsidR="004342C9">
        <w:t xml:space="preserve">T. Jason Davis </w:t>
      </w:r>
      <w:r w:rsidR="008011B6" w:rsidRPr="005F6896">
        <w:t xml:space="preserve">and seconded by </w:t>
      </w:r>
      <w:r w:rsidR="004342C9">
        <w:t>Suzanne Smith</w:t>
      </w:r>
      <w:r w:rsidRPr="005F6896">
        <w:t>. The committee unanimously approved the motion.</w:t>
      </w:r>
    </w:p>
    <w:p w14:paraId="3F451A7E" w14:textId="77777777" w:rsidR="00A80750" w:rsidRPr="005F6896" w:rsidRDefault="00A80750"/>
    <w:p w14:paraId="59163AB9" w14:textId="2330A903" w:rsidR="00A80750" w:rsidRPr="005F6896" w:rsidRDefault="00A80750">
      <w:r w:rsidRPr="005F6896">
        <w:t>Respectfully submitted,</w:t>
      </w:r>
    </w:p>
    <w:p w14:paraId="55CD679B" w14:textId="77777777" w:rsidR="00A80750" w:rsidRPr="005F6896" w:rsidRDefault="00A80750"/>
    <w:p w14:paraId="440C93D4" w14:textId="48D65BD1" w:rsidR="00A80750" w:rsidRPr="005F6896" w:rsidRDefault="00F835C4">
      <w:r w:rsidRPr="005F6896">
        <w:t xml:space="preserve">Rhonda </w:t>
      </w:r>
      <w:proofErr w:type="spellStart"/>
      <w:r w:rsidRPr="005F6896">
        <w:t>Brodrick</w:t>
      </w:r>
      <w:proofErr w:type="spellEnd"/>
    </w:p>
    <w:p w14:paraId="319002C9" w14:textId="1059DF4F" w:rsidR="00A80750" w:rsidRDefault="00A80750">
      <w:r w:rsidRPr="005F6896">
        <w:t>UCC Secretary</w:t>
      </w:r>
    </w:p>
    <w:p w14:paraId="42D71F0E" w14:textId="77777777" w:rsidR="00EB2252" w:rsidRDefault="00EB2252"/>
    <w:p w14:paraId="7388FD90" w14:textId="35E5F85B" w:rsidR="00EB2252" w:rsidRDefault="00EB2252" w:rsidP="00EB2252">
      <w:pPr>
        <w:rPr>
          <w:sz w:val="20"/>
        </w:rPr>
      </w:pPr>
      <w:r>
        <w:rPr>
          <w:sz w:val="20"/>
        </w:rPr>
        <w:t>Approved by UCC 10/</w:t>
      </w:r>
      <w:r>
        <w:rPr>
          <w:sz w:val="20"/>
        </w:rPr>
        <w:t>29</w:t>
      </w:r>
      <w:bookmarkStart w:id="0" w:name="_GoBack"/>
      <w:bookmarkEnd w:id="0"/>
      <w:r>
        <w:rPr>
          <w:sz w:val="20"/>
        </w:rPr>
        <w:t>/14</w:t>
      </w:r>
    </w:p>
    <w:p w14:paraId="123E1A56" w14:textId="77777777" w:rsidR="00EB2252" w:rsidRPr="005F6896" w:rsidRDefault="00EB2252"/>
    <w:sectPr w:rsidR="00EB2252" w:rsidRPr="005F6896" w:rsidSect="00006D38">
      <w:footerReference w:type="default" r:id="rId29"/>
      <w:pgSz w:w="12240" w:h="15840"/>
      <w:pgMar w:top="1440" w:right="126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CD94C7" w14:textId="77777777" w:rsidR="00A44AF1" w:rsidRDefault="00A44AF1" w:rsidP="00885C7C">
      <w:r>
        <w:separator/>
      </w:r>
    </w:p>
  </w:endnote>
  <w:endnote w:type="continuationSeparator" w:id="0">
    <w:p w14:paraId="4F8A6330" w14:textId="77777777" w:rsidR="00A44AF1" w:rsidRDefault="00A44AF1" w:rsidP="00885C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4651067"/>
      <w:docPartObj>
        <w:docPartGallery w:val="Page Numbers (Bottom of Page)"/>
        <w:docPartUnique/>
      </w:docPartObj>
    </w:sdtPr>
    <w:sdtEndPr>
      <w:rPr>
        <w:noProof/>
      </w:rPr>
    </w:sdtEndPr>
    <w:sdtContent>
      <w:p w14:paraId="2CAD064A" w14:textId="46E2E902" w:rsidR="00885C7C" w:rsidRDefault="00885C7C">
        <w:pPr>
          <w:pStyle w:val="Footer"/>
          <w:jc w:val="center"/>
        </w:pPr>
        <w:r>
          <w:fldChar w:fldCharType="begin"/>
        </w:r>
        <w:r>
          <w:instrText xml:space="preserve"> PAGE   \* MERGEFORMAT </w:instrText>
        </w:r>
        <w:r>
          <w:fldChar w:fldCharType="separate"/>
        </w:r>
        <w:r w:rsidR="00EB2252">
          <w:rPr>
            <w:noProof/>
          </w:rPr>
          <w:t>7</w:t>
        </w:r>
        <w:r>
          <w:rPr>
            <w:noProof/>
          </w:rPr>
          <w:fldChar w:fldCharType="end"/>
        </w:r>
      </w:p>
    </w:sdtContent>
  </w:sdt>
  <w:p w14:paraId="5A18D557" w14:textId="77777777" w:rsidR="00885C7C" w:rsidRDefault="00885C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D2AE3E" w14:textId="77777777" w:rsidR="00A44AF1" w:rsidRDefault="00A44AF1" w:rsidP="00885C7C">
      <w:r>
        <w:separator/>
      </w:r>
    </w:p>
  </w:footnote>
  <w:footnote w:type="continuationSeparator" w:id="0">
    <w:p w14:paraId="7A391523" w14:textId="77777777" w:rsidR="00A44AF1" w:rsidRDefault="00A44AF1" w:rsidP="00885C7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A24CF"/>
    <w:multiLevelType w:val="hybridMultilevel"/>
    <w:tmpl w:val="8206B7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3A462A"/>
    <w:multiLevelType w:val="hybridMultilevel"/>
    <w:tmpl w:val="00204A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6B468E"/>
    <w:multiLevelType w:val="hybridMultilevel"/>
    <w:tmpl w:val="E1809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DE5140"/>
    <w:multiLevelType w:val="hybridMultilevel"/>
    <w:tmpl w:val="F3A233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0557B0"/>
    <w:multiLevelType w:val="hybridMultilevel"/>
    <w:tmpl w:val="8E500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720F56"/>
    <w:multiLevelType w:val="hybridMultilevel"/>
    <w:tmpl w:val="1ECA6B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7637498"/>
    <w:multiLevelType w:val="multilevel"/>
    <w:tmpl w:val="97588B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8384ECF"/>
    <w:multiLevelType w:val="hybridMultilevel"/>
    <w:tmpl w:val="4670A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B194784"/>
    <w:multiLevelType w:val="hybridMultilevel"/>
    <w:tmpl w:val="915029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8A9289A"/>
    <w:multiLevelType w:val="hybridMultilevel"/>
    <w:tmpl w:val="CE32D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9B11917"/>
    <w:multiLevelType w:val="hybridMultilevel"/>
    <w:tmpl w:val="7FFA0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A9B4090"/>
    <w:multiLevelType w:val="hybridMultilevel"/>
    <w:tmpl w:val="2C0644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2CBF5864"/>
    <w:multiLevelType w:val="hybridMultilevel"/>
    <w:tmpl w:val="6860A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F021876"/>
    <w:multiLevelType w:val="hybridMultilevel"/>
    <w:tmpl w:val="C24C9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1E0266F"/>
    <w:multiLevelType w:val="hybridMultilevel"/>
    <w:tmpl w:val="BFF0F4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3C255C2"/>
    <w:multiLevelType w:val="hybridMultilevel"/>
    <w:tmpl w:val="44E0A4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8F837B6"/>
    <w:multiLevelType w:val="hybridMultilevel"/>
    <w:tmpl w:val="C33C5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CBE7B0F"/>
    <w:multiLevelType w:val="hybridMultilevel"/>
    <w:tmpl w:val="B9EE5D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4A128F1"/>
    <w:multiLevelType w:val="hybridMultilevel"/>
    <w:tmpl w:val="B35A2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4D60231"/>
    <w:multiLevelType w:val="hybridMultilevel"/>
    <w:tmpl w:val="7D603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5AA6067"/>
    <w:multiLevelType w:val="hybridMultilevel"/>
    <w:tmpl w:val="3F4009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71946AA"/>
    <w:multiLevelType w:val="hybridMultilevel"/>
    <w:tmpl w:val="7B224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E8475D1"/>
    <w:multiLevelType w:val="hybridMultilevel"/>
    <w:tmpl w:val="3B0A6B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0493BCB"/>
    <w:multiLevelType w:val="hybridMultilevel"/>
    <w:tmpl w:val="2EC48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1D23073"/>
    <w:multiLevelType w:val="hybridMultilevel"/>
    <w:tmpl w:val="E9B2CF6A"/>
    <w:lvl w:ilvl="0" w:tplc="04090001">
      <w:start w:val="1"/>
      <w:numFmt w:val="bullet"/>
      <w:lvlText w:val=""/>
      <w:lvlJc w:val="left"/>
      <w:pPr>
        <w:ind w:left="775" w:hanging="360"/>
      </w:pPr>
      <w:rPr>
        <w:rFonts w:ascii="Symbol" w:hAnsi="Symbol" w:hint="default"/>
      </w:rPr>
    </w:lvl>
    <w:lvl w:ilvl="1" w:tplc="04090003">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25">
    <w:nsid w:val="597074B8"/>
    <w:multiLevelType w:val="hybridMultilevel"/>
    <w:tmpl w:val="099C2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E9A163F"/>
    <w:multiLevelType w:val="hybridMultilevel"/>
    <w:tmpl w:val="8E2007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09C08AC"/>
    <w:multiLevelType w:val="hybridMultilevel"/>
    <w:tmpl w:val="9D94E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26473F7"/>
    <w:multiLevelType w:val="hybridMultilevel"/>
    <w:tmpl w:val="5376699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87A6BF4"/>
    <w:multiLevelType w:val="hybridMultilevel"/>
    <w:tmpl w:val="684484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8EE46DE"/>
    <w:multiLevelType w:val="hybridMultilevel"/>
    <w:tmpl w:val="E16450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B9A3207"/>
    <w:multiLevelType w:val="hybridMultilevel"/>
    <w:tmpl w:val="E28EE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FCA6E66"/>
    <w:multiLevelType w:val="hybridMultilevel"/>
    <w:tmpl w:val="21BCB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8261B02"/>
    <w:multiLevelType w:val="multilevel"/>
    <w:tmpl w:val="A880A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7B7A5296"/>
    <w:multiLevelType w:val="hybridMultilevel"/>
    <w:tmpl w:val="5376699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CB16A91"/>
    <w:multiLevelType w:val="hybridMultilevel"/>
    <w:tmpl w:val="B1BE5A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3"/>
  </w:num>
  <w:num w:numId="2">
    <w:abstractNumId w:val="20"/>
  </w:num>
  <w:num w:numId="3">
    <w:abstractNumId w:val="4"/>
  </w:num>
  <w:num w:numId="4">
    <w:abstractNumId w:val="5"/>
  </w:num>
  <w:num w:numId="5">
    <w:abstractNumId w:val="28"/>
  </w:num>
  <w:num w:numId="6">
    <w:abstractNumId w:val="15"/>
  </w:num>
  <w:num w:numId="7">
    <w:abstractNumId w:val="8"/>
  </w:num>
  <w:num w:numId="8">
    <w:abstractNumId w:val="17"/>
  </w:num>
  <w:num w:numId="9">
    <w:abstractNumId w:val="34"/>
  </w:num>
  <w:num w:numId="10">
    <w:abstractNumId w:val="26"/>
  </w:num>
  <w:num w:numId="11">
    <w:abstractNumId w:val="30"/>
  </w:num>
  <w:num w:numId="12">
    <w:abstractNumId w:val="0"/>
  </w:num>
  <w:num w:numId="13">
    <w:abstractNumId w:val="3"/>
  </w:num>
  <w:num w:numId="14">
    <w:abstractNumId w:val="1"/>
  </w:num>
  <w:num w:numId="15">
    <w:abstractNumId w:val="14"/>
  </w:num>
  <w:num w:numId="16">
    <w:abstractNumId w:val="27"/>
  </w:num>
  <w:num w:numId="17">
    <w:abstractNumId w:val="25"/>
  </w:num>
  <w:num w:numId="18">
    <w:abstractNumId w:val="12"/>
  </w:num>
  <w:num w:numId="19">
    <w:abstractNumId w:val="2"/>
  </w:num>
  <w:num w:numId="20">
    <w:abstractNumId w:val="31"/>
  </w:num>
  <w:num w:numId="21">
    <w:abstractNumId w:val="33"/>
  </w:num>
  <w:num w:numId="22">
    <w:abstractNumId w:val="6"/>
  </w:num>
  <w:num w:numId="23">
    <w:abstractNumId w:val="11"/>
  </w:num>
  <w:num w:numId="24">
    <w:abstractNumId w:val="21"/>
  </w:num>
  <w:num w:numId="25">
    <w:abstractNumId w:val="10"/>
  </w:num>
  <w:num w:numId="26">
    <w:abstractNumId w:val="35"/>
  </w:num>
  <w:num w:numId="27">
    <w:abstractNumId w:val="7"/>
  </w:num>
  <w:num w:numId="28">
    <w:abstractNumId w:val="18"/>
  </w:num>
  <w:num w:numId="29">
    <w:abstractNumId w:val="29"/>
  </w:num>
  <w:num w:numId="30">
    <w:abstractNumId w:val="23"/>
  </w:num>
  <w:num w:numId="31">
    <w:abstractNumId w:val="32"/>
  </w:num>
  <w:num w:numId="32">
    <w:abstractNumId w:val="22"/>
  </w:num>
  <w:num w:numId="33">
    <w:abstractNumId w:val="16"/>
  </w:num>
  <w:num w:numId="34">
    <w:abstractNumId w:val="9"/>
  </w:num>
  <w:num w:numId="35">
    <w:abstractNumId w:val="24"/>
  </w:num>
  <w:num w:numId="3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3C73"/>
    <w:rsid w:val="00006D38"/>
    <w:rsid w:val="00061B66"/>
    <w:rsid w:val="00066C7F"/>
    <w:rsid w:val="000A6304"/>
    <w:rsid w:val="001134D9"/>
    <w:rsid w:val="00125E9B"/>
    <w:rsid w:val="0015265F"/>
    <w:rsid w:val="00180422"/>
    <w:rsid w:val="00186D6A"/>
    <w:rsid w:val="00190DA8"/>
    <w:rsid w:val="001C2BEA"/>
    <w:rsid w:val="001C4089"/>
    <w:rsid w:val="001D6C7D"/>
    <w:rsid w:val="001E407B"/>
    <w:rsid w:val="001E57DA"/>
    <w:rsid w:val="001F3F33"/>
    <w:rsid w:val="00203BEC"/>
    <w:rsid w:val="00212763"/>
    <w:rsid w:val="00240379"/>
    <w:rsid w:val="00260F67"/>
    <w:rsid w:val="002630A2"/>
    <w:rsid w:val="00272E0C"/>
    <w:rsid w:val="00277838"/>
    <w:rsid w:val="002A020E"/>
    <w:rsid w:val="002E2CD6"/>
    <w:rsid w:val="0032763A"/>
    <w:rsid w:val="00340630"/>
    <w:rsid w:val="0034271C"/>
    <w:rsid w:val="003568A1"/>
    <w:rsid w:val="003A21AD"/>
    <w:rsid w:val="003C383E"/>
    <w:rsid w:val="003C3B56"/>
    <w:rsid w:val="003E3F9A"/>
    <w:rsid w:val="004125CA"/>
    <w:rsid w:val="00424E99"/>
    <w:rsid w:val="004317D4"/>
    <w:rsid w:val="004342C9"/>
    <w:rsid w:val="0046305D"/>
    <w:rsid w:val="004B2268"/>
    <w:rsid w:val="004F38BB"/>
    <w:rsid w:val="00500902"/>
    <w:rsid w:val="005245A4"/>
    <w:rsid w:val="0053483B"/>
    <w:rsid w:val="00536486"/>
    <w:rsid w:val="00544FC4"/>
    <w:rsid w:val="00547B32"/>
    <w:rsid w:val="00593147"/>
    <w:rsid w:val="005A2A24"/>
    <w:rsid w:val="005C25D2"/>
    <w:rsid w:val="005E4AE6"/>
    <w:rsid w:val="005F6896"/>
    <w:rsid w:val="006355D2"/>
    <w:rsid w:val="00644A57"/>
    <w:rsid w:val="006552A6"/>
    <w:rsid w:val="00670B92"/>
    <w:rsid w:val="0068710B"/>
    <w:rsid w:val="00697FC4"/>
    <w:rsid w:val="006C77D0"/>
    <w:rsid w:val="00717168"/>
    <w:rsid w:val="00717422"/>
    <w:rsid w:val="00734801"/>
    <w:rsid w:val="0075055A"/>
    <w:rsid w:val="007638F4"/>
    <w:rsid w:val="0078133F"/>
    <w:rsid w:val="00786494"/>
    <w:rsid w:val="007A7049"/>
    <w:rsid w:val="007B1473"/>
    <w:rsid w:val="007D03ED"/>
    <w:rsid w:val="007D6C2A"/>
    <w:rsid w:val="007F17C2"/>
    <w:rsid w:val="007F74B8"/>
    <w:rsid w:val="008011B6"/>
    <w:rsid w:val="008053F1"/>
    <w:rsid w:val="00882948"/>
    <w:rsid w:val="00885C7C"/>
    <w:rsid w:val="008E0A55"/>
    <w:rsid w:val="008E2A69"/>
    <w:rsid w:val="00941BB5"/>
    <w:rsid w:val="00941CE6"/>
    <w:rsid w:val="00954066"/>
    <w:rsid w:val="009647AF"/>
    <w:rsid w:val="00975AF6"/>
    <w:rsid w:val="00996455"/>
    <w:rsid w:val="009A01CA"/>
    <w:rsid w:val="009B3EBD"/>
    <w:rsid w:val="009D1513"/>
    <w:rsid w:val="009E6598"/>
    <w:rsid w:val="00A00DC3"/>
    <w:rsid w:val="00A10864"/>
    <w:rsid w:val="00A11E69"/>
    <w:rsid w:val="00A13AF4"/>
    <w:rsid w:val="00A34AC4"/>
    <w:rsid w:val="00A43C73"/>
    <w:rsid w:val="00A44AF1"/>
    <w:rsid w:val="00A80750"/>
    <w:rsid w:val="00A82C7E"/>
    <w:rsid w:val="00A8560D"/>
    <w:rsid w:val="00A869CE"/>
    <w:rsid w:val="00AD7942"/>
    <w:rsid w:val="00AE04D8"/>
    <w:rsid w:val="00B0303B"/>
    <w:rsid w:val="00B03AB8"/>
    <w:rsid w:val="00B13074"/>
    <w:rsid w:val="00B15C5A"/>
    <w:rsid w:val="00B252BE"/>
    <w:rsid w:val="00B65D29"/>
    <w:rsid w:val="00B65E07"/>
    <w:rsid w:val="00B71F64"/>
    <w:rsid w:val="00B80AC0"/>
    <w:rsid w:val="00B93322"/>
    <w:rsid w:val="00BD1895"/>
    <w:rsid w:val="00BD5E65"/>
    <w:rsid w:val="00BE106A"/>
    <w:rsid w:val="00BE36DF"/>
    <w:rsid w:val="00BE68F8"/>
    <w:rsid w:val="00C05FD8"/>
    <w:rsid w:val="00C22173"/>
    <w:rsid w:val="00C46A10"/>
    <w:rsid w:val="00C73D91"/>
    <w:rsid w:val="00C757E4"/>
    <w:rsid w:val="00C77DB9"/>
    <w:rsid w:val="00C8092B"/>
    <w:rsid w:val="00C97E24"/>
    <w:rsid w:val="00CB6619"/>
    <w:rsid w:val="00CC3909"/>
    <w:rsid w:val="00CC7C7F"/>
    <w:rsid w:val="00CD7340"/>
    <w:rsid w:val="00CE5113"/>
    <w:rsid w:val="00CF6398"/>
    <w:rsid w:val="00D23C68"/>
    <w:rsid w:val="00D33ACE"/>
    <w:rsid w:val="00D62ADA"/>
    <w:rsid w:val="00D7096B"/>
    <w:rsid w:val="00D807A8"/>
    <w:rsid w:val="00D81625"/>
    <w:rsid w:val="00D921F4"/>
    <w:rsid w:val="00D96EE8"/>
    <w:rsid w:val="00DA14FA"/>
    <w:rsid w:val="00DB069A"/>
    <w:rsid w:val="00DD34FA"/>
    <w:rsid w:val="00DD5667"/>
    <w:rsid w:val="00DE1E56"/>
    <w:rsid w:val="00DE5D3F"/>
    <w:rsid w:val="00DF12D8"/>
    <w:rsid w:val="00DF5E64"/>
    <w:rsid w:val="00E01A61"/>
    <w:rsid w:val="00E02B94"/>
    <w:rsid w:val="00E24FF0"/>
    <w:rsid w:val="00E27719"/>
    <w:rsid w:val="00E27B42"/>
    <w:rsid w:val="00E50C8D"/>
    <w:rsid w:val="00E64EC2"/>
    <w:rsid w:val="00E90DF0"/>
    <w:rsid w:val="00E92892"/>
    <w:rsid w:val="00E95301"/>
    <w:rsid w:val="00E9778D"/>
    <w:rsid w:val="00EB2252"/>
    <w:rsid w:val="00EB6AC0"/>
    <w:rsid w:val="00EE4F22"/>
    <w:rsid w:val="00EE7FC9"/>
    <w:rsid w:val="00F22229"/>
    <w:rsid w:val="00F35A76"/>
    <w:rsid w:val="00F36459"/>
    <w:rsid w:val="00F5286C"/>
    <w:rsid w:val="00F577DB"/>
    <w:rsid w:val="00F835C4"/>
    <w:rsid w:val="00F86C5A"/>
    <w:rsid w:val="00FA4B05"/>
    <w:rsid w:val="00FA6438"/>
    <w:rsid w:val="00FD39B0"/>
    <w:rsid w:val="00FE7A8C"/>
    <w:rsid w:val="00FF220C"/>
    <w:rsid w:val="00FF56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FB15E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7E24"/>
    <w:pPr>
      <w:ind w:left="720"/>
      <w:contextualSpacing/>
    </w:pPr>
  </w:style>
  <w:style w:type="paragraph" w:styleId="Header">
    <w:name w:val="header"/>
    <w:basedOn w:val="Normal"/>
    <w:link w:val="HeaderChar"/>
    <w:uiPriority w:val="99"/>
    <w:unhideWhenUsed/>
    <w:rsid w:val="00885C7C"/>
    <w:pPr>
      <w:tabs>
        <w:tab w:val="center" w:pos="4680"/>
        <w:tab w:val="right" w:pos="9360"/>
      </w:tabs>
    </w:pPr>
  </w:style>
  <w:style w:type="character" w:customStyle="1" w:styleId="HeaderChar">
    <w:name w:val="Header Char"/>
    <w:basedOn w:val="DefaultParagraphFont"/>
    <w:link w:val="Header"/>
    <w:uiPriority w:val="99"/>
    <w:rsid w:val="00885C7C"/>
  </w:style>
  <w:style w:type="paragraph" w:styleId="Footer">
    <w:name w:val="footer"/>
    <w:basedOn w:val="Normal"/>
    <w:link w:val="FooterChar"/>
    <w:uiPriority w:val="99"/>
    <w:unhideWhenUsed/>
    <w:rsid w:val="00885C7C"/>
    <w:pPr>
      <w:tabs>
        <w:tab w:val="center" w:pos="4680"/>
        <w:tab w:val="right" w:pos="9360"/>
      </w:tabs>
    </w:pPr>
  </w:style>
  <w:style w:type="character" w:customStyle="1" w:styleId="FooterChar">
    <w:name w:val="Footer Char"/>
    <w:basedOn w:val="DefaultParagraphFont"/>
    <w:link w:val="Footer"/>
    <w:uiPriority w:val="99"/>
    <w:rsid w:val="00885C7C"/>
  </w:style>
  <w:style w:type="character" w:styleId="Hyperlink">
    <w:name w:val="Hyperlink"/>
    <w:basedOn w:val="DefaultParagraphFont"/>
    <w:uiPriority w:val="99"/>
    <w:unhideWhenUsed/>
    <w:rsid w:val="00B93322"/>
    <w:rPr>
      <w:color w:val="0000FF" w:themeColor="hyperlink"/>
      <w:u w:val="single"/>
    </w:rPr>
  </w:style>
  <w:style w:type="paragraph" w:styleId="BalloonText">
    <w:name w:val="Balloon Text"/>
    <w:basedOn w:val="Normal"/>
    <w:link w:val="BalloonTextChar"/>
    <w:uiPriority w:val="99"/>
    <w:semiHidden/>
    <w:unhideWhenUsed/>
    <w:rsid w:val="00A10864"/>
    <w:rPr>
      <w:rFonts w:ascii="Tahoma" w:hAnsi="Tahoma" w:cs="Tahoma"/>
      <w:sz w:val="16"/>
      <w:szCs w:val="16"/>
    </w:rPr>
  </w:style>
  <w:style w:type="character" w:customStyle="1" w:styleId="BalloonTextChar">
    <w:name w:val="Balloon Text Char"/>
    <w:basedOn w:val="DefaultParagraphFont"/>
    <w:link w:val="BalloonText"/>
    <w:uiPriority w:val="99"/>
    <w:semiHidden/>
    <w:rsid w:val="00A10864"/>
    <w:rPr>
      <w:rFonts w:ascii="Tahoma" w:hAnsi="Tahoma" w:cs="Tahoma"/>
      <w:sz w:val="16"/>
      <w:szCs w:val="16"/>
    </w:rPr>
  </w:style>
  <w:style w:type="character" w:styleId="FollowedHyperlink">
    <w:name w:val="FollowedHyperlink"/>
    <w:basedOn w:val="DefaultParagraphFont"/>
    <w:uiPriority w:val="99"/>
    <w:semiHidden/>
    <w:unhideWhenUsed/>
    <w:rsid w:val="00424E9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7E24"/>
    <w:pPr>
      <w:ind w:left="720"/>
      <w:contextualSpacing/>
    </w:pPr>
  </w:style>
  <w:style w:type="paragraph" w:styleId="Header">
    <w:name w:val="header"/>
    <w:basedOn w:val="Normal"/>
    <w:link w:val="HeaderChar"/>
    <w:uiPriority w:val="99"/>
    <w:unhideWhenUsed/>
    <w:rsid w:val="00885C7C"/>
    <w:pPr>
      <w:tabs>
        <w:tab w:val="center" w:pos="4680"/>
        <w:tab w:val="right" w:pos="9360"/>
      </w:tabs>
    </w:pPr>
  </w:style>
  <w:style w:type="character" w:customStyle="1" w:styleId="HeaderChar">
    <w:name w:val="Header Char"/>
    <w:basedOn w:val="DefaultParagraphFont"/>
    <w:link w:val="Header"/>
    <w:uiPriority w:val="99"/>
    <w:rsid w:val="00885C7C"/>
  </w:style>
  <w:style w:type="paragraph" w:styleId="Footer">
    <w:name w:val="footer"/>
    <w:basedOn w:val="Normal"/>
    <w:link w:val="FooterChar"/>
    <w:uiPriority w:val="99"/>
    <w:unhideWhenUsed/>
    <w:rsid w:val="00885C7C"/>
    <w:pPr>
      <w:tabs>
        <w:tab w:val="center" w:pos="4680"/>
        <w:tab w:val="right" w:pos="9360"/>
      </w:tabs>
    </w:pPr>
  </w:style>
  <w:style w:type="character" w:customStyle="1" w:styleId="FooterChar">
    <w:name w:val="Footer Char"/>
    <w:basedOn w:val="DefaultParagraphFont"/>
    <w:link w:val="Footer"/>
    <w:uiPriority w:val="99"/>
    <w:rsid w:val="00885C7C"/>
  </w:style>
  <w:style w:type="character" w:styleId="Hyperlink">
    <w:name w:val="Hyperlink"/>
    <w:basedOn w:val="DefaultParagraphFont"/>
    <w:uiPriority w:val="99"/>
    <w:unhideWhenUsed/>
    <w:rsid w:val="00B93322"/>
    <w:rPr>
      <w:color w:val="0000FF" w:themeColor="hyperlink"/>
      <w:u w:val="single"/>
    </w:rPr>
  </w:style>
  <w:style w:type="paragraph" w:styleId="BalloonText">
    <w:name w:val="Balloon Text"/>
    <w:basedOn w:val="Normal"/>
    <w:link w:val="BalloonTextChar"/>
    <w:uiPriority w:val="99"/>
    <w:semiHidden/>
    <w:unhideWhenUsed/>
    <w:rsid w:val="00A10864"/>
    <w:rPr>
      <w:rFonts w:ascii="Tahoma" w:hAnsi="Tahoma" w:cs="Tahoma"/>
      <w:sz w:val="16"/>
      <w:szCs w:val="16"/>
    </w:rPr>
  </w:style>
  <w:style w:type="character" w:customStyle="1" w:styleId="BalloonTextChar">
    <w:name w:val="Balloon Text Char"/>
    <w:basedOn w:val="DefaultParagraphFont"/>
    <w:link w:val="BalloonText"/>
    <w:uiPriority w:val="99"/>
    <w:semiHidden/>
    <w:rsid w:val="00A10864"/>
    <w:rPr>
      <w:rFonts w:ascii="Tahoma" w:hAnsi="Tahoma" w:cs="Tahoma"/>
      <w:sz w:val="16"/>
      <w:szCs w:val="16"/>
    </w:rPr>
  </w:style>
  <w:style w:type="character" w:styleId="FollowedHyperlink">
    <w:name w:val="FollowedHyperlink"/>
    <w:basedOn w:val="DefaultParagraphFont"/>
    <w:uiPriority w:val="99"/>
    <w:semiHidden/>
    <w:unhideWhenUsed/>
    <w:rsid w:val="00424E9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697475">
      <w:bodyDiv w:val="1"/>
      <w:marLeft w:val="0"/>
      <w:marRight w:val="0"/>
      <w:marTop w:val="0"/>
      <w:marBottom w:val="0"/>
      <w:divBdr>
        <w:top w:val="none" w:sz="0" w:space="0" w:color="auto"/>
        <w:left w:val="none" w:sz="0" w:space="0" w:color="auto"/>
        <w:bottom w:val="none" w:sz="0" w:space="0" w:color="auto"/>
        <w:right w:val="none" w:sz="0" w:space="0" w:color="auto"/>
      </w:divBdr>
      <w:divsChild>
        <w:div w:id="1675187280">
          <w:marLeft w:val="0"/>
          <w:marRight w:val="0"/>
          <w:marTop w:val="0"/>
          <w:marBottom w:val="0"/>
          <w:divBdr>
            <w:top w:val="none" w:sz="0" w:space="0" w:color="auto"/>
            <w:left w:val="none" w:sz="0" w:space="0" w:color="auto"/>
            <w:bottom w:val="none" w:sz="0" w:space="0" w:color="auto"/>
            <w:right w:val="none" w:sz="0" w:space="0" w:color="auto"/>
          </w:divBdr>
        </w:div>
        <w:div w:id="527107846">
          <w:marLeft w:val="0"/>
          <w:marRight w:val="0"/>
          <w:marTop w:val="0"/>
          <w:marBottom w:val="0"/>
          <w:divBdr>
            <w:top w:val="none" w:sz="0" w:space="0" w:color="auto"/>
            <w:left w:val="none" w:sz="0" w:space="0" w:color="auto"/>
            <w:bottom w:val="none" w:sz="0" w:space="0" w:color="auto"/>
            <w:right w:val="none" w:sz="0" w:space="0" w:color="auto"/>
          </w:divBdr>
        </w:div>
        <w:div w:id="1546522862">
          <w:marLeft w:val="0"/>
          <w:marRight w:val="0"/>
          <w:marTop w:val="0"/>
          <w:marBottom w:val="0"/>
          <w:divBdr>
            <w:top w:val="none" w:sz="0" w:space="0" w:color="auto"/>
            <w:left w:val="none" w:sz="0" w:space="0" w:color="auto"/>
            <w:bottom w:val="none" w:sz="0" w:space="0" w:color="auto"/>
            <w:right w:val="none" w:sz="0" w:space="0" w:color="auto"/>
          </w:divBdr>
        </w:div>
      </w:divsChild>
    </w:div>
    <w:div w:id="330183152">
      <w:bodyDiv w:val="1"/>
      <w:marLeft w:val="0"/>
      <w:marRight w:val="0"/>
      <w:marTop w:val="0"/>
      <w:marBottom w:val="0"/>
      <w:divBdr>
        <w:top w:val="none" w:sz="0" w:space="0" w:color="auto"/>
        <w:left w:val="none" w:sz="0" w:space="0" w:color="auto"/>
        <w:bottom w:val="none" w:sz="0" w:space="0" w:color="auto"/>
        <w:right w:val="none" w:sz="0" w:space="0" w:color="auto"/>
      </w:divBdr>
      <w:divsChild>
        <w:div w:id="1265649231">
          <w:marLeft w:val="0"/>
          <w:marRight w:val="0"/>
          <w:marTop w:val="0"/>
          <w:marBottom w:val="0"/>
          <w:divBdr>
            <w:top w:val="none" w:sz="0" w:space="0" w:color="auto"/>
            <w:left w:val="none" w:sz="0" w:space="0" w:color="auto"/>
            <w:bottom w:val="none" w:sz="0" w:space="0" w:color="auto"/>
            <w:right w:val="none" w:sz="0" w:space="0" w:color="auto"/>
          </w:divBdr>
        </w:div>
        <w:div w:id="1875343629">
          <w:marLeft w:val="0"/>
          <w:marRight w:val="0"/>
          <w:marTop w:val="0"/>
          <w:marBottom w:val="0"/>
          <w:divBdr>
            <w:top w:val="none" w:sz="0" w:space="0" w:color="auto"/>
            <w:left w:val="none" w:sz="0" w:space="0" w:color="auto"/>
            <w:bottom w:val="none" w:sz="0" w:space="0" w:color="auto"/>
            <w:right w:val="none" w:sz="0" w:space="0" w:color="auto"/>
          </w:divBdr>
        </w:div>
        <w:div w:id="330719735">
          <w:marLeft w:val="0"/>
          <w:marRight w:val="0"/>
          <w:marTop w:val="0"/>
          <w:marBottom w:val="0"/>
          <w:divBdr>
            <w:top w:val="none" w:sz="0" w:space="0" w:color="auto"/>
            <w:left w:val="none" w:sz="0" w:space="0" w:color="auto"/>
            <w:bottom w:val="none" w:sz="0" w:space="0" w:color="auto"/>
            <w:right w:val="none" w:sz="0" w:space="0" w:color="auto"/>
          </w:divBdr>
        </w:div>
      </w:divsChild>
    </w:div>
    <w:div w:id="4695200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etsuis.etsu.edu/CPS/forms.aspx?DispType=OutputForms&amp;NodeID=5_2a&amp;FormID=10&amp;Instance=7497" TargetMode="External"/><Relationship Id="rId18" Type="http://schemas.openxmlformats.org/officeDocument/2006/relationships/hyperlink" Target="http://etsuis.etsu.edu/CPS/forms.aspx?DispType=OutputForms&amp;NodeID=5_2a&amp;FormID=6&amp;Instance=7510" TargetMode="External"/><Relationship Id="rId26" Type="http://schemas.openxmlformats.org/officeDocument/2006/relationships/hyperlink" Target="http://etsuis.etsu.edu/CPS/forms.aspx?DispType=OutputForms&amp;NodeID=5_2a&amp;FormID=6&amp;Instance=6482" TargetMode="External"/><Relationship Id="rId3" Type="http://schemas.openxmlformats.org/officeDocument/2006/relationships/styles" Target="styles.xml"/><Relationship Id="rId21" Type="http://schemas.openxmlformats.org/officeDocument/2006/relationships/hyperlink" Target="http://etsuis.etsu.edu/CPS/forms.aspx?DispType=OutputForms&amp;NodeID=5_2a&amp;FormID=6&amp;Instance=7493" TargetMode="External"/><Relationship Id="rId7" Type="http://schemas.openxmlformats.org/officeDocument/2006/relationships/footnotes" Target="footnotes.xml"/><Relationship Id="rId12" Type="http://schemas.openxmlformats.org/officeDocument/2006/relationships/hyperlink" Target="http://etsuis.etsu.edu/CPS/forms.aspx?DispType=OutputForms&amp;NodeID=5_2a&amp;FormID=10&amp;Instance=6761" TargetMode="External"/><Relationship Id="rId17" Type="http://schemas.openxmlformats.org/officeDocument/2006/relationships/hyperlink" Target="http://etsuis.etsu.edu/CPS/forms.aspx?DispType=OutputForms&amp;NodeID=5_2a&amp;FormID=10&amp;Instance=7491" TargetMode="External"/><Relationship Id="rId25" Type="http://schemas.openxmlformats.org/officeDocument/2006/relationships/hyperlink" Target="http://etsuis.etsu.edu/CPS/forms.aspx?DispType=OutputForms&amp;NodeID=5_2a&amp;FormID=10&amp;Instance=7506" TargetMode="External"/><Relationship Id="rId2" Type="http://schemas.openxmlformats.org/officeDocument/2006/relationships/numbering" Target="numbering.xml"/><Relationship Id="rId16" Type="http://schemas.openxmlformats.org/officeDocument/2006/relationships/hyperlink" Target="http://etsuis.etsu.edu/CPS/forms.aspx?DispType=OutputForms&amp;NodeID=5_2a&amp;FormID=6&amp;Instance=7626" TargetMode="External"/><Relationship Id="rId20" Type="http://schemas.openxmlformats.org/officeDocument/2006/relationships/hyperlink" Target="http://etsuis.etsu.edu/CPS/forms.aspx?DispType=OutputForms&amp;NodeID=5_2a&amp;FormID=6&amp;Instance=6495"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tsuis.etsu.edu/CPS/forms.aspx?DispType=OutputForms&amp;NodeID=5_2a&amp;FormID=6&amp;Instance=6297" TargetMode="External"/><Relationship Id="rId24" Type="http://schemas.openxmlformats.org/officeDocument/2006/relationships/hyperlink" Target="http://etsuis.etsu.edu/CPS/forms.aspx?DispType=OutputForms&amp;NodeID=5_2a&amp;FormID=6&amp;Instance=7495" TargetMode="External"/><Relationship Id="rId5" Type="http://schemas.openxmlformats.org/officeDocument/2006/relationships/settings" Target="settings.xml"/><Relationship Id="rId15" Type="http://schemas.openxmlformats.org/officeDocument/2006/relationships/hyperlink" Target="http://etsuis.etsu.edu/CPS/forms.aspx?DispType=OutputForms&amp;NodeID=5_2a&amp;FormID=6&amp;Instance=7628" TargetMode="External"/><Relationship Id="rId23" Type="http://schemas.openxmlformats.org/officeDocument/2006/relationships/hyperlink" Target="http://etsuis.etsu.edu/CPS/forms.aspx?DispType=OutputForms&amp;NodeID=5_2a&amp;FormID=6&amp;Instance=6497" TargetMode="External"/><Relationship Id="rId28" Type="http://schemas.openxmlformats.org/officeDocument/2006/relationships/hyperlink" Target="http://etsuis.etsu.edu/CPS/forms.aspx?DispType=OutputForms&amp;NodeID=5_2a&amp;FormID=11&amp;Instance=6293" TargetMode="External"/><Relationship Id="rId10" Type="http://schemas.openxmlformats.org/officeDocument/2006/relationships/hyperlink" Target="http://etsuis.etsu.edu/CPS/forms.aspx?DispType=OutputForms&amp;NodeID=5_2a&amp;FormID=6&amp;Instance=6294" TargetMode="External"/><Relationship Id="rId19" Type="http://schemas.openxmlformats.org/officeDocument/2006/relationships/hyperlink" Target="http://etsuis.etsu.edu/CPS/forms.aspx?DispType=OutputForms&amp;NodeID=5_2a&amp;FormID=6&amp;Instance=6493"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etsuis.etsu.edu/CPS/forms.aspx?DispType=OutputForms&amp;NodeID=5_2a&amp;FormID=6&amp;Instance=7489" TargetMode="External"/><Relationship Id="rId14" Type="http://schemas.openxmlformats.org/officeDocument/2006/relationships/hyperlink" Target="http://etsuis.etsu.edu/CPS/forms.aspx?DispType=OutputForms&amp;NodeID=5_2a&amp;FormID=10&amp;Instance=7499" TargetMode="External"/><Relationship Id="rId22" Type="http://schemas.openxmlformats.org/officeDocument/2006/relationships/hyperlink" Target="http://etsuis.etsu.edu/CPS/forms.aspx?DispType=OutputForms&amp;NodeID=5_2a&amp;FormID=6&amp;Instance=7501" TargetMode="External"/><Relationship Id="rId27" Type="http://schemas.openxmlformats.org/officeDocument/2006/relationships/hyperlink" Target="http://etsuis.etsu.edu/CPS/forms.aspx?DispType=OutputForms&amp;NodeID=5_2a&amp;FormID=6&amp;Instance=7514"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E4E8F9-D7D1-422B-9624-0F0AE0891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7</Pages>
  <Words>2448</Words>
  <Characters>13955</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Jill Leroy-Frazier</dc:creator>
  <cp:lastModifiedBy>Rhonda</cp:lastModifiedBy>
  <cp:revision>10</cp:revision>
  <cp:lastPrinted>2014-10-12T19:30:00Z</cp:lastPrinted>
  <dcterms:created xsi:type="dcterms:W3CDTF">2014-10-12T19:20:00Z</dcterms:created>
  <dcterms:modified xsi:type="dcterms:W3CDTF">2014-10-29T20:37:00Z</dcterms:modified>
</cp:coreProperties>
</file>