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D8F" w:rsidRPr="00545DD5" w:rsidRDefault="00461D8F" w:rsidP="00461D8F">
      <w:pPr>
        <w:pStyle w:val="Title"/>
        <w:rPr>
          <w:rFonts w:ascii="Chiller" w:hAnsi="Chiller"/>
          <w:sz w:val="72"/>
          <w:szCs w:val="72"/>
        </w:rPr>
      </w:pPr>
      <w:r w:rsidRPr="00545DD5">
        <w:rPr>
          <w:rFonts w:ascii="Chiller" w:hAnsi="Chiller"/>
          <w:b/>
          <w:i/>
          <w:sz w:val="72"/>
          <w:szCs w:val="72"/>
        </w:rPr>
        <w:t>And Then There Were None</w:t>
      </w:r>
      <w:r w:rsidRPr="00545DD5">
        <w:rPr>
          <w:rFonts w:ascii="Chiller" w:hAnsi="Chiller"/>
          <w:sz w:val="72"/>
          <w:szCs w:val="72"/>
        </w:rPr>
        <w:t xml:space="preserve">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7"/>
        <w:gridCol w:w="8179"/>
      </w:tblGrid>
      <w:tr w:rsidR="00461D8F" w:rsidTr="0005572C">
        <w:tc>
          <w:tcPr>
            <w:tcW w:w="1397" w:type="dxa"/>
          </w:tcPr>
          <w:p w:rsidR="00461D8F" w:rsidRPr="00545DD5" w:rsidRDefault="00461D8F">
            <w:pPr>
              <w:rPr>
                <w:rFonts w:ascii="Antique Olive CompactPS" w:hAnsi="Antique Olive CompactPS"/>
                <w:sz w:val="40"/>
                <w:szCs w:val="40"/>
              </w:rPr>
            </w:pPr>
            <w:r w:rsidRPr="00545DD5">
              <w:rPr>
                <w:rFonts w:ascii="Antique Olive CompactPS" w:hAnsi="Antique Olive CompactPS"/>
                <w:sz w:val="40"/>
                <w:szCs w:val="40"/>
              </w:rPr>
              <w:t>Date</w:t>
            </w:r>
          </w:p>
        </w:tc>
        <w:tc>
          <w:tcPr>
            <w:tcW w:w="8179" w:type="dxa"/>
          </w:tcPr>
          <w:p w:rsidR="00461D8F" w:rsidRPr="00545DD5" w:rsidRDefault="00461D8F">
            <w:pPr>
              <w:rPr>
                <w:rFonts w:ascii="Antique Olive CompactPS" w:hAnsi="Antique Olive CompactPS"/>
                <w:sz w:val="40"/>
                <w:szCs w:val="40"/>
              </w:rPr>
            </w:pPr>
            <w:r w:rsidRPr="00545DD5">
              <w:rPr>
                <w:rFonts w:ascii="Antique Olive CompactPS" w:hAnsi="Antique Olive CompactPS"/>
                <w:sz w:val="40"/>
                <w:szCs w:val="40"/>
              </w:rPr>
              <w:t>Task</w:t>
            </w:r>
          </w:p>
        </w:tc>
      </w:tr>
      <w:tr w:rsidR="00461D8F" w:rsidTr="0005572C">
        <w:tc>
          <w:tcPr>
            <w:tcW w:w="1397" w:type="dxa"/>
          </w:tcPr>
          <w:p w:rsidR="00461D8F" w:rsidRPr="00545DD5" w:rsidRDefault="00E14A81" w:rsidP="00E14A81">
            <w:pPr>
              <w:rPr>
                <w:rFonts w:ascii="Broadway" w:hAnsi="Broadway"/>
                <w:sz w:val="36"/>
                <w:szCs w:val="36"/>
              </w:rPr>
            </w:pPr>
            <w:r>
              <w:rPr>
                <w:rFonts w:ascii="Broadway" w:hAnsi="Broadway"/>
                <w:sz w:val="36"/>
                <w:szCs w:val="36"/>
              </w:rPr>
              <w:t>8/7</w:t>
            </w:r>
          </w:p>
        </w:tc>
        <w:tc>
          <w:tcPr>
            <w:tcW w:w="8179" w:type="dxa"/>
          </w:tcPr>
          <w:p w:rsidR="00461D8F" w:rsidRPr="0005572C" w:rsidRDefault="00E14A81" w:rsidP="00E14A81">
            <w:pPr>
              <w:rPr>
                <w:rFonts w:ascii="Bradley Hand ITC" w:hAnsi="Bradley Hand ITC"/>
                <w:sz w:val="40"/>
                <w:szCs w:val="40"/>
              </w:rPr>
            </w:pPr>
            <w:r>
              <w:rPr>
                <w:rFonts w:ascii="Bradley Hand ITC" w:hAnsi="Bradley Hand ITC"/>
                <w:sz w:val="40"/>
                <w:szCs w:val="40"/>
              </w:rPr>
              <w:t>Chapters One-</w:t>
            </w:r>
            <w:r w:rsidR="00461D8F" w:rsidRPr="0005572C">
              <w:rPr>
                <w:rFonts w:ascii="Bradley Hand ITC" w:hAnsi="Bradley Hand ITC"/>
                <w:sz w:val="40"/>
                <w:szCs w:val="40"/>
              </w:rPr>
              <w:t>Two</w:t>
            </w:r>
          </w:p>
        </w:tc>
      </w:tr>
      <w:tr w:rsidR="00461D8F" w:rsidTr="0005572C">
        <w:tc>
          <w:tcPr>
            <w:tcW w:w="1397" w:type="dxa"/>
          </w:tcPr>
          <w:p w:rsidR="00461D8F" w:rsidRPr="00545DD5" w:rsidRDefault="007D145A" w:rsidP="00E14A81">
            <w:pPr>
              <w:rPr>
                <w:rFonts w:ascii="Broadway" w:hAnsi="Broadway"/>
                <w:sz w:val="36"/>
                <w:szCs w:val="36"/>
              </w:rPr>
            </w:pPr>
            <w:r>
              <w:rPr>
                <w:rFonts w:ascii="Broadway" w:hAnsi="Broadway"/>
                <w:sz w:val="36"/>
                <w:szCs w:val="36"/>
              </w:rPr>
              <w:t>8/</w:t>
            </w:r>
            <w:r w:rsidR="00E14A81">
              <w:rPr>
                <w:rFonts w:ascii="Broadway" w:hAnsi="Broadway"/>
                <w:sz w:val="36"/>
                <w:szCs w:val="36"/>
              </w:rPr>
              <w:t>8</w:t>
            </w:r>
          </w:p>
        </w:tc>
        <w:tc>
          <w:tcPr>
            <w:tcW w:w="8179" w:type="dxa"/>
          </w:tcPr>
          <w:p w:rsidR="00461D8F" w:rsidRPr="0005572C" w:rsidRDefault="00461D8F" w:rsidP="00E14A81">
            <w:pPr>
              <w:rPr>
                <w:rFonts w:ascii="Bradley Hand ITC" w:hAnsi="Bradley Hand ITC"/>
                <w:sz w:val="40"/>
                <w:szCs w:val="40"/>
              </w:rPr>
            </w:pPr>
            <w:r w:rsidRPr="0005572C">
              <w:rPr>
                <w:rFonts w:ascii="Bradley Hand ITC" w:hAnsi="Bradley Hand ITC"/>
                <w:sz w:val="40"/>
                <w:szCs w:val="40"/>
              </w:rPr>
              <w:t>Chapter Three</w:t>
            </w:r>
            <w:r w:rsidR="0005572C" w:rsidRPr="0005572C">
              <w:rPr>
                <w:rFonts w:ascii="Bradley Hand ITC" w:hAnsi="Bradley Hand ITC"/>
                <w:sz w:val="40"/>
                <w:szCs w:val="40"/>
              </w:rPr>
              <w:t xml:space="preserve"> </w:t>
            </w:r>
          </w:p>
        </w:tc>
      </w:tr>
      <w:tr w:rsidR="00461D8F" w:rsidTr="0005572C">
        <w:tc>
          <w:tcPr>
            <w:tcW w:w="1397" w:type="dxa"/>
          </w:tcPr>
          <w:p w:rsidR="00461D8F" w:rsidRPr="00545DD5" w:rsidRDefault="007D145A" w:rsidP="00E14A81">
            <w:pPr>
              <w:rPr>
                <w:rFonts w:ascii="Broadway" w:hAnsi="Broadway"/>
                <w:sz w:val="36"/>
                <w:szCs w:val="36"/>
              </w:rPr>
            </w:pPr>
            <w:r>
              <w:rPr>
                <w:rFonts w:ascii="Broadway" w:hAnsi="Broadway"/>
                <w:sz w:val="36"/>
                <w:szCs w:val="36"/>
              </w:rPr>
              <w:t>8/</w:t>
            </w:r>
            <w:r w:rsidR="00E14A81">
              <w:rPr>
                <w:rFonts w:ascii="Broadway" w:hAnsi="Broadway"/>
                <w:sz w:val="36"/>
                <w:szCs w:val="36"/>
              </w:rPr>
              <w:t>9</w:t>
            </w:r>
          </w:p>
        </w:tc>
        <w:tc>
          <w:tcPr>
            <w:tcW w:w="8179" w:type="dxa"/>
          </w:tcPr>
          <w:p w:rsidR="00461D8F" w:rsidRPr="0005572C" w:rsidRDefault="00461D8F" w:rsidP="00E14A81">
            <w:pPr>
              <w:rPr>
                <w:rFonts w:ascii="Bradley Hand ITC" w:hAnsi="Bradley Hand ITC"/>
                <w:sz w:val="40"/>
                <w:szCs w:val="40"/>
              </w:rPr>
            </w:pPr>
            <w:r w:rsidRPr="0005572C">
              <w:rPr>
                <w:rFonts w:ascii="Bradley Hand ITC" w:hAnsi="Bradley Hand ITC"/>
                <w:sz w:val="40"/>
                <w:szCs w:val="40"/>
              </w:rPr>
              <w:t xml:space="preserve">Chapters </w:t>
            </w:r>
            <w:r w:rsidR="0005572C" w:rsidRPr="0005572C">
              <w:rPr>
                <w:rFonts w:ascii="Bradley Hand ITC" w:hAnsi="Bradley Hand ITC"/>
                <w:sz w:val="40"/>
                <w:szCs w:val="40"/>
              </w:rPr>
              <w:t>Four-</w:t>
            </w:r>
            <w:r w:rsidR="00E14A81">
              <w:rPr>
                <w:rFonts w:ascii="Bradley Hand ITC" w:hAnsi="Bradley Hand ITC"/>
                <w:sz w:val="40"/>
                <w:szCs w:val="40"/>
              </w:rPr>
              <w:t>Five</w:t>
            </w:r>
          </w:p>
        </w:tc>
      </w:tr>
      <w:tr w:rsidR="00461D8F" w:rsidTr="0005572C">
        <w:tc>
          <w:tcPr>
            <w:tcW w:w="1397" w:type="dxa"/>
          </w:tcPr>
          <w:p w:rsidR="00461D8F" w:rsidRPr="00545DD5" w:rsidRDefault="007D145A" w:rsidP="00E14A81">
            <w:pPr>
              <w:rPr>
                <w:rFonts w:ascii="Broadway" w:hAnsi="Broadway"/>
                <w:sz w:val="36"/>
                <w:szCs w:val="36"/>
              </w:rPr>
            </w:pPr>
            <w:r>
              <w:rPr>
                <w:rFonts w:ascii="Broadway" w:hAnsi="Broadway"/>
                <w:sz w:val="36"/>
                <w:szCs w:val="36"/>
              </w:rPr>
              <w:t>8/</w:t>
            </w:r>
            <w:r w:rsidR="00E14A81">
              <w:rPr>
                <w:rFonts w:ascii="Broadway" w:hAnsi="Broadway"/>
                <w:sz w:val="36"/>
                <w:szCs w:val="36"/>
              </w:rPr>
              <w:t>11</w:t>
            </w:r>
          </w:p>
        </w:tc>
        <w:tc>
          <w:tcPr>
            <w:tcW w:w="8179" w:type="dxa"/>
          </w:tcPr>
          <w:p w:rsidR="00461D8F" w:rsidRPr="0005572C" w:rsidRDefault="00461D8F" w:rsidP="00E14A81">
            <w:pPr>
              <w:rPr>
                <w:rFonts w:ascii="Bradley Hand ITC" w:hAnsi="Bradley Hand ITC"/>
                <w:sz w:val="40"/>
                <w:szCs w:val="40"/>
              </w:rPr>
            </w:pPr>
            <w:r w:rsidRPr="0005572C">
              <w:rPr>
                <w:rFonts w:ascii="Bradley Hand ITC" w:hAnsi="Bradley Hand ITC"/>
                <w:sz w:val="40"/>
                <w:szCs w:val="40"/>
              </w:rPr>
              <w:t xml:space="preserve">Chapters </w:t>
            </w:r>
            <w:r w:rsidR="0005572C" w:rsidRPr="0005572C">
              <w:rPr>
                <w:rFonts w:ascii="Bradley Hand ITC" w:hAnsi="Bradley Hand ITC"/>
                <w:sz w:val="40"/>
                <w:szCs w:val="40"/>
              </w:rPr>
              <w:t>S</w:t>
            </w:r>
            <w:r w:rsidR="00E14A81">
              <w:rPr>
                <w:rFonts w:ascii="Bradley Hand ITC" w:hAnsi="Bradley Hand ITC"/>
                <w:sz w:val="40"/>
                <w:szCs w:val="40"/>
              </w:rPr>
              <w:t>ix</w:t>
            </w:r>
            <w:r w:rsidR="0005572C" w:rsidRPr="0005572C">
              <w:rPr>
                <w:rFonts w:ascii="Bradley Hand ITC" w:hAnsi="Bradley Hand ITC"/>
                <w:sz w:val="40"/>
                <w:szCs w:val="40"/>
              </w:rPr>
              <w:t>-</w:t>
            </w:r>
            <w:r w:rsidR="00E14A81">
              <w:rPr>
                <w:rFonts w:ascii="Bradley Hand ITC" w:hAnsi="Bradley Hand ITC"/>
                <w:sz w:val="40"/>
                <w:szCs w:val="40"/>
              </w:rPr>
              <w:t>Eight</w:t>
            </w:r>
          </w:p>
        </w:tc>
      </w:tr>
      <w:tr w:rsidR="00461D8F" w:rsidTr="0005572C">
        <w:tc>
          <w:tcPr>
            <w:tcW w:w="1397" w:type="dxa"/>
          </w:tcPr>
          <w:p w:rsidR="00461D8F" w:rsidRPr="00545DD5" w:rsidRDefault="007D145A" w:rsidP="00E14A81">
            <w:pPr>
              <w:rPr>
                <w:rFonts w:ascii="Broadway" w:hAnsi="Broadway"/>
                <w:sz w:val="36"/>
                <w:szCs w:val="36"/>
              </w:rPr>
            </w:pPr>
            <w:r>
              <w:rPr>
                <w:rFonts w:ascii="Broadway" w:hAnsi="Broadway"/>
                <w:sz w:val="36"/>
                <w:szCs w:val="36"/>
              </w:rPr>
              <w:t>8/</w:t>
            </w:r>
            <w:r w:rsidR="00E14A81">
              <w:rPr>
                <w:rFonts w:ascii="Broadway" w:hAnsi="Broadway"/>
                <w:sz w:val="36"/>
                <w:szCs w:val="36"/>
              </w:rPr>
              <w:t>14</w:t>
            </w:r>
          </w:p>
        </w:tc>
        <w:tc>
          <w:tcPr>
            <w:tcW w:w="8179" w:type="dxa"/>
          </w:tcPr>
          <w:p w:rsidR="00461D8F" w:rsidRPr="0005572C" w:rsidRDefault="00E14A81" w:rsidP="0005572C">
            <w:pPr>
              <w:rPr>
                <w:rFonts w:ascii="Bradley Hand ITC" w:hAnsi="Bradley Hand ITC"/>
                <w:sz w:val="40"/>
                <w:szCs w:val="40"/>
              </w:rPr>
            </w:pPr>
            <w:r>
              <w:rPr>
                <w:rFonts w:ascii="Bradley Hand ITC" w:hAnsi="Bradley Hand ITC"/>
                <w:sz w:val="40"/>
                <w:szCs w:val="40"/>
              </w:rPr>
              <w:t>Chapters Nine-Eleven</w:t>
            </w:r>
          </w:p>
        </w:tc>
      </w:tr>
      <w:tr w:rsidR="00461D8F" w:rsidTr="0005572C">
        <w:tc>
          <w:tcPr>
            <w:tcW w:w="1397" w:type="dxa"/>
          </w:tcPr>
          <w:p w:rsidR="00461D8F" w:rsidRPr="00545DD5" w:rsidRDefault="00E14A81">
            <w:pPr>
              <w:rPr>
                <w:rFonts w:ascii="Broadway" w:hAnsi="Broadway"/>
                <w:sz w:val="36"/>
                <w:szCs w:val="36"/>
              </w:rPr>
            </w:pPr>
            <w:r>
              <w:rPr>
                <w:rFonts w:ascii="Broadway" w:hAnsi="Broadway"/>
                <w:sz w:val="36"/>
                <w:szCs w:val="36"/>
              </w:rPr>
              <w:t>8/15</w:t>
            </w:r>
          </w:p>
        </w:tc>
        <w:tc>
          <w:tcPr>
            <w:tcW w:w="8179" w:type="dxa"/>
          </w:tcPr>
          <w:p w:rsidR="00461D8F" w:rsidRPr="0005572C" w:rsidRDefault="00E14A81" w:rsidP="00E14A81">
            <w:pPr>
              <w:rPr>
                <w:rFonts w:ascii="Bradley Hand ITC" w:hAnsi="Bradley Hand ITC"/>
                <w:sz w:val="40"/>
                <w:szCs w:val="40"/>
              </w:rPr>
            </w:pPr>
            <w:r w:rsidRPr="0005572C">
              <w:rPr>
                <w:rFonts w:ascii="Bradley Hand ITC" w:hAnsi="Bradley Hand ITC"/>
                <w:sz w:val="40"/>
                <w:szCs w:val="40"/>
              </w:rPr>
              <w:t>Chapters Twelve</w:t>
            </w:r>
            <w:r>
              <w:rPr>
                <w:rFonts w:ascii="Bradley Hand ITC" w:hAnsi="Bradley Hand ITC"/>
                <w:sz w:val="40"/>
                <w:szCs w:val="40"/>
              </w:rPr>
              <w:t>-Thirteen</w:t>
            </w:r>
          </w:p>
        </w:tc>
      </w:tr>
      <w:tr w:rsidR="0005572C" w:rsidTr="0005572C">
        <w:tc>
          <w:tcPr>
            <w:tcW w:w="1397" w:type="dxa"/>
          </w:tcPr>
          <w:p w:rsidR="0005572C" w:rsidRPr="00545DD5" w:rsidRDefault="00E14A81" w:rsidP="001665B8">
            <w:pPr>
              <w:rPr>
                <w:rFonts w:ascii="Broadway" w:hAnsi="Broadway"/>
                <w:sz w:val="36"/>
                <w:szCs w:val="36"/>
              </w:rPr>
            </w:pPr>
            <w:r>
              <w:rPr>
                <w:rFonts w:ascii="Broadway" w:hAnsi="Broadway"/>
                <w:sz w:val="36"/>
                <w:szCs w:val="36"/>
              </w:rPr>
              <w:t>8/16</w:t>
            </w:r>
          </w:p>
        </w:tc>
        <w:tc>
          <w:tcPr>
            <w:tcW w:w="8179" w:type="dxa"/>
          </w:tcPr>
          <w:p w:rsidR="0005572C" w:rsidRPr="0005572C" w:rsidRDefault="00E14A81" w:rsidP="00E14A81">
            <w:pPr>
              <w:rPr>
                <w:rFonts w:ascii="Bradley Hand ITC" w:hAnsi="Bradley Hand ITC"/>
                <w:sz w:val="40"/>
                <w:szCs w:val="40"/>
              </w:rPr>
            </w:pPr>
            <w:r>
              <w:rPr>
                <w:rFonts w:ascii="Bradley Hand ITC" w:hAnsi="Bradley Hand ITC"/>
                <w:sz w:val="40"/>
                <w:szCs w:val="40"/>
              </w:rPr>
              <w:t>Chapters Four</w:t>
            </w:r>
            <w:r w:rsidRPr="0005572C">
              <w:rPr>
                <w:rFonts w:ascii="Bradley Hand ITC" w:hAnsi="Bradley Hand ITC"/>
                <w:sz w:val="40"/>
                <w:szCs w:val="40"/>
              </w:rPr>
              <w:t>teen-Fifteen</w:t>
            </w:r>
          </w:p>
        </w:tc>
      </w:tr>
      <w:tr w:rsidR="0005572C" w:rsidTr="0005572C">
        <w:tc>
          <w:tcPr>
            <w:tcW w:w="1397" w:type="dxa"/>
          </w:tcPr>
          <w:p w:rsidR="0005572C" w:rsidRPr="00545DD5" w:rsidRDefault="00E14A81">
            <w:pPr>
              <w:rPr>
                <w:rFonts w:ascii="Broadway" w:hAnsi="Broadway"/>
                <w:sz w:val="36"/>
                <w:szCs w:val="36"/>
              </w:rPr>
            </w:pPr>
            <w:r>
              <w:rPr>
                <w:rFonts w:ascii="Broadway" w:hAnsi="Broadway"/>
                <w:sz w:val="36"/>
                <w:szCs w:val="36"/>
              </w:rPr>
              <w:t>8/17</w:t>
            </w:r>
          </w:p>
        </w:tc>
        <w:tc>
          <w:tcPr>
            <w:tcW w:w="8179" w:type="dxa"/>
          </w:tcPr>
          <w:p w:rsidR="0005572C" w:rsidRPr="0005572C" w:rsidRDefault="00E14A81">
            <w:pPr>
              <w:rPr>
                <w:rFonts w:ascii="Bradley Hand ITC" w:hAnsi="Bradley Hand ITC"/>
                <w:sz w:val="40"/>
                <w:szCs w:val="40"/>
              </w:rPr>
            </w:pPr>
            <w:r w:rsidRPr="0005572C">
              <w:rPr>
                <w:rFonts w:ascii="Bradley Hand ITC" w:hAnsi="Bradley Hand ITC"/>
                <w:sz w:val="40"/>
                <w:szCs w:val="40"/>
              </w:rPr>
              <w:t>Chapter Sixteen,</w:t>
            </w:r>
            <w:r>
              <w:rPr>
                <w:rFonts w:ascii="Bradley Hand ITC" w:hAnsi="Bradley Hand ITC"/>
                <w:sz w:val="40"/>
                <w:szCs w:val="40"/>
              </w:rPr>
              <w:t xml:space="preserve"> </w:t>
            </w:r>
            <w:r w:rsidRPr="0005572C">
              <w:rPr>
                <w:rFonts w:ascii="Bradley Hand ITC" w:hAnsi="Bradley Hand ITC"/>
                <w:sz w:val="40"/>
                <w:szCs w:val="40"/>
              </w:rPr>
              <w:t>Epilogue</w:t>
            </w:r>
          </w:p>
        </w:tc>
      </w:tr>
      <w:tr w:rsidR="0005572C" w:rsidTr="0005572C">
        <w:tc>
          <w:tcPr>
            <w:tcW w:w="1397" w:type="dxa"/>
          </w:tcPr>
          <w:p w:rsidR="0005572C" w:rsidRPr="00545DD5" w:rsidRDefault="00E14A81">
            <w:pPr>
              <w:rPr>
                <w:rFonts w:ascii="Broadway" w:hAnsi="Broadway"/>
                <w:sz w:val="36"/>
                <w:szCs w:val="36"/>
              </w:rPr>
            </w:pPr>
            <w:r>
              <w:rPr>
                <w:rFonts w:ascii="Broadway" w:hAnsi="Broadway"/>
                <w:sz w:val="36"/>
                <w:szCs w:val="36"/>
              </w:rPr>
              <w:t>8/21</w:t>
            </w:r>
          </w:p>
        </w:tc>
        <w:tc>
          <w:tcPr>
            <w:tcW w:w="8179" w:type="dxa"/>
          </w:tcPr>
          <w:p w:rsidR="0005572C" w:rsidRPr="0005572C" w:rsidRDefault="00E14A81">
            <w:pPr>
              <w:rPr>
                <w:rFonts w:ascii="Bradley Hand ITC" w:hAnsi="Bradley Hand ITC"/>
                <w:sz w:val="40"/>
                <w:szCs w:val="40"/>
              </w:rPr>
            </w:pPr>
            <w:r>
              <w:rPr>
                <w:rFonts w:ascii="Bradley Hand ITC" w:hAnsi="Bradley Hand ITC"/>
                <w:sz w:val="40"/>
                <w:szCs w:val="40"/>
              </w:rPr>
              <w:t>F</w:t>
            </w:r>
            <w:r w:rsidRPr="0005572C">
              <w:rPr>
                <w:rFonts w:ascii="Bradley Hand ITC" w:hAnsi="Bradley Hand ITC"/>
                <w:sz w:val="40"/>
                <w:szCs w:val="40"/>
              </w:rPr>
              <w:t>inal chapter</w:t>
            </w:r>
          </w:p>
        </w:tc>
      </w:tr>
      <w:tr w:rsidR="00E14A81" w:rsidTr="0005572C">
        <w:tc>
          <w:tcPr>
            <w:tcW w:w="1397" w:type="dxa"/>
          </w:tcPr>
          <w:p w:rsidR="00E14A81" w:rsidRDefault="00E14A81" w:rsidP="00E14A81">
            <w:pPr>
              <w:rPr>
                <w:rFonts w:ascii="Broadway" w:hAnsi="Broadway"/>
                <w:sz w:val="36"/>
                <w:szCs w:val="36"/>
              </w:rPr>
            </w:pPr>
            <w:r>
              <w:rPr>
                <w:rFonts w:ascii="Broadway" w:hAnsi="Broadway"/>
                <w:sz w:val="36"/>
                <w:szCs w:val="36"/>
              </w:rPr>
              <w:t>8/2</w:t>
            </w:r>
            <w:r>
              <w:rPr>
                <w:rFonts w:ascii="Broadway" w:hAnsi="Broadway"/>
                <w:sz w:val="36"/>
                <w:szCs w:val="36"/>
              </w:rPr>
              <w:t>2</w:t>
            </w:r>
          </w:p>
        </w:tc>
        <w:tc>
          <w:tcPr>
            <w:tcW w:w="8179" w:type="dxa"/>
          </w:tcPr>
          <w:p w:rsidR="00E14A81" w:rsidRPr="0005572C" w:rsidRDefault="00E14A81" w:rsidP="00E14A81">
            <w:pPr>
              <w:rPr>
                <w:rFonts w:ascii="Bradley Hand ITC" w:hAnsi="Bradley Hand ITC"/>
                <w:sz w:val="40"/>
                <w:szCs w:val="40"/>
              </w:rPr>
            </w:pPr>
            <w:r w:rsidRPr="0005572C">
              <w:rPr>
                <w:rFonts w:ascii="Bradley Hand ITC" w:hAnsi="Bradley Hand ITC"/>
                <w:sz w:val="40"/>
                <w:szCs w:val="40"/>
              </w:rPr>
              <w:t>Assignment sheet due</w:t>
            </w:r>
          </w:p>
          <w:p w:rsidR="00E14A81" w:rsidRPr="0005572C" w:rsidRDefault="00E14A81" w:rsidP="00E14A81">
            <w:pPr>
              <w:rPr>
                <w:rFonts w:ascii="Bradley Hand ITC" w:hAnsi="Bradley Hand ITC"/>
                <w:sz w:val="40"/>
                <w:szCs w:val="40"/>
              </w:rPr>
            </w:pPr>
            <w:r w:rsidRPr="0005572C">
              <w:rPr>
                <w:rFonts w:ascii="Bradley Hand ITC" w:hAnsi="Bradley Hand ITC"/>
                <w:sz w:val="40"/>
                <w:szCs w:val="40"/>
              </w:rPr>
              <w:t>Clue Game Review</w:t>
            </w:r>
          </w:p>
        </w:tc>
      </w:tr>
      <w:tr w:rsidR="00E14A81" w:rsidTr="0005572C">
        <w:tc>
          <w:tcPr>
            <w:tcW w:w="1397" w:type="dxa"/>
          </w:tcPr>
          <w:p w:rsidR="00E14A81" w:rsidRDefault="00E14A81">
            <w:pPr>
              <w:rPr>
                <w:rFonts w:ascii="Broadway" w:hAnsi="Broadway"/>
                <w:sz w:val="36"/>
                <w:szCs w:val="36"/>
              </w:rPr>
            </w:pPr>
            <w:r>
              <w:rPr>
                <w:rFonts w:ascii="Broadway" w:hAnsi="Broadway"/>
                <w:sz w:val="36"/>
                <w:szCs w:val="36"/>
              </w:rPr>
              <w:t>8/23</w:t>
            </w:r>
          </w:p>
        </w:tc>
        <w:tc>
          <w:tcPr>
            <w:tcW w:w="8179" w:type="dxa"/>
          </w:tcPr>
          <w:p w:rsidR="00E14A81" w:rsidRPr="0005572C" w:rsidRDefault="00E14A81">
            <w:pPr>
              <w:rPr>
                <w:rFonts w:ascii="Bradley Hand ITC" w:hAnsi="Bradley Hand ITC"/>
                <w:sz w:val="40"/>
                <w:szCs w:val="40"/>
              </w:rPr>
            </w:pPr>
            <w:r w:rsidRPr="0005572C">
              <w:rPr>
                <w:rFonts w:ascii="Bradley Hand ITC" w:hAnsi="Bradley Hand ITC"/>
                <w:sz w:val="40"/>
                <w:szCs w:val="40"/>
              </w:rPr>
              <w:t>And Then There Were None Final test</w:t>
            </w:r>
          </w:p>
        </w:tc>
      </w:tr>
    </w:tbl>
    <w:p w:rsidR="00545DD5" w:rsidRDefault="00545DD5">
      <w:pPr>
        <w:rPr>
          <w:rFonts w:ascii="Antique Olive CompactPS" w:hAnsi="Antique Olive CompactPS"/>
        </w:rPr>
      </w:pPr>
      <w:r>
        <w:rPr>
          <w:rFonts w:ascii="Antique Olive CompactPS" w:hAnsi="Antique Olive CompactPS"/>
        </w:rPr>
        <w:t>Directions:</w:t>
      </w:r>
    </w:p>
    <w:p w:rsidR="00545DD5" w:rsidRPr="00E14A81" w:rsidRDefault="00545DD5" w:rsidP="00545DD5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E14A81">
        <w:rPr>
          <w:rFonts w:ascii="Book Antiqua" w:hAnsi="Book Antiqua"/>
          <w:sz w:val="24"/>
          <w:szCs w:val="24"/>
        </w:rPr>
        <w:t>Above is the reading schedule for the novel.  We will be reading and completing various activities in class and your job will be to finish the reading at home.</w:t>
      </w:r>
    </w:p>
    <w:p w:rsidR="00545DD5" w:rsidRPr="00E14A81" w:rsidRDefault="00545DD5" w:rsidP="00545DD5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E14A81">
        <w:rPr>
          <w:rFonts w:ascii="Book Antiqua" w:hAnsi="Book Antiqua"/>
          <w:sz w:val="24"/>
          <w:szCs w:val="24"/>
        </w:rPr>
        <w:t xml:space="preserve">Below are three website address that can access the novel online.  The first two are text copies of the novel.  The last is an audiobook version.  </w:t>
      </w:r>
    </w:p>
    <w:p w:rsidR="00545DD5" w:rsidRPr="00E14A81" w:rsidRDefault="00545DD5" w:rsidP="00545DD5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E14A81">
        <w:rPr>
          <w:rFonts w:ascii="Book Antiqua" w:hAnsi="Book Antiqua"/>
          <w:sz w:val="24"/>
          <w:szCs w:val="24"/>
        </w:rPr>
        <w:t>If you do not have access to the internet at home, you are welcome to check out a hard copy after 7</w:t>
      </w:r>
      <w:r w:rsidRPr="00E14A81">
        <w:rPr>
          <w:rFonts w:ascii="Book Antiqua" w:hAnsi="Book Antiqua"/>
          <w:sz w:val="24"/>
          <w:szCs w:val="24"/>
          <w:vertAlign w:val="superscript"/>
        </w:rPr>
        <w:t>th</w:t>
      </w:r>
      <w:r w:rsidRPr="00E14A81">
        <w:rPr>
          <w:rFonts w:ascii="Book Antiqua" w:hAnsi="Book Antiqua"/>
          <w:sz w:val="24"/>
          <w:szCs w:val="24"/>
        </w:rPr>
        <w:t xml:space="preserve"> period each day as long as you return it </w:t>
      </w:r>
      <w:r w:rsidRPr="00E14A81">
        <w:rPr>
          <w:rFonts w:ascii="Book Antiqua" w:hAnsi="Book Antiqua"/>
          <w:b/>
          <w:sz w:val="24"/>
          <w:szCs w:val="24"/>
          <w:u w:val="single"/>
        </w:rPr>
        <w:t>BEFORE</w:t>
      </w:r>
      <w:r w:rsidRPr="00E14A81">
        <w:rPr>
          <w:rFonts w:ascii="Book Antiqua" w:hAnsi="Book Antiqua"/>
          <w:sz w:val="24"/>
          <w:szCs w:val="24"/>
        </w:rPr>
        <w:t xml:space="preserve"> 1</w:t>
      </w:r>
      <w:r w:rsidRPr="00E14A81">
        <w:rPr>
          <w:rFonts w:ascii="Book Antiqua" w:hAnsi="Book Antiqua"/>
          <w:sz w:val="24"/>
          <w:szCs w:val="24"/>
          <w:vertAlign w:val="superscript"/>
        </w:rPr>
        <w:t>st</w:t>
      </w:r>
      <w:r w:rsidRPr="00E14A81">
        <w:rPr>
          <w:rFonts w:ascii="Book Antiqua" w:hAnsi="Book Antiqua"/>
          <w:sz w:val="24"/>
          <w:szCs w:val="24"/>
        </w:rPr>
        <w:t xml:space="preserve"> period the next day.</w:t>
      </w:r>
    </w:p>
    <w:p w:rsidR="0013572D" w:rsidRDefault="00461D8F" w:rsidP="0046395C">
      <w:pPr>
        <w:pStyle w:val="NoSpacing"/>
        <w:numPr>
          <w:ilvl w:val="0"/>
          <w:numId w:val="2"/>
        </w:numPr>
      </w:pPr>
      <w:r w:rsidRPr="0046395C">
        <w:t>https://archive.org/stream/AndThenThereWereNone_726/AndThenThereWereNone#page/n0/mode/2up</w:t>
      </w:r>
    </w:p>
    <w:p w:rsidR="00461D8F" w:rsidRDefault="0046395C" w:rsidP="0046395C">
      <w:pPr>
        <w:pStyle w:val="NoSpacing"/>
        <w:numPr>
          <w:ilvl w:val="0"/>
          <w:numId w:val="2"/>
        </w:numPr>
      </w:pPr>
      <w:r w:rsidRPr="0046395C">
        <w:t>http://techjost.com/wp-content/uploads/2012/03/Agatha_Christie_-And_Then_There_Were_None.pdf</w:t>
      </w:r>
    </w:p>
    <w:p w:rsidR="00461D8F" w:rsidRDefault="00461D8F" w:rsidP="0046395C">
      <w:pPr>
        <w:pStyle w:val="NoSpacing"/>
        <w:numPr>
          <w:ilvl w:val="0"/>
          <w:numId w:val="2"/>
        </w:numPr>
      </w:pPr>
      <w:r w:rsidRPr="0046395C">
        <w:t>http://esl-bits.net/ESL.English.Learning.Audiobooks/And.Then.T</w:t>
      </w:r>
      <w:bookmarkStart w:id="0" w:name="_GoBack"/>
      <w:bookmarkEnd w:id="0"/>
      <w:r w:rsidRPr="0046395C">
        <w:t>here.Were.None/preview.html</w:t>
      </w:r>
      <w:r>
        <w:t xml:space="preserve"> </w:t>
      </w:r>
    </w:p>
    <w:sectPr w:rsidR="00461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ntique Olive CompactPS">
    <w:panose1 w:val="020B0904030504030204"/>
    <w:charset w:val="00"/>
    <w:family w:val="swiss"/>
    <w:pitch w:val="variable"/>
    <w:sig w:usb0="00000007" w:usb1="00000000" w:usb2="00000000" w:usb3="00000000" w:csb0="00000093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33D5C"/>
    <w:multiLevelType w:val="hybridMultilevel"/>
    <w:tmpl w:val="57B06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A0092"/>
    <w:multiLevelType w:val="hybridMultilevel"/>
    <w:tmpl w:val="0F548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8F"/>
    <w:rsid w:val="0005572C"/>
    <w:rsid w:val="0013572D"/>
    <w:rsid w:val="00461D8F"/>
    <w:rsid w:val="0046395C"/>
    <w:rsid w:val="00545DD5"/>
    <w:rsid w:val="007356E2"/>
    <w:rsid w:val="007D145A"/>
    <w:rsid w:val="00E1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518063-040D-4448-A9DF-50245290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D8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61D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1D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6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DD5"/>
    <w:pPr>
      <w:ind w:left="720"/>
      <w:contextualSpacing/>
    </w:pPr>
  </w:style>
  <w:style w:type="paragraph" w:styleId="NoSpacing">
    <w:name w:val="No Spacing"/>
    <w:uiPriority w:val="1"/>
    <w:qFormat/>
    <w:rsid w:val="00463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Borthwick, Kristen Louise</cp:lastModifiedBy>
  <cp:revision>7</cp:revision>
  <cp:lastPrinted>2016-08-16T18:43:00Z</cp:lastPrinted>
  <dcterms:created xsi:type="dcterms:W3CDTF">2015-07-16T14:52:00Z</dcterms:created>
  <dcterms:modified xsi:type="dcterms:W3CDTF">2017-08-04T17:51:00Z</dcterms:modified>
</cp:coreProperties>
</file>